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4B62B">
      <w:pPr>
        <w:pStyle w:val="2"/>
        <w:keepNext/>
        <w:keepLines/>
        <w:pageBreakBefore w:val="0"/>
        <w:widowControl w:val="0"/>
        <w:tabs>
          <w:tab w:val="left" w:pos="0"/>
        </w:tabs>
        <w:kinsoku/>
        <w:wordWrap/>
        <w:overflowPunct/>
        <w:topLinePunct w:val="0"/>
        <w:autoSpaceDE w:val="0"/>
        <w:autoSpaceDN w:val="0"/>
        <w:bidi w:val="0"/>
        <w:adjustRightInd w:val="0"/>
        <w:snapToGrid/>
        <w:spacing w:before="0" w:after="313" w:afterLines="100" w:line="360" w:lineRule="auto"/>
        <w:jc w:val="center"/>
        <w:textAlignment w:val="auto"/>
        <w:rPr>
          <w:rFonts w:hint="eastAsia" w:ascii="华文中宋" w:hAnsi="华文中宋" w:eastAsia="华文中宋" w:cs="华文中宋"/>
          <w:color w:val="000000"/>
          <w:sz w:val="32"/>
          <w:szCs w:val="32"/>
          <w:highlight w:val="none"/>
          <w:lang w:val="en-US" w:eastAsia="zh-CN"/>
        </w:rPr>
      </w:pPr>
      <w:bookmarkStart w:id="0" w:name="_Toc35393813"/>
      <w:r>
        <w:rPr>
          <w:rFonts w:hint="eastAsia" w:ascii="华文中宋" w:hAnsi="华文中宋" w:eastAsia="华文中宋" w:cs="华文中宋"/>
          <w:color w:val="000000"/>
          <w:sz w:val="32"/>
          <w:szCs w:val="32"/>
          <w:highlight w:val="none"/>
          <w:lang w:val="en-US" w:eastAsia="zh-CN"/>
        </w:rPr>
        <w:t>厦门万翔-公开招标-XM2026-DZ0043其他家具采购项目的更正公告</w:t>
      </w:r>
      <w:bookmarkEnd w:id="0"/>
    </w:p>
    <w:p w14:paraId="3B93FB32">
      <w:pPr>
        <w:pStyle w:val="3"/>
        <w:pageBreakBefore w:val="0"/>
        <w:kinsoku/>
        <w:wordWrap/>
        <w:overflowPunct/>
        <w:topLinePunct w:val="0"/>
        <w:bidi w:val="0"/>
        <w:snapToGrid/>
        <w:spacing w:line="360" w:lineRule="auto"/>
        <w:textAlignment w:val="auto"/>
        <w:rPr>
          <w:rFonts w:hint="eastAsia" w:ascii="黑体" w:hAnsi="黑体" w:eastAsia="黑体" w:cs="黑体"/>
          <w:b/>
          <w:bCs w:val="0"/>
          <w:color w:val="000000"/>
          <w:sz w:val="24"/>
          <w:szCs w:val="24"/>
          <w:highlight w:val="none"/>
        </w:rPr>
      </w:pPr>
      <w:bookmarkStart w:id="1" w:name="_Toc28359027"/>
      <w:bookmarkStart w:id="2" w:name="_Toc35393645"/>
      <w:bookmarkStart w:id="3" w:name="_Toc28359104"/>
      <w:bookmarkStart w:id="4" w:name="_Toc35393814"/>
      <w:r>
        <w:rPr>
          <w:rFonts w:hint="eastAsia" w:ascii="黑体" w:hAnsi="黑体" w:eastAsia="黑体" w:cs="黑体"/>
          <w:b/>
          <w:bCs w:val="0"/>
          <w:color w:val="000000"/>
          <w:sz w:val="24"/>
          <w:szCs w:val="24"/>
          <w:highlight w:val="none"/>
        </w:rPr>
        <w:t>一、项目基本情况</w:t>
      </w:r>
      <w:bookmarkEnd w:id="1"/>
      <w:bookmarkEnd w:id="2"/>
      <w:bookmarkEnd w:id="3"/>
      <w:bookmarkEnd w:id="4"/>
    </w:p>
    <w:p w14:paraId="08CC7B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原公告的采购项目编号：</w:t>
      </w:r>
      <w:r>
        <w:rPr>
          <w:rFonts w:hint="eastAsia" w:ascii="宋体" w:hAnsi="宋体" w:eastAsia="宋体" w:cs="宋体"/>
          <w:color w:val="000000"/>
          <w:sz w:val="24"/>
          <w:szCs w:val="24"/>
          <w:highlight w:val="none"/>
          <w:u w:val="single"/>
        </w:rPr>
        <w:t>XM202</w:t>
      </w:r>
      <w:r>
        <w:rPr>
          <w:rFonts w:hint="eastAsia" w:ascii="宋体" w:hAnsi="宋体" w:cs="宋体"/>
          <w:color w:val="000000"/>
          <w:sz w:val="24"/>
          <w:szCs w:val="24"/>
          <w:highlight w:val="none"/>
          <w:u w:val="single"/>
          <w:lang w:val="en-US" w:eastAsia="zh-CN"/>
        </w:rPr>
        <w:t>6</w:t>
      </w:r>
      <w:r>
        <w:rPr>
          <w:rFonts w:hint="eastAsia" w:ascii="宋体" w:hAnsi="宋体" w:eastAsia="宋体" w:cs="宋体"/>
          <w:color w:val="000000"/>
          <w:sz w:val="24"/>
          <w:szCs w:val="24"/>
          <w:highlight w:val="none"/>
          <w:u w:val="single"/>
        </w:rPr>
        <w:t>-DZ00</w:t>
      </w:r>
      <w:r>
        <w:rPr>
          <w:rFonts w:hint="eastAsia" w:ascii="宋体" w:hAnsi="宋体" w:cs="宋体"/>
          <w:color w:val="000000"/>
          <w:sz w:val="24"/>
          <w:szCs w:val="24"/>
          <w:highlight w:val="none"/>
          <w:u w:val="single"/>
          <w:lang w:val="en-US" w:eastAsia="zh-CN"/>
        </w:rPr>
        <w:t>43</w:t>
      </w:r>
    </w:p>
    <w:p w14:paraId="6709E3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原公告的采购项目名称：</w:t>
      </w:r>
      <w:r>
        <w:rPr>
          <w:rFonts w:hint="eastAsia" w:ascii="宋体" w:hAnsi="宋体" w:cs="宋体"/>
          <w:color w:val="000000"/>
          <w:sz w:val="24"/>
          <w:szCs w:val="24"/>
          <w:highlight w:val="none"/>
          <w:u w:val="single"/>
          <w:lang w:val="en-US" w:eastAsia="zh-CN"/>
        </w:rPr>
        <w:t>其他家具</w:t>
      </w:r>
    </w:p>
    <w:p w14:paraId="547C11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首次公告日期：</w:t>
      </w:r>
      <w:r>
        <w:rPr>
          <w:rFonts w:hint="eastAsia" w:ascii="宋体" w:hAnsi="宋体" w:eastAsia="宋体" w:cs="宋体"/>
          <w:color w:val="000000"/>
          <w:sz w:val="24"/>
          <w:szCs w:val="24"/>
          <w:highlight w:val="none"/>
          <w:u w:val="single"/>
        </w:rPr>
        <w:t>202</w:t>
      </w:r>
      <w:r>
        <w:rPr>
          <w:rFonts w:hint="eastAsia" w:ascii="宋体" w:hAnsi="宋体" w:cs="宋体"/>
          <w:color w:val="000000"/>
          <w:sz w:val="24"/>
          <w:szCs w:val="24"/>
          <w:highlight w:val="none"/>
          <w:u w:val="single"/>
          <w:lang w:val="en-US" w:eastAsia="zh-CN"/>
        </w:rPr>
        <w:t>6</w:t>
      </w:r>
      <w:r>
        <w:rPr>
          <w:rFonts w:hint="eastAsia" w:ascii="宋体" w:hAnsi="宋体" w:eastAsia="宋体" w:cs="宋体"/>
          <w:color w:val="000000"/>
          <w:sz w:val="24"/>
          <w:szCs w:val="24"/>
          <w:highlight w:val="none"/>
          <w:u w:val="single"/>
        </w:rPr>
        <w:t>年0</w:t>
      </w:r>
      <w:r>
        <w:rPr>
          <w:rFonts w:hint="eastAsia" w:ascii="宋体" w:hAnsi="宋体" w:cs="宋体"/>
          <w:color w:val="000000"/>
          <w:sz w:val="24"/>
          <w:szCs w:val="24"/>
          <w:highlight w:val="none"/>
          <w:u w:val="single"/>
          <w:lang w:val="en-US" w:eastAsia="zh-CN"/>
        </w:rPr>
        <w:t>7</w:t>
      </w:r>
      <w:r>
        <w:rPr>
          <w:rFonts w:hint="eastAsia" w:ascii="宋体" w:hAnsi="宋体" w:eastAsia="宋体" w:cs="宋体"/>
          <w:color w:val="000000"/>
          <w:sz w:val="24"/>
          <w:szCs w:val="24"/>
          <w:highlight w:val="none"/>
          <w:u w:val="single"/>
        </w:rPr>
        <w:t>月</w:t>
      </w:r>
      <w:r>
        <w:rPr>
          <w:rFonts w:hint="eastAsia" w:ascii="宋体" w:hAnsi="宋体" w:cs="宋体"/>
          <w:color w:val="000000"/>
          <w:sz w:val="24"/>
          <w:szCs w:val="24"/>
          <w:highlight w:val="none"/>
          <w:u w:val="single"/>
          <w:lang w:val="en-US" w:eastAsia="zh-CN"/>
        </w:rPr>
        <w:t>03</w:t>
      </w:r>
      <w:r>
        <w:rPr>
          <w:rFonts w:hint="eastAsia" w:ascii="宋体" w:hAnsi="宋体" w:eastAsia="宋体" w:cs="宋体"/>
          <w:color w:val="000000"/>
          <w:sz w:val="24"/>
          <w:szCs w:val="24"/>
          <w:highlight w:val="none"/>
          <w:u w:val="single"/>
        </w:rPr>
        <w:t>日</w:t>
      </w:r>
    </w:p>
    <w:p w14:paraId="608C9D52">
      <w:pPr>
        <w:pStyle w:val="3"/>
        <w:pageBreakBefore w:val="0"/>
        <w:kinsoku/>
        <w:wordWrap/>
        <w:overflowPunct/>
        <w:topLinePunct w:val="0"/>
        <w:bidi w:val="0"/>
        <w:snapToGrid/>
        <w:spacing w:line="360" w:lineRule="auto"/>
        <w:textAlignment w:val="auto"/>
        <w:rPr>
          <w:rFonts w:hint="eastAsia" w:ascii="黑体" w:hAnsi="黑体" w:eastAsia="黑体" w:cs="黑体"/>
          <w:b/>
          <w:bCs w:val="0"/>
          <w:color w:val="000000"/>
          <w:sz w:val="24"/>
          <w:szCs w:val="24"/>
          <w:highlight w:val="none"/>
        </w:rPr>
      </w:pPr>
      <w:bookmarkStart w:id="5" w:name="_Toc35393646"/>
      <w:bookmarkStart w:id="6" w:name="_Toc28359028"/>
      <w:bookmarkStart w:id="7" w:name="_Toc28359105"/>
      <w:bookmarkStart w:id="8" w:name="_Toc35393815"/>
      <w:r>
        <w:rPr>
          <w:rFonts w:hint="eastAsia" w:ascii="黑体" w:hAnsi="黑体" w:eastAsia="黑体" w:cs="黑体"/>
          <w:b/>
          <w:bCs w:val="0"/>
          <w:color w:val="000000"/>
          <w:sz w:val="24"/>
          <w:szCs w:val="24"/>
          <w:highlight w:val="none"/>
        </w:rPr>
        <w:t>二、更正信息</w:t>
      </w:r>
      <w:bookmarkEnd w:id="5"/>
      <w:bookmarkEnd w:id="6"/>
      <w:bookmarkEnd w:id="7"/>
      <w:bookmarkEnd w:id="8"/>
    </w:p>
    <w:p w14:paraId="20BD2B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更正事项：□采购公告 </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 xml:space="preserve">采购文件 □采购结果     </w:t>
      </w:r>
    </w:p>
    <w:p w14:paraId="7FCB09D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更正内容：</w:t>
      </w:r>
    </w:p>
    <w:p w14:paraId="21A082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宋体"/>
          <w:b/>
          <w:sz w:val="24"/>
          <w:szCs w:val="24"/>
          <w:highlight w:val="none"/>
          <w:lang w:val="en-US" w:eastAsia="zh-CN"/>
        </w:rPr>
      </w:pPr>
      <w:r>
        <w:rPr>
          <w:rFonts w:hint="eastAsia" w:ascii="宋体" w:hAnsi="宋体" w:eastAsia="宋体" w:cs="宋体"/>
          <w:b/>
          <w:kern w:val="2"/>
          <w:sz w:val="24"/>
          <w:szCs w:val="24"/>
          <w:lang w:val="en-US" w:eastAsia="zh-CN" w:bidi="ar-SA"/>
        </w:rPr>
        <w:t>1、</w:t>
      </w:r>
      <w:r>
        <w:rPr>
          <w:rFonts w:hint="eastAsia" w:ascii="宋体" w:hAnsi="宋体" w:cs="宋体"/>
          <w:b/>
          <w:sz w:val="24"/>
          <w:szCs w:val="24"/>
          <w:highlight w:val="none"/>
          <w:lang w:val="en-US" w:eastAsia="zh-CN"/>
        </w:rPr>
        <w:t xml:space="preserve">原XM2026-DZ0043招标文件 </w:t>
      </w:r>
    </w:p>
    <w:p w14:paraId="0B121EB9">
      <w:pPr>
        <w:tabs>
          <w:tab w:val="left" w:pos="-1080"/>
          <w:tab w:val="left" w:pos="180"/>
          <w:tab w:val="left" w:pos="1080"/>
        </w:tabs>
        <w:spacing w:line="360" w:lineRule="auto"/>
        <w:rPr>
          <w:rFonts w:hint="eastAsia" w:ascii="宋体" w:hAnsi="宋体" w:eastAsia="宋体" w:cs="宋体"/>
          <w:color w:val="auto"/>
          <w:sz w:val="24"/>
          <w:szCs w:val="24"/>
          <w:highlight w:val="none"/>
        </w:rPr>
      </w:pPr>
      <w:r>
        <w:rPr>
          <w:rFonts w:hint="eastAsia" w:ascii="宋体" w:hAnsi="宋体" w:cs="宋体"/>
          <w:b/>
          <w:color w:val="auto"/>
          <w:sz w:val="32"/>
          <w:szCs w:val="32"/>
          <w:highlight w:val="none"/>
          <w:lang w:val="en-US" w:eastAsia="zh-CN"/>
        </w:rPr>
        <w:t xml:space="preserve"> </w:t>
      </w:r>
      <w:r>
        <w:rPr>
          <w:rFonts w:hint="eastAsia" w:ascii="宋体" w:hAnsi="宋体" w:eastAsia="宋体" w:cs="宋体"/>
          <w:color w:val="auto"/>
          <w:sz w:val="24"/>
          <w:szCs w:val="24"/>
          <w:highlight w:val="none"/>
        </w:rPr>
        <w:t>（一）技术评分(F1)：按</w:t>
      </w:r>
      <w:r>
        <w:rPr>
          <w:rFonts w:hint="eastAsia" w:ascii="宋体" w:hAnsi="宋体" w:cs="宋体"/>
          <w:color w:val="auto"/>
          <w:sz w:val="24"/>
          <w:szCs w:val="24"/>
          <w:highlight w:val="none"/>
          <w:u w:val="single"/>
          <w:lang w:val="en-US" w:eastAsia="zh-CN"/>
        </w:rPr>
        <w:t>55</w:t>
      </w:r>
      <w:r>
        <w:rPr>
          <w:rFonts w:hint="eastAsia" w:ascii="宋体" w:hAnsi="宋体" w:eastAsia="宋体" w:cs="宋体"/>
          <w:color w:val="auto"/>
          <w:sz w:val="24"/>
          <w:szCs w:val="24"/>
          <w:highlight w:val="none"/>
        </w:rPr>
        <w:t>分评分法，技术评分考虑下列因素：</w:t>
      </w:r>
    </w:p>
    <w:tbl>
      <w:tblPr>
        <w:tblStyle w:val="8"/>
        <w:tblW w:w="8494" w:type="dxa"/>
        <w:tblInd w:w="-18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54"/>
        <w:gridCol w:w="700"/>
        <w:gridCol w:w="7040"/>
      </w:tblGrid>
      <w:tr w14:paraId="1C2881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754" w:type="dxa"/>
            <w:tcBorders>
              <w:top w:val="outset" w:color="auto" w:sz="6" w:space="0"/>
              <w:left w:val="outset" w:color="auto" w:sz="6" w:space="0"/>
              <w:bottom w:val="outset" w:color="auto" w:sz="6" w:space="0"/>
              <w:right w:val="outset" w:color="auto" w:sz="6" w:space="0"/>
            </w:tcBorders>
            <w:noWrap w:val="0"/>
            <w:vAlign w:val="center"/>
          </w:tcPr>
          <w:p w14:paraId="62842A79">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评标项目</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5CF88E2B">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评标分值</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41396420">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评标方法描述</w:t>
            </w:r>
          </w:p>
        </w:tc>
      </w:tr>
      <w:tr w14:paraId="7115C1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20"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3DE439D2">
            <w:pPr>
              <w:keepNext w:val="0"/>
              <w:keepLines w:val="0"/>
              <w:widowControl/>
              <w:suppressLineNumbers w:val="0"/>
              <w:ind w:firstLine="356"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74899C2">
            <w:pPr>
              <w:keepNext w:val="0"/>
              <w:keepLines w:val="0"/>
              <w:widowControl/>
              <w:suppressLineNumbers w:val="0"/>
              <w:ind w:firstLine="356"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EFB3F3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投标人所投公寓组合铁床（三人位）满足：</w:t>
            </w:r>
          </w:p>
          <w:p w14:paraId="500D659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连体床两侧立柱采用环形密闭冷轧钢管，厚度1.2mm，外径72mm，横面40mm,弧形面三条内凹加强筋。床立柱上下横面采用优质灰塑料外套，外套一次冲压面成高50mm、厚2mm，外为弧形，内为直角折面，与弧形面相连的两面为45mm，对边长80mm，脚垫底部必须有方格状防滑设计，与脚垫一次性冲压成型。</w:t>
            </w:r>
          </w:p>
          <w:p w14:paraId="5AACEAC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（2）床卡扣≥31mm×26mm×205mm×3.0mm，卡齿≥3个，卡齿外径≥12mm；。</w:t>
            </w:r>
          </w:p>
          <w:p w14:paraId="6E3AB95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（3）床长横梁85mm*45mm密闭L型管，上下短横梁：70*30mm密闭方管。</w:t>
            </w:r>
          </w:p>
          <w:p w14:paraId="41EA5A0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（4）床板底下横杆5根：25*25mm密闭方管</w:t>
            </w:r>
          </w:p>
          <w:p w14:paraId="78B2461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（5）床护栏方管20mm×20mm×1.2mm,护栏高度不小于300mm。</w:t>
            </w:r>
          </w:p>
          <w:p w14:paraId="01FA621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（6）床梯立柱：椭圆管40*20*1.2mm；床梯踏板350*132*18mm，钢板厚1.5mm(防滑条纹)。</w:t>
            </w:r>
          </w:p>
          <w:p w14:paraId="0E39F6D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(7)床横梁下方设计三角形加固件，规格125mm*125mm，外侧面为弧形设计，内设计两个外形接近三角形的加强筋设计,两边长各不小于90mm、60mm。</w:t>
            </w:r>
          </w:p>
          <w:p w14:paraId="5384C9B8">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43A6045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062C7A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34"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605CCC9C">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5241C8A2">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621111F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投标人所投床下置物架满足：</w:t>
            </w:r>
          </w:p>
          <w:p w14:paraId="7AA5AF0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（1）框架采用40*25*2mm㮋圆管，横杆15*20*2mm㮋圆管，外层采用聚脂环氧粉末喷塑；静电喷塑烤漆；</w:t>
            </w:r>
          </w:p>
          <w:p w14:paraId="5BC96BD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（2）面板采用18mmE0实木多层板；</w:t>
            </w:r>
          </w:p>
          <w:p w14:paraId="742D7FA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（3）置物架底部采用6个PU橡胶静音轮，直径43mm，厚度9.5mm，中间设计转动轴承，置物架底面离地不超过20mm。</w:t>
            </w:r>
          </w:p>
          <w:p w14:paraId="35AD3A60">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6A7FED2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594E12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22732D6F">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1351CD91">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5467EFA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投标人所投床板满足：</w:t>
            </w:r>
          </w:p>
          <w:p w14:paraId="130BE71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1、床板使用厚度≥16mm厚杉木板两面刨光拼接而成，床板数≤7片（单数），经干燥、防腐、防蛀、刨光处理，板底加固4根40×30mm杉木条为支撑点，制作牢固可靠，双面平整。</w:t>
            </w:r>
          </w:p>
          <w:p w14:paraId="27129D1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2、质量要求：①、抗细菌性能：白色念珠菌；②、防霉性能：球毛壳霉；③、木质件含水率。以上符合《金属家具通用技术条件》、《抗菌防霉木质装饰板、LY/T 2230-2013《人造板防霉性能评价》标准要求。</w:t>
            </w:r>
          </w:p>
          <w:p w14:paraId="203185C3">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02AD300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04F450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5"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108F9095">
            <w:pPr>
              <w:keepNext w:val="0"/>
              <w:keepLines w:val="0"/>
              <w:widowControl/>
              <w:suppressLineNumbers w:val="0"/>
              <w:ind w:firstLine="210" w:firstLineChars="10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52324720">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286C2B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投标人所投书桌（三人位）满足：</w:t>
            </w:r>
          </w:p>
          <w:p w14:paraId="35A8A16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（1）桌面采用25mm，其余基材采用18mmE0级实木多层板；甲醛释放量≤0.05mg/m³,符合E0级环保标准，所有板材均经防虫防腐处理，表面握钉力及静曲强度均达到国家标准； 封边用材：采用优质≥1.2mm厚同色PVC全自动封边机热熔胶封边，封边牢固、不易脱胶。表面应光滑，花纹应清晰、均匀，光泽应均匀，无明显色差,背胶处理应均匀 。背板采用5mm（双面贴）。（2）桌子底部设计防水钢制脚架，落地脚采用方管40*20*1.2mm。脚架配有相应一次冲压面成灰白色脚垫高40mm、厚2mm，底部有一次成型防滑设计。</w:t>
            </w:r>
          </w:p>
          <w:p w14:paraId="498EAE1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48CB72CC">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6A66D2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14D61F68">
            <w:pPr>
              <w:keepNext w:val="0"/>
              <w:keepLines w:val="0"/>
              <w:widowControl/>
              <w:suppressLineNumbers w:val="0"/>
              <w:ind w:firstLine="210" w:firstLineChars="10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767A8BE6">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2643E32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投标人所投储物柜（三人位）满足：</w:t>
            </w:r>
          </w:p>
          <w:p w14:paraId="34E315F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1、基材采用18mmE0级实木多层板；甲醛释放量≤0.05mg/m³,符合E0级环保标准，所有板材均经防虫防腐处理，表面握钉力及静曲强度均达到国家标准； 封边用材：采用优质≥1.2mm厚同色PVC全自动封边机热熔胶封边。背板采用5mm（双面贴）。</w:t>
            </w:r>
          </w:p>
          <w:p w14:paraId="5CE7CFC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柜子底部设计防水钢制脚架，横杆采用19×1.2mm厚的圆管；落地脚采用方管60*60*1.2mm，外套脚垫为灰色一次注塑成高40mm、厚度2mm，脚垫外径不小于63mm，脚垫底部有方格防滑设计，与脚垫一次性注塑成型，外套脚垫需与支撑脚架紧密连接，不得落，必要时用胶水固定。</w:t>
            </w:r>
          </w:p>
          <w:p w14:paraId="2058B57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3、每扇门安装锁扣片，材质为不锈钢，宽度22mm，厚度不小于3mm; 锁扣片外有不锈钢盖片，长度不小于60mm，宽度30mm。</w:t>
            </w:r>
          </w:p>
          <w:p w14:paraId="4C157B3E">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576E5BD5">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6805EC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6774D55E">
            <w:pPr>
              <w:keepNext w:val="0"/>
              <w:keepLines w:val="0"/>
              <w:widowControl/>
              <w:suppressLineNumbers w:val="0"/>
              <w:ind w:firstLine="210" w:firstLineChars="10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1750C3CC">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3102B12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投标人所投公寓椅满足：</w:t>
            </w:r>
          </w:p>
          <w:p w14:paraId="4B047C8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靠背与座板连接处有长91mm(±2mm)*宽27mm(±2mm)手提孔，手提孔背面左右各有四条加强筋，加强筋厚度≥3.5mm。座板尺寸宽429mm(±2mm)*深(手提孔下端至座板最前端)418mm(士2mm)，靠背尺寸宽414mm(士2mm)*高(手提孔背面上端至靠背顶端)334mm(士2mm)，座椅表面外观线条流畅，靠背能10-30度后摆。</w:t>
            </w:r>
          </w:p>
          <w:p w14:paraId="1562549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2.座垫前端需有波浪形加瀑布型设计，座板背部有2列内宽25mm(±2mm)凹槽，能与椅架更加紧密连接，两列凹槽间距为307(士2mm);连体椅面需有最小直径5mm士1mm至最大16mm士1mm椭圆形发散通风孔，通风孔不少于400个。</w:t>
            </w:r>
          </w:p>
          <w:p w14:paraId="6D0AAD8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3.椅架:椅脚采用椭圆钢管20mm*40mm厚度1.1mm，横档采用椭圆钢管20mm*30mm厚度1.0mm，座板支撑采用Φ22mm圆管厚度1.0mm，</w:t>
            </w:r>
          </w:p>
          <w:p w14:paraId="0644C0E2">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29B6B9A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00A004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68"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324EAD32">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38457919">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2A9D097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投标人所投活动桌满足：</w:t>
            </w:r>
          </w:p>
          <w:p w14:paraId="0E82CD6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面板:25厘厚实木多层板；甲醛释放量≤0.05mg/m³,符合E0级环保标准，所有板材均经防虫防腐处理，表面握钉力及静曲强度均达到国家标准；封边用材：采用优质≥1.2mm厚同色PVC全自动封边机热熔胶封边，封边牢固、不易脱胶。 面托:3mm厚冷板冲压成形 </w:t>
            </w:r>
          </w:p>
          <w:p w14:paraId="02CC5CA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二层:14圆管1.2厚、两端铁托 </w:t>
            </w:r>
          </w:p>
          <w:p w14:paraId="3D3C316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横梁:45*1.2厚圆管，中间钢管连接联动 </w:t>
            </w:r>
          </w:p>
          <w:p w14:paraId="59F5266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连接配件:铝合金 </w:t>
            </w:r>
          </w:p>
          <w:p w14:paraId="19ADAA4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侧脚:30*60*1.2厚旦形管 、底脚2.0厚热轧板冲压成形</w:t>
            </w:r>
          </w:p>
          <w:p w14:paraId="3DD9E3C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脚轮:PU静音轮万向轮，带刹车可锁止。</w:t>
            </w:r>
          </w:p>
          <w:p w14:paraId="30F3CA56">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7E0C589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5E8DDF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6"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60182186">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4FBD5E62">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2C9E8F6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投标人所投活动椅满足：</w:t>
            </w:r>
          </w:p>
          <w:p w14:paraId="5338C5F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靠背与座板连接处有长91mm(±2mm)*宽27mm(±2mm)手提孔，手提孔背面左右各有四条加强筋，加强筋厚度≥3.5mm。座板尺寸宽429mm(±2mm)*深(手提孔下端至座板最前端)418mm(士2mm)，靠背尺寸宽414mm(士2mm)*高(手提孔背面上端至靠背顶端)334mm(士2mm)，座椅表面外观线条流畅，靠背能10-30度后摆，能缓解学生腰部疲劳。</w:t>
            </w:r>
          </w:p>
          <w:p w14:paraId="3EEAAA4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2.座垫前端需有波浪形加瀑布型设计，座板背部有2列内宽25mm(±2mm)凹槽，能与椅架更加紧密连接，两列凹槽间距为307(士2mm);连体椅面需有最小直径5mm士1mm至最大16mm士1mm椭圆形发散通风孔，通风孔不少于400个。</w:t>
            </w:r>
          </w:p>
          <w:p w14:paraId="19E5EAE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3.椅架:椅脚采用椭圆钢管20mm*40mm厚度1.1mm，横档采用椭圆钢管20mm*30mm厚度1.0mm，座板支撑采用Φ22mm圆管厚度1.0mm，</w:t>
            </w:r>
          </w:p>
          <w:p w14:paraId="2CE8AAED">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40A60E2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2C6967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5"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5E8A2D66">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42D5AF80">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186AD0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投标人所投课桌椅满足：</w:t>
            </w:r>
          </w:p>
          <w:p w14:paraId="20CE9A2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课桌：</w:t>
            </w:r>
          </w:p>
          <w:p w14:paraId="172A011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1、桌面规格：600*400*18mm。</w:t>
            </w:r>
          </w:p>
          <w:p w14:paraId="6E2AC41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桌体钢架：材质及形状：椭圆管；桌脚贴地部钢管尺寸为：30×60×1.2mm±0.1mm；桌脚上部固定立管钢管尺寸为：30×60×1.2mm±0.1mm；升降套管25×50×1.2mm±0.1mm，桌上架横梁为20×20×1.0方管，桌下架横梁采用20×40×1.2mm的扁圆管。</w:t>
            </w:r>
          </w:p>
          <w:p w14:paraId="677CAC8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4、书箱规格：550×385×150MM，底部设计排水槽，书箱底部靠胸前设有笔槽，方便学生放置文具。</w:t>
            </w:r>
          </w:p>
          <w:p w14:paraId="64349D2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6、课桌升降结构：采用手摇升降，升降高度：650-790mm；</w:t>
            </w:r>
          </w:p>
          <w:p w14:paraId="1DBBD37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课椅：</w:t>
            </w:r>
          </w:p>
          <w:p w14:paraId="298BA71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1、椅面尺寸400*360mm，靠背尺寸380*260mm。</w:t>
            </w:r>
          </w:p>
          <w:p w14:paraId="3C149F8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2、椅脚贴地部钢管尺寸为：30mm×60mm×1.2mm±0.1mm；立柱外钢管尺寸为30mm×60mm×1.2mm, 内钢管25mmx×50mm×1.2mm，连档采用20×40×1.2椭圆管。</w:t>
            </w:r>
          </w:p>
          <w:p w14:paraId="6EDCD3E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3、课椅升降结构：采用手摇升降，升降高度：360-460mm；</w:t>
            </w:r>
          </w:p>
          <w:p w14:paraId="4A764ECA">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3152C16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4C17AC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6715DB29">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7B7A04E1">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0089C73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投标人所投办公桌满足：</w:t>
            </w:r>
          </w:p>
          <w:p w14:paraId="43AF2CD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1、基材：桌面板25mm，其余采用18mmE0实木多层板；甲醛释放量≤0.05mg/m³,符合E0级环保标准，所有板材均经防虫防腐处理，表面握钉力及静曲强度均达到国家标准；</w:t>
            </w:r>
          </w:p>
          <w:p w14:paraId="51ED7A5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2、封边用材：采用优质≥1.2mm厚同色PVC全自动封边机热熔胶封边，封边牢固、不易脱胶。表面应光滑，花纹应清晰、均匀，光泽应均匀，无明显色差,背胶处理应均匀。</w:t>
            </w:r>
          </w:p>
          <w:p w14:paraId="0239232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3、五金配件：采用优质五金配件，耐腐蚀、经久耐用，符合国家标准；</w:t>
            </w:r>
          </w:p>
          <w:p w14:paraId="4F8E917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4、质量要求：热熔胶符合GB 18583《室内装饰装修材料 胶粘剂中有害物质限量》标准：①甲苯+二甲苯≤0.04g/kg；②苯、二氯甲烷、1,2二氯乙烷、1,1，2-三氯乙烷、三氯乙烯，以上检测结果均为未检出；③总挥发性有机物≤5g/L；</w:t>
            </w:r>
          </w:p>
          <w:p w14:paraId="1BA985D3">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6D23FB3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50460A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5F98F2EB">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11</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4D6B4577">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30D70A5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投标人所投资料柜满足：</w:t>
            </w:r>
          </w:p>
          <w:p w14:paraId="58F683C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1、基材：采用18mmE0实木多层板；甲醛释放量≤0.05mg/m³,符合E0级环保标准，所有板材均经防虫防腐处理，表面握钉力及静曲强度均达到国家标准；</w:t>
            </w:r>
          </w:p>
          <w:p w14:paraId="66AF09A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2、封边用材：采用优质≥1.2mm厚同色PVC全自动封边机热熔胶封边，封边牢固、不易脱胶。表面应光滑，花纹应清晰、均匀，光泽应均匀，无明显色差,背胶处理应均匀。</w:t>
            </w:r>
          </w:p>
          <w:p w14:paraId="3C01459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3、五金配件：三合一偏心连接件，耐腐蚀、经久耐用，符合国家标准；采用阻尼合页、暗拉手；</w:t>
            </w:r>
          </w:p>
          <w:p w14:paraId="38CFF82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4、质量要求：三合一偏心连接件符合QB/T 3832《轻工产品金属镀层腐蚀实验结果的评价》、QB/T 3827《轻工产品金属镀层和化学处理层的耐腐蚀实验方法 乙酸盐雾试验(ASS)法》、GB/T 28203《家具用连接件技术要求及实验方法》标准：①三合一偏心连接件偏心体抗压强度应≥320N；②三合一偏心连接件预埋螺母抗拉强度应≥630N；③三合一偏心连接件中连接螺杆螺纹与预埋螺母的抗拉强度应≥810N；④乙酸盐雾测试连续喷雾120小时，检测结果≥10级；⑤外观性能要求：电镀层检验结果为未见缺陷；</w:t>
            </w:r>
          </w:p>
          <w:p w14:paraId="3E8B7628">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2554E66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6D0C6B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57B6BA6E">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6707300B">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23A8166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投标人所投办公椅满足：</w:t>
            </w:r>
          </w:p>
          <w:p w14:paraId="1D1433C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1.胶壳：背胶+扶手：腰包外观长：315mm、宽170mm、厚度30mm ， 弹簧尺寸：1.8*20*40mm ， 弹簧材质：强力锰钢压缩弹簧材质 塑胶：采用新料PP加纤25%，环保无异味。                                                                                                                      2.座板：优质15厘多层座板。                                                                                      3.海绵：5公分40密度原生环保海绵。                                                                         </w:t>
            </w:r>
          </w:p>
          <w:p w14:paraId="2D2B1C2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4.脚架：2.0厚度的优质钢材喷漆，垂直弯曲部位加套管.</w:t>
            </w:r>
          </w:p>
          <w:p w14:paraId="3319E1FD">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1612860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133CCA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2767A8E3">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70C81392">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1092DA1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投标人所投教研会议桌满足：</w:t>
            </w:r>
          </w:p>
          <w:p w14:paraId="36D1B60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面板:25厘厚实木多层板；甲醛释放量≤0.05mg/m³,符合E0级环保标准，所有板材均经防虫防腐处理，表面握钉力及静曲强度均达到国家标准；封边用材：采用优质≥1.2mm厚同色PVC全自动封边机热熔胶封边，封边牢固、不易脱胶。 面托:3mm厚冷板冲压成形 。</w:t>
            </w:r>
          </w:p>
          <w:p w14:paraId="03E79D1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二层:14圆管1.2厚、两端铁托。</w:t>
            </w:r>
          </w:p>
          <w:p w14:paraId="6FCA82C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横梁:45*1.2厚圆管，中间钢管连接联动。 </w:t>
            </w:r>
          </w:p>
          <w:p w14:paraId="1E3D9C5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连接配件:铝合金。</w:t>
            </w:r>
          </w:p>
          <w:p w14:paraId="46DFB6E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侧脚:30*60*1.2厚旦形管 、底脚2.0厚热轧板冲压成形。</w:t>
            </w:r>
          </w:p>
          <w:p w14:paraId="54CFA9F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脚轮:PU静音轮万向轮，带刹车可锁止。</w:t>
            </w:r>
          </w:p>
          <w:p w14:paraId="67DA652E">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0074CD8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0F02B7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0A78453A">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3767C4B7">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0DA5C5D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投标人所投会议条桌满足：</w:t>
            </w:r>
          </w:p>
          <w:p w14:paraId="471BAC0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1、基材：采用E0级密度板，环保达标，贴面平整，无起泡、坑凹，所有板材均经过防虫、防霉化学处理，游离甲醛含量达到国家环保标准，甲醛释放量符合国家相关标准要求；</w:t>
            </w:r>
          </w:p>
          <w:p w14:paraId="4C3EEBB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2、胶水：采用环保型胶黏剂，通过《室内装饰装修材料 胶粘剂中有害物质限量》标准。</w:t>
            </w:r>
          </w:p>
          <w:p w14:paraId="4D95681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3、封边：所有板材均四周封边优质PVC材料，封边厚度为2mm，防止潮湿空气进入。</w:t>
            </w:r>
          </w:p>
          <w:p w14:paraId="47DB3309">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790EFB0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2E37B8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single" w:color="auto" w:sz="4" w:space="0"/>
              <w:right w:val="outset" w:color="auto" w:sz="6" w:space="0"/>
            </w:tcBorders>
            <w:noWrap w:val="0"/>
            <w:vAlign w:val="center"/>
          </w:tcPr>
          <w:p w14:paraId="49C3D311">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15</w:t>
            </w:r>
          </w:p>
        </w:tc>
        <w:tc>
          <w:tcPr>
            <w:tcW w:w="700" w:type="dxa"/>
            <w:tcBorders>
              <w:top w:val="outset" w:color="auto" w:sz="6" w:space="0"/>
              <w:left w:val="outset" w:color="auto" w:sz="6" w:space="0"/>
              <w:bottom w:val="single" w:color="auto" w:sz="4" w:space="0"/>
              <w:right w:val="outset" w:color="auto" w:sz="6" w:space="0"/>
            </w:tcBorders>
            <w:noWrap w:val="0"/>
            <w:vAlign w:val="center"/>
          </w:tcPr>
          <w:p w14:paraId="50901450">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54155CD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投标人所投高脚凳满足：</w:t>
            </w:r>
          </w:p>
          <w:p w14:paraId="1B63C3F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材质：PP 座面+转印铁脚+金属脚踏。</w:t>
            </w:r>
          </w:p>
          <w:p w14:paraId="24E5D5F6">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以上要求且供货时提供第三方检测机构出具的检测报告，其</w:t>
            </w:r>
            <w:r>
              <w:rPr>
                <w:rFonts w:hint="eastAsia" w:ascii="宋体" w:hAnsi="宋体" w:eastAsia="宋体" w:cs="宋体"/>
                <w:color w:val="auto"/>
                <w:kern w:val="0"/>
                <w:sz w:val="20"/>
                <w:szCs w:val="20"/>
                <w:highlight w:val="none"/>
                <w:lang w:val="en-US" w:eastAsia="zh-CN" w:bidi="ar"/>
              </w:rPr>
              <w:t xml:space="preserve">检测报告在中国国家认证认可监督管理委员会（http://www.cnca.gov.cn/）或国家市场监督管理总局政务服务平台 </w:t>
            </w:r>
          </w:p>
          <w:p w14:paraId="67ACBCC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0"/>
                <w:szCs w:val="20"/>
                <w:highlight w:val="none"/>
                <w:lang w:val="en-US" w:eastAsia="zh-CN" w:bidi="ar"/>
              </w:rPr>
              <w:t>http://cx.cnca.cn/CertECloud/qts/qts/qtsPage?showMode=2）</w:t>
            </w:r>
            <w:r>
              <w:rPr>
                <w:rFonts w:hint="eastAsia" w:ascii="宋体" w:hAnsi="宋体" w:cs="宋体"/>
                <w:color w:val="auto"/>
                <w:kern w:val="0"/>
                <w:sz w:val="20"/>
                <w:szCs w:val="20"/>
                <w:highlight w:val="none"/>
                <w:lang w:val="en-US" w:eastAsia="zh-CN" w:bidi="ar"/>
              </w:rPr>
              <w:t>上可</w:t>
            </w:r>
            <w:r>
              <w:rPr>
                <w:rFonts w:hint="eastAsia" w:ascii="宋体" w:hAnsi="宋体" w:eastAsia="宋体" w:cs="宋体"/>
                <w:color w:val="auto"/>
                <w:kern w:val="0"/>
                <w:sz w:val="20"/>
                <w:szCs w:val="20"/>
                <w:highlight w:val="none"/>
                <w:lang w:val="en-US" w:eastAsia="zh-CN" w:bidi="ar"/>
              </w:rPr>
              <w:t>查询</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分，其余不得分。</w:t>
            </w:r>
          </w:p>
        </w:tc>
      </w:tr>
      <w:tr w14:paraId="0EB818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single" w:color="auto" w:sz="4" w:space="0"/>
              <w:right w:val="outset" w:color="auto" w:sz="6" w:space="0"/>
            </w:tcBorders>
            <w:noWrap w:val="0"/>
            <w:vAlign w:val="center"/>
          </w:tcPr>
          <w:p w14:paraId="4182A61C">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16</w:t>
            </w:r>
          </w:p>
          <w:p w14:paraId="78E79709">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700" w:type="dxa"/>
            <w:tcBorders>
              <w:top w:val="outset" w:color="auto" w:sz="6" w:space="0"/>
              <w:left w:val="outset" w:color="auto" w:sz="6" w:space="0"/>
              <w:bottom w:val="single" w:color="auto" w:sz="4" w:space="0"/>
              <w:right w:val="outset" w:color="auto" w:sz="6" w:space="0"/>
            </w:tcBorders>
            <w:noWrap w:val="0"/>
            <w:vAlign w:val="center"/>
          </w:tcPr>
          <w:p w14:paraId="66D1C1E0">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2</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6947777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根据</w:t>
            </w:r>
            <w:r>
              <w:rPr>
                <w:rFonts w:hint="eastAsia" w:ascii="宋体" w:hAnsi="宋体" w:eastAsia="宋体" w:cs="宋体"/>
                <w:color w:val="auto"/>
                <w:kern w:val="0"/>
                <w:sz w:val="21"/>
                <w:szCs w:val="21"/>
                <w:highlight w:val="none"/>
                <w:lang w:val="en-US" w:eastAsia="zh-CN" w:bidi="ar"/>
              </w:rPr>
              <w:t>投标人提供的样品的质量情况进行评价：样品焊接接缝，不容易变形的得</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分；样品有细微变形得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分。样品存在较大缺陷或不符合项目需求的不得分。</w:t>
            </w:r>
          </w:p>
        </w:tc>
      </w:tr>
      <w:tr w14:paraId="40D4D2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43" w:hRule="atLeast"/>
        </w:trPr>
        <w:tc>
          <w:tcPr>
            <w:tcW w:w="754" w:type="dxa"/>
            <w:tcBorders>
              <w:top w:val="single" w:color="auto" w:sz="4" w:space="0"/>
              <w:left w:val="outset" w:color="auto" w:sz="6" w:space="0"/>
              <w:bottom w:val="single" w:color="auto" w:sz="4" w:space="0"/>
              <w:right w:val="outset" w:color="auto" w:sz="6" w:space="0"/>
            </w:tcBorders>
            <w:noWrap w:val="0"/>
            <w:vAlign w:val="center"/>
          </w:tcPr>
          <w:p w14:paraId="2559785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17</w:t>
            </w:r>
          </w:p>
        </w:tc>
        <w:tc>
          <w:tcPr>
            <w:tcW w:w="700" w:type="dxa"/>
            <w:tcBorders>
              <w:top w:val="single" w:color="auto" w:sz="4" w:space="0"/>
              <w:left w:val="outset" w:color="auto" w:sz="6" w:space="0"/>
              <w:right w:val="outset" w:color="auto" w:sz="6" w:space="0"/>
            </w:tcBorders>
            <w:noWrap w:val="0"/>
            <w:vAlign w:val="center"/>
          </w:tcPr>
          <w:p w14:paraId="3091FE44">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right w:val="outset" w:color="auto" w:sz="6" w:space="0"/>
            </w:tcBorders>
            <w:noWrap w:val="0"/>
            <w:vAlign w:val="top"/>
          </w:tcPr>
          <w:p w14:paraId="65AB59DE">
            <w:pPr>
              <w:pStyle w:val="10"/>
              <w:jc w:val="both"/>
              <w:rPr>
                <w:rFonts w:hint="eastAsia" w:ascii="宋体" w:hAnsi="宋体" w:eastAsia="宋体" w:cs="宋体"/>
                <w:color w:val="auto"/>
                <w:kern w:val="0"/>
                <w:sz w:val="21"/>
                <w:szCs w:val="21"/>
                <w:highlight w:val="none"/>
                <w:lang w:val="en-US" w:eastAsia="zh-CN" w:bidi="ar"/>
              </w:rPr>
            </w:pPr>
            <w:r>
              <w:rPr>
                <w:rFonts w:ascii="宋体" w:hAnsi="宋体" w:eastAsia="宋体" w:cs="宋体"/>
                <w:color w:val="auto"/>
                <w:sz w:val="21"/>
                <w:szCs w:val="21"/>
                <w:highlight w:val="none"/>
                <w:lang w:eastAsia="zh-CN" w:bidi="ar"/>
              </w:rPr>
              <w:t>根据投标人提供的</w:t>
            </w:r>
            <w:r>
              <w:rPr>
                <w:rFonts w:hint="eastAsia" w:ascii="宋体" w:hAnsi="宋体" w:eastAsia="宋体" w:cs="宋体"/>
                <w:color w:val="auto"/>
                <w:sz w:val="21"/>
                <w:szCs w:val="21"/>
                <w:highlight w:val="none"/>
                <w:lang w:eastAsia="zh-CN" w:bidi="ar"/>
              </w:rPr>
              <w:t>课桌30×60×1.2mm椭圆管1根、升降套管25×50×1.2mm椭圆管1根</w:t>
            </w:r>
            <w:r>
              <w:rPr>
                <w:rFonts w:ascii="宋体" w:hAnsi="宋体" w:eastAsia="宋体" w:cs="宋体"/>
                <w:color w:val="auto"/>
                <w:sz w:val="21"/>
                <w:szCs w:val="21"/>
                <w:highlight w:val="none"/>
                <w:lang w:eastAsia="zh-CN" w:bidi="ar"/>
              </w:rPr>
              <w:t>实物样品的款式、外观、质量、工艺、感观等进行评价： 1.表面无裂缝，无凹陷、压痕、磨损等瑕疵；外表无变形、表面光润、切面平整细腻、线条均匀的得</w:t>
            </w:r>
            <w:r>
              <w:rPr>
                <w:rFonts w:hint="eastAsia" w:ascii="宋体" w:hAnsi="宋体" w:eastAsia="宋体" w:cs="宋体"/>
                <w:color w:val="auto"/>
                <w:sz w:val="21"/>
                <w:szCs w:val="21"/>
                <w:highlight w:val="none"/>
                <w:lang w:val="en-US" w:eastAsia="zh-CN" w:bidi="ar"/>
              </w:rPr>
              <w:t>3</w:t>
            </w:r>
            <w:r>
              <w:rPr>
                <w:rFonts w:ascii="宋体" w:hAnsi="宋体" w:eastAsia="宋体" w:cs="宋体"/>
                <w:color w:val="auto"/>
                <w:sz w:val="21"/>
                <w:szCs w:val="21"/>
                <w:highlight w:val="none"/>
                <w:lang w:eastAsia="zh-CN" w:bidi="ar"/>
              </w:rPr>
              <w:t>分； 2.上述要求中有细微缺陷的得</w:t>
            </w:r>
            <w:r>
              <w:rPr>
                <w:rFonts w:hint="eastAsia" w:ascii="宋体" w:hAnsi="宋体" w:eastAsia="宋体" w:cs="宋体"/>
                <w:color w:val="auto"/>
                <w:sz w:val="21"/>
                <w:szCs w:val="21"/>
                <w:highlight w:val="none"/>
                <w:lang w:val="en-US" w:eastAsia="zh-CN" w:bidi="ar"/>
              </w:rPr>
              <w:t>2</w:t>
            </w:r>
            <w:r>
              <w:rPr>
                <w:rFonts w:ascii="宋体" w:hAnsi="宋体" w:eastAsia="宋体" w:cs="宋体"/>
                <w:color w:val="auto"/>
                <w:sz w:val="21"/>
                <w:szCs w:val="21"/>
                <w:highlight w:val="none"/>
                <w:lang w:eastAsia="zh-CN" w:bidi="ar"/>
              </w:rPr>
              <w:t xml:space="preserve">分。 </w:t>
            </w:r>
            <w:r>
              <w:rPr>
                <w:rFonts w:hint="eastAsia" w:ascii="宋体" w:hAnsi="宋体" w:eastAsia="宋体" w:cs="宋体"/>
                <w:color w:val="auto"/>
                <w:kern w:val="0"/>
                <w:sz w:val="21"/>
                <w:szCs w:val="21"/>
                <w:highlight w:val="none"/>
                <w:lang w:val="en-US" w:eastAsia="zh-CN" w:bidi="ar"/>
              </w:rPr>
              <w:t>样品存在较大缺陷或不符合项目需求的不得分。</w:t>
            </w:r>
          </w:p>
        </w:tc>
      </w:tr>
      <w:tr w14:paraId="4CDEE4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single" w:color="auto" w:sz="4" w:space="0"/>
              <w:left w:val="outset" w:color="auto" w:sz="6" w:space="0"/>
              <w:bottom w:val="single" w:color="auto" w:sz="4" w:space="0"/>
              <w:right w:val="outset" w:color="auto" w:sz="6" w:space="0"/>
            </w:tcBorders>
            <w:noWrap w:val="0"/>
            <w:vAlign w:val="center"/>
          </w:tcPr>
          <w:p w14:paraId="6FE7153E">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18</w:t>
            </w:r>
          </w:p>
        </w:tc>
        <w:tc>
          <w:tcPr>
            <w:tcW w:w="700" w:type="dxa"/>
            <w:tcBorders>
              <w:top w:val="single" w:color="auto" w:sz="4" w:space="0"/>
              <w:left w:val="outset" w:color="auto" w:sz="6" w:space="0"/>
              <w:bottom w:val="single" w:color="auto" w:sz="4" w:space="0"/>
              <w:right w:val="outset" w:color="auto" w:sz="6" w:space="0"/>
            </w:tcBorders>
            <w:noWrap w:val="0"/>
            <w:vAlign w:val="center"/>
          </w:tcPr>
          <w:p w14:paraId="2976F703">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top"/>
          </w:tcPr>
          <w:p w14:paraId="14E7D425">
            <w:pPr>
              <w:pStyle w:val="10"/>
              <w:jc w:val="both"/>
              <w:rPr>
                <w:rFonts w:hint="eastAsia" w:ascii="宋体" w:hAnsi="宋体" w:eastAsia="宋体" w:cs="宋体"/>
                <w:color w:val="auto"/>
                <w:kern w:val="0"/>
                <w:sz w:val="21"/>
                <w:szCs w:val="21"/>
                <w:highlight w:val="none"/>
                <w:lang w:val="en-US" w:eastAsia="zh-CN" w:bidi="ar"/>
              </w:rPr>
            </w:pPr>
            <w:r>
              <w:rPr>
                <w:rFonts w:ascii="宋体" w:hAnsi="宋体" w:eastAsia="宋体" w:cs="宋体"/>
                <w:color w:val="auto"/>
                <w:sz w:val="21"/>
                <w:szCs w:val="21"/>
                <w:highlight w:val="none"/>
                <w:lang w:eastAsia="zh-CN" w:bidi="ar"/>
              </w:rPr>
              <w:t>根据投标人提供的</w:t>
            </w:r>
            <w:r>
              <w:rPr>
                <w:rFonts w:hint="eastAsia" w:ascii="宋体" w:hAnsi="宋体" w:eastAsia="宋体" w:cs="宋体"/>
                <w:color w:val="auto"/>
                <w:sz w:val="21"/>
                <w:szCs w:val="21"/>
                <w:highlight w:val="none"/>
                <w:lang w:eastAsia="zh-CN" w:bidi="ar"/>
              </w:rPr>
              <w:t>“床两侧立柱采用环形密闭冷轧钢管（喷漆和未喷漆1根），厚度1.2mm，外径72mm，横面40mm,弧形面三条内凹加强筋”</w:t>
            </w:r>
            <w:r>
              <w:rPr>
                <w:rFonts w:ascii="宋体" w:hAnsi="宋体" w:eastAsia="宋体" w:cs="宋体"/>
                <w:color w:val="auto"/>
                <w:sz w:val="21"/>
                <w:szCs w:val="21"/>
                <w:highlight w:val="none"/>
                <w:lang w:eastAsia="zh-CN" w:bidi="ar"/>
              </w:rPr>
              <w:t>实物样品的款式、外观、质量、工艺、感观等进行评价： 1.表面无裂缝，无凹陷、压痕、磨损等瑕疵；外表无变形、表面光润、切面平整细腻、线条均匀的得</w:t>
            </w:r>
            <w:r>
              <w:rPr>
                <w:rFonts w:hint="eastAsia" w:ascii="宋体" w:hAnsi="宋体" w:eastAsia="宋体" w:cs="宋体"/>
                <w:color w:val="auto"/>
                <w:sz w:val="21"/>
                <w:szCs w:val="21"/>
                <w:highlight w:val="none"/>
                <w:lang w:val="en-US" w:eastAsia="zh-CN" w:bidi="ar"/>
              </w:rPr>
              <w:t>3</w:t>
            </w:r>
            <w:r>
              <w:rPr>
                <w:rFonts w:ascii="宋体" w:hAnsi="宋体" w:eastAsia="宋体" w:cs="宋体"/>
                <w:color w:val="auto"/>
                <w:sz w:val="21"/>
                <w:szCs w:val="21"/>
                <w:highlight w:val="none"/>
                <w:lang w:eastAsia="zh-CN" w:bidi="ar"/>
              </w:rPr>
              <w:t>分； 2.上述要求中有细微缺陷的得</w:t>
            </w:r>
            <w:r>
              <w:rPr>
                <w:rFonts w:hint="eastAsia" w:ascii="宋体" w:hAnsi="宋体" w:eastAsia="宋体" w:cs="宋体"/>
                <w:color w:val="auto"/>
                <w:sz w:val="21"/>
                <w:szCs w:val="21"/>
                <w:highlight w:val="none"/>
                <w:lang w:val="en-US" w:eastAsia="zh-CN" w:bidi="ar"/>
              </w:rPr>
              <w:t>2</w:t>
            </w:r>
            <w:r>
              <w:rPr>
                <w:rFonts w:ascii="宋体" w:hAnsi="宋体" w:eastAsia="宋体" w:cs="宋体"/>
                <w:color w:val="auto"/>
                <w:sz w:val="21"/>
                <w:szCs w:val="21"/>
                <w:highlight w:val="none"/>
                <w:lang w:eastAsia="zh-CN" w:bidi="ar"/>
              </w:rPr>
              <w:t xml:space="preserve">.5分。 </w:t>
            </w:r>
            <w:r>
              <w:rPr>
                <w:rFonts w:hint="eastAsia" w:ascii="宋体" w:hAnsi="宋体" w:eastAsia="宋体" w:cs="宋体"/>
                <w:color w:val="auto"/>
                <w:kern w:val="0"/>
                <w:sz w:val="21"/>
                <w:szCs w:val="21"/>
                <w:highlight w:val="none"/>
                <w:lang w:val="en-US" w:eastAsia="zh-CN" w:bidi="ar"/>
              </w:rPr>
              <w:t>样品存在较大缺陷或不符合项目需求的不得分。</w:t>
            </w:r>
          </w:p>
        </w:tc>
      </w:tr>
      <w:tr w14:paraId="23FF71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single" w:color="auto" w:sz="4" w:space="0"/>
              <w:left w:val="outset" w:color="auto" w:sz="6" w:space="0"/>
              <w:bottom w:val="single" w:color="auto" w:sz="4" w:space="0"/>
              <w:right w:val="outset" w:color="auto" w:sz="6" w:space="0"/>
            </w:tcBorders>
            <w:noWrap w:val="0"/>
            <w:vAlign w:val="center"/>
          </w:tcPr>
          <w:p w14:paraId="0623027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19</w:t>
            </w:r>
          </w:p>
        </w:tc>
        <w:tc>
          <w:tcPr>
            <w:tcW w:w="700" w:type="dxa"/>
            <w:tcBorders>
              <w:top w:val="single" w:color="auto" w:sz="4" w:space="0"/>
              <w:left w:val="outset" w:color="auto" w:sz="6" w:space="0"/>
              <w:bottom w:val="single" w:color="auto" w:sz="4" w:space="0"/>
              <w:right w:val="outset" w:color="auto" w:sz="6" w:space="0"/>
            </w:tcBorders>
            <w:noWrap w:val="0"/>
            <w:vAlign w:val="center"/>
          </w:tcPr>
          <w:p w14:paraId="043A21B2">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top"/>
          </w:tcPr>
          <w:p w14:paraId="00F04BA8">
            <w:pPr>
              <w:pStyle w:val="10"/>
              <w:jc w:val="both"/>
              <w:rPr>
                <w:rFonts w:hint="eastAsia" w:ascii="宋体" w:hAnsi="宋体" w:eastAsia="宋体" w:cs="宋体"/>
                <w:color w:val="auto"/>
                <w:kern w:val="0"/>
                <w:sz w:val="21"/>
                <w:szCs w:val="21"/>
                <w:highlight w:val="none"/>
                <w:lang w:val="en-US" w:eastAsia="zh-CN" w:bidi="ar"/>
              </w:rPr>
            </w:pPr>
            <w:r>
              <w:rPr>
                <w:rFonts w:ascii="宋体" w:hAnsi="宋体" w:eastAsia="宋体" w:cs="宋体"/>
                <w:color w:val="auto"/>
                <w:sz w:val="21"/>
                <w:szCs w:val="21"/>
                <w:highlight w:val="none"/>
                <w:lang w:eastAsia="zh-CN" w:bidi="ar"/>
              </w:rPr>
              <w:t>根据投标人提供的</w:t>
            </w:r>
            <w:r>
              <w:rPr>
                <w:rFonts w:hint="eastAsia" w:ascii="宋体" w:hAnsi="宋体" w:eastAsia="宋体" w:cs="宋体"/>
                <w:color w:val="auto"/>
                <w:sz w:val="21"/>
                <w:szCs w:val="21"/>
                <w:highlight w:val="none"/>
                <w:lang w:eastAsia="zh-CN" w:bidi="ar"/>
              </w:rPr>
              <w:t>“床横梁下方三角形加固件小样(未喷漆1个)：规格125mm×125mm，外侧面为弧形设计，内设计两个外形接近三角形的加强筋设计，两边长各不小于90mm、60mm”</w:t>
            </w:r>
            <w:r>
              <w:rPr>
                <w:rFonts w:ascii="宋体" w:hAnsi="宋体" w:eastAsia="宋体" w:cs="宋体"/>
                <w:color w:val="auto"/>
                <w:sz w:val="21"/>
                <w:szCs w:val="21"/>
                <w:highlight w:val="none"/>
                <w:lang w:eastAsia="zh-CN" w:bidi="ar"/>
              </w:rPr>
              <w:t>实物样品的款式、外观、质量、工艺、感观等进行评价： 1.表面无裂缝，无凹陷、压痕、磨损等瑕疵；外表无变形、表面光润、切面平整细腻、线条均匀的得</w:t>
            </w:r>
            <w:r>
              <w:rPr>
                <w:rFonts w:hint="eastAsia" w:ascii="宋体" w:hAnsi="宋体" w:eastAsia="宋体" w:cs="宋体"/>
                <w:color w:val="auto"/>
                <w:sz w:val="21"/>
                <w:szCs w:val="21"/>
                <w:highlight w:val="none"/>
                <w:lang w:val="en-US" w:eastAsia="zh-CN" w:bidi="ar"/>
              </w:rPr>
              <w:t>3</w:t>
            </w:r>
            <w:r>
              <w:rPr>
                <w:rFonts w:ascii="宋体" w:hAnsi="宋体" w:eastAsia="宋体" w:cs="宋体"/>
                <w:color w:val="auto"/>
                <w:sz w:val="21"/>
                <w:szCs w:val="21"/>
                <w:highlight w:val="none"/>
                <w:lang w:eastAsia="zh-CN" w:bidi="ar"/>
              </w:rPr>
              <w:t>分； 2.上述要求中有细微缺陷的得</w:t>
            </w:r>
            <w:r>
              <w:rPr>
                <w:rFonts w:hint="eastAsia" w:ascii="宋体" w:hAnsi="宋体" w:eastAsia="宋体" w:cs="宋体"/>
                <w:color w:val="auto"/>
                <w:sz w:val="21"/>
                <w:szCs w:val="21"/>
                <w:highlight w:val="none"/>
                <w:lang w:val="en-US" w:eastAsia="zh-CN" w:bidi="ar"/>
              </w:rPr>
              <w:t>2</w:t>
            </w:r>
            <w:r>
              <w:rPr>
                <w:rFonts w:ascii="宋体" w:hAnsi="宋体" w:eastAsia="宋体" w:cs="宋体"/>
                <w:color w:val="auto"/>
                <w:sz w:val="21"/>
                <w:szCs w:val="21"/>
                <w:highlight w:val="none"/>
                <w:lang w:eastAsia="zh-CN" w:bidi="ar"/>
              </w:rPr>
              <w:t xml:space="preserve">.5分。 </w:t>
            </w:r>
            <w:r>
              <w:rPr>
                <w:rFonts w:hint="eastAsia" w:ascii="宋体" w:hAnsi="宋体" w:eastAsia="宋体" w:cs="宋体"/>
                <w:color w:val="auto"/>
                <w:kern w:val="0"/>
                <w:sz w:val="21"/>
                <w:szCs w:val="21"/>
                <w:highlight w:val="none"/>
                <w:lang w:val="en-US" w:eastAsia="zh-CN" w:bidi="ar"/>
              </w:rPr>
              <w:t>样品存在较大缺陷或不符合项目需求的不得分。</w:t>
            </w:r>
          </w:p>
        </w:tc>
      </w:tr>
    </w:tbl>
    <w:p w14:paraId="10DFF2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kern w:val="2"/>
          <w:sz w:val="24"/>
          <w:szCs w:val="24"/>
          <w:lang w:val="en-US" w:eastAsia="zh-CN" w:bidi="ar-SA"/>
        </w:rPr>
      </w:pPr>
    </w:p>
    <w:p w14:paraId="7D10AA9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sz w:val="24"/>
          <w:szCs w:val="24"/>
          <w:highlight w:val="none"/>
          <w:lang w:val="en-US" w:eastAsia="zh-CN"/>
        </w:rPr>
      </w:pPr>
      <w:r>
        <w:rPr>
          <w:rFonts w:hint="eastAsia" w:ascii="宋体" w:hAnsi="宋体" w:cs="宋体"/>
          <w:b/>
          <w:sz w:val="24"/>
          <w:szCs w:val="24"/>
          <w:highlight w:val="none"/>
          <w:lang w:val="en-US" w:eastAsia="zh-CN"/>
        </w:rPr>
        <w:t>更正为：</w:t>
      </w:r>
    </w:p>
    <w:p w14:paraId="3D660BC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技术评分(F1)：按55分评分法，技术评分考虑下列因素：</w:t>
      </w:r>
    </w:p>
    <w:tbl>
      <w:tblPr>
        <w:tblStyle w:val="8"/>
        <w:tblW w:w="8494" w:type="dxa"/>
        <w:tblInd w:w="-18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54"/>
        <w:gridCol w:w="700"/>
        <w:gridCol w:w="7040"/>
      </w:tblGrid>
      <w:tr w14:paraId="4ECFF9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754" w:type="dxa"/>
            <w:tcBorders>
              <w:top w:val="outset" w:color="auto" w:sz="6" w:space="0"/>
              <w:left w:val="outset" w:color="auto" w:sz="6" w:space="0"/>
              <w:bottom w:val="outset" w:color="auto" w:sz="6" w:space="0"/>
              <w:right w:val="outset" w:color="auto" w:sz="6" w:space="0"/>
            </w:tcBorders>
            <w:noWrap w:val="0"/>
            <w:vAlign w:val="center"/>
          </w:tcPr>
          <w:p w14:paraId="49EB3DA3">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评标项目</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56B7FB4C">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评标分值</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4DB721B5">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评标方法描述</w:t>
            </w:r>
          </w:p>
        </w:tc>
      </w:tr>
      <w:tr w14:paraId="64923B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20"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7B5F2998">
            <w:pPr>
              <w:keepNext w:val="0"/>
              <w:keepLines w:val="0"/>
              <w:widowControl/>
              <w:suppressLineNumbers w:val="0"/>
              <w:ind w:firstLine="356"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30C967F3">
            <w:pPr>
              <w:keepNext w:val="0"/>
              <w:keepLines w:val="0"/>
              <w:widowControl/>
              <w:suppressLineNumbers w:val="0"/>
              <w:ind w:firstLine="356"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157E2FE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投标人所投公寓组合铁床（三人位）满足：</w:t>
            </w:r>
          </w:p>
          <w:p w14:paraId="2D5CD8C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连体床两侧立柱采用环形密闭冷轧钢管，厚度1.2mm，外径72mm，横面40mm,弧形面三条内凹加强筋。床立柱上下横面采用优质灰塑料外套，外套一次冲压面成高50mm、厚2mm，外为弧形，内为直角折面，与弧形面相连的两面为45mm，对边长80mm，脚垫底部必须有方格状防滑设计，与脚垫一次性冲压成型。</w:t>
            </w:r>
          </w:p>
          <w:p w14:paraId="5FAEB14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（2）床卡扣≥31mm×26mm×205mm×3.0mm，卡齿≥3个，卡齿外径≥12mm；。</w:t>
            </w:r>
          </w:p>
          <w:p w14:paraId="6A875D9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（3）床长横梁85mm*45mm密闭L型管，上下短横梁：70*30mm密闭方管。</w:t>
            </w:r>
          </w:p>
          <w:p w14:paraId="4C8CFEE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（4）床板底下横杆5根：25*25mm密闭方管</w:t>
            </w:r>
          </w:p>
          <w:p w14:paraId="1470181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（5）床护栏方管20mm×20mm×1.2mm,护栏高度不小于300mm。</w:t>
            </w:r>
          </w:p>
          <w:p w14:paraId="45CE8FC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（6）床梯立柱：椭圆管40*20*1.2mm；床梯踏板350*132*18mm，钢板厚1.5mm(防滑条纹)。</w:t>
            </w:r>
          </w:p>
          <w:p w14:paraId="7208F79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(7)床横梁下方设计三角形加固件，规格125mm*125mm，外侧面为弧形设计，内设计两个外形接近三角形的加强筋设计,两边长各不小于90mm、60mm。</w:t>
            </w:r>
          </w:p>
          <w:p w14:paraId="0FAF249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131491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34"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38DA1BEB">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0075DCB4">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4637DF1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投标人所投床下置物架满足：</w:t>
            </w:r>
          </w:p>
          <w:p w14:paraId="0FB2B30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（1）框架采用40*25*2mm㮋圆管，横杆15*20*2mm㮋圆管，外层采用聚脂环氧粉末喷塑；静电喷塑烤漆；</w:t>
            </w:r>
          </w:p>
          <w:p w14:paraId="796E5A6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（2）面板采用18mmE0实木多层板；</w:t>
            </w:r>
          </w:p>
          <w:p w14:paraId="5B99392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（3）置物架底部采用6个PU橡胶静音轮，直径43mm，厚度9.5mm，中间设计转动轴承，置物架底面离地不超过20mm。</w:t>
            </w:r>
          </w:p>
          <w:p w14:paraId="592A05A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371D8E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752798A8">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6E5FE9F">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C10A17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投标人所投床板满足：</w:t>
            </w:r>
          </w:p>
          <w:p w14:paraId="5535FDE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1、床板使用厚度≥16mm厚杉木板两面刨光拼接而成，床板数≤7片（单数），经干燥、防腐、防蛀、刨光处理，板底加固4根40×30mm杉木条为支撑点，制作牢固可靠，双面平整。</w:t>
            </w:r>
          </w:p>
          <w:p w14:paraId="2C211EB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2、质量要求：①、抗细菌性能：白色念珠菌；②、防霉性能：球毛壳霉；③、木质件含水率。以上符合《金属家具通用技术条件》、《抗菌防霉木质装饰板、LY/T 2230-2013《人造板防霉性能评价》标准要求。</w:t>
            </w:r>
          </w:p>
          <w:p w14:paraId="1C4B0E5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3B3336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5"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6F60A8BA">
            <w:pPr>
              <w:keepNext w:val="0"/>
              <w:keepLines w:val="0"/>
              <w:widowControl/>
              <w:suppressLineNumbers w:val="0"/>
              <w:ind w:firstLine="210" w:firstLineChars="10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61CC672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422D1E8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投标人所投书桌（三人位）满足：</w:t>
            </w:r>
          </w:p>
          <w:p w14:paraId="4886F3B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（1）桌面采用25mm，其余基材采用18mmE0级实木多层板；甲醛释放量≤0.05mg/m³,符合E0级环保标准，所有板材均经防虫防腐处理，表面握钉力及静曲强度均达到国家标准； 封边用材：采用优质≥1.2mm厚同色PVC全自动封边机热熔胶封边，封边牢固、不易脱胶。表面应光滑，花纹应清晰、均匀，光泽应均匀，无明显色差,背胶处理应均匀 。背板采用5mm（双面贴）。（2）桌子底部设计防水钢制脚架，落地脚采用方管40*20*1.2mm。脚架配有相应一次冲压面成灰白色脚垫高40mm、厚2mm，底部有一次成型防滑设计。</w:t>
            </w:r>
          </w:p>
          <w:p w14:paraId="13B444A5">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57D8A4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4A75D2FB">
            <w:pPr>
              <w:keepNext w:val="0"/>
              <w:keepLines w:val="0"/>
              <w:widowControl/>
              <w:suppressLineNumbers w:val="0"/>
              <w:ind w:firstLine="210" w:firstLineChars="10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4E4484D0">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5D5C4A2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投标人所投储物柜（三人位）满足：</w:t>
            </w:r>
          </w:p>
          <w:p w14:paraId="3E200D3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1、基材采用18mmE0级实木多层板；甲醛释放量≤0.05mg/m³,符合E0级环保标准，所有板材均经防虫防腐处理，表面握钉力及静曲强度均达到国家标准； 封边用材：采用优质≥1.2mm厚同色PVC全自动封边机热熔胶封边。背板采用5mm（双面贴）。</w:t>
            </w:r>
          </w:p>
          <w:p w14:paraId="5810A25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柜子底部设计防水钢制脚架，横杆采用19×1.2mm厚的圆管；落地脚采用方管60*60*1.2mm，外套脚垫为灰色一次注塑成高40mm、厚度2mm，脚垫外径不小于63mm，脚垫底部有方格防滑设计，与脚垫一次性注塑成型，外套脚垫需与支撑脚架紧密连接，不得落，必要时用胶水固定。</w:t>
            </w:r>
          </w:p>
          <w:p w14:paraId="075B64E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3、每扇门安装锁扣片，材质为不锈钢，宽度22mm，厚度不小于3mm; 锁扣片外有不锈钢盖片，长度不小于60mm，宽度30mm。</w:t>
            </w:r>
          </w:p>
          <w:p w14:paraId="7608B451">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34E873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43563DE4">
            <w:pPr>
              <w:keepNext w:val="0"/>
              <w:keepLines w:val="0"/>
              <w:widowControl/>
              <w:suppressLineNumbers w:val="0"/>
              <w:ind w:firstLine="210" w:firstLineChars="10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5C5401E5">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8CC890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投标人所投公寓椅满足：</w:t>
            </w:r>
          </w:p>
          <w:p w14:paraId="2D6C197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靠背与座板连接处有长91mm(±2mm)*宽27mm(±2mm)手提孔，手提孔背面左右各有四条加强筋，加强筋厚度≥3.5mm。座板尺寸宽429mm(±2mm)*深(手提孔下端至座板最前端)418mm(士2mm)，靠背尺寸宽414mm(士2mm)*高(手提孔背面上端至靠背顶端)334mm(士2mm)，座椅表面外观线条流畅，靠背能10-30度后摆。</w:t>
            </w:r>
          </w:p>
          <w:p w14:paraId="7757408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2.座垫前端需有波浪形加瀑布型设计，座板背部有2列内宽25mm(±2mm)凹槽，能与椅架更加紧密连接，两列凹槽间距为307(士2mm);连体椅面需有最小直径5mm士1mm至最大16mm士1mm椭圆形发散通风孔，通风孔不少于400个。</w:t>
            </w:r>
          </w:p>
          <w:p w14:paraId="597B33C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3.椅架:椅脚采用椭圆钢管20mm*40mm厚度1.1mm，横档采用椭圆钢管20mm*30mm厚度1.0mm，座板支撑采用Φ22mm圆管厚度1.0mm，</w:t>
            </w:r>
          </w:p>
          <w:p w14:paraId="034A2BD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5BB8F4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68"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45865830">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D4CF998">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5EA5E09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投标人所投活动桌满足：</w:t>
            </w:r>
          </w:p>
          <w:p w14:paraId="5EE2921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面板:25厘厚实木多层板；甲醛释放量≤0.05mg/m³,符合E0级环保标准，所有板材均经防虫防腐处理，表面握钉力及静曲强度均达到国家标准；封边用材：采用优质≥1.2mm厚同色PVC全自动封边机热熔胶封边，封边牢固、不易脱胶。 面托:3mm厚冷板冲压成形 </w:t>
            </w:r>
          </w:p>
          <w:p w14:paraId="77AC3BA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二层:14圆管1.2厚、两端铁托 </w:t>
            </w:r>
          </w:p>
          <w:p w14:paraId="02D60D4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横梁:45*1.2厚圆管，中间钢管连接联动 </w:t>
            </w:r>
          </w:p>
          <w:p w14:paraId="4A84400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连接配件:铝合金 </w:t>
            </w:r>
          </w:p>
          <w:p w14:paraId="696A03B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侧脚:30*60*1.2厚旦形管 、底脚2.0厚热轧板冲压成形</w:t>
            </w:r>
          </w:p>
          <w:p w14:paraId="397DEE1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脚轮:PU静音轮万向轮，带刹车可锁止。</w:t>
            </w:r>
          </w:p>
          <w:p w14:paraId="16AF194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157FC7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6"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1E87DC75">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66D4BDC8">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0029A1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投标人所投活动椅满足：</w:t>
            </w:r>
          </w:p>
          <w:p w14:paraId="1F718E7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靠背与座板连接处有长91mm(±2mm)*宽27mm(±2mm)手提孔，手提孔背面左右各有四条加强筋，加强筋厚度≥3.5mm。座板尺寸宽429mm(±2mm)*深(手提孔下端至座板最前端)418mm(士2mm)，靠背尺寸宽414mm(士2mm)*高(手提孔背面上端至靠背顶端)334mm(士2mm)，座椅表面外观线条流畅，靠背能10-30度后摆，能缓解学生腰部疲劳。</w:t>
            </w:r>
          </w:p>
          <w:p w14:paraId="3FDB7E5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2.座垫前端需有波浪形加瀑布型设计，座板背部有2列内宽25mm(±2mm)凹槽，能与椅架更加紧密连接，两列凹槽间距为307(士2mm);连体椅面需有最小直径5mm士1mm至最大16mm士1mm椭圆形发散通风孔，通风孔不少于400个。</w:t>
            </w:r>
          </w:p>
          <w:p w14:paraId="3E40C1F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3.椅架:椅脚采用椭圆钢管20mm*40mm厚度1.1mm，横档采用椭圆钢管20mm*30mm厚度1.0mm，座板支撑采用Φ22mm圆管厚度1.0mm，</w:t>
            </w:r>
          </w:p>
          <w:p w14:paraId="7D160EF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13B151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5" w:hRule="atLeast"/>
        </w:trPr>
        <w:tc>
          <w:tcPr>
            <w:tcW w:w="754" w:type="dxa"/>
            <w:tcBorders>
              <w:top w:val="outset" w:color="auto" w:sz="6" w:space="0"/>
              <w:left w:val="outset" w:color="auto" w:sz="6" w:space="0"/>
              <w:bottom w:val="outset" w:color="auto" w:sz="6" w:space="0"/>
              <w:right w:val="outset" w:color="auto" w:sz="6" w:space="0"/>
            </w:tcBorders>
            <w:noWrap w:val="0"/>
            <w:vAlign w:val="center"/>
          </w:tcPr>
          <w:p w14:paraId="37D917F9">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317EC483">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365333EC">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投标人所投课桌椅满足：</w:t>
            </w:r>
          </w:p>
          <w:p w14:paraId="21BEC53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课桌：</w:t>
            </w:r>
          </w:p>
          <w:p w14:paraId="7A3A294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1、桌面规格：600*400*18mm。</w:t>
            </w:r>
          </w:p>
          <w:p w14:paraId="300ACFF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桌体钢架：材质及形状：椭圆管；桌脚贴地部钢管尺寸为：30×60×1.2mm±0.1mm；桌脚上部固定立管钢管尺寸为：30×60×1.2mm±0.1mm；升降套管25×50×1.2mm±0.1mm，桌上架横梁为20×20×1.0方管，桌下架横梁采用20×40×1.2mm的扁圆管。</w:t>
            </w:r>
          </w:p>
          <w:p w14:paraId="2398234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4、书箱规格：550×385×150MM，底部设计排水槽，书箱底部靠胸前设有笔槽，方便学生放置文具。</w:t>
            </w:r>
          </w:p>
          <w:p w14:paraId="2B0F2CC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6、课桌升降结构：采用手摇升降，升降高度：650-790mm；</w:t>
            </w:r>
          </w:p>
          <w:p w14:paraId="22F888B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课椅：</w:t>
            </w:r>
          </w:p>
          <w:p w14:paraId="3396612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1、椅面尺寸400*360mm，靠背尺寸380*260mm。</w:t>
            </w:r>
          </w:p>
          <w:p w14:paraId="11B7F4E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2、椅脚贴地部钢管尺寸为：30mm×60mm×1.2mm±0.1mm；立柱外钢管尺寸为30mm×60mm×1.2mm, 内钢管25mmx×50mm×1.2mm，连档采用20×40×1.2椭圆管。</w:t>
            </w:r>
          </w:p>
          <w:p w14:paraId="0C7F813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3、课椅升降结构：采用手摇升降，升降高度：360-460mm；</w:t>
            </w:r>
          </w:p>
          <w:p w14:paraId="07088D9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660999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046F8A6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59ADAAC">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0975C14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投标人所投办公桌满足：</w:t>
            </w:r>
          </w:p>
          <w:p w14:paraId="6640F79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1、基材：桌面板25mm，其余采用18mmE0实木多层板；甲醛释放量≤0.05mg/m³,符合E0级环保标准，所有板材均经防虫防腐处理，表面握钉力及静曲强度均达到国家标准；</w:t>
            </w:r>
          </w:p>
          <w:p w14:paraId="27F511F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2、封边用材：采用优质≥1.2mm厚同色PVC全自动封边机热熔胶封边，封边牢固、不易脱胶。表面应光滑，花纹应清晰、均匀，光泽应均匀，无明显色差,背胶处理应均匀。</w:t>
            </w:r>
          </w:p>
          <w:p w14:paraId="29871FF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3、五金配件：采用优质五金配件，耐腐蚀、经久耐用，符合国家标准；</w:t>
            </w:r>
          </w:p>
          <w:p w14:paraId="35AB95D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4、质量要求：热熔胶符合GB 18583《室内装饰装修材料 胶粘剂中有害物质限量》标准：①甲苯+二甲苯≤0.04g/kg；②苯、二氯甲烷、1,2二氯乙烷、1,1，2-三氯乙烷、三氯乙烯，以上检测结果均为未检出；③总挥发性有机物≤5g/L；</w:t>
            </w:r>
          </w:p>
          <w:p w14:paraId="275A53A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60811F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396D1626">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11</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55E29B7">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491E5FE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投标人所投资料柜满足：</w:t>
            </w:r>
          </w:p>
          <w:p w14:paraId="52365A2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1、基材：采用18mmE0实木多层板；甲醛释放量≤0.05mg/m³,符合E0级环保标准，所有板材均经防虫防腐处理，表面握钉力及静曲强度均达到国家标准；</w:t>
            </w:r>
          </w:p>
          <w:p w14:paraId="1BFCF84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2、封边用材：采用优质≥1.2mm厚同色PVC全自动封边机热熔胶封边，封边牢固、不易脱胶。表面应光滑，花纹应清晰、均匀，光泽应均匀，无明显色差,背胶处理应均匀。</w:t>
            </w:r>
          </w:p>
          <w:p w14:paraId="7568D70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3、五金配件：三合一偏心连接件，耐腐蚀、经久耐用，符合国家标准；采用阻尼合页、暗拉手；</w:t>
            </w:r>
          </w:p>
          <w:p w14:paraId="230C6811">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4、质量要求：三合一偏心连接件符合QB/T 3832《轻工产品金属镀层腐蚀实验结果的评价》、QB/T 3827《轻工产品金属镀层和化学处理层的耐腐蚀实验方法 乙酸盐雾试验(ASS)法》、GB/T 28203《家具用连接件技术要求及实验方法》标准：①三合一偏心连接件偏心体抗压强度应≥320N；②三合一偏心连接件预埋螺母抗拉强度应≥630N；③三合一偏心连接件中连接螺杆螺纹与预埋螺母的抗拉强度应≥810N；④乙酸盐雾测试连续喷雾120小时，检测结果≥10级；⑤外观性能要求：电镀层检验结果为未见缺陷；</w:t>
            </w:r>
          </w:p>
          <w:p w14:paraId="483C437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5E26CE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003D8749">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F18052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6E56AA3">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投标人所投办公椅满足：</w:t>
            </w:r>
          </w:p>
          <w:p w14:paraId="4654570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1.胶壳：背胶+扶手：腰包外观长：315mm、宽170mm、厚度30mm ， 弹簧尺寸：1.8*20*40mm ， 弹簧材质：强力锰钢压缩弹簧材质 塑胶：采用新料PP加纤25%，环保无异味。                                                                                                                      2.座板：优质15厘多层座板。                                                                                      3.海绵：5公分40密度原生环保海绵。                                                                         </w:t>
            </w:r>
          </w:p>
          <w:p w14:paraId="3D6CB44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4.脚架：2.0厚度的优质钢材喷漆，垂直弯曲部位加套管.</w:t>
            </w:r>
          </w:p>
          <w:p w14:paraId="57FDBDD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738A28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7DE37011">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0DC1B8B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3526E1D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投标人所投教研会议桌满足：</w:t>
            </w:r>
          </w:p>
          <w:p w14:paraId="1CCCBAF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面板:25厘厚实木多层板；甲醛释放量≤0.05mg/m³,符合E0级环保标准，所有板材均经防虫防腐处理，表面握钉力及静曲强度均达到国家标准；封边用材：采用优质≥1.2mm厚同色PVC全自动封边机热熔胶封边，封边牢固、不易脱胶。 面托:3mm厚冷板冲压成形 。</w:t>
            </w:r>
          </w:p>
          <w:p w14:paraId="51AF3EC8">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二层:14圆管1.2厚、两端铁托。</w:t>
            </w:r>
          </w:p>
          <w:p w14:paraId="5DD561DE">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横梁:45*1.2厚圆管，中间钢管连接联动。 </w:t>
            </w:r>
          </w:p>
          <w:p w14:paraId="4FD9F647">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连接配件:铝合金。</w:t>
            </w:r>
          </w:p>
          <w:p w14:paraId="10BA9554">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侧脚:30*60*1.2厚旦形管 、底脚2.0厚热轧板冲压成形。</w:t>
            </w:r>
          </w:p>
          <w:p w14:paraId="0251C9E2">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脚轮:PU静音轮万向轮，带刹车可锁止。</w:t>
            </w:r>
          </w:p>
          <w:p w14:paraId="23D272E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765CFB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07DC345D">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4D98C79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470CE88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投标人所投会议条桌满足：</w:t>
            </w:r>
          </w:p>
          <w:p w14:paraId="28496E95">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1、基材：采用E0级密度板，环保达标，贴面平整，无起泡、坑凹，所有板材均经过防虫、防霉化学处理，游离甲醛含量达到国家环保标准，甲醛释放量符合国家相关标准要求；</w:t>
            </w:r>
          </w:p>
          <w:p w14:paraId="42CFBFA0">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2、胶水：采用环保型胶黏剂，通过《室内装饰装修材料 胶粘剂中有害物质限量》标准。</w:t>
            </w:r>
          </w:p>
          <w:p w14:paraId="67C75A49">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3、封边：所有板材均四周封边优质PVC材料，封边厚度为2mm，防止潮湿空气进入。</w:t>
            </w:r>
          </w:p>
          <w:p w14:paraId="1F28E55B">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13CA6D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5300EA46">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15</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4BD3619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151B636">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投标人所投高脚凳满足：</w:t>
            </w:r>
          </w:p>
          <w:p w14:paraId="35C02C0F">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材质：PP 座面+转印铁脚+金属脚踏。</w:t>
            </w:r>
          </w:p>
          <w:p w14:paraId="5B2445DD">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投标人须提供书面承诺函（格式自拟）完全满足</w:t>
            </w:r>
            <w:r>
              <w:rPr>
                <w:rFonts w:hint="eastAsia" w:ascii="宋体" w:hAnsi="宋体" w:cs="宋体"/>
                <w:color w:val="auto"/>
                <w:kern w:val="0"/>
                <w:sz w:val="21"/>
                <w:szCs w:val="21"/>
                <w:highlight w:val="none"/>
                <w:lang w:val="en-US" w:eastAsia="zh-CN" w:bidi="ar"/>
              </w:rPr>
              <w:t>以上要求且供货时提供满足上述参数要求的第三方检测机构出具的检测报告</w:t>
            </w:r>
            <w:r>
              <w:rPr>
                <w:rFonts w:hint="eastAsia" w:ascii="宋体" w:hAnsi="宋体" w:cs="宋体"/>
                <w:color w:val="auto"/>
                <w:kern w:val="0"/>
                <w:sz w:val="20"/>
                <w:szCs w:val="20"/>
                <w:highlight w:val="none"/>
                <w:lang w:val="en-US" w:eastAsia="zh-CN" w:bidi="ar"/>
              </w:rPr>
              <w:t>，</w:t>
            </w:r>
            <w:r>
              <w:rPr>
                <w:rFonts w:hint="eastAsia" w:ascii="宋体" w:hAnsi="宋体" w:eastAsia="宋体" w:cs="宋体"/>
                <w:color w:val="auto"/>
                <w:kern w:val="0"/>
                <w:sz w:val="21"/>
                <w:szCs w:val="21"/>
                <w:highlight w:val="none"/>
                <w:lang w:val="en-US" w:eastAsia="zh-CN" w:bidi="ar"/>
              </w:rPr>
              <w:t>得3分，其余不得分。</w:t>
            </w:r>
          </w:p>
        </w:tc>
      </w:tr>
      <w:tr w14:paraId="4345BD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618B3C62">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16</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29DCCCB8">
            <w:pPr>
              <w:keepNext w:val="0"/>
              <w:keepLines w:val="0"/>
              <w:widowControl/>
              <w:suppressLineNumbers w:val="0"/>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2</w:t>
            </w:r>
          </w:p>
        </w:tc>
        <w:tc>
          <w:tcPr>
            <w:tcW w:w="7040" w:type="dxa"/>
            <w:tcBorders>
              <w:top w:val="outset" w:color="auto" w:sz="6" w:space="0"/>
              <w:left w:val="outset" w:color="auto" w:sz="6" w:space="0"/>
              <w:bottom w:val="outset" w:color="auto" w:sz="6" w:space="0"/>
              <w:right w:val="outset" w:color="auto" w:sz="6" w:space="0"/>
            </w:tcBorders>
            <w:noWrap w:val="0"/>
            <w:vAlign w:val="center"/>
          </w:tcPr>
          <w:p w14:paraId="7E7F932E">
            <w:pPr>
              <w:keepNext w:val="0"/>
              <w:keepLines w:val="0"/>
              <w:widowControl/>
              <w:suppressLineNumbers w:val="0"/>
              <w:spacing w:line="360"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根据</w:t>
            </w:r>
            <w:r>
              <w:rPr>
                <w:rFonts w:hint="eastAsia" w:ascii="宋体" w:hAnsi="宋体" w:eastAsia="宋体" w:cs="宋体"/>
                <w:color w:val="auto"/>
                <w:kern w:val="0"/>
                <w:sz w:val="24"/>
                <w:szCs w:val="24"/>
                <w:highlight w:val="none"/>
                <w:lang w:val="en-US" w:eastAsia="zh-CN" w:bidi="ar"/>
              </w:rPr>
              <w:t>投标人提供的样品的质量情况进行评价：样品焊接接缝，不容易变形的得</w:t>
            </w:r>
            <w:r>
              <w:rPr>
                <w:rFonts w:hint="eastAsia" w:ascii="宋体"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分；样品有细微变形得</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分。样品存在较大缺陷、未提供样品或不符合项目需求的不得分。</w:t>
            </w:r>
          </w:p>
        </w:tc>
      </w:tr>
      <w:tr w14:paraId="031F8E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57152370">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17</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6C0FBE12">
            <w:pPr>
              <w:keepNext w:val="0"/>
              <w:keepLines w:val="0"/>
              <w:widowControl/>
              <w:suppressLineNumbers w:val="0"/>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top"/>
          </w:tcPr>
          <w:p w14:paraId="1C4B5FF2">
            <w:pPr>
              <w:pStyle w:val="10"/>
              <w:spacing w:line="360" w:lineRule="auto"/>
              <w:jc w:val="both"/>
              <w:rPr>
                <w:rFonts w:hint="eastAsia" w:ascii="宋体" w:hAnsi="宋体" w:eastAsia="宋体" w:cs="宋体"/>
                <w:bCs/>
                <w:color w:val="auto"/>
                <w:sz w:val="24"/>
                <w:szCs w:val="24"/>
                <w:highlight w:val="none"/>
                <w:lang w:val="en-US" w:eastAsia="zh-CN"/>
              </w:rPr>
            </w:pPr>
            <w:r>
              <w:rPr>
                <w:rFonts w:ascii="宋体" w:hAnsi="宋体" w:eastAsia="宋体" w:cs="宋体"/>
                <w:color w:val="auto"/>
                <w:sz w:val="24"/>
                <w:szCs w:val="24"/>
                <w:highlight w:val="none"/>
                <w:lang w:eastAsia="zh-CN" w:bidi="ar"/>
              </w:rPr>
              <w:t>根据投标人提供的</w:t>
            </w:r>
            <w:r>
              <w:rPr>
                <w:rFonts w:hint="eastAsia" w:ascii="宋体" w:hAnsi="宋体" w:eastAsia="宋体" w:cs="宋体"/>
                <w:sz w:val="24"/>
                <w:szCs w:val="24"/>
                <w:highlight w:val="none"/>
              </w:rPr>
              <w:t>课桌30×60×1.2mm椭圆管1根（喷漆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长度500mm</w:t>
            </w:r>
            <w:r>
              <w:rPr>
                <w:rFonts w:hint="eastAsia" w:ascii="宋体" w:hAnsi="宋体" w:eastAsia="宋体" w:cs="宋体"/>
                <w:sz w:val="24"/>
                <w:szCs w:val="24"/>
                <w:highlight w:val="none"/>
              </w:rPr>
              <w:t>）、升降套管25×50×1.2mm椭圆管1根（喷漆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长度500mm</w:t>
            </w:r>
            <w:r>
              <w:rPr>
                <w:rFonts w:hint="eastAsia" w:ascii="宋体" w:hAnsi="宋体" w:eastAsia="宋体" w:cs="宋体"/>
                <w:sz w:val="24"/>
                <w:szCs w:val="24"/>
                <w:highlight w:val="none"/>
              </w:rPr>
              <w:t>）</w:t>
            </w:r>
            <w:r>
              <w:rPr>
                <w:rFonts w:ascii="宋体" w:hAnsi="宋体" w:eastAsia="宋体" w:cs="宋体"/>
                <w:color w:val="auto"/>
                <w:sz w:val="24"/>
                <w:szCs w:val="24"/>
                <w:highlight w:val="none"/>
                <w:lang w:eastAsia="zh-CN" w:bidi="ar"/>
              </w:rPr>
              <w:t>实物样品的款式、外观、质量、工艺、感观等进行评价： 1.表面无裂缝，无凹陷、压痕、磨损等瑕疵；外表无变形、表面光润、切面平整细腻、线条均匀的得</w:t>
            </w:r>
            <w:r>
              <w:rPr>
                <w:rFonts w:hint="eastAsia" w:ascii="宋体" w:hAnsi="宋体" w:eastAsia="宋体" w:cs="宋体"/>
                <w:color w:val="auto"/>
                <w:sz w:val="24"/>
                <w:szCs w:val="24"/>
                <w:highlight w:val="none"/>
                <w:lang w:val="en-US" w:eastAsia="zh-CN" w:bidi="ar"/>
              </w:rPr>
              <w:t>3</w:t>
            </w:r>
            <w:r>
              <w:rPr>
                <w:rFonts w:ascii="宋体" w:hAnsi="宋体" w:eastAsia="宋体" w:cs="宋体"/>
                <w:color w:val="auto"/>
                <w:sz w:val="24"/>
                <w:szCs w:val="24"/>
                <w:highlight w:val="none"/>
                <w:lang w:eastAsia="zh-CN" w:bidi="ar"/>
              </w:rPr>
              <w:t>分； 2.上述要求中有细微缺陷的得</w:t>
            </w:r>
            <w:r>
              <w:rPr>
                <w:rFonts w:hint="eastAsia" w:ascii="宋体" w:hAnsi="宋体" w:eastAsia="宋体" w:cs="宋体"/>
                <w:color w:val="auto"/>
                <w:sz w:val="24"/>
                <w:szCs w:val="24"/>
                <w:highlight w:val="none"/>
                <w:lang w:val="en-US" w:eastAsia="zh-CN" w:bidi="ar"/>
              </w:rPr>
              <w:t>2</w:t>
            </w:r>
            <w:r>
              <w:rPr>
                <w:rFonts w:ascii="宋体" w:hAnsi="宋体" w:eastAsia="宋体" w:cs="宋体"/>
                <w:color w:val="auto"/>
                <w:sz w:val="24"/>
                <w:szCs w:val="24"/>
                <w:highlight w:val="none"/>
                <w:lang w:eastAsia="zh-CN" w:bidi="ar"/>
              </w:rPr>
              <w:t xml:space="preserve">分。 </w:t>
            </w:r>
            <w:r>
              <w:rPr>
                <w:rFonts w:hint="eastAsia" w:ascii="宋体" w:hAnsi="宋体" w:eastAsia="宋体" w:cs="宋体"/>
                <w:color w:val="auto"/>
                <w:kern w:val="0"/>
                <w:sz w:val="24"/>
                <w:szCs w:val="24"/>
                <w:highlight w:val="none"/>
                <w:lang w:val="en-US" w:eastAsia="zh-CN" w:bidi="ar"/>
              </w:rPr>
              <w:t>样品存在较大缺陷、未提供样品或不符合项目需求的不得分。</w:t>
            </w:r>
          </w:p>
        </w:tc>
      </w:tr>
      <w:tr w14:paraId="3A3B70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outset" w:color="auto" w:sz="6" w:space="0"/>
              <w:right w:val="outset" w:color="auto" w:sz="6" w:space="0"/>
            </w:tcBorders>
            <w:noWrap w:val="0"/>
            <w:vAlign w:val="center"/>
          </w:tcPr>
          <w:p w14:paraId="6371BD2F">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18</w:t>
            </w:r>
          </w:p>
        </w:tc>
        <w:tc>
          <w:tcPr>
            <w:tcW w:w="700" w:type="dxa"/>
            <w:tcBorders>
              <w:top w:val="outset" w:color="auto" w:sz="6" w:space="0"/>
              <w:left w:val="outset" w:color="auto" w:sz="6" w:space="0"/>
              <w:bottom w:val="outset" w:color="auto" w:sz="6" w:space="0"/>
              <w:right w:val="outset" w:color="auto" w:sz="6" w:space="0"/>
            </w:tcBorders>
            <w:noWrap w:val="0"/>
            <w:vAlign w:val="center"/>
          </w:tcPr>
          <w:p w14:paraId="3CCDDE78">
            <w:pPr>
              <w:keepNext w:val="0"/>
              <w:keepLines w:val="0"/>
              <w:widowControl/>
              <w:suppressLineNumbers w:val="0"/>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0"/>
                <w:sz w:val="21"/>
                <w:szCs w:val="21"/>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top"/>
          </w:tcPr>
          <w:p w14:paraId="0A92A98F">
            <w:pPr>
              <w:pStyle w:val="10"/>
              <w:spacing w:line="360" w:lineRule="auto"/>
              <w:jc w:val="both"/>
              <w:rPr>
                <w:rFonts w:hint="eastAsia" w:ascii="宋体" w:hAnsi="宋体" w:eastAsia="宋体" w:cs="宋体"/>
                <w:bCs/>
                <w:color w:val="auto"/>
                <w:sz w:val="24"/>
                <w:szCs w:val="24"/>
                <w:highlight w:val="none"/>
                <w:lang w:val="en-US" w:eastAsia="zh-CN"/>
              </w:rPr>
            </w:pPr>
            <w:r>
              <w:rPr>
                <w:rFonts w:ascii="宋体" w:hAnsi="宋体" w:eastAsia="宋体" w:cs="宋体"/>
                <w:color w:val="auto"/>
                <w:sz w:val="24"/>
                <w:szCs w:val="24"/>
                <w:highlight w:val="none"/>
                <w:lang w:eastAsia="zh-CN" w:bidi="ar"/>
              </w:rPr>
              <w:t>根据投标人提供的</w:t>
            </w:r>
            <w:r>
              <w:rPr>
                <w:rFonts w:hint="eastAsia" w:ascii="宋体" w:hAnsi="宋体" w:eastAsia="宋体" w:cs="宋体"/>
                <w:color w:val="auto"/>
                <w:sz w:val="24"/>
                <w:szCs w:val="24"/>
                <w:highlight w:val="none"/>
                <w:lang w:eastAsia="zh-CN" w:bidi="ar"/>
              </w:rPr>
              <w:t>“床两侧立柱采用环形密闭冷轧钢管（喷漆和未喷漆1根），厚度1.2mm，外径72mm，横面40mm,弧形面三条内凹加强筋”</w:t>
            </w:r>
            <w:r>
              <w:rPr>
                <w:rFonts w:ascii="宋体" w:hAnsi="宋体" w:eastAsia="宋体" w:cs="宋体"/>
                <w:color w:val="auto"/>
                <w:sz w:val="24"/>
                <w:szCs w:val="24"/>
                <w:highlight w:val="none"/>
                <w:lang w:eastAsia="zh-CN" w:bidi="ar"/>
              </w:rPr>
              <w:t>实物样品的款式、外观、质量、工艺、感观等进行评价： 1.表面无裂缝，无凹陷、压痕、磨损等瑕疵；外表无变形、表面光润、切面平整细腻、线条均匀的得</w:t>
            </w:r>
            <w:r>
              <w:rPr>
                <w:rFonts w:hint="eastAsia" w:ascii="宋体" w:hAnsi="宋体" w:eastAsia="宋体" w:cs="宋体"/>
                <w:color w:val="auto"/>
                <w:sz w:val="24"/>
                <w:szCs w:val="24"/>
                <w:highlight w:val="none"/>
                <w:lang w:val="en-US" w:eastAsia="zh-CN" w:bidi="ar"/>
              </w:rPr>
              <w:t>3</w:t>
            </w:r>
            <w:r>
              <w:rPr>
                <w:rFonts w:ascii="宋体" w:hAnsi="宋体" w:eastAsia="宋体" w:cs="宋体"/>
                <w:color w:val="auto"/>
                <w:sz w:val="24"/>
                <w:szCs w:val="24"/>
                <w:highlight w:val="none"/>
                <w:lang w:eastAsia="zh-CN" w:bidi="ar"/>
              </w:rPr>
              <w:t>分； 2.上述要求中有细微缺陷的得</w:t>
            </w:r>
            <w:r>
              <w:rPr>
                <w:rFonts w:hint="eastAsia" w:ascii="宋体" w:hAnsi="宋体" w:eastAsia="宋体" w:cs="宋体"/>
                <w:color w:val="auto"/>
                <w:sz w:val="24"/>
                <w:szCs w:val="24"/>
                <w:highlight w:val="none"/>
                <w:lang w:val="en-US" w:eastAsia="zh-CN" w:bidi="ar"/>
              </w:rPr>
              <w:t>2</w:t>
            </w:r>
            <w:r>
              <w:rPr>
                <w:rFonts w:ascii="宋体" w:hAnsi="宋体" w:eastAsia="宋体" w:cs="宋体"/>
                <w:color w:val="auto"/>
                <w:sz w:val="24"/>
                <w:szCs w:val="24"/>
                <w:highlight w:val="none"/>
                <w:lang w:eastAsia="zh-CN" w:bidi="ar"/>
              </w:rPr>
              <w:t xml:space="preserve">.5分。 </w:t>
            </w:r>
            <w:r>
              <w:rPr>
                <w:rFonts w:hint="eastAsia" w:ascii="宋体" w:hAnsi="宋体" w:eastAsia="宋体" w:cs="宋体"/>
                <w:color w:val="auto"/>
                <w:kern w:val="0"/>
                <w:sz w:val="24"/>
                <w:szCs w:val="24"/>
                <w:highlight w:val="none"/>
                <w:lang w:val="en-US" w:eastAsia="zh-CN" w:bidi="ar"/>
              </w:rPr>
              <w:t>样品存在较大缺陷、未提供样品或不符合项目需求的不得分。</w:t>
            </w:r>
          </w:p>
        </w:tc>
      </w:tr>
      <w:tr w14:paraId="7A4E97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54" w:type="dxa"/>
            <w:tcBorders>
              <w:top w:val="outset" w:color="auto" w:sz="6" w:space="0"/>
              <w:left w:val="outset" w:color="auto" w:sz="6" w:space="0"/>
              <w:bottom w:val="single" w:color="auto" w:sz="4" w:space="0"/>
              <w:right w:val="outset" w:color="auto" w:sz="6" w:space="0"/>
            </w:tcBorders>
            <w:noWrap w:val="0"/>
            <w:vAlign w:val="center"/>
          </w:tcPr>
          <w:p w14:paraId="4EE406F1">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19</w:t>
            </w:r>
          </w:p>
        </w:tc>
        <w:tc>
          <w:tcPr>
            <w:tcW w:w="700" w:type="dxa"/>
            <w:tcBorders>
              <w:top w:val="outset" w:color="auto" w:sz="6" w:space="0"/>
              <w:left w:val="outset" w:color="auto" w:sz="6" w:space="0"/>
              <w:bottom w:val="single" w:color="auto" w:sz="4" w:space="0"/>
              <w:right w:val="outset" w:color="auto" w:sz="6" w:space="0"/>
            </w:tcBorders>
            <w:noWrap w:val="0"/>
            <w:vAlign w:val="center"/>
          </w:tcPr>
          <w:p w14:paraId="549691CB">
            <w:pPr>
              <w:keepNext w:val="0"/>
              <w:keepLines w:val="0"/>
              <w:widowControl/>
              <w:suppressLineNumbers w:val="0"/>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3</w:t>
            </w:r>
          </w:p>
        </w:tc>
        <w:tc>
          <w:tcPr>
            <w:tcW w:w="7040" w:type="dxa"/>
            <w:tcBorders>
              <w:top w:val="outset" w:color="auto" w:sz="6" w:space="0"/>
              <w:left w:val="outset" w:color="auto" w:sz="6" w:space="0"/>
              <w:bottom w:val="outset" w:color="auto" w:sz="6" w:space="0"/>
              <w:right w:val="outset" w:color="auto" w:sz="6" w:space="0"/>
            </w:tcBorders>
            <w:noWrap w:val="0"/>
            <w:vAlign w:val="top"/>
          </w:tcPr>
          <w:p w14:paraId="00CF1C2D">
            <w:pPr>
              <w:pStyle w:val="10"/>
              <w:spacing w:line="360" w:lineRule="auto"/>
              <w:jc w:val="both"/>
              <w:rPr>
                <w:rFonts w:hint="eastAsia" w:ascii="宋体" w:hAnsi="宋体" w:eastAsia="宋体" w:cs="宋体"/>
                <w:bCs/>
                <w:color w:val="auto"/>
                <w:sz w:val="24"/>
                <w:szCs w:val="24"/>
                <w:highlight w:val="none"/>
                <w:lang w:val="en-US" w:eastAsia="zh-CN"/>
              </w:rPr>
            </w:pPr>
            <w:r>
              <w:rPr>
                <w:rFonts w:ascii="宋体" w:hAnsi="宋体" w:eastAsia="宋体" w:cs="宋体"/>
                <w:color w:val="auto"/>
                <w:sz w:val="24"/>
                <w:szCs w:val="24"/>
                <w:highlight w:val="none"/>
                <w:lang w:eastAsia="zh-CN" w:bidi="ar"/>
              </w:rPr>
              <w:t>根据投标人提供的</w:t>
            </w:r>
            <w:r>
              <w:rPr>
                <w:rFonts w:hint="eastAsia" w:ascii="宋体" w:hAnsi="宋体" w:eastAsia="宋体" w:cs="宋体"/>
                <w:color w:val="auto"/>
                <w:sz w:val="24"/>
                <w:szCs w:val="24"/>
                <w:highlight w:val="none"/>
                <w:lang w:eastAsia="zh-CN" w:bidi="ar"/>
              </w:rPr>
              <w:t>“</w:t>
            </w:r>
            <w:r>
              <w:rPr>
                <w:rFonts w:hint="eastAsia" w:ascii="宋体" w:hAnsi="宋体" w:eastAsia="宋体" w:cs="宋体"/>
                <w:sz w:val="24"/>
                <w:szCs w:val="24"/>
                <w:highlight w:val="none"/>
              </w:rPr>
              <w:t>床横梁下方三角形加固件小样(喷漆和未喷漆1个)：规格125mm×125mm，外侧面为弧形设计，内设计两个外形接近三角形的加强筋设计，两边长各不小于90mm、60mm</w:t>
            </w:r>
            <w:r>
              <w:rPr>
                <w:rFonts w:hint="eastAsia" w:ascii="宋体" w:hAnsi="宋体" w:eastAsia="宋体" w:cs="宋体"/>
                <w:color w:val="auto"/>
                <w:sz w:val="24"/>
                <w:szCs w:val="24"/>
                <w:highlight w:val="none"/>
                <w:lang w:eastAsia="zh-CN" w:bidi="ar"/>
              </w:rPr>
              <w:t>”、</w:t>
            </w:r>
            <w:r>
              <w:rPr>
                <w:rFonts w:hint="eastAsia" w:ascii="宋体" w:hAnsi="宋体" w:cs="宋体"/>
                <w:color w:val="auto"/>
                <w:sz w:val="24"/>
                <w:szCs w:val="24"/>
                <w:highlight w:val="none"/>
              </w:rPr>
              <w:t>床长横梁小样(</w:t>
            </w:r>
            <w:r>
              <w:rPr>
                <w:rFonts w:hint="eastAsia" w:hAnsi="宋体" w:cs="宋体"/>
                <w:sz w:val="24"/>
                <w:szCs w:val="24"/>
                <w:highlight w:val="none"/>
              </w:rPr>
              <w:t>喷漆和</w:t>
            </w:r>
            <w:r>
              <w:rPr>
                <w:rFonts w:hint="eastAsia" w:ascii="宋体" w:hAnsi="宋体" w:cs="宋体"/>
                <w:color w:val="auto"/>
                <w:sz w:val="24"/>
                <w:szCs w:val="24"/>
                <w:highlight w:val="none"/>
              </w:rPr>
              <w:t>未喷漆1根)长</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00mm：85mm*42mm密闭L型管。</w:t>
            </w:r>
            <w:r>
              <w:rPr>
                <w:rFonts w:ascii="宋体" w:hAnsi="宋体" w:eastAsia="宋体" w:cs="宋体"/>
                <w:color w:val="auto"/>
                <w:sz w:val="24"/>
                <w:szCs w:val="24"/>
                <w:highlight w:val="none"/>
                <w:lang w:eastAsia="zh-CN" w:bidi="ar"/>
              </w:rPr>
              <w:t>实物样品的款式、外观、质量、工艺、感观等进行评价： 1.表面无裂缝，无凹陷、压痕、磨损等瑕疵；外表无变形、表面光润、切面平整细腻、线条均匀的得</w:t>
            </w:r>
            <w:r>
              <w:rPr>
                <w:rFonts w:hint="eastAsia" w:ascii="宋体" w:hAnsi="宋体" w:eastAsia="宋体" w:cs="宋体"/>
                <w:color w:val="auto"/>
                <w:sz w:val="24"/>
                <w:szCs w:val="24"/>
                <w:highlight w:val="none"/>
                <w:lang w:val="en-US" w:eastAsia="zh-CN" w:bidi="ar"/>
              </w:rPr>
              <w:t>3</w:t>
            </w:r>
            <w:r>
              <w:rPr>
                <w:rFonts w:ascii="宋体" w:hAnsi="宋体" w:eastAsia="宋体" w:cs="宋体"/>
                <w:color w:val="auto"/>
                <w:sz w:val="24"/>
                <w:szCs w:val="24"/>
                <w:highlight w:val="none"/>
                <w:lang w:eastAsia="zh-CN" w:bidi="ar"/>
              </w:rPr>
              <w:t>分； 2.上述要求中有细微缺陷的得</w:t>
            </w:r>
            <w:r>
              <w:rPr>
                <w:rFonts w:hint="eastAsia" w:ascii="宋体" w:hAnsi="宋体" w:eastAsia="宋体" w:cs="宋体"/>
                <w:color w:val="auto"/>
                <w:sz w:val="24"/>
                <w:szCs w:val="24"/>
                <w:highlight w:val="none"/>
                <w:lang w:val="en-US" w:eastAsia="zh-CN" w:bidi="ar"/>
              </w:rPr>
              <w:t>2</w:t>
            </w:r>
            <w:r>
              <w:rPr>
                <w:rFonts w:ascii="宋体" w:hAnsi="宋体" w:eastAsia="宋体" w:cs="宋体"/>
                <w:color w:val="auto"/>
                <w:sz w:val="24"/>
                <w:szCs w:val="24"/>
                <w:highlight w:val="none"/>
                <w:lang w:eastAsia="zh-CN" w:bidi="ar"/>
              </w:rPr>
              <w:t>.5分。</w:t>
            </w:r>
            <w:r>
              <w:rPr>
                <w:rFonts w:hint="eastAsia" w:ascii="宋体" w:hAnsi="宋体" w:eastAsia="宋体" w:cs="宋体"/>
                <w:color w:val="auto"/>
                <w:kern w:val="0"/>
                <w:sz w:val="24"/>
                <w:szCs w:val="24"/>
                <w:highlight w:val="none"/>
                <w:lang w:val="en-US" w:eastAsia="zh-CN" w:bidi="ar"/>
              </w:rPr>
              <w:t>样品存在较大缺陷、未提供样品或不符合项目需求的不得分。</w:t>
            </w:r>
          </w:p>
        </w:tc>
      </w:tr>
    </w:tbl>
    <w:p w14:paraId="3B178F6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sz w:val="24"/>
          <w:szCs w:val="24"/>
          <w:highlight w:val="none"/>
          <w:lang w:eastAsia="zh-CN"/>
        </w:rPr>
      </w:pPr>
    </w:p>
    <w:p w14:paraId="2E21E71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删除</w:t>
      </w:r>
      <w:r>
        <w:rPr>
          <w:rFonts w:hint="eastAsia" w:ascii="宋体" w:hAnsi="宋体" w:eastAsia="宋体" w:cs="宋体"/>
          <w:b w:val="0"/>
          <w:bCs w:val="0"/>
          <w:sz w:val="24"/>
          <w:szCs w:val="24"/>
          <w:lang w:val="en-US" w:eastAsia="zh-CN"/>
        </w:rPr>
        <w:t>“《采购清单》学生宿舍序号1及生管宿舍序号1中的材质说明（6）床梯立柱：椭圆管40*20*1.2mm；床梯踏板350*132*18mm，钢板厚1.5mm(防滑条纹)。”</w:t>
      </w:r>
    </w:p>
    <w:p w14:paraId="2DFE48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p>
    <w:p w14:paraId="03784C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b w:val="0"/>
          <w:bCs w:val="0"/>
          <w:sz w:val="24"/>
          <w:szCs w:val="24"/>
          <w:lang w:val="en-US" w:eastAsia="zh-CN"/>
        </w:rPr>
      </w:pPr>
      <w:r>
        <w:rPr>
          <w:rFonts w:hint="eastAsia" w:ascii="宋体" w:hAnsi="宋体" w:cs="宋体"/>
          <w:sz w:val="24"/>
          <w:lang w:val="en-US" w:eastAsia="zh-CN"/>
        </w:rPr>
        <w:t>3、原</w:t>
      </w:r>
      <w:r>
        <w:rPr>
          <w:rFonts w:hint="eastAsia" w:ascii="宋体" w:hAnsi="宋体" w:cs="宋体"/>
          <w:sz w:val="24"/>
        </w:rPr>
        <w:t>采购清单中序号3床下置物架</w:t>
      </w:r>
      <w:r>
        <w:rPr>
          <w:rFonts w:hint="eastAsia" w:ascii="宋体" w:hAnsi="宋体" w:cs="宋体"/>
          <w:sz w:val="24"/>
          <w:lang w:eastAsia="zh-CN"/>
        </w:rPr>
        <w:t>中</w:t>
      </w:r>
      <w:r>
        <w:rPr>
          <w:rFonts w:hint="eastAsia" w:ascii="宋体" w:hAnsi="宋体" w:cs="宋体"/>
          <w:sz w:val="24"/>
          <w:lang w:val="en-US" w:eastAsia="zh-CN"/>
        </w:rPr>
        <w:t>图片：</w:t>
      </w:r>
    </w:p>
    <w:p w14:paraId="261894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p>
    <w:p w14:paraId="02BE21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drawing>
          <wp:inline distT="0" distB="0" distL="114300" distR="114300">
            <wp:extent cx="1200150" cy="4368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200150" cy="436880"/>
                    </a:xfrm>
                    <a:prstGeom prst="rect">
                      <a:avLst/>
                    </a:prstGeom>
                    <a:noFill/>
                    <a:ln>
                      <a:noFill/>
                    </a:ln>
                  </pic:spPr>
                </pic:pic>
              </a:graphicData>
            </a:graphic>
          </wp:inline>
        </w:drawing>
      </w:r>
    </w:p>
    <w:p w14:paraId="644A4C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更正为：</w:t>
      </w:r>
    </w:p>
    <w:p w14:paraId="47315D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cs="宋体"/>
          <w:sz w:val="24"/>
        </w:rPr>
        <w:t>采购清单中序号3床下置物架</w:t>
      </w:r>
      <w:r>
        <w:rPr>
          <w:rFonts w:hint="eastAsia" w:ascii="宋体" w:hAnsi="宋体" w:cs="宋体"/>
          <w:sz w:val="24"/>
          <w:lang w:eastAsia="zh-CN"/>
        </w:rPr>
        <w:t>中</w:t>
      </w:r>
      <w:r>
        <w:rPr>
          <w:rFonts w:hint="eastAsia" w:ascii="宋体" w:hAnsi="宋体" w:cs="宋体"/>
          <w:sz w:val="24"/>
          <w:lang w:val="en-US" w:eastAsia="zh-CN"/>
        </w:rPr>
        <w:t>图片</w:t>
      </w:r>
    </w:p>
    <w:p w14:paraId="7EFE66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drawing>
          <wp:inline distT="0" distB="0" distL="114300" distR="114300">
            <wp:extent cx="4109720" cy="2435860"/>
            <wp:effectExtent l="0" t="0" r="5080" b="2540"/>
            <wp:docPr id="5"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图片"/>
                    <pic:cNvPicPr>
                      <a:picLocks noChangeAspect="1"/>
                    </pic:cNvPicPr>
                  </pic:nvPicPr>
                  <pic:blipFill>
                    <a:blip r:embed="rId5"/>
                    <a:stretch>
                      <a:fillRect/>
                    </a:stretch>
                  </pic:blipFill>
                  <pic:spPr>
                    <a:xfrm>
                      <a:off x="0" y="0"/>
                      <a:ext cx="4109720" cy="2435860"/>
                    </a:xfrm>
                    <a:prstGeom prst="rect">
                      <a:avLst/>
                    </a:prstGeom>
                    <a:noFill/>
                    <a:ln>
                      <a:noFill/>
                    </a:ln>
                  </pic:spPr>
                </pic:pic>
              </a:graphicData>
            </a:graphic>
          </wp:inline>
        </w:drawing>
      </w:r>
    </w:p>
    <w:p w14:paraId="6E365E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p>
    <w:p w14:paraId="51C56E5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lang w:val="en-US" w:eastAsia="zh-CN"/>
        </w:rPr>
        <w:t>、原</w:t>
      </w:r>
      <w:r>
        <w:rPr>
          <w:rFonts w:hint="eastAsia" w:ascii="宋体" w:hAnsi="宋体" w:eastAsia="宋体" w:cs="宋体"/>
          <w:b w:val="0"/>
          <w:bCs w:val="0"/>
          <w:sz w:val="24"/>
          <w:szCs w:val="24"/>
        </w:rPr>
        <w:t>《采购清单》学生宿舍序号5及生管宿舍序号2的中梯材质说明：柜门合页采用隐藏式，不凸出板面，门板正面无开槽，可180打开，合页总长110mm，宽432m。</w:t>
      </w:r>
    </w:p>
    <w:p w14:paraId="711E7D2B">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更正为：</w:t>
      </w:r>
    </w:p>
    <w:p w14:paraId="3E86C5D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《采购清单》学生宿舍序号5及生管宿舍序号2的中梯材质说明：柜门合页采用隐藏式，不凸出板面，门板正面无开槽，可180打开，合页总长110mm，宽43.2mm。</w:t>
      </w:r>
    </w:p>
    <w:p w14:paraId="09A2165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5、原</w:t>
      </w:r>
      <w:r>
        <w:rPr>
          <w:rFonts w:hint="eastAsia" w:ascii="宋体" w:hAnsi="宋体" w:eastAsia="宋体" w:cs="宋体"/>
          <w:b w:val="0"/>
          <w:bCs w:val="0"/>
          <w:sz w:val="24"/>
          <w:szCs w:val="24"/>
          <w:lang w:eastAsia="zh-CN"/>
        </w:rPr>
        <w:t>《采购清单》学生宿舍序号7及生管宿舍序号4的的书桌（三人位）</w:t>
      </w:r>
      <w:r>
        <w:rPr>
          <w:rFonts w:hint="eastAsia" w:ascii="宋体" w:hAnsi="宋体" w:eastAsia="宋体" w:cs="宋体"/>
          <w:b w:val="0"/>
          <w:bCs w:val="0"/>
          <w:sz w:val="24"/>
          <w:szCs w:val="24"/>
        </w:rPr>
        <w:t>材质</w:t>
      </w:r>
      <w:r>
        <w:rPr>
          <w:rFonts w:hint="eastAsia" w:ascii="宋体" w:hAnsi="宋体" w:eastAsia="宋体" w:cs="宋体"/>
          <w:b w:val="0"/>
          <w:bCs w:val="0"/>
          <w:sz w:val="24"/>
          <w:szCs w:val="24"/>
          <w:lang w:val="en-US" w:eastAsia="zh-CN"/>
        </w:rPr>
        <w:t>补充说明：材质为多层板材质。</w:t>
      </w:r>
    </w:p>
    <w:p w14:paraId="7A4FD14F">
      <w:pPr>
        <w:spacing w:line="360" w:lineRule="auto"/>
        <w:ind w:firstLine="480" w:firstLineChars="200"/>
        <w:rPr>
          <w:rFonts w:ascii="宋体" w:hAnsi="宋体"/>
          <w:b w:val="0"/>
          <w:bCs/>
          <w:color w:val="auto"/>
          <w:sz w:val="24"/>
          <w:szCs w:val="24"/>
          <w:highlight w:val="none"/>
        </w:rPr>
      </w:pPr>
      <w:r>
        <w:rPr>
          <w:rFonts w:hint="eastAsia" w:ascii="宋体" w:hAnsi="宋体" w:eastAsia="宋体" w:cs="宋体"/>
          <w:b w:val="0"/>
          <w:bCs/>
          <w:kern w:val="2"/>
          <w:sz w:val="24"/>
          <w:szCs w:val="24"/>
          <w:lang w:val="en-US" w:eastAsia="zh-CN" w:bidi="ar-SA"/>
        </w:rPr>
        <w:t>6、</w:t>
      </w:r>
      <w:r>
        <w:rPr>
          <w:rFonts w:hint="eastAsia" w:ascii="宋体" w:hAnsi="宋体" w:cs="宋体"/>
          <w:b w:val="0"/>
          <w:bCs/>
          <w:sz w:val="24"/>
          <w:szCs w:val="24"/>
          <w:highlight w:val="none"/>
          <w:lang w:val="en-US" w:eastAsia="zh-CN"/>
        </w:rPr>
        <w:t>原XM2026-DZ0043招标文件中</w:t>
      </w:r>
      <w:r>
        <w:rPr>
          <w:rFonts w:hint="eastAsia" w:ascii="宋体" w:hAnsi="宋体" w:eastAsia="宋体" w:cs="宋体"/>
          <w:b w:val="0"/>
          <w:bCs/>
          <w:sz w:val="24"/>
          <w:szCs w:val="24"/>
        </w:rPr>
        <w:t>招标文件第三章《招标内容及要求》</w:t>
      </w:r>
      <w:r>
        <w:rPr>
          <w:rFonts w:hint="eastAsia" w:ascii="宋体" w:hAnsi="宋体"/>
          <w:b w:val="0"/>
          <w:bCs/>
          <w:color w:val="auto"/>
          <w:sz w:val="24"/>
          <w:szCs w:val="24"/>
          <w:highlight w:val="none"/>
        </w:rPr>
        <w:t>6．投标人需在投标文件中提供上述货物的实物图、效果图、生产分解图、货物选用材料的说明文件。</w:t>
      </w:r>
    </w:p>
    <w:p w14:paraId="2EA75CC4">
      <w:pPr>
        <w:spacing w:line="360" w:lineRule="auto"/>
        <w:ind w:firstLine="723" w:firstLineChars="3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更正为：</w:t>
      </w:r>
    </w:p>
    <w:p w14:paraId="5B4A9EBF">
      <w:pPr>
        <w:spacing w:line="360" w:lineRule="auto"/>
        <w:ind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招标文件第三章《招标内容及要求》二、采购要求第6点更正为：投标人需在投标文件中提供上述实物图或者货物效果图、生产分解图、货物选用材料的说明文件。</w:t>
      </w:r>
    </w:p>
    <w:p w14:paraId="497E0BC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sz w:val="24"/>
          <w:szCs w:val="24"/>
          <w:highlight w:val="none"/>
          <w:lang w:eastAsia="zh-CN"/>
        </w:rPr>
      </w:pPr>
    </w:p>
    <w:p w14:paraId="32A4D26B">
      <w:pPr>
        <w:numPr>
          <w:ilvl w:val="0"/>
          <w:numId w:val="0"/>
        </w:numPr>
        <w:spacing w:line="360" w:lineRule="auto"/>
        <w:ind w:firstLine="482" w:firstLineChars="200"/>
        <w:rPr>
          <w:rFonts w:hint="eastAsia" w:ascii="宋体" w:hAnsi="宋体" w:eastAsia="宋体" w:cs="Times New Roman"/>
          <w:b/>
          <w:bCs/>
          <w:i w:val="0"/>
          <w:iCs w:val="0"/>
          <w:caps w:val="0"/>
          <w:color w:val="auto"/>
          <w:spacing w:val="0"/>
          <w:sz w:val="24"/>
          <w:szCs w:val="24"/>
          <w:highlight w:val="none"/>
          <w:shd w:val="clear" w:color="auto" w:fill="auto"/>
          <w:lang w:val="en-US" w:eastAsia="zh-CN"/>
        </w:rPr>
      </w:pPr>
      <w:r>
        <w:rPr>
          <w:rFonts w:hint="eastAsia" w:ascii="宋体" w:hAnsi="宋体" w:eastAsia="宋体" w:cs="Times New Roman"/>
          <w:b/>
          <w:bCs/>
          <w:i w:val="0"/>
          <w:iCs w:val="0"/>
          <w:caps w:val="0"/>
          <w:color w:val="auto"/>
          <w:spacing w:val="0"/>
          <w:kern w:val="2"/>
          <w:sz w:val="24"/>
          <w:szCs w:val="24"/>
          <w:shd w:val="clear" w:color="auto" w:fill="auto"/>
          <w:lang w:val="en-US" w:eastAsia="zh-CN" w:bidi="ar-SA"/>
        </w:rPr>
        <w:t>7、</w:t>
      </w:r>
      <w:r>
        <w:rPr>
          <w:rFonts w:hint="eastAsia" w:ascii="宋体" w:hAnsi="宋体" w:eastAsia="宋体" w:cs="宋体"/>
          <w:b/>
          <w:kern w:val="2"/>
          <w:sz w:val="24"/>
          <w:szCs w:val="24"/>
          <w:lang w:val="en-US" w:eastAsia="zh-CN" w:bidi="ar-SA"/>
        </w:rPr>
        <w:t>删除</w:t>
      </w:r>
      <w:r>
        <w:rPr>
          <w:rFonts w:hint="eastAsia" w:ascii="宋体" w:hAnsi="宋体" w:cs="宋体"/>
          <w:b/>
          <w:sz w:val="24"/>
          <w:szCs w:val="24"/>
          <w:highlight w:val="none"/>
          <w:lang w:val="en-US" w:eastAsia="zh-CN"/>
        </w:rPr>
        <w:t>原XM2026-DZ0043招标文件中：“</w:t>
      </w:r>
      <w:r>
        <w:rPr>
          <w:rFonts w:hint="eastAsia" w:ascii="宋体" w:hAnsi="宋体" w:eastAsia="宋体" w:cs="Times New Roman"/>
          <w:b/>
          <w:bCs/>
          <w:i w:val="0"/>
          <w:iCs w:val="0"/>
          <w:caps w:val="0"/>
          <w:color w:val="auto"/>
          <w:spacing w:val="0"/>
          <w:sz w:val="24"/>
          <w:szCs w:val="24"/>
          <w:highlight w:val="none"/>
          <w:shd w:val="clear" w:color="auto" w:fill="auto"/>
        </w:rPr>
        <w:t>*</w:t>
      </w:r>
      <w:r>
        <w:rPr>
          <w:rFonts w:hint="eastAsia" w:ascii="宋体" w:hAnsi="宋体" w:cs="Times New Roman"/>
          <w:b/>
          <w:bCs/>
          <w:i w:val="0"/>
          <w:iCs w:val="0"/>
          <w:caps w:val="0"/>
          <w:color w:val="auto"/>
          <w:spacing w:val="0"/>
          <w:sz w:val="24"/>
          <w:szCs w:val="24"/>
          <w:highlight w:val="none"/>
          <w:shd w:val="clear" w:color="auto" w:fill="auto"/>
          <w:lang w:val="en-US" w:eastAsia="zh-CN"/>
        </w:rPr>
        <w:t>10</w:t>
      </w:r>
      <w:r>
        <w:rPr>
          <w:rFonts w:hint="eastAsia" w:ascii="宋体" w:hAnsi="宋体" w:eastAsia="宋体" w:cs="Times New Roman"/>
          <w:b/>
          <w:bCs/>
          <w:i w:val="0"/>
          <w:iCs w:val="0"/>
          <w:caps w:val="0"/>
          <w:color w:val="auto"/>
          <w:spacing w:val="0"/>
          <w:sz w:val="24"/>
          <w:szCs w:val="24"/>
          <w:highlight w:val="none"/>
          <w:shd w:val="clear" w:color="auto" w:fill="auto"/>
        </w:rPr>
        <w:t>、投标人在递交投标文件时应</w:t>
      </w:r>
      <w:r>
        <w:rPr>
          <w:rFonts w:hint="eastAsia" w:ascii="宋体" w:hAnsi="宋体" w:cs="Times New Roman"/>
          <w:b/>
          <w:bCs/>
          <w:i w:val="0"/>
          <w:iCs w:val="0"/>
          <w:caps w:val="0"/>
          <w:color w:val="auto"/>
          <w:spacing w:val="0"/>
          <w:sz w:val="24"/>
          <w:szCs w:val="24"/>
          <w:highlight w:val="none"/>
          <w:shd w:val="clear" w:color="auto" w:fill="auto"/>
          <w:lang w:val="en-US" w:eastAsia="zh-CN"/>
        </w:rPr>
        <w:t>按样品清单</w:t>
      </w:r>
      <w:r>
        <w:rPr>
          <w:rFonts w:hint="eastAsia" w:ascii="宋体" w:hAnsi="宋体" w:eastAsia="宋体" w:cs="Times New Roman"/>
          <w:b/>
          <w:bCs/>
          <w:i w:val="0"/>
          <w:iCs w:val="0"/>
          <w:caps w:val="0"/>
          <w:color w:val="auto"/>
          <w:spacing w:val="0"/>
          <w:sz w:val="24"/>
          <w:szCs w:val="24"/>
          <w:highlight w:val="none"/>
          <w:shd w:val="clear" w:color="auto" w:fill="auto"/>
        </w:rPr>
        <w:t>提供样品，提供的样品不符合采购内容要求的结构、外观造型或提供样品不齐全的（不接受 3D 打印小样</w:t>
      </w:r>
      <w:r>
        <w:rPr>
          <w:rFonts w:hint="eastAsia" w:ascii="宋体" w:hAnsi="宋体" w:eastAsia="宋体" w:cs="Times New Roman"/>
          <w:b/>
          <w:bCs/>
          <w:i w:val="0"/>
          <w:iCs w:val="0"/>
          <w:caps w:val="0"/>
          <w:color w:val="auto"/>
          <w:spacing w:val="0"/>
          <w:sz w:val="24"/>
          <w:szCs w:val="24"/>
          <w:highlight w:val="none"/>
          <w:shd w:val="clear" w:color="auto" w:fill="auto"/>
          <w:lang w:eastAsia="zh-CN"/>
        </w:rPr>
        <w:t>，样品</w:t>
      </w:r>
      <w:r>
        <w:rPr>
          <w:rFonts w:hint="eastAsia" w:ascii="宋体" w:hAnsi="宋体" w:eastAsia="宋体" w:cs="Times New Roman"/>
          <w:b/>
          <w:bCs/>
          <w:i w:val="0"/>
          <w:iCs w:val="0"/>
          <w:caps w:val="0"/>
          <w:color w:val="auto"/>
          <w:spacing w:val="0"/>
          <w:sz w:val="24"/>
          <w:szCs w:val="24"/>
          <w:highlight w:val="none"/>
          <w:shd w:val="clear" w:color="auto" w:fill="auto"/>
        </w:rPr>
        <w:t>尺寸偏差均不超过±2mm除有明确尺寸偏离值外），按无效投标处理。</w:t>
      </w:r>
      <w:r>
        <w:rPr>
          <w:rFonts w:hint="eastAsia" w:ascii="宋体" w:hAnsi="宋体" w:cs="宋体"/>
          <w:b/>
          <w:sz w:val="24"/>
          <w:szCs w:val="24"/>
          <w:highlight w:val="none"/>
          <w:lang w:val="en-US" w:eastAsia="zh-CN"/>
        </w:rPr>
        <w:t>”</w:t>
      </w:r>
      <w:r>
        <w:rPr>
          <w:rFonts w:hint="eastAsia" w:ascii="宋体" w:hAnsi="宋体" w:eastAsia="宋体" w:cs="Times New Roman"/>
          <w:b/>
          <w:bCs/>
          <w:i w:val="0"/>
          <w:iCs w:val="0"/>
          <w:caps w:val="0"/>
          <w:color w:val="auto"/>
          <w:spacing w:val="0"/>
          <w:sz w:val="24"/>
          <w:szCs w:val="24"/>
          <w:highlight w:val="none"/>
          <w:shd w:val="clear" w:color="auto" w:fill="auto"/>
          <w:lang w:val="en-US" w:eastAsia="zh-CN"/>
        </w:rPr>
        <w:t>条款。</w:t>
      </w:r>
    </w:p>
    <w:p w14:paraId="1C73BAEC">
      <w:pPr>
        <w:widowControl w:val="0"/>
        <w:numPr>
          <w:ilvl w:val="0"/>
          <w:numId w:val="0"/>
        </w:numPr>
        <w:spacing w:line="360" w:lineRule="auto"/>
        <w:ind w:left="361" w:leftChars="0" w:firstLine="0" w:firstLineChars="0"/>
        <w:jc w:val="both"/>
        <w:rPr>
          <w:rFonts w:hint="eastAsia" w:ascii="宋体" w:hAnsi="宋体" w:eastAsia="宋体" w:cs="宋体"/>
          <w:b/>
          <w:kern w:val="2"/>
          <w:sz w:val="24"/>
          <w:szCs w:val="24"/>
          <w:lang w:val="en-US" w:eastAsia="zh-CN" w:bidi="ar-SA"/>
        </w:rPr>
      </w:pPr>
    </w:p>
    <w:p w14:paraId="5AADEC2D">
      <w:pPr>
        <w:widowControl w:val="0"/>
        <w:numPr>
          <w:ilvl w:val="0"/>
          <w:numId w:val="0"/>
        </w:numPr>
        <w:spacing w:line="360" w:lineRule="auto"/>
        <w:ind w:left="361" w:leftChars="0" w:firstLine="0" w:firstLineChars="0"/>
        <w:jc w:val="both"/>
        <w:rPr>
          <w:rFonts w:hint="eastAsia" w:ascii="宋体" w:hAnsi="宋体" w:cs="宋体"/>
          <w:b/>
          <w:sz w:val="24"/>
          <w:szCs w:val="24"/>
          <w:highlight w:val="none"/>
          <w:lang w:val="en-US" w:eastAsia="zh-CN"/>
        </w:rPr>
      </w:pPr>
      <w:r>
        <w:rPr>
          <w:rFonts w:hint="eastAsia" w:ascii="宋体" w:hAnsi="宋体" w:cs="宋体"/>
          <w:b/>
          <w:kern w:val="2"/>
          <w:sz w:val="24"/>
          <w:szCs w:val="24"/>
          <w:lang w:val="en-US" w:eastAsia="zh-CN" w:bidi="ar-SA"/>
        </w:rPr>
        <w:t>8</w:t>
      </w:r>
      <w:r>
        <w:rPr>
          <w:rFonts w:hint="eastAsia" w:ascii="宋体" w:hAnsi="宋体" w:eastAsia="宋体" w:cs="宋体"/>
          <w:b/>
          <w:kern w:val="2"/>
          <w:sz w:val="24"/>
          <w:szCs w:val="24"/>
          <w:lang w:val="en-US" w:eastAsia="zh-CN" w:bidi="ar-SA"/>
        </w:rPr>
        <w:t>、</w:t>
      </w:r>
      <w:r>
        <w:rPr>
          <w:rFonts w:hint="eastAsia" w:ascii="宋体" w:hAnsi="宋体" w:cs="宋体"/>
          <w:b/>
          <w:sz w:val="24"/>
          <w:szCs w:val="24"/>
          <w:highlight w:val="none"/>
          <w:lang w:val="en-US" w:eastAsia="zh-CN"/>
        </w:rPr>
        <w:t>原XM2026-DZ0043招标文件样品清单：</w:t>
      </w:r>
    </w:p>
    <w:p w14:paraId="425FC82B">
      <w:pPr>
        <w:spacing w:line="360" w:lineRule="auto"/>
        <w:ind w:firstLine="482" w:firstLineChars="200"/>
        <w:rPr>
          <w:rFonts w:ascii="宋体" w:hAnsi="宋体"/>
          <w:b/>
          <w:bCs/>
          <w:sz w:val="24"/>
          <w:szCs w:val="24"/>
        </w:rPr>
      </w:pPr>
      <w:r>
        <w:rPr>
          <w:rFonts w:hint="eastAsia" w:ascii="宋体" w:hAnsi="宋体"/>
          <w:b/>
          <w:bCs/>
          <w:sz w:val="24"/>
          <w:szCs w:val="24"/>
        </w:rPr>
        <w:t>样品要求</w:t>
      </w:r>
    </w:p>
    <w:p w14:paraId="73DF6CAD">
      <w:pPr>
        <w:ind w:firstLine="480" w:firstLineChars="200"/>
        <w:jc w:val="center"/>
      </w:pPr>
      <w:r>
        <w:rPr>
          <w:rFonts w:hint="eastAsia"/>
          <w:sz w:val="24"/>
        </w:rPr>
        <w:t>样品清单</w:t>
      </w:r>
    </w:p>
    <w:tbl>
      <w:tblPr>
        <w:tblStyle w:val="8"/>
        <w:tblW w:w="8739"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696"/>
        <w:gridCol w:w="1422"/>
        <w:gridCol w:w="5925"/>
      </w:tblGrid>
      <w:tr w14:paraId="4D50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noWrap w:val="0"/>
            <w:vAlign w:val="center"/>
          </w:tcPr>
          <w:p w14:paraId="14CF43C2">
            <w:pPr>
              <w:spacing w:line="360" w:lineRule="auto"/>
              <w:jc w:val="center"/>
              <w:rPr>
                <w:rFonts w:ascii="宋体" w:hAnsi="宋体" w:cs="宋体"/>
                <w:sz w:val="24"/>
                <w:szCs w:val="24"/>
              </w:rPr>
            </w:pPr>
          </w:p>
        </w:tc>
        <w:tc>
          <w:tcPr>
            <w:tcW w:w="696" w:type="dxa"/>
            <w:noWrap w:val="0"/>
            <w:vAlign w:val="center"/>
          </w:tcPr>
          <w:p w14:paraId="668CFEE2">
            <w:pPr>
              <w:spacing w:line="360" w:lineRule="auto"/>
              <w:jc w:val="center"/>
              <w:rPr>
                <w:rFonts w:ascii="宋体" w:hAnsi="宋体" w:cs="宋体"/>
                <w:sz w:val="24"/>
                <w:szCs w:val="24"/>
              </w:rPr>
            </w:pPr>
          </w:p>
        </w:tc>
        <w:tc>
          <w:tcPr>
            <w:tcW w:w="1422" w:type="dxa"/>
            <w:noWrap w:val="0"/>
            <w:vAlign w:val="center"/>
          </w:tcPr>
          <w:p w14:paraId="09207DA5">
            <w:pPr>
              <w:spacing w:line="360" w:lineRule="auto"/>
              <w:jc w:val="center"/>
              <w:rPr>
                <w:rFonts w:ascii="宋体" w:hAnsi="宋体" w:cs="宋体"/>
                <w:sz w:val="24"/>
                <w:szCs w:val="24"/>
              </w:rPr>
            </w:pPr>
          </w:p>
        </w:tc>
        <w:tc>
          <w:tcPr>
            <w:tcW w:w="5925" w:type="dxa"/>
            <w:noWrap w:val="0"/>
            <w:vAlign w:val="center"/>
          </w:tcPr>
          <w:p w14:paraId="08AE4C5F">
            <w:pPr>
              <w:pStyle w:val="7"/>
              <w:ind w:firstLine="0" w:firstLineChars="0"/>
              <w:rPr>
                <w:rFonts w:ascii="宋体" w:hAnsi="宋体" w:cs="宋体"/>
                <w:sz w:val="24"/>
              </w:rPr>
            </w:pPr>
            <w:r>
              <w:rPr>
                <w:rFonts w:hint="eastAsia" w:ascii="宋体" w:hAnsi="宋体" w:cs="宋体"/>
                <w:sz w:val="24"/>
              </w:rPr>
              <w:t>样品1、课桌30×60×1.2mm椭圆管1根、升降套管25×50×1.2mm椭圆管1根；</w:t>
            </w:r>
          </w:p>
          <w:p w14:paraId="55808796">
            <w:pPr>
              <w:pStyle w:val="7"/>
              <w:ind w:firstLine="0" w:firstLineChars="0"/>
              <w:rPr>
                <w:rFonts w:ascii="宋体" w:hAnsi="宋体" w:cs="宋体"/>
                <w:sz w:val="24"/>
              </w:rPr>
            </w:pPr>
            <w:r>
              <w:rPr>
                <w:rFonts w:hint="eastAsia" w:ascii="宋体" w:hAnsi="宋体" w:cs="宋体"/>
                <w:sz w:val="24"/>
              </w:rPr>
              <w:t>样品2、公寓组合铁床样品：</w:t>
            </w:r>
          </w:p>
          <w:p w14:paraId="22B26401">
            <w:pPr>
              <w:pStyle w:val="5"/>
              <w:spacing w:line="360" w:lineRule="auto"/>
              <w:rPr>
                <w:rFonts w:hAnsi="宋体" w:cs="宋体"/>
                <w:sz w:val="24"/>
                <w:szCs w:val="24"/>
              </w:rPr>
            </w:pPr>
            <w:r>
              <w:rPr>
                <w:rFonts w:hint="eastAsia" w:hAnsi="宋体" w:cs="宋体"/>
                <w:sz w:val="24"/>
                <w:szCs w:val="24"/>
              </w:rPr>
              <w:t xml:space="preserve"> ①床两侧立柱采用环形密闭冷轧钢管（喷漆和未喷漆1根），厚度1.2mm，外径72mm，横面40mm,弧形面三条内凹加强筋。（具体要求如图1一致）； </w:t>
            </w:r>
          </w:p>
          <w:p w14:paraId="50F7DB68">
            <w:pPr>
              <w:pStyle w:val="5"/>
              <w:spacing w:line="360" w:lineRule="auto"/>
              <w:rPr>
                <w:rFonts w:hAnsi="宋体" w:cs="宋体"/>
                <w:sz w:val="24"/>
                <w:szCs w:val="24"/>
              </w:rPr>
            </w:pPr>
            <w:r>
              <w:rPr>
                <w:rFonts w:hint="eastAsia" w:hAnsi="宋体" w:cs="宋体"/>
                <w:sz w:val="24"/>
                <w:szCs w:val="24"/>
              </w:rPr>
              <w:t xml:space="preserve"> ②床横梁下方三角形加固件小样(未喷漆1个)：规格125mm×125mm，外侧面为弧形设计，内设计两个外形接近三角形的加强筋设计，两边长各不小于90mm、60mm（具体要求如图2一致）；</w:t>
            </w:r>
          </w:p>
          <w:p w14:paraId="4AE49ED2">
            <w:pPr>
              <w:pStyle w:val="5"/>
              <w:spacing w:line="360" w:lineRule="auto"/>
              <w:rPr>
                <w:rFonts w:hAnsi="宋体" w:cs="宋体"/>
                <w:b/>
                <w:bCs/>
                <w:sz w:val="24"/>
                <w:szCs w:val="24"/>
              </w:rPr>
            </w:pPr>
            <w:r>
              <w:rPr>
                <w:rFonts w:hint="eastAsia" w:hAnsi="宋体" w:cs="宋体"/>
                <w:sz w:val="24"/>
                <w:szCs w:val="24"/>
              </w:rPr>
              <w:drawing>
                <wp:anchor distT="0" distB="0" distL="114300" distR="114300" simplePos="0" relativeHeight="251662336" behindDoc="0" locked="0" layoutInCell="1" allowOverlap="1">
                  <wp:simplePos x="0" y="0"/>
                  <wp:positionH relativeFrom="column">
                    <wp:posOffset>672465</wp:posOffset>
                  </wp:positionH>
                  <wp:positionV relativeFrom="paragraph">
                    <wp:posOffset>234315</wp:posOffset>
                  </wp:positionV>
                  <wp:extent cx="2440305" cy="979805"/>
                  <wp:effectExtent l="0" t="0" r="17145" b="1079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2440305" cy="979805"/>
                          </a:xfrm>
                          <a:prstGeom prst="rect">
                            <a:avLst/>
                          </a:prstGeom>
                          <a:noFill/>
                          <a:ln>
                            <a:noFill/>
                          </a:ln>
                        </pic:spPr>
                      </pic:pic>
                    </a:graphicData>
                  </a:graphic>
                </wp:anchor>
              </w:drawing>
            </w:r>
            <w:r>
              <w:rPr>
                <w:rFonts w:hint="eastAsia" w:hAnsi="宋体" w:cs="宋体"/>
                <w:b/>
                <w:bCs/>
                <w:sz w:val="24"/>
                <w:szCs w:val="24"/>
              </w:rPr>
              <w:t>图1</w:t>
            </w:r>
            <w:r>
              <w:rPr>
                <w:rFonts w:hint="eastAsia" w:hAnsi="宋体" w:cs="宋体"/>
                <w:b/>
                <w:bCs/>
                <w:sz w:val="24"/>
                <w:szCs w:val="24"/>
              </w:rPr>
              <w:tab/>
            </w:r>
          </w:p>
          <w:p w14:paraId="6DF25E9A">
            <w:pPr>
              <w:pStyle w:val="5"/>
              <w:rPr>
                <w:rFonts w:hAnsi="宋体" w:cs="宋体"/>
                <w:sz w:val="24"/>
                <w:szCs w:val="24"/>
              </w:rPr>
            </w:pPr>
          </w:p>
          <w:p w14:paraId="038E977B">
            <w:pPr>
              <w:pStyle w:val="5"/>
              <w:rPr>
                <w:rFonts w:hAnsi="宋体" w:cs="宋体"/>
                <w:sz w:val="24"/>
                <w:szCs w:val="24"/>
              </w:rPr>
            </w:pPr>
          </w:p>
          <w:p w14:paraId="5D8E3370">
            <w:pPr>
              <w:pStyle w:val="5"/>
              <w:rPr>
                <w:rFonts w:hAnsi="宋体" w:cs="宋体"/>
                <w:sz w:val="24"/>
                <w:szCs w:val="24"/>
              </w:rPr>
            </w:pPr>
          </w:p>
          <w:p w14:paraId="52ACF8F9">
            <w:pPr>
              <w:pStyle w:val="5"/>
              <w:rPr>
                <w:rFonts w:hAnsi="宋体" w:cs="宋体"/>
                <w:sz w:val="24"/>
                <w:szCs w:val="24"/>
              </w:rPr>
            </w:pPr>
          </w:p>
          <w:p w14:paraId="4AC24025">
            <w:pPr>
              <w:pStyle w:val="5"/>
              <w:rPr>
                <w:rFonts w:hAnsi="宋体" w:cs="宋体"/>
                <w:sz w:val="24"/>
                <w:szCs w:val="24"/>
              </w:rPr>
            </w:pPr>
            <w:r>
              <w:rPr>
                <w:rFonts w:hint="eastAsia" w:hAnsi="宋体" w:cs="宋体"/>
              </w:rPr>
              <w:drawing>
                <wp:anchor distT="0" distB="0" distL="114300" distR="114300" simplePos="0" relativeHeight="251663360" behindDoc="0" locked="0" layoutInCell="1" allowOverlap="1">
                  <wp:simplePos x="0" y="0"/>
                  <wp:positionH relativeFrom="column">
                    <wp:posOffset>930275</wp:posOffset>
                  </wp:positionH>
                  <wp:positionV relativeFrom="paragraph">
                    <wp:posOffset>119380</wp:posOffset>
                  </wp:positionV>
                  <wp:extent cx="1864360" cy="2018665"/>
                  <wp:effectExtent l="0" t="0" r="2540" b="635"/>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1864360" cy="2018665"/>
                          </a:xfrm>
                          <a:prstGeom prst="rect">
                            <a:avLst/>
                          </a:prstGeom>
                          <a:noFill/>
                          <a:ln>
                            <a:noFill/>
                          </a:ln>
                        </pic:spPr>
                      </pic:pic>
                    </a:graphicData>
                  </a:graphic>
                </wp:anchor>
              </w:drawing>
            </w:r>
          </w:p>
          <w:p w14:paraId="059F3FFB">
            <w:pPr>
              <w:pStyle w:val="5"/>
              <w:rPr>
                <w:rFonts w:hAnsi="宋体" w:cs="宋体"/>
                <w:sz w:val="24"/>
                <w:szCs w:val="24"/>
              </w:rPr>
            </w:pPr>
          </w:p>
          <w:p w14:paraId="257EB559">
            <w:pPr>
              <w:pStyle w:val="5"/>
              <w:rPr>
                <w:rFonts w:hAnsi="宋体" w:cs="宋体"/>
                <w:sz w:val="24"/>
                <w:szCs w:val="24"/>
              </w:rPr>
            </w:pPr>
          </w:p>
          <w:p w14:paraId="398EE9E5">
            <w:pPr>
              <w:pStyle w:val="5"/>
              <w:tabs>
                <w:tab w:val="left" w:pos="9984"/>
              </w:tabs>
              <w:rPr>
                <w:rFonts w:hAnsi="宋体" w:cs="宋体"/>
                <w:sz w:val="24"/>
                <w:szCs w:val="24"/>
              </w:rPr>
            </w:pPr>
          </w:p>
          <w:p w14:paraId="1AC2A2A0">
            <w:pPr>
              <w:pStyle w:val="5"/>
              <w:tabs>
                <w:tab w:val="left" w:pos="9984"/>
              </w:tabs>
              <w:rPr>
                <w:rFonts w:hAnsi="宋体" w:cs="宋体"/>
                <w:sz w:val="24"/>
                <w:szCs w:val="24"/>
              </w:rPr>
            </w:pPr>
          </w:p>
          <w:p w14:paraId="44AA5AB6">
            <w:pPr>
              <w:pStyle w:val="5"/>
              <w:tabs>
                <w:tab w:val="left" w:pos="9984"/>
              </w:tabs>
              <w:rPr>
                <w:rFonts w:hAnsi="宋体" w:cs="宋体"/>
                <w:sz w:val="24"/>
                <w:szCs w:val="24"/>
              </w:rPr>
            </w:pPr>
            <w:r>
              <w:rPr>
                <w:rFonts w:hint="eastAsia" w:hAnsi="宋体" w:cs="宋体"/>
                <w:sz w:val="24"/>
                <w:szCs w:val="24"/>
              </w:rPr>
              <w:tab/>
            </w:r>
          </w:p>
          <w:p w14:paraId="0BABD168">
            <w:pPr>
              <w:pStyle w:val="5"/>
              <w:tabs>
                <w:tab w:val="left" w:pos="3174"/>
                <w:tab w:val="left" w:pos="6861"/>
              </w:tabs>
              <w:rPr>
                <w:rFonts w:hAnsi="宋体" w:cs="宋体"/>
                <w:b/>
                <w:bCs/>
                <w:kern w:val="0"/>
                <w:sz w:val="24"/>
                <w:szCs w:val="24"/>
              </w:rPr>
            </w:pPr>
            <w:r>
              <w:rPr>
                <w:rFonts w:hint="eastAsia" w:hAnsi="宋体" w:cs="宋体"/>
                <w:b/>
                <w:bCs/>
                <w:sz w:val="24"/>
                <w:szCs w:val="24"/>
              </w:rPr>
              <w:t xml:space="preserve"> </w:t>
            </w:r>
            <w:r>
              <w:rPr>
                <w:rFonts w:hint="eastAsia" w:hAnsi="宋体" w:cs="宋体"/>
                <w:b/>
                <w:bCs/>
                <w:kern w:val="0"/>
                <w:sz w:val="24"/>
                <w:szCs w:val="24"/>
              </w:rPr>
              <w:t xml:space="preserve">图2 </w:t>
            </w:r>
          </w:p>
          <w:p w14:paraId="178F20AB">
            <w:pPr>
              <w:pStyle w:val="5"/>
              <w:tabs>
                <w:tab w:val="left" w:pos="3174"/>
                <w:tab w:val="left" w:pos="6861"/>
              </w:tabs>
              <w:rPr>
                <w:rFonts w:hAnsi="宋体" w:cs="宋体"/>
                <w:b/>
                <w:bCs/>
                <w:sz w:val="24"/>
                <w:szCs w:val="24"/>
              </w:rPr>
            </w:pPr>
          </w:p>
          <w:p w14:paraId="6F52F954">
            <w:pPr>
              <w:pStyle w:val="5"/>
              <w:tabs>
                <w:tab w:val="left" w:pos="3174"/>
                <w:tab w:val="left" w:pos="6861"/>
              </w:tabs>
              <w:rPr>
                <w:rFonts w:hAnsi="宋体" w:cs="宋体"/>
                <w:b/>
                <w:bCs/>
                <w:sz w:val="24"/>
                <w:szCs w:val="24"/>
              </w:rPr>
            </w:pPr>
          </w:p>
          <w:p w14:paraId="159680AB">
            <w:pPr>
              <w:pStyle w:val="5"/>
              <w:tabs>
                <w:tab w:val="left" w:pos="3174"/>
                <w:tab w:val="left" w:pos="6861"/>
              </w:tabs>
              <w:rPr>
                <w:rFonts w:hAnsi="宋体" w:cs="宋体"/>
                <w:b/>
                <w:bCs/>
                <w:sz w:val="24"/>
                <w:szCs w:val="24"/>
              </w:rPr>
            </w:pPr>
          </w:p>
          <w:p w14:paraId="51F38B92">
            <w:pPr>
              <w:rPr>
                <w:rFonts w:ascii="宋体" w:hAnsi="宋体" w:cs="宋体"/>
                <w:sz w:val="24"/>
                <w:szCs w:val="24"/>
              </w:rPr>
            </w:pPr>
          </w:p>
        </w:tc>
      </w:tr>
    </w:tbl>
    <w:p w14:paraId="4F7EEE4D">
      <w:pPr>
        <w:widowControl w:val="0"/>
        <w:numPr>
          <w:ilvl w:val="0"/>
          <w:numId w:val="0"/>
        </w:numPr>
        <w:spacing w:line="360" w:lineRule="auto"/>
        <w:jc w:val="both"/>
        <w:rPr>
          <w:rFonts w:hint="eastAsia" w:ascii="宋体" w:hAnsi="宋体" w:cs="宋体"/>
          <w:b/>
          <w:sz w:val="24"/>
          <w:szCs w:val="24"/>
          <w:highlight w:val="none"/>
          <w:lang w:val="en-US" w:eastAsia="zh-CN"/>
        </w:rPr>
      </w:pPr>
      <w:r>
        <w:rPr>
          <w:rFonts w:hint="eastAsia" w:ascii="宋体" w:hAnsi="宋体" w:cs="宋体"/>
          <w:b/>
          <w:sz w:val="24"/>
          <w:szCs w:val="24"/>
          <w:highlight w:val="none"/>
          <w:lang w:val="en-US" w:eastAsia="zh-CN"/>
        </w:rPr>
        <w:t>更正为：</w:t>
      </w:r>
    </w:p>
    <w:p w14:paraId="6183148D">
      <w:pPr>
        <w:ind w:firstLine="482" w:firstLineChars="200"/>
        <w:rPr>
          <w:rFonts w:hint="eastAsia" w:ascii="宋体" w:hAnsi="宋体"/>
          <w:b/>
          <w:bCs/>
          <w:sz w:val="24"/>
          <w:szCs w:val="24"/>
        </w:rPr>
      </w:pPr>
      <w:bookmarkStart w:id="9" w:name="OLE_LINK3"/>
      <w:bookmarkStart w:id="10" w:name="OLE_LINK4"/>
      <w:r>
        <w:rPr>
          <w:rFonts w:hint="eastAsia" w:ascii="宋体" w:hAnsi="宋体"/>
          <w:b/>
          <w:bCs/>
          <w:sz w:val="24"/>
          <w:szCs w:val="24"/>
        </w:rPr>
        <w:t>样品要求</w:t>
      </w:r>
      <w:r>
        <w:rPr>
          <w:rFonts w:hint="eastAsia" w:ascii="宋体" w:hAnsi="宋体"/>
          <w:b/>
          <w:bCs/>
          <w:sz w:val="24"/>
          <w:szCs w:val="24"/>
          <w:lang w:eastAsia="zh-CN"/>
        </w:rPr>
        <w:t>：</w:t>
      </w:r>
      <w:r>
        <w:rPr>
          <w:rFonts w:hint="eastAsia"/>
          <w:b/>
          <w:bCs/>
          <w:color w:val="auto"/>
          <w:sz w:val="24"/>
          <w:highlight w:val="none"/>
        </w:rPr>
        <w:t>投标人在递交投标文件时应提供以下样品投标人提供的样品须为全新的产品，禁止使用废旧产品及3D打印、NC加工产品。投标人应在投标截止时间前按招标文件要求送达样品。</w:t>
      </w:r>
    </w:p>
    <w:p w14:paraId="15A40303">
      <w:pPr>
        <w:ind w:firstLine="480" w:firstLineChars="200"/>
        <w:jc w:val="center"/>
      </w:pPr>
      <w:r>
        <w:rPr>
          <w:rFonts w:hint="eastAsia"/>
          <w:sz w:val="24"/>
        </w:rPr>
        <w:t>样品清单</w:t>
      </w:r>
    </w:p>
    <w:bookmarkEnd w:id="9"/>
    <w:bookmarkEnd w:id="10"/>
    <w:tbl>
      <w:tblPr>
        <w:tblStyle w:val="8"/>
        <w:tblW w:w="8739"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696"/>
        <w:gridCol w:w="1422"/>
        <w:gridCol w:w="5925"/>
      </w:tblGrid>
      <w:tr w14:paraId="4DA6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noWrap w:val="0"/>
            <w:vAlign w:val="center"/>
          </w:tcPr>
          <w:p w14:paraId="3FB4F4EE">
            <w:pPr>
              <w:spacing w:line="360" w:lineRule="auto"/>
              <w:jc w:val="center"/>
              <w:rPr>
                <w:rFonts w:ascii="宋体" w:hAnsi="宋体" w:cs="宋体"/>
                <w:sz w:val="24"/>
                <w:szCs w:val="24"/>
              </w:rPr>
            </w:pPr>
            <w:bookmarkStart w:id="11" w:name="OLE_LINK2"/>
            <w:bookmarkStart w:id="12" w:name="OLE_LINK1"/>
          </w:p>
        </w:tc>
        <w:tc>
          <w:tcPr>
            <w:tcW w:w="696" w:type="dxa"/>
            <w:noWrap w:val="0"/>
            <w:vAlign w:val="center"/>
          </w:tcPr>
          <w:p w14:paraId="7D5B33AA">
            <w:pPr>
              <w:spacing w:line="360" w:lineRule="auto"/>
              <w:jc w:val="center"/>
              <w:rPr>
                <w:rFonts w:ascii="宋体" w:hAnsi="宋体" w:cs="宋体"/>
                <w:sz w:val="24"/>
                <w:szCs w:val="24"/>
              </w:rPr>
            </w:pPr>
          </w:p>
        </w:tc>
        <w:tc>
          <w:tcPr>
            <w:tcW w:w="1422" w:type="dxa"/>
            <w:noWrap w:val="0"/>
            <w:vAlign w:val="center"/>
          </w:tcPr>
          <w:p w14:paraId="7C0106E7">
            <w:pPr>
              <w:spacing w:line="360" w:lineRule="auto"/>
              <w:jc w:val="center"/>
              <w:rPr>
                <w:rFonts w:ascii="宋体" w:hAnsi="宋体" w:cs="宋体"/>
                <w:sz w:val="24"/>
                <w:szCs w:val="24"/>
              </w:rPr>
            </w:pPr>
          </w:p>
        </w:tc>
        <w:tc>
          <w:tcPr>
            <w:tcW w:w="5925" w:type="dxa"/>
            <w:noWrap w:val="0"/>
            <w:vAlign w:val="center"/>
          </w:tcPr>
          <w:p w14:paraId="189AAB26">
            <w:pPr>
              <w:pStyle w:val="7"/>
              <w:ind w:firstLine="0" w:firstLineChars="0"/>
              <w:rPr>
                <w:rFonts w:hint="eastAsia" w:ascii="宋体" w:hAnsi="宋体" w:eastAsia="宋体" w:cs="宋体"/>
                <w:sz w:val="24"/>
                <w:szCs w:val="24"/>
              </w:rPr>
            </w:pPr>
            <w:r>
              <w:rPr>
                <w:rFonts w:hint="eastAsia" w:ascii="宋体" w:hAnsi="宋体" w:eastAsia="宋体" w:cs="宋体"/>
                <w:sz w:val="24"/>
                <w:szCs w:val="24"/>
              </w:rPr>
              <w:t>样品1、课桌30×60×1.2mm椭圆管1根（喷漆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长度500mm</w:t>
            </w:r>
            <w:r>
              <w:rPr>
                <w:rFonts w:hint="eastAsia" w:ascii="宋体" w:hAnsi="宋体" w:eastAsia="宋体" w:cs="宋体"/>
                <w:sz w:val="24"/>
                <w:szCs w:val="24"/>
              </w:rPr>
              <w:t>）、升降套管25×50×1.2mm椭圆管1根（喷漆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长度500mm</w:t>
            </w:r>
            <w:r>
              <w:rPr>
                <w:rFonts w:hint="eastAsia" w:ascii="宋体" w:hAnsi="宋体" w:eastAsia="宋体" w:cs="宋体"/>
                <w:sz w:val="24"/>
                <w:szCs w:val="24"/>
              </w:rPr>
              <w:t>）；</w:t>
            </w:r>
          </w:p>
          <w:p w14:paraId="5A941750">
            <w:pPr>
              <w:pStyle w:val="7"/>
              <w:ind w:firstLine="0" w:firstLineChars="0"/>
              <w:rPr>
                <w:rFonts w:hint="eastAsia" w:ascii="宋体" w:hAnsi="宋体" w:eastAsia="宋体" w:cs="宋体"/>
                <w:sz w:val="24"/>
                <w:szCs w:val="24"/>
              </w:rPr>
            </w:pPr>
            <w:r>
              <w:rPr>
                <w:rFonts w:hint="eastAsia" w:ascii="宋体" w:hAnsi="宋体" w:eastAsia="宋体" w:cs="宋体"/>
                <w:sz w:val="24"/>
                <w:szCs w:val="24"/>
              </w:rPr>
              <w:t>样品2、公寓组合铁床样品：</w:t>
            </w:r>
          </w:p>
          <w:p w14:paraId="1D71A1F2">
            <w:pPr>
              <w:pStyle w:val="5"/>
              <w:spacing w:line="360" w:lineRule="auto"/>
              <w:rPr>
                <w:rFonts w:hint="eastAsia" w:ascii="宋体" w:hAnsi="宋体" w:eastAsia="宋体" w:cs="宋体"/>
                <w:sz w:val="24"/>
                <w:szCs w:val="24"/>
              </w:rPr>
            </w:pPr>
            <w:r>
              <w:rPr>
                <w:rFonts w:hint="eastAsia" w:ascii="宋体" w:hAnsi="宋体" w:eastAsia="宋体" w:cs="宋体"/>
                <w:sz w:val="24"/>
                <w:szCs w:val="24"/>
              </w:rPr>
              <w:t xml:space="preserve"> ①床两侧立柱采用环形密闭冷轧钢管（喷漆和未喷漆1根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长度800mm</w:t>
            </w:r>
            <w:r>
              <w:rPr>
                <w:rFonts w:hint="eastAsia" w:ascii="宋体" w:hAnsi="宋体" w:eastAsia="宋体" w:cs="宋体"/>
                <w:sz w:val="24"/>
                <w:szCs w:val="24"/>
              </w:rPr>
              <w:t>），厚度1.2mm，外径72mm，横面40mm,弧形面三条内凹加强筋。（</w:t>
            </w:r>
            <w:r>
              <w:rPr>
                <w:rFonts w:hint="eastAsia" w:ascii="宋体" w:hAnsi="宋体" w:eastAsia="宋体" w:cs="宋体"/>
                <w:sz w:val="24"/>
                <w:szCs w:val="24"/>
                <w:lang w:val="en-US" w:eastAsia="zh-CN"/>
              </w:rPr>
              <w:t>示意图如下1</w:t>
            </w:r>
            <w:r>
              <w:rPr>
                <w:rFonts w:hint="eastAsia" w:ascii="宋体" w:hAnsi="宋体" w:eastAsia="宋体" w:cs="宋体"/>
                <w:sz w:val="24"/>
                <w:szCs w:val="24"/>
              </w:rPr>
              <w:t xml:space="preserve">）； </w:t>
            </w:r>
          </w:p>
          <w:p w14:paraId="0354733C">
            <w:pPr>
              <w:pStyle w:val="5"/>
              <w:spacing w:line="360" w:lineRule="auto"/>
              <w:rPr>
                <w:rFonts w:hint="eastAsia" w:ascii="宋体" w:hAnsi="宋体" w:eastAsia="宋体" w:cs="宋体"/>
                <w:sz w:val="24"/>
                <w:szCs w:val="24"/>
              </w:rPr>
            </w:pPr>
            <w:r>
              <w:rPr>
                <w:rFonts w:hint="eastAsia" w:ascii="宋体" w:hAnsi="宋体" w:eastAsia="宋体" w:cs="宋体"/>
                <w:sz w:val="24"/>
                <w:szCs w:val="24"/>
              </w:rPr>
              <w:t xml:space="preserve"> ②床横梁下方三角形加固件小样(喷漆和未喷漆1个)：规格125mm×125mm，外侧面为弧形设计，内设计两个外形接近三角形的加强筋设计，两边长各不小于90mm、60mm（</w:t>
            </w:r>
            <w:r>
              <w:rPr>
                <w:rFonts w:hint="eastAsia" w:ascii="宋体" w:hAnsi="宋体" w:eastAsia="宋体" w:cs="宋体"/>
                <w:sz w:val="24"/>
                <w:szCs w:val="24"/>
                <w:lang w:val="en-US" w:eastAsia="zh-CN"/>
              </w:rPr>
              <w:t>示意图如下2</w:t>
            </w:r>
            <w:r>
              <w:rPr>
                <w:rFonts w:hint="eastAsia" w:ascii="宋体" w:hAnsi="宋体" w:eastAsia="宋体" w:cs="宋体"/>
                <w:sz w:val="24"/>
                <w:szCs w:val="24"/>
              </w:rPr>
              <w:t>）；</w:t>
            </w:r>
          </w:p>
          <w:p w14:paraId="09339821">
            <w:pPr>
              <w:rPr>
                <w:rFonts w:hint="eastAsia" w:ascii="宋体" w:hAnsi="宋体" w:eastAsia="宋体" w:cs="宋体"/>
                <w:sz w:val="24"/>
                <w:szCs w:val="24"/>
              </w:rPr>
            </w:pPr>
            <w:r>
              <w:rPr>
                <w:rFonts w:hint="eastAsia" w:ascii="宋体" w:hAnsi="宋体" w:cs="宋体"/>
                <w:color w:val="auto"/>
                <w:sz w:val="24"/>
                <w:szCs w:val="24"/>
                <w:highlight w:val="none"/>
                <w:lang w:bidi="ar"/>
              </w:rPr>
              <w:t>③</w:t>
            </w:r>
            <w:r>
              <w:rPr>
                <w:rFonts w:hint="eastAsia" w:ascii="宋体" w:hAnsi="宋体" w:cs="宋体"/>
                <w:color w:val="auto"/>
                <w:sz w:val="24"/>
                <w:szCs w:val="24"/>
                <w:highlight w:val="none"/>
              </w:rPr>
              <w:t>床长横梁小样(</w:t>
            </w:r>
            <w:r>
              <w:rPr>
                <w:rFonts w:hint="eastAsia" w:hAnsi="宋体" w:cs="宋体"/>
                <w:sz w:val="24"/>
                <w:szCs w:val="24"/>
              </w:rPr>
              <w:t>喷漆和</w:t>
            </w:r>
            <w:r>
              <w:rPr>
                <w:rFonts w:hint="eastAsia" w:ascii="宋体" w:hAnsi="宋体" w:cs="宋体"/>
                <w:color w:val="auto"/>
                <w:sz w:val="24"/>
                <w:szCs w:val="24"/>
                <w:highlight w:val="none"/>
              </w:rPr>
              <w:t>未喷漆1根)长</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00mm：85mm*42mm密闭L型管。</w:t>
            </w:r>
            <w:r>
              <w:rPr>
                <w:rFonts w:hint="eastAsia" w:ascii="宋体" w:hAnsi="宋体" w:cs="宋体"/>
                <w:color w:val="auto"/>
                <w:sz w:val="24"/>
                <w:szCs w:val="24"/>
                <w:highlight w:val="none"/>
                <w:lang w:bidi="ar"/>
              </w:rPr>
              <w:t>（</w:t>
            </w:r>
            <w:r>
              <w:rPr>
                <w:rFonts w:hint="eastAsia" w:ascii="宋体" w:hAnsi="宋体" w:eastAsia="宋体" w:cs="宋体"/>
                <w:sz w:val="24"/>
                <w:szCs w:val="24"/>
                <w:lang w:val="en-US" w:eastAsia="zh-CN"/>
              </w:rPr>
              <w:t>示意图如下</w:t>
            </w:r>
            <w:r>
              <w:rPr>
                <w:rFonts w:hint="eastAsia" w:ascii="宋体" w:hAnsi="宋体" w:cs="宋体"/>
                <w:sz w:val="24"/>
                <w:szCs w:val="24"/>
                <w:lang w:val="en-US" w:eastAsia="zh-CN"/>
              </w:rPr>
              <w:t>3</w:t>
            </w:r>
            <w:r>
              <w:rPr>
                <w:rFonts w:hint="eastAsia" w:ascii="宋体" w:hAnsi="宋体" w:cs="宋体"/>
                <w:color w:val="auto"/>
                <w:sz w:val="24"/>
                <w:szCs w:val="24"/>
                <w:highlight w:val="none"/>
                <w:lang w:bidi="ar"/>
              </w:rPr>
              <w:t>）；</w:t>
            </w:r>
          </w:p>
          <w:p w14:paraId="5E5F4B75">
            <w:pPr>
              <w:pStyle w:val="5"/>
              <w:spacing w:line="360" w:lineRule="auto"/>
              <w:rPr>
                <w:rFonts w:hAnsi="宋体" w:cs="宋体"/>
                <w:b/>
                <w:bCs/>
                <w:sz w:val="24"/>
                <w:szCs w:val="24"/>
              </w:rPr>
            </w:pPr>
            <w:r>
              <w:rPr>
                <w:rFonts w:hint="eastAsia" w:hAnsi="宋体" w:cs="宋体"/>
                <w:sz w:val="24"/>
                <w:szCs w:val="24"/>
              </w:rPr>
              <w:drawing>
                <wp:anchor distT="0" distB="0" distL="114300" distR="114300" simplePos="0" relativeHeight="251659264" behindDoc="0" locked="0" layoutInCell="1" allowOverlap="1">
                  <wp:simplePos x="0" y="0"/>
                  <wp:positionH relativeFrom="column">
                    <wp:posOffset>710565</wp:posOffset>
                  </wp:positionH>
                  <wp:positionV relativeFrom="paragraph">
                    <wp:posOffset>269875</wp:posOffset>
                  </wp:positionV>
                  <wp:extent cx="2297430" cy="1645285"/>
                  <wp:effectExtent l="0" t="0" r="7620" b="12065"/>
                  <wp:wrapNone/>
                  <wp:docPr id="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pic:cNvPicPr>
                            <a:picLocks noChangeAspect="1"/>
                          </pic:cNvPicPr>
                        </pic:nvPicPr>
                        <pic:blipFill>
                          <a:blip r:embed="rId6"/>
                          <a:stretch>
                            <a:fillRect/>
                          </a:stretch>
                        </pic:blipFill>
                        <pic:spPr>
                          <a:xfrm>
                            <a:off x="0" y="0"/>
                            <a:ext cx="2297430" cy="1645285"/>
                          </a:xfrm>
                          <a:prstGeom prst="rect">
                            <a:avLst/>
                          </a:prstGeom>
                          <a:noFill/>
                          <a:ln>
                            <a:noFill/>
                          </a:ln>
                        </pic:spPr>
                      </pic:pic>
                    </a:graphicData>
                  </a:graphic>
                </wp:anchor>
              </w:drawing>
            </w:r>
            <w:r>
              <w:rPr>
                <w:rFonts w:hint="eastAsia" w:hAnsi="宋体" w:cs="宋体"/>
                <w:b/>
                <w:bCs/>
                <w:sz w:val="24"/>
                <w:szCs w:val="24"/>
              </w:rPr>
              <w:t>图1</w:t>
            </w:r>
            <w:r>
              <w:rPr>
                <w:rFonts w:hint="eastAsia" w:hAnsi="宋体" w:cs="宋体"/>
                <w:b/>
                <w:bCs/>
                <w:sz w:val="24"/>
                <w:szCs w:val="24"/>
              </w:rPr>
              <w:tab/>
            </w:r>
          </w:p>
          <w:p w14:paraId="16E9777F">
            <w:pPr>
              <w:pStyle w:val="5"/>
              <w:rPr>
                <w:rFonts w:hAnsi="宋体" w:cs="宋体"/>
                <w:sz w:val="24"/>
                <w:szCs w:val="24"/>
              </w:rPr>
            </w:pPr>
          </w:p>
          <w:p w14:paraId="7D5509A3">
            <w:pPr>
              <w:pStyle w:val="5"/>
              <w:rPr>
                <w:rFonts w:hAnsi="宋体" w:cs="宋体"/>
                <w:sz w:val="24"/>
                <w:szCs w:val="24"/>
              </w:rPr>
            </w:pPr>
          </w:p>
          <w:p w14:paraId="0B505111">
            <w:pPr>
              <w:pStyle w:val="5"/>
              <w:rPr>
                <w:rFonts w:hAnsi="宋体" w:cs="宋体"/>
                <w:sz w:val="24"/>
                <w:szCs w:val="24"/>
              </w:rPr>
            </w:pPr>
          </w:p>
          <w:p w14:paraId="6F4D4A9A">
            <w:pPr>
              <w:pStyle w:val="5"/>
              <w:rPr>
                <w:rFonts w:hAnsi="宋体" w:cs="宋体"/>
                <w:sz w:val="24"/>
                <w:szCs w:val="24"/>
              </w:rPr>
            </w:pPr>
          </w:p>
          <w:p w14:paraId="38201607">
            <w:pPr>
              <w:pStyle w:val="5"/>
              <w:rPr>
                <w:rFonts w:hAnsi="宋体" w:cs="宋体"/>
                <w:sz w:val="24"/>
                <w:szCs w:val="24"/>
              </w:rPr>
            </w:pPr>
          </w:p>
          <w:p w14:paraId="2B94C492">
            <w:pPr>
              <w:pStyle w:val="5"/>
              <w:rPr>
                <w:rFonts w:hAnsi="宋体" w:cs="宋体"/>
                <w:sz w:val="24"/>
                <w:szCs w:val="24"/>
              </w:rPr>
            </w:pPr>
          </w:p>
          <w:p w14:paraId="76C9BD6C">
            <w:pPr>
              <w:pStyle w:val="5"/>
              <w:rPr>
                <w:rFonts w:hAnsi="宋体" w:cs="宋体"/>
                <w:sz w:val="24"/>
                <w:szCs w:val="24"/>
              </w:rPr>
            </w:pPr>
          </w:p>
          <w:p w14:paraId="30741AB8">
            <w:pPr>
              <w:pStyle w:val="5"/>
              <w:tabs>
                <w:tab w:val="left" w:pos="9984"/>
              </w:tabs>
              <w:rPr>
                <w:rFonts w:hAnsi="宋体" w:cs="宋体"/>
                <w:sz w:val="24"/>
                <w:szCs w:val="24"/>
              </w:rPr>
            </w:pPr>
          </w:p>
          <w:p w14:paraId="68F8C9A5">
            <w:pPr>
              <w:pStyle w:val="5"/>
              <w:tabs>
                <w:tab w:val="left" w:pos="9984"/>
              </w:tabs>
              <w:rPr>
                <w:rFonts w:hAnsi="宋体" w:cs="宋体"/>
                <w:sz w:val="24"/>
                <w:szCs w:val="24"/>
              </w:rPr>
            </w:pPr>
          </w:p>
          <w:p w14:paraId="5A4F44F3">
            <w:pPr>
              <w:pStyle w:val="5"/>
              <w:tabs>
                <w:tab w:val="left" w:pos="9984"/>
              </w:tabs>
              <w:rPr>
                <w:rFonts w:hAnsi="宋体" w:cs="宋体"/>
                <w:sz w:val="24"/>
                <w:szCs w:val="24"/>
              </w:rPr>
            </w:pPr>
            <w:r>
              <w:rPr>
                <w:rFonts w:hint="eastAsia" w:hAnsi="宋体" w:cs="宋体"/>
              </w:rPr>
              <w:drawing>
                <wp:anchor distT="0" distB="0" distL="114300" distR="114300" simplePos="0" relativeHeight="251660288" behindDoc="0" locked="0" layoutInCell="1" allowOverlap="1">
                  <wp:simplePos x="0" y="0"/>
                  <wp:positionH relativeFrom="column">
                    <wp:posOffset>1019810</wp:posOffset>
                  </wp:positionH>
                  <wp:positionV relativeFrom="paragraph">
                    <wp:posOffset>143510</wp:posOffset>
                  </wp:positionV>
                  <wp:extent cx="1435100" cy="1711325"/>
                  <wp:effectExtent l="0" t="0" r="12700" b="3175"/>
                  <wp:wrapNone/>
                  <wp:docPr id="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2"/>
                          <pic:cNvPicPr>
                            <a:picLocks noChangeAspect="1"/>
                          </pic:cNvPicPr>
                        </pic:nvPicPr>
                        <pic:blipFill>
                          <a:blip r:embed="rId7"/>
                          <a:stretch>
                            <a:fillRect/>
                          </a:stretch>
                        </pic:blipFill>
                        <pic:spPr>
                          <a:xfrm>
                            <a:off x="0" y="0"/>
                            <a:ext cx="1435100" cy="1711325"/>
                          </a:xfrm>
                          <a:prstGeom prst="rect">
                            <a:avLst/>
                          </a:prstGeom>
                          <a:noFill/>
                          <a:ln>
                            <a:noFill/>
                          </a:ln>
                        </pic:spPr>
                      </pic:pic>
                    </a:graphicData>
                  </a:graphic>
                </wp:anchor>
              </w:drawing>
            </w:r>
            <w:r>
              <w:rPr>
                <w:rFonts w:hint="eastAsia" w:hAnsi="宋体" w:cs="宋体"/>
                <w:sz w:val="24"/>
                <w:szCs w:val="24"/>
              </w:rPr>
              <w:tab/>
            </w:r>
          </w:p>
          <w:p w14:paraId="207A57F2">
            <w:pPr>
              <w:pStyle w:val="5"/>
              <w:tabs>
                <w:tab w:val="left" w:pos="3174"/>
                <w:tab w:val="left" w:pos="6861"/>
              </w:tabs>
              <w:rPr>
                <w:rFonts w:hAnsi="宋体" w:cs="宋体"/>
                <w:b/>
                <w:bCs/>
                <w:kern w:val="0"/>
                <w:sz w:val="24"/>
                <w:szCs w:val="24"/>
              </w:rPr>
            </w:pPr>
            <w:r>
              <w:rPr>
                <w:rFonts w:hint="eastAsia" w:hAnsi="宋体" w:cs="宋体"/>
                <w:b/>
                <w:bCs/>
                <w:sz w:val="24"/>
                <w:szCs w:val="24"/>
              </w:rPr>
              <w:t xml:space="preserve"> </w:t>
            </w:r>
            <w:r>
              <w:rPr>
                <w:rFonts w:hint="eastAsia" w:hAnsi="宋体" w:cs="宋体"/>
                <w:b/>
                <w:bCs/>
                <w:kern w:val="0"/>
                <w:sz w:val="24"/>
                <w:szCs w:val="24"/>
              </w:rPr>
              <w:t xml:space="preserve">图2 </w:t>
            </w:r>
          </w:p>
          <w:p w14:paraId="51BC3BF4">
            <w:pPr>
              <w:pStyle w:val="5"/>
              <w:tabs>
                <w:tab w:val="left" w:pos="3174"/>
                <w:tab w:val="left" w:pos="6861"/>
              </w:tabs>
              <w:rPr>
                <w:rFonts w:hAnsi="宋体" w:cs="宋体"/>
                <w:b/>
                <w:bCs/>
                <w:sz w:val="24"/>
                <w:szCs w:val="24"/>
              </w:rPr>
            </w:pPr>
          </w:p>
          <w:p w14:paraId="4F76B49D">
            <w:pPr>
              <w:pStyle w:val="5"/>
              <w:tabs>
                <w:tab w:val="left" w:pos="3174"/>
                <w:tab w:val="left" w:pos="6861"/>
              </w:tabs>
              <w:rPr>
                <w:rFonts w:hAnsi="宋体" w:cs="宋体"/>
                <w:b/>
                <w:bCs/>
                <w:sz w:val="24"/>
                <w:szCs w:val="24"/>
              </w:rPr>
            </w:pPr>
          </w:p>
          <w:p w14:paraId="603B00DD">
            <w:pPr>
              <w:pStyle w:val="5"/>
              <w:tabs>
                <w:tab w:val="left" w:pos="3174"/>
                <w:tab w:val="left" w:pos="6861"/>
              </w:tabs>
              <w:rPr>
                <w:rFonts w:hAnsi="宋体" w:cs="宋体"/>
                <w:b/>
                <w:bCs/>
                <w:sz w:val="24"/>
                <w:szCs w:val="24"/>
              </w:rPr>
            </w:pPr>
          </w:p>
          <w:p w14:paraId="439E25F8">
            <w:pPr>
              <w:pStyle w:val="5"/>
              <w:tabs>
                <w:tab w:val="left" w:pos="3174"/>
                <w:tab w:val="left" w:pos="6861"/>
              </w:tabs>
              <w:rPr>
                <w:rFonts w:hAnsi="宋体" w:cs="宋体"/>
                <w:b/>
                <w:bCs/>
                <w:sz w:val="24"/>
                <w:szCs w:val="24"/>
              </w:rPr>
            </w:pPr>
          </w:p>
          <w:p w14:paraId="0075C5C1">
            <w:pPr>
              <w:pStyle w:val="5"/>
              <w:tabs>
                <w:tab w:val="left" w:pos="3174"/>
                <w:tab w:val="left" w:pos="6861"/>
              </w:tabs>
              <w:rPr>
                <w:rFonts w:hAnsi="宋体" w:cs="宋体"/>
                <w:b/>
                <w:bCs/>
                <w:sz w:val="24"/>
                <w:szCs w:val="24"/>
              </w:rPr>
            </w:pPr>
          </w:p>
          <w:p w14:paraId="357C509B">
            <w:pPr>
              <w:pStyle w:val="5"/>
              <w:tabs>
                <w:tab w:val="left" w:pos="3174"/>
                <w:tab w:val="left" w:pos="6861"/>
              </w:tabs>
              <w:rPr>
                <w:rFonts w:hAnsi="宋体" w:cs="宋体"/>
                <w:b/>
                <w:bCs/>
                <w:sz w:val="24"/>
                <w:szCs w:val="24"/>
              </w:rPr>
            </w:pPr>
          </w:p>
          <w:p w14:paraId="7C449F9B">
            <w:pPr>
              <w:pStyle w:val="5"/>
              <w:tabs>
                <w:tab w:val="left" w:pos="3174"/>
                <w:tab w:val="left" w:pos="6861"/>
              </w:tabs>
              <w:rPr>
                <w:rFonts w:hAnsi="宋体" w:cs="宋体"/>
                <w:b/>
                <w:bCs/>
                <w:sz w:val="24"/>
                <w:szCs w:val="24"/>
              </w:rPr>
            </w:pPr>
          </w:p>
          <w:p w14:paraId="0979C1F5">
            <w:pPr>
              <w:pStyle w:val="5"/>
              <w:tabs>
                <w:tab w:val="left" w:pos="3174"/>
                <w:tab w:val="left" w:pos="6861"/>
              </w:tabs>
              <w:rPr>
                <w:rFonts w:hAnsi="宋体" w:cs="宋体"/>
                <w:b/>
                <w:bCs/>
                <w:sz w:val="24"/>
                <w:szCs w:val="24"/>
              </w:rPr>
            </w:pPr>
          </w:p>
          <w:p w14:paraId="63F3FD57">
            <w:pPr>
              <w:pStyle w:val="5"/>
              <w:tabs>
                <w:tab w:val="left" w:pos="3174"/>
                <w:tab w:val="left" w:pos="6861"/>
              </w:tabs>
              <w:rPr>
                <w:rFonts w:hAnsi="宋体" w:cs="宋体"/>
                <w:b/>
                <w:bCs/>
                <w:sz w:val="24"/>
                <w:szCs w:val="24"/>
              </w:rPr>
            </w:pPr>
          </w:p>
          <w:p w14:paraId="16E0186F">
            <w:pPr>
              <w:pStyle w:val="5"/>
              <w:tabs>
                <w:tab w:val="left" w:pos="3174"/>
                <w:tab w:val="left" w:pos="6861"/>
              </w:tabs>
              <w:rPr>
                <w:rFonts w:hint="default" w:hAnsi="宋体" w:eastAsia="宋体" w:cs="宋体"/>
                <w:b/>
                <w:bCs/>
                <w:sz w:val="24"/>
                <w:szCs w:val="24"/>
                <w:lang w:val="en-US" w:eastAsia="zh-CN"/>
              </w:rPr>
            </w:pPr>
            <w:r>
              <w:rPr>
                <w:rFonts w:hint="eastAsia" w:hAnsi="宋体" w:cs="宋体"/>
                <w:b/>
                <w:bCs/>
                <w:sz w:val="24"/>
                <w:szCs w:val="24"/>
                <w:lang w:val="en-US" w:eastAsia="zh-CN"/>
              </w:rPr>
              <w:t>图3</w:t>
            </w:r>
          </w:p>
          <w:p w14:paraId="4F7864AC">
            <w:pPr>
              <w:pStyle w:val="5"/>
              <w:tabs>
                <w:tab w:val="left" w:pos="3174"/>
                <w:tab w:val="left" w:pos="6861"/>
              </w:tabs>
              <w:rPr>
                <w:rFonts w:hAnsi="宋体" w:cs="宋体"/>
                <w:b/>
                <w:bCs/>
                <w:sz w:val="24"/>
                <w:szCs w:val="24"/>
              </w:rPr>
            </w:pPr>
            <w:r>
              <w:rPr>
                <w:rFonts w:hint="eastAsia" w:hAnsi="宋体" w:eastAsia="宋体" w:cs="宋体"/>
                <w:b/>
                <w:bCs/>
                <w:color w:val="auto"/>
                <w:sz w:val="24"/>
                <w:szCs w:val="24"/>
                <w:highlight w:val="none"/>
                <w:lang w:eastAsia="zh-CN"/>
              </w:rPr>
              <w:drawing>
                <wp:anchor distT="0" distB="0" distL="114300" distR="114300" simplePos="0" relativeHeight="251661312" behindDoc="0" locked="0" layoutInCell="1" allowOverlap="1">
                  <wp:simplePos x="0" y="0"/>
                  <wp:positionH relativeFrom="column">
                    <wp:posOffset>618490</wp:posOffset>
                  </wp:positionH>
                  <wp:positionV relativeFrom="paragraph">
                    <wp:posOffset>74930</wp:posOffset>
                  </wp:positionV>
                  <wp:extent cx="2204085" cy="1577340"/>
                  <wp:effectExtent l="0" t="0" r="5715" b="3810"/>
                  <wp:wrapNone/>
                  <wp:docPr id="3" name="图片 6" descr="768b7a9f4fa47366c43c5f8d6fd6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768b7a9f4fa47366c43c5f8d6fd63222"/>
                          <pic:cNvPicPr>
                            <a:picLocks noChangeAspect="1"/>
                          </pic:cNvPicPr>
                        </pic:nvPicPr>
                        <pic:blipFill>
                          <a:blip r:embed="rId8"/>
                          <a:stretch>
                            <a:fillRect/>
                          </a:stretch>
                        </pic:blipFill>
                        <pic:spPr>
                          <a:xfrm>
                            <a:off x="0" y="0"/>
                            <a:ext cx="2204085" cy="1577340"/>
                          </a:xfrm>
                          <a:prstGeom prst="rect">
                            <a:avLst/>
                          </a:prstGeom>
                          <a:noFill/>
                          <a:ln>
                            <a:noFill/>
                          </a:ln>
                        </pic:spPr>
                      </pic:pic>
                    </a:graphicData>
                  </a:graphic>
                </wp:anchor>
              </w:drawing>
            </w:r>
          </w:p>
          <w:p w14:paraId="39E2DC7A">
            <w:pPr>
              <w:pStyle w:val="5"/>
              <w:tabs>
                <w:tab w:val="left" w:pos="3174"/>
                <w:tab w:val="left" w:pos="6861"/>
              </w:tabs>
              <w:rPr>
                <w:rFonts w:hAnsi="宋体" w:cs="宋体"/>
                <w:b/>
                <w:bCs/>
                <w:sz w:val="24"/>
                <w:szCs w:val="24"/>
              </w:rPr>
            </w:pPr>
          </w:p>
          <w:p w14:paraId="55831E06">
            <w:pPr>
              <w:rPr>
                <w:rFonts w:ascii="宋体" w:hAnsi="宋体" w:cs="宋体"/>
                <w:sz w:val="24"/>
                <w:szCs w:val="24"/>
              </w:rPr>
            </w:pPr>
          </w:p>
          <w:p w14:paraId="6BFF00BB">
            <w:pPr>
              <w:rPr>
                <w:rFonts w:ascii="宋体" w:hAnsi="宋体" w:cs="宋体"/>
                <w:sz w:val="24"/>
                <w:szCs w:val="24"/>
              </w:rPr>
            </w:pPr>
          </w:p>
          <w:p w14:paraId="5A133A95">
            <w:pPr>
              <w:rPr>
                <w:rFonts w:ascii="宋体" w:hAnsi="宋体" w:cs="宋体"/>
                <w:sz w:val="24"/>
                <w:szCs w:val="24"/>
              </w:rPr>
            </w:pPr>
          </w:p>
          <w:p w14:paraId="73C8CF3B">
            <w:pPr>
              <w:rPr>
                <w:rFonts w:ascii="宋体" w:hAnsi="宋体" w:cs="宋体"/>
                <w:sz w:val="24"/>
                <w:szCs w:val="24"/>
              </w:rPr>
            </w:pPr>
          </w:p>
          <w:p w14:paraId="08C8A511">
            <w:pPr>
              <w:rPr>
                <w:rFonts w:ascii="宋体" w:hAnsi="宋体" w:cs="宋体"/>
                <w:sz w:val="24"/>
                <w:szCs w:val="24"/>
              </w:rPr>
            </w:pPr>
          </w:p>
          <w:p w14:paraId="0691FCAA">
            <w:pPr>
              <w:rPr>
                <w:rFonts w:ascii="宋体" w:hAnsi="宋体" w:cs="宋体"/>
                <w:sz w:val="24"/>
                <w:szCs w:val="24"/>
              </w:rPr>
            </w:pPr>
          </w:p>
          <w:p w14:paraId="3847A901">
            <w:pPr>
              <w:rPr>
                <w:rFonts w:ascii="宋体" w:hAnsi="宋体" w:cs="宋体"/>
                <w:sz w:val="24"/>
                <w:szCs w:val="24"/>
              </w:rPr>
            </w:pPr>
          </w:p>
          <w:p w14:paraId="245F1D55">
            <w:pPr>
              <w:rPr>
                <w:rFonts w:ascii="宋体" w:hAnsi="宋体" w:cs="宋体"/>
                <w:sz w:val="24"/>
                <w:szCs w:val="24"/>
              </w:rPr>
            </w:pPr>
          </w:p>
        </w:tc>
      </w:tr>
      <w:bookmarkEnd w:id="11"/>
      <w:bookmarkEnd w:id="12"/>
    </w:tbl>
    <w:p w14:paraId="37ACA66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sz w:val="24"/>
          <w:szCs w:val="24"/>
          <w:highlight w:val="none"/>
          <w:lang w:eastAsia="zh-CN"/>
        </w:rPr>
      </w:pPr>
    </w:p>
    <w:p w14:paraId="455697D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公告的投标文件提交地点：投标人应于投标截止时间之前登录厦门招投标网（http://www.xmztb.com），并按照系统设定的操作流程将加密电子投标文件上传至厦门招投标网电子交易系统并取得回执。【开标地点：福建省厦门市湖里区云顶北路842号（市政务服务中心4层）C区开标室6(C404）（厦门市公共资源交易中心）】</w:t>
      </w:r>
      <w:r>
        <w:rPr>
          <w:rFonts w:hint="eastAsia" w:ascii="宋体" w:hAnsi="宋体" w:cs="宋体"/>
          <w:sz w:val="24"/>
          <w:szCs w:val="24"/>
          <w:highlight w:val="none"/>
          <w:lang w:eastAsia="zh-CN"/>
        </w:rPr>
        <w:t>。</w:t>
      </w:r>
    </w:p>
    <w:p w14:paraId="4089A176">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更正为：</w:t>
      </w:r>
      <w:bookmarkStart w:id="33" w:name="_GoBack"/>
      <w:bookmarkEnd w:id="33"/>
    </w:p>
    <w:p w14:paraId="06E896FD">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应于投标截止时间之前登录厦门招投标网（http://www.xmztb.com），并按照系统设定的操作流程将加密电子投标文件上传至厦门招投标网电子交易系统并取得回执。【开标地点：福建省厦门市湖里区云顶北路842号（市政务服务中心4层）A区开标室2(A406-2）（厦门市公共资源交易中心）】。</w:t>
      </w:r>
    </w:p>
    <w:p w14:paraId="4A1E77FB">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highlight w:val="none"/>
        </w:rPr>
      </w:pPr>
    </w:p>
    <w:p w14:paraId="186491A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公告的开标地点：投标人应于投标截止时间之前登录厦门招投标网（http://www.xmztb.com），并按照系统设定的操作流程将加密电子投标文件上传至厦门招投标网电子交易系统并取得回执。【开标地点：福建省厦门市湖里区云顶北路842号（市政务服务中心4层）C区开标室6(C404）（厦门市公共资源交易中心）】</w:t>
      </w:r>
      <w:r>
        <w:rPr>
          <w:rFonts w:hint="eastAsia" w:ascii="宋体" w:hAnsi="宋体" w:cs="宋体"/>
          <w:sz w:val="24"/>
          <w:szCs w:val="24"/>
          <w:highlight w:val="none"/>
          <w:lang w:eastAsia="zh-CN"/>
        </w:rPr>
        <w:t>。</w:t>
      </w:r>
    </w:p>
    <w:p w14:paraId="509298E4">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更正为：</w:t>
      </w:r>
    </w:p>
    <w:p w14:paraId="17B76259">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应于投标截止时间之前登录厦门招投标网（http://www.xmztb.com），并按照系统设定的操作流程将加密电子投标文件上传至厦门招投标网电子交易系统并取得回执。【开标地点：福建省厦门市湖里区云顶北路842号（市政务服务中心4层）A区开标室2(A406-2）（厦门市公共资源交易中心）】。</w:t>
      </w:r>
    </w:p>
    <w:p w14:paraId="7CC19D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投标截止时间、开标时间改为：20</w:t>
      </w:r>
      <w:r>
        <w:rPr>
          <w:rFonts w:hint="eastAsia" w:ascii="宋体" w:hAnsi="宋体" w:cs="宋体"/>
          <w:sz w:val="24"/>
          <w:szCs w:val="24"/>
          <w:highlight w:val="none"/>
          <w:lang w:val="en-US" w:eastAsia="zh-CN"/>
        </w:rPr>
        <w:t>26</w:t>
      </w:r>
      <w:r>
        <w:rPr>
          <w:rFonts w:hint="eastAsia" w:ascii="宋体" w:hAnsi="宋体" w:eastAsia="宋体" w:cs="宋体"/>
          <w:sz w:val="24"/>
          <w:szCs w:val="24"/>
          <w:highlight w:val="none"/>
        </w:rPr>
        <w:t>年0</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下</w:t>
      </w:r>
      <w:r>
        <w:rPr>
          <w:rFonts w:hint="eastAsia" w:ascii="宋体" w:hAnsi="宋体" w:eastAsia="宋体" w:cs="宋体"/>
          <w:sz w:val="24"/>
          <w:szCs w:val="24"/>
          <w:highlight w:val="none"/>
        </w:rPr>
        <w:t>午</w:t>
      </w:r>
      <w:r>
        <w:rPr>
          <w:rFonts w:hint="eastAsia" w:ascii="宋体" w:hAnsi="宋体" w:cs="宋体"/>
          <w:sz w:val="24"/>
          <w:szCs w:val="24"/>
          <w:highlight w:val="none"/>
          <w:lang w:val="en-US" w:eastAsia="zh-CN"/>
        </w:rPr>
        <w:t>13</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0（北京时间）</w:t>
      </w:r>
    </w:p>
    <w:p w14:paraId="59CE4E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其他内容不变</w:t>
      </w:r>
    </w:p>
    <w:p w14:paraId="6CE35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更正日期：</w:t>
      </w:r>
      <w:r>
        <w:rPr>
          <w:rFonts w:hint="eastAsia" w:ascii="宋体" w:hAnsi="宋体" w:eastAsia="宋体" w:cs="宋体"/>
          <w:color w:val="000000"/>
          <w:sz w:val="24"/>
          <w:szCs w:val="24"/>
          <w:highlight w:val="none"/>
          <w:u w:val="single"/>
          <w:lang w:val="en-US" w:eastAsia="zh-CN"/>
        </w:rPr>
        <w:t>202</w:t>
      </w:r>
      <w:r>
        <w:rPr>
          <w:rFonts w:hint="eastAsia" w:ascii="宋体" w:hAnsi="宋体" w:cs="宋体"/>
          <w:color w:val="000000"/>
          <w:sz w:val="24"/>
          <w:szCs w:val="24"/>
          <w:highlight w:val="none"/>
          <w:u w:val="single"/>
          <w:lang w:val="en-US" w:eastAsia="zh-CN"/>
        </w:rPr>
        <w:t>6</w:t>
      </w:r>
      <w:r>
        <w:rPr>
          <w:rFonts w:hint="eastAsia" w:ascii="宋体" w:hAnsi="宋体" w:eastAsia="宋体" w:cs="宋体"/>
          <w:color w:val="000000"/>
          <w:sz w:val="24"/>
          <w:szCs w:val="24"/>
          <w:highlight w:val="none"/>
          <w:u w:val="single"/>
        </w:rPr>
        <w:t>年</w:t>
      </w:r>
      <w:r>
        <w:rPr>
          <w:rFonts w:hint="eastAsia" w:ascii="宋体" w:hAnsi="宋体" w:eastAsia="宋体" w:cs="宋体"/>
          <w:color w:val="000000"/>
          <w:sz w:val="24"/>
          <w:szCs w:val="24"/>
          <w:highlight w:val="none"/>
          <w:u w:val="single"/>
          <w:lang w:val="en-US" w:eastAsia="zh-CN"/>
        </w:rPr>
        <w:t>0</w:t>
      </w:r>
      <w:r>
        <w:rPr>
          <w:rFonts w:hint="eastAsia" w:ascii="宋体" w:hAnsi="宋体" w:cs="宋体"/>
          <w:color w:val="000000"/>
          <w:sz w:val="24"/>
          <w:szCs w:val="24"/>
          <w:highlight w:val="none"/>
          <w:u w:val="single"/>
          <w:lang w:val="en-US" w:eastAsia="zh-CN"/>
        </w:rPr>
        <w:t>7</w:t>
      </w:r>
      <w:r>
        <w:rPr>
          <w:rFonts w:hint="eastAsia" w:ascii="宋体" w:hAnsi="宋体" w:eastAsia="宋体" w:cs="宋体"/>
          <w:color w:val="000000"/>
          <w:sz w:val="24"/>
          <w:szCs w:val="24"/>
          <w:highlight w:val="none"/>
          <w:u w:val="single"/>
        </w:rPr>
        <w:t>月</w:t>
      </w:r>
      <w:r>
        <w:rPr>
          <w:rFonts w:hint="eastAsia" w:ascii="宋体" w:hAnsi="宋体" w:cs="宋体"/>
          <w:color w:val="000000"/>
          <w:sz w:val="24"/>
          <w:szCs w:val="24"/>
          <w:highlight w:val="none"/>
          <w:u w:val="single"/>
          <w:lang w:val="en-US" w:eastAsia="zh-CN"/>
        </w:rPr>
        <w:t>15</w:t>
      </w:r>
      <w:r>
        <w:rPr>
          <w:rFonts w:hint="eastAsia" w:ascii="宋体" w:hAnsi="宋体" w:eastAsia="宋体" w:cs="宋体"/>
          <w:color w:val="000000"/>
          <w:sz w:val="24"/>
          <w:szCs w:val="24"/>
          <w:highlight w:val="none"/>
          <w:u w:val="single"/>
        </w:rPr>
        <w:t>日</w:t>
      </w:r>
    </w:p>
    <w:p w14:paraId="5B9C2FF5">
      <w:pPr>
        <w:pStyle w:val="3"/>
        <w:pageBreakBefore w:val="0"/>
        <w:kinsoku/>
        <w:wordWrap/>
        <w:overflowPunct/>
        <w:topLinePunct w:val="0"/>
        <w:bidi w:val="0"/>
        <w:snapToGrid/>
        <w:spacing w:line="360" w:lineRule="auto"/>
        <w:textAlignment w:val="auto"/>
        <w:rPr>
          <w:rFonts w:hint="eastAsia" w:ascii="黑体" w:hAnsi="黑体" w:eastAsia="黑体" w:cs="黑体"/>
          <w:b/>
          <w:bCs w:val="0"/>
          <w:color w:val="000000"/>
          <w:sz w:val="24"/>
          <w:szCs w:val="24"/>
          <w:highlight w:val="none"/>
        </w:rPr>
      </w:pPr>
      <w:bookmarkStart w:id="13" w:name="_Toc35393816"/>
      <w:bookmarkStart w:id="14" w:name="_Toc35393647"/>
      <w:r>
        <w:rPr>
          <w:rFonts w:hint="eastAsia" w:ascii="黑体" w:hAnsi="黑体" w:cs="黑体"/>
          <w:b/>
          <w:bCs w:val="0"/>
          <w:color w:val="000000"/>
          <w:sz w:val="24"/>
          <w:szCs w:val="24"/>
          <w:highlight w:val="none"/>
          <w:lang w:val="en-US" w:eastAsia="zh-CN"/>
        </w:rPr>
        <w:t>三、</w:t>
      </w:r>
      <w:r>
        <w:rPr>
          <w:rFonts w:hint="eastAsia" w:ascii="黑体" w:hAnsi="黑体" w:eastAsia="黑体" w:cs="黑体"/>
          <w:b/>
          <w:bCs w:val="0"/>
          <w:color w:val="000000"/>
          <w:sz w:val="24"/>
          <w:szCs w:val="24"/>
          <w:highlight w:val="none"/>
        </w:rPr>
        <w:t>其他补充事宜</w:t>
      </w:r>
      <w:bookmarkEnd w:id="13"/>
      <w:bookmarkEnd w:id="14"/>
    </w:p>
    <w:p w14:paraId="087B35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无</w:t>
      </w:r>
    </w:p>
    <w:p w14:paraId="4CDA1B15">
      <w:pPr>
        <w:pStyle w:val="3"/>
        <w:pageBreakBefore w:val="0"/>
        <w:kinsoku/>
        <w:wordWrap/>
        <w:overflowPunct/>
        <w:topLinePunct w:val="0"/>
        <w:bidi w:val="0"/>
        <w:snapToGrid/>
        <w:spacing w:line="360" w:lineRule="auto"/>
        <w:textAlignment w:val="auto"/>
        <w:rPr>
          <w:rFonts w:hint="eastAsia" w:ascii="黑体" w:hAnsi="黑体" w:cs="黑体"/>
          <w:b/>
          <w:bCs w:val="0"/>
          <w:color w:val="000000"/>
          <w:sz w:val="24"/>
          <w:szCs w:val="24"/>
          <w:highlight w:val="none"/>
          <w:lang w:val="en-US" w:eastAsia="zh-CN"/>
        </w:rPr>
      </w:pPr>
      <w:bookmarkStart w:id="15" w:name="_Toc28359106"/>
      <w:bookmarkStart w:id="16" w:name="_Toc35393817"/>
      <w:bookmarkStart w:id="17" w:name="_Toc28359029"/>
      <w:bookmarkStart w:id="18" w:name="_Toc35393648"/>
      <w:r>
        <w:rPr>
          <w:rFonts w:hint="eastAsia" w:ascii="黑体" w:hAnsi="黑体" w:cs="黑体"/>
          <w:b/>
          <w:bCs w:val="0"/>
          <w:color w:val="000000"/>
          <w:sz w:val="24"/>
          <w:szCs w:val="24"/>
          <w:highlight w:val="none"/>
          <w:lang w:val="en-US" w:eastAsia="zh-CN"/>
        </w:rPr>
        <w:t>四、凡对本次公告内容提出询问，请按以下方式联系。</w:t>
      </w:r>
      <w:bookmarkEnd w:id="15"/>
      <w:bookmarkEnd w:id="16"/>
      <w:bookmarkEnd w:id="17"/>
      <w:bookmarkEnd w:id="18"/>
    </w:p>
    <w:p w14:paraId="1537E130">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000000"/>
          <w:sz w:val="24"/>
          <w:szCs w:val="24"/>
          <w:highlight w:val="none"/>
        </w:rPr>
      </w:pPr>
      <w:bookmarkStart w:id="19" w:name="_Toc35393649"/>
      <w:bookmarkStart w:id="20" w:name="_Toc35393818"/>
      <w:bookmarkStart w:id="21" w:name="_Toc28359107"/>
      <w:bookmarkStart w:id="22" w:name="_Toc28359030"/>
      <w:r>
        <w:rPr>
          <w:rFonts w:hint="eastAsia" w:ascii="宋体" w:hAnsi="宋体" w:eastAsia="宋体" w:cs="宋体"/>
          <w:b w:val="0"/>
          <w:color w:val="000000"/>
          <w:sz w:val="24"/>
          <w:szCs w:val="24"/>
          <w:highlight w:val="none"/>
        </w:rPr>
        <w:t>1.采购人信息</w:t>
      </w:r>
      <w:bookmarkEnd w:id="19"/>
      <w:bookmarkEnd w:id="20"/>
      <w:bookmarkEnd w:id="21"/>
      <w:bookmarkEnd w:id="22"/>
    </w:p>
    <w:p w14:paraId="1F2DAF4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100" w:beforeAutospacing="0" w:after="0" w:afterAutospacing="0" w:line="320" w:lineRule="atLeast"/>
        <w:ind w:left="0" w:right="0" w:firstLine="32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eastAsia="宋体" w:cs="宋体"/>
          <w:b w:val="0"/>
          <w:bCs/>
          <w:color w:val="000000"/>
          <w:kern w:val="2"/>
          <w:sz w:val="24"/>
          <w:szCs w:val="24"/>
          <w:highlight w:val="none"/>
          <w:lang w:val="en-US" w:eastAsia="zh-CN" w:bidi="ar-SA"/>
        </w:rPr>
        <w:t>名  称：厦门万翔网络商务有限公司</w:t>
      </w:r>
    </w:p>
    <w:p w14:paraId="6DA2DB2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100" w:beforeAutospacing="0" w:after="0" w:afterAutospacing="0" w:line="320" w:lineRule="atLeast"/>
        <w:ind w:left="0" w:right="0" w:firstLine="32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eastAsia="宋体" w:cs="宋体"/>
          <w:b w:val="0"/>
          <w:bCs/>
          <w:color w:val="000000"/>
          <w:kern w:val="2"/>
          <w:sz w:val="24"/>
          <w:szCs w:val="24"/>
          <w:highlight w:val="none"/>
          <w:lang w:val="en-US" w:eastAsia="zh-CN" w:bidi="ar-SA"/>
        </w:rPr>
        <w:t>地  址：厦门市湖里区机场北路476号5楼</w:t>
      </w:r>
    </w:p>
    <w:p w14:paraId="5C61680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100" w:beforeAutospacing="0" w:after="0" w:afterAutospacing="0" w:line="320" w:lineRule="atLeast"/>
        <w:ind w:left="0" w:right="0" w:firstLine="32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eastAsia="宋体" w:cs="宋体"/>
          <w:b w:val="0"/>
          <w:bCs/>
          <w:color w:val="000000"/>
          <w:kern w:val="2"/>
          <w:sz w:val="24"/>
          <w:szCs w:val="24"/>
          <w:highlight w:val="none"/>
          <w:lang w:val="en-US" w:eastAsia="zh-CN" w:bidi="ar-SA"/>
        </w:rPr>
        <w:t>联系方式：陈工0592-5706825</w:t>
      </w:r>
    </w:p>
    <w:p w14:paraId="5ED5EE8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u w:val="single"/>
        </w:rPr>
      </w:pPr>
    </w:p>
    <w:p w14:paraId="16C0E89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000000"/>
          <w:sz w:val="24"/>
          <w:szCs w:val="24"/>
          <w:highlight w:val="none"/>
        </w:rPr>
      </w:pPr>
      <w:bookmarkStart w:id="23" w:name="_Toc28359108"/>
      <w:bookmarkStart w:id="24" w:name="_Toc35393819"/>
      <w:bookmarkStart w:id="25" w:name="_Toc35393650"/>
      <w:bookmarkStart w:id="26" w:name="_Toc28359031"/>
      <w:r>
        <w:rPr>
          <w:rFonts w:hint="eastAsia" w:ascii="宋体" w:hAnsi="宋体" w:eastAsia="宋体" w:cs="宋体"/>
          <w:b w:val="0"/>
          <w:color w:val="000000"/>
          <w:sz w:val="24"/>
          <w:szCs w:val="24"/>
          <w:highlight w:val="none"/>
        </w:rPr>
        <w:t>2.采购代理机构信息</w:t>
      </w:r>
      <w:bookmarkEnd w:id="23"/>
      <w:bookmarkEnd w:id="24"/>
      <w:bookmarkEnd w:id="25"/>
      <w:bookmarkEnd w:id="26"/>
    </w:p>
    <w:p w14:paraId="277DF83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bookmarkStart w:id="27" w:name="_Toc35393820"/>
      <w:bookmarkStart w:id="28" w:name="_Toc28359109"/>
      <w:bookmarkStart w:id="29" w:name="_Toc28359032"/>
      <w:bookmarkStart w:id="30" w:name="_Toc35393651"/>
      <w:r>
        <w:rPr>
          <w:rFonts w:hint="eastAsia" w:ascii="宋体" w:hAnsi="宋体" w:eastAsia="宋体" w:cs="宋体"/>
          <w:color w:val="000000"/>
          <w:sz w:val="24"/>
          <w:szCs w:val="24"/>
          <w:highlight w:val="none"/>
        </w:rPr>
        <w:t>名 称：</w:t>
      </w:r>
      <w:r>
        <w:rPr>
          <w:rFonts w:hint="eastAsia" w:ascii="宋体" w:hAnsi="宋体" w:eastAsia="宋体" w:cs="宋体"/>
          <w:color w:val="000000"/>
          <w:sz w:val="24"/>
          <w:szCs w:val="24"/>
          <w:highlight w:val="none"/>
          <w:u w:val="single"/>
        </w:rPr>
        <w:t>厦门万翔招标有限公司</w:t>
      </w:r>
    </w:p>
    <w:p w14:paraId="39DCCA2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厦门市湖里区机场北路476号</w:t>
      </w:r>
    </w:p>
    <w:p w14:paraId="1B4CAE3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联系方式：</w:t>
      </w:r>
      <w:r>
        <w:rPr>
          <w:rFonts w:hint="eastAsia" w:ascii="宋体" w:hAnsi="宋体" w:eastAsia="宋体" w:cs="宋体"/>
          <w:color w:val="000000"/>
          <w:sz w:val="24"/>
          <w:szCs w:val="24"/>
          <w:highlight w:val="none"/>
          <w:u w:val="single"/>
        </w:rPr>
        <w:t>刘</w:t>
      </w:r>
      <w:r>
        <w:rPr>
          <w:rFonts w:hint="eastAsia" w:ascii="宋体" w:hAnsi="宋体" w:eastAsia="宋体" w:cs="宋体"/>
          <w:color w:val="000000"/>
          <w:sz w:val="24"/>
          <w:szCs w:val="24"/>
          <w:highlight w:val="none"/>
          <w:u w:val="single"/>
          <w:lang w:eastAsia="zh-CN"/>
        </w:rPr>
        <w:t>明芳</w:t>
      </w:r>
      <w:r>
        <w:rPr>
          <w:rFonts w:hint="eastAsia" w:ascii="宋体" w:hAnsi="宋体" w:eastAsia="宋体" w:cs="宋体"/>
          <w:color w:val="000000"/>
          <w:sz w:val="24"/>
          <w:szCs w:val="24"/>
          <w:highlight w:val="none"/>
          <w:u w:val="single"/>
        </w:rPr>
        <w:t>，0592-2218761</w:t>
      </w:r>
    </w:p>
    <w:p w14:paraId="55812C8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3.项目联系方式</w:t>
      </w:r>
      <w:bookmarkEnd w:id="27"/>
      <w:bookmarkEnd w:id="28"/>
      <w:bookmarkEnd w:id="29"/>
      <w:bookmarkEnd w:id="30"/>
    </w:p>
    <w:p w14:paraId="6DACE7C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bookmarkStart w:id="31" w:name="_Toc35393652"/>
      <w:bookmarkStart w:id="32" w:name="_Toc35393821"/>
      <w:r>
        <w:rPr>
          <w:rFonts w:hint="eastAsia" w:ascii="宋体" w:hAnsi="宋体" w:eastAsia="宋体" w:cs="宋体"/>
          <w:b w:val="0"/>
          <w:bCs/>
          <w:color w:val="000000"/>
          <w:kern w:val="2"/>
          <w:sz w:val="24"/>
          <w:szCs w:val="24"/>
          <w:highlight w:val="none"/>
          <w:lang w:val="en-US" w:eastAsia="zh-CN" w:bidi="ar-SA"/>
        </w:rPr>
        <w:t>项目联系人：</w:t>
      </w:r>
      <w:r>
        <w:rPr>
          <w:rFonts w:hint="eastAsia" w:ascii="宋体" w:hAnsi="宋体" w:eastAsia="宋体" w:cs="宋体"/>
          <w:i w:val="0"/>
          <w:iCs w:val="0"/>
          <w:caps w:val="0"/>
          <w:color w:val="000000"/>
          <w:spacing w:val="0"/>
          <w:sz w:val="24"/>
          <w:szCs w:val="24"/>
          <w:shd w:val="clear" w:color="auto" w:fill="FFFFFF"/>
        </w:rPr>
        <w:t>徐连福、陈凯思</w:t>
      </w:r>
    </w:p>
    <w:p w14:paraId="637D87D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color="auto" w:fill="FFFFFF"/>
        </w:rPr>
        <w:t>电  话：0592-5730600、2298129</w:t>
      </w:r>
    </w:p>
    <w:bookmarkEnd w:id="31"/>
    <w:bookmarkEnd w:id="32"/>
    <w:p w14:paraId="559942F7">
      <w:pPr>
        <w:pageBreakBefore w:val="0"/>
        <w:kinsoku/>
        <w:wordWrap/>
        <w:overflowPunct/>
        <w:topLinePunct w:val="0"/>
        <w:bidi w:val="0"/>
        <w:snapToGrid/>
        <w:spacing w:line="360" w:lineRule="auto"/>
        <w:textAlignment w:val="auto"/>
        <w:rPr>
          <w:rFonts w:hint="eastAsia" w:ascii="宋体" w:hAnsi="宋体" w:eastAsia="宋体" w:cs="宋体"/>
          <w:color w:val="000000"/>
          <w:sz w:val="24"/>
          <w:szCs w:val="24"/>
          <w:highlight w:val="none"/>
        </w:rPr>
      </w:pPr>
    </w:p>
    <w:p w14:paraId="022F8927">
      <w:pPr>
        <w:pageBreakBefore w:val="0"/>
        <w:kinsoku/>
        <w:wordWrap/>
        <w:overflowPunct/>
        <w:topLinePunct w:val="0"/>
        <w:bidi w:val="0"/>
        <w:snapToGrid/>
        <w:spacing w:line="360" w:lineRule="auto"/>
        <w:textAlignment w:val="auto"/>
        <w:rPr>
          <w:rFonts w:hint="eastAsia" w:ascii="宋体" w:hAnsi="宋体" w:eastAsia="宋体" w:cs="宋体"/>
          <w:color w:val="000000"/>
          <w:sz w:val="24"/>
          <w:szCs w:val="24"/>
          <w:highlight w:val="none"/>
          <w:lang w:val="en-US" w:eastAsia="zh-CN"/>
        </w:rPr>
      </w:pPr>
    </w:p>
    <w:p w14:paraId="6E4DE0FB">
      <w:pPr>
        <w:keepNext w:val="0"/>
        <w:keepLines w:val="0"/>
        <w:pageBreakBefore w:val="0"/>
        <w:widowControl w:val="0"/>
        <w:kinsoku/>
        <w:wordWrap/>
        <w:overflowPunct/>
        <w:topLinePunct w:val="0"/>
        <w:autoSpaceDE/>
        <w:autoSpaceDN/>
        <w:bidi w:val="0"/>
        <w:adjustRightInd/>
        <w:snapToGrid/>
        <w:spacing w:line="360" w:lineRule="auto"/>
        <w:ind w:firstLine="5280" w:firstLineChars="2200"/>
        <w:jc w:val="righ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厦门万翔招标有限公司</w:t>
      </w:r>
    </w:p>
    <w:p w14:paraId="53B702EE">
      <w:pPr>
        <w:keepNext w:val="0"/>
        <w:keepLines w:val="0"/>
        <w:pageBreakBefore w:val="0"/>
        <w:widowControl w:val="0"/>
        <w:kinsoku/>
        <w:wordWrap/>
        <w:overflowPunct/>
        <w:topLinePunct w:val="0"/>
        <w:autoSpaceDE/>
        <w:autoSpaceDN/>
        <w:bidi w:val="0"/>
        <w:adjustRightInd/>
        <w:snapToGrid/>
        <w:spacing w:line="360" w:lineRule="auto"/>
        <w:ind w:firstLine="5280" w:firstLineChars="2200"/>
        <w:jc w:val="right"/>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2026年7月15日</w:t>
      </w:r>
    </w:p>
    <w:p w14:paraId="0053F5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                                                                                                     </w:t>
      </w:r>
    </w:p>
    <w:p w14:paraId="6E09839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1D47"/>
    <w:multiLevelType w:val="singleLevel"/>
    <w:tmpl w:val="8A241D47"/>
    <w:lvl w:ilvl="0" w:tentative="0">
      <w:start w:val="9"/>
      <w:numFmt w:val="decimal"/>
      <w:suff w:val="nothing"/>
      <w:lvlText w:val="%1、"/>
      <w:lvlJc w:val="left"/>
    </w:lvl>
  </w:abstractNum>
  <w:abstractNum w:abstractNumId="1">
    <w:nsid w:val="F1267F20"/>
    <w:multiLevelType w:val="singleLevel"/>
    <w:tmpl w:val="F1267F2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D53B3E"/>
    <w:rsid w:val="456D1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w:basedOn w:val="1"/>
    <w:unhideWhenUsed/>
    <w:qFormat/>
    <w:uiPriority w:val="99"/>
    <w:pPr>
      <w:spacing w:after="120"/>
    </w:pPr>
  </w:style>
  <w:style w:type="paragraph" w:styleId="5">
    <w:name w:val="Plain Text"/>
    <w:basedOn w:val="1"/>
    <w:qFormat/>
    <w:uiPriority w:val="0"/>
    <w:rPr>
      <w:rFonts w:ascii="宋体" w:hAnsi="Courier New" w:eastAsia="宋体" w:cs="Times New Roman"/>
      <w:szCs w:val="22"/>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w:basedOn w:val="4"/>
    <w:qFormat/>
    <w:uiPriority w:val="0"/>
    <w:pPr>
      <w:ind w:firstLine="420" w:firstLineChars="100"/>
    </w:pPr>
    <w:rPr>
      <w:szCs w:val="24"/>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11964</Words>
  <Characters>15261</Characters>
  <Lines>0</Lines>
  <Paragraphs>0</Paragraphs>
  <TotalTime>6</TotalTime>
  <ScaleCrop>false</ScaleCrop>
  <LinksUpToDate>false</LinksUpToDate>
  <CharactersWithSpaces>16041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2026-07-15T06:35:00Z</dcterms:created>
  <dc:creator>Dell</dc:creator>
  <cp:lastModifiedBy>陈</cp:lastModifiedBy>
  <cp:lastPrinted>2026-07-15T06:47:00Z</cp:lastPrinted>
  <dcterms:modified xsi:type="dcterms:W3CDTF">2026-07-15T08:12:37Z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eyJoZGlkIjoiMWNhYWIzMDI0MWMzODgzNmNiNWE5OTZlNjc0MGJhNDgiLCJ1c2VySWQiOiIyNzk5MDI1MTMifQ==</vt:lpwstr>
  </property>
  <property fmtid="{D5CDD505-2E9C-101B-9397-08002B2CF9AE}" pid="4" name="ICV">
    <vt:lpwstr>A288F07DB2BC45579FFE24FE03A86A33_12</vt:lpwstr>
  </property>
</Properties>
</file>