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ECB78">
      <w:pPr>
        <w:spacing w:line="360" w:lineRule="auto"/>
        <w:jc w:val="center"/>
        <w:rPr>
          <w:rFonts w:ascii="宋体" w:hAnsi="宋体" w:cs="宋体"/>
          <w:b/>
          <w:bCs/>
          <w:color w:val="auto"/>
          <w:sz w:val="32"/>
          <w:szCs w:val="32"/>
          <w:highlight w:val="none"/>
        </w:rPr>
      </w:pPr>
      <w:bookmarkStart w:id="6" w:name="_GoBack"/>
      <w:bookmarkEnd w:id="6"/>
      <w:r>
        <w:rPr>
          <w:rFonts w:hint="eastAsia" w:ascii="宋体" w:hAnsi="宋体" w:cs="宋体"/>
          <w:b/>
          <w:bCs/>
          <w:color w:val="auto"/>
          <w:sz w:val="32"/>
          <w:szCs w:val="32"/>
          <w:highlight w:val="none"/>
        </w:rPr>
        <w:t xml:space="preserve">第四章  政府采购合同 </w:t>
      </w:r>
    </w:p>
    <w:p w14:paraId="50BFD64E">
      <w:pPr>
        <w:spacing w:line="360" w:lineRule="auto"/>
        <w:ind w:right="48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tbl>
      <w:tblPr>
        <w:tblStyle w:val="9"/>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7"/>
      </w:tblGrid>
      <w:tr w14:paraId="2681E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757" w:type="dxa"/>
            <w:tcBorders>
              <w:top w:val="single" w:color="auto" w:sz="4" w:space="0"/>
              <w:left w:val="single" w:color="auto" w:sz="4" w:space="0"/>
              <w:bottom w:val="single" w:color="auto" w:sz="4" w:space="0"/>
              <w:right w:val="single" w:color="auto" w:sz="4" w:space="0"/>
            </w:tcBorders>
          </w:tcPr>
          <w:p w14:paraId="4309161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55AD6CE3">
            <w:pPr>
              <w:spacing w:line="360" w:lineRule="auto"/>
              <w:ind w:firstLine="720" w:firstLineChars="300"/>
              <w:rPr>
                <w:rFonts w:ascii="宋体" w:hAnsi="宋体" w:cs="宋体"/>
                <w:b/>
                <w:color w:val="auto"/>
                <w:sz w:val="24"/>
                <w:szCs w:val="24"/>
                <w:highlight w:val="none"/>
              </w:rPr>
            </w:pPr>
            <w:r>
              <w:rPr>
                <w:rFonts w:hint="eastAsia" w:ascii="宋体" w:hAnsi="宋体" w:cs="宋体"/>
                <w:color w:val="auto"/>
                <w:sz w:val="24"/>
                <w:szCs w:val="24"/>
                <w:highlight w:val="none"/>
              </w:rPr>
              <w:t>本合同为本项目招标（谈判）文件的重要组成部分。投标（报价）人对合同条款的任何负偏离将导致投标（报价）无效。</w:t>
            </w:r>
          </w:p>
          <w:p w14:paraId="12A433B8">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若中标（成交）供应商的投标（报价）文件对合同条款的响应优于本合同条款的，以投标（报价）文件内容为准。</w:t>
            </w:r>
          </w:p>
        </w:tc>
      </w:tr>
    </w:tbl>
    <w:p w14:paraId="79756E0A">
      <w:pPr>
        <w:spacing w:line="360" w:lineRule="auto"/>
        <w:ind w:left="1321"/>
        <w:jc w:val="center"/>
        <w:rPr>
          <w:rFonts w:ascii="宋体" w:hAnsi="宋体" w:cs="宋体"/>
          <w:b/>
          <w:bCs/>
          <w:color w:val="auto"/>
          <w:sz w:val="24"/>
          <w:szCs w:val="24"/>
          <w:highlight w:val="none"/>
        </w:rPr>
      </w:pPr>
      <w:r>
        <w:rPr>
          <w:rFonts w:hint="eastAsia" w:ascii="宋体" w:hAnsi="宋体" w:cs="宋体"/>
          <w:b/>
          <w:bCs/>
          <w:color w:val="auto"/>
          <w:sz w:val="24"/>
          <w:szCs w:val="24"/>
          <w:highlight w:val="none"/>
          <w:lang w:eastAsia="zh-CN"/>
        </w:rPr>
        <w:t>XM2025-DZ0019</w:t>
      </w:r>
      <w:r>
        <w:rPr>
          <w:rFonts w:hint="eastAsia" w:ascii="宋体" w:hAnsi="宋体" w:cs="宋体"/>
          <w:b/>
          <w:bCs/>
          <w:color w:val="auto"/>
          <w:sz w:val="24"/>
          <w:szCs w:val="24"/>
          <w:highlight w:val="none"/>
        </w:rPr>
        <w:t>采购合同</w:t>
      </w:r>
    </w:p>
    <w:p w14:paraId="5E0CF563">
      <w:pPr>
        <w:spacing w:line="360" w:lineRule="auto"/>
        <w:ind w:right="480"/>
        <w:jc w:val="center"/>
        <w:rPr>
          <w:rFonts w:ascii="宋体" w:hAnsi="宋体" w:cs="宋体"/>
          <w:color w:val="auto"/>
          <w:sz w:val="24"/>
          <w:szCs w:val="24"/>
          <w:highlight w:val="none"/>
        </w:rPr>
      </w:pPr>
    </w:p>
    <w:p w14:paraId="0B592921">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4431935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买方（采购单位）：厦门万翔网络商务有限公司            签订地点：厦门</w:t>
      </w:r>
    </w:p>
    <w:p w14:paraId="6EC184A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卖方（中标/成交供应商）：                                  </w:t>
      </w:r>
    </w:p>
    <w:p w14:paraId="72F801C5">
      <w:pPr>
        <w:spacing w:line="360" w:lineRule="auto"/>
        <w:ind w:right="48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4F1319D0">
      <w:pPr>
        <w:spacing w:line="360" w:lineRule="auto"/>
        <w:ind w:firstLine="600" w:firstLineChars="250"/>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根据买方对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进行采购</w:t>
      </w:r>
      <w:r>
        <w:rPr>
          <w:rFonts w:hint="eastAsia" w:ascii="宋体" w:hAnsi="宋体" w:cs="宋体"/>
          <w:color w:val="auto"/>
          <w:sz w:val="24"/>
          <w:szCs w:val="24"/>
          <w:highlight w:val="none"/>
        </w:rPr>
        <w:t>（招标/项目编号：      ）的采购结果，现依照</w:t>
      </w:r>
      <w:r>
        <w:rPr>
          <w:rFonts w:hint="eastAsia" w:ascii="宋体" w:hAnsi="宋体" w:eastAsia="宋体" w:cs="宋体"/>
          <w:color w:val="auto"/>
          <w:sz w:val="24"/>
          <w:szCs w:val="24"/>
          <w:highlight w:val="none"/>
          <w:lang w:val="en-US" w:eastAsia="zh-CN"/>
        </w:rPr>
        <w:t>招标/采购文件、投标/报价文件</w:t>
      </w:r>
      <w:r>
        <w:rPr>
          <w:rFonts w:hint="eastAsia" w:ascii="宋体" w:hAnsi="宋体" w:cs="宋体"/>
          <w:color w:val="auto"/>
          <w:sz w:val="24"/>
          <w:szCs w:val="24"/>
          <w:highlight w:val="none"/>
        </w:rPr>
        <w:t>及有关法律、法规、规章规定的内容，双方达成如下协议：</w:t>
      </w:r>
    </w:p>
    <w:p w14:paraId="3A20D58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1、合同标的物和合同价格：</w:t>
      </w:r>
    </w:p>
    <w:tbl>
      <w:tblPr>
        <w:tblStyle w:val="9"/>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14:paraId="1F02A64B">
        <w:tblPrEx>
          <w:tblCellMar>
            <w:top w:w="0" w:type="dxa"/>
            <w:left w:w="108" w:type="dxa"/>
            <w:bottom w:w="0" w:type="dxa"/>
            <w:right w:w="108" w:type="dxa"/>
          </w:tblCellMar>
        </w:tblPrEx>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14:paraId="2F32E54B">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05" w:type="dxa"/>
            <w:tcBorders>
              <w:top w:val="single" w:color="auto" w:sz="4" w:space="0"/>
              <w:left w:val="nil"/>
              <w:bottom w:val="single" w:color="auto" w:sz="4" w:space="0"/>
              <w:right w:val="single" w:color="auto" w:sz="4" w:space="0"/>
            </w:tcBorders>
            <w:vAlign w:val="center"/>
          </w:tcPr>
          <w:p w14:paraId="011A2EBF">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81" w:type="dxa"/>
            <w:tcBorders>
              <w:top w:val="single" w:color="auto" w:sz="4" w:space="0"/>
              <w:left w:val="nil"/>
              <w:bottom w:val="single" w:color="auto" w:sz="4" w:space="0"/>
              <w:right w:val="single" w:color="auto" w:sz="4" w:space="0"/>
            </w:tcBorders>
            <w:vAlign w:val="center"/>
          </w:tcPr>
          <w:p w14:paraId="5966E1A5">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14:paraId="027B0520">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321" w:type="dxa"/>
            <w:tcBorders>
              <w:top w:val="single" w:color="auto" w:sz="4" w:space="0"/>
              <w:left w:val="nil"/>
              <w:bottom w:val="single" w:color="auto" w:sz="4" w:space="0"/>
              <w:right w:val="single" w:color="auto" w:sz="4" w:space="0"/>
            </w:tcBorders>
            <w:vAlign w:val="center"/>
          </w:tcPr>
          <w:p w14:paraId="42074851">
            <w:pPr>
              <w:widowControl/>
              <w:spacing w:line="360" w:lineRule="auto"/>
              <w:jc w:val="center"/>
              <w:rPr>
                <w:rFonts w:ascii="宋体" w:hAnsi="宋体" w:cs="宋体"/>
                <w:color w:val="auto"/>
                <w:kern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合同总价</w:t>
            </w:r>
            <w:r>
              <w:rPr>
                <w:rFonts w:hint="eastAsia" w:ascii="宋体" w:hAnsi="宋体" w:cs="宋体"/>
                <w:i w:val="0"/>
                <w:iCs w:val="0"/>
                <w:caps w:val="0"/>
                <w:color w:val="auto"/>
                <w:spacing w:val="0"/>
                <w:kern w:val="0"/>
                <w:sz w:val="24"/>
                <w:szCs w:val="24"/>
                <w:highlight w:val="none"/>
                <w:lang w:val="en-US" w:eastAsia="zh-CN" w:bidi="ar"/>
              </w:rPr>
              <w:t>，</w:t>
            </w:r>
            <w:r>
              <w:rPr>
                <w:rFonts w:hint="eastAsia" w:ascii="宋体" w:hAnsi="宋体" w:cs="宋体"/>
                <w:color w:val="auto"/>
                <w:kern w:val="0"/>
                <w:sz w:val="24"/>
                <w:szCs w:val="24"/>
                <w:highlight w:val="none"/>
              </w:rPr>
              <w:t>金额（元）</w:t>
            </w:r>
          </w:p>
        </w:tc>
      </w:tr>
      <w:tr w14:paraId="21695D83">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14:paraId="4D81C1D5">
            <w:pPr>
              <w:widowControl/>
              <w:spacing w:line="360" w:lineRule="auto"/>
              <w:ind w:firstLine="480" w:firstLineChars="200"/>
              <w:jc w:val="left"/>
              <w:rPr>
                <w:rFonts w:ascii="宋体" w:hAnsi="宋体" w:cs="宋体"/>
                <w:color w:val="auto"/>
                <w:kern w:val="0"/>
                <w:sz w:val="24"/>
                <w:szCs w:val="24"/>
                <w:highlight w:val="none"/>
              </w:rPr>
            </w:pPr>
          </w:p>
        </w:tc>
        <w:tc>
          <w:tcPr>
            <w:tcW w:w="2205" w:type="dxa"/>
            <w:tcBorders>
              <w:top w:val="nil"/>
              <w:left w:val="nil"/>
              <w:bottom w:val="single" w:color="auto" w:sz="4" w:space="0"/>
              <w:right w:val="single" w:color="auto" w:sz="4" w:space="0"/>
            </w:tcBorders>
            <w:vAlign w:val="center"/>
          </w:tcPr>
          <w:p w14:paraId="7247D2DB">
            <w:pPr>
              <w:spacing w:line="360" w:lineRule="auto"/>
              <w:jc w:val="center"/>
              <w:rPr>
                <w:rFonts w:ascii="宋体" w:hAnsi="宋体" w:cs="宋体"/>
                <w:color w:val="auto"/>
                <w:sz w:val="24"/>
                <w:szCs w:val="24"/>
                <w:highlight w:val="none"/>
              </w:rPr>
            </w:pPr>
          </w:p>
        </w:tc>
        <w:tc>
          <w:tcPr>
            <w:tcW w:w="1881" w:type="dxa"/>
            <w:tcBorders>
              <w:top w:val="nil"/>
              <w:left w:val="single" w:color="auto" w:sz="4" w:space="0"/>
              <w:bottom w:val="single" w:color="auto" w:sz="4" w:space="0"/>
              <w:right w:val="single" w:color="auto" w:sz="4" w:space="0"/>
            </w:tcBorders>
            <w:vAlign w:val="center"/>
          </w:tcPr>
          <w:p w14:paraId="08FF82DD">
            <w:pPr>
              <w:spacing w:line="360" w:lineRule="auto"/>
              <w:jc w:val="center"/>
              <w:rPr>
                <w:rFonts w:ascii="宋体" w:hAnsi="宋体" w:cs="宋体"/>
                <w:color w:val="auto"/>
                <w:sz w:val="24"/>
                <w:szCs w:val="24"/>
                <w:highlight w:val="none"/>
              </w:rPr>
            </w:pPr>
          </w:p>
        </w:tc>
        <w:tc>
          <w:tcPr>
            <w:tcW w:w="1894" w:type="dxa"/>
            <w:tcBorders>
              <w:top w:val="nil"/>
              <w:left w:val="nil"/>
              <w:bottom w:val="single" w:color="auto" w:sz="4" w:space="0"/>
              <w:right w:val="single" w:color="auto" w:sz="4" w:space="0"/>
            </w:tcBorders>
            <w:vAlign w:val="center"/>
          </w:tcPr>
          <w:p w14:paraId="223DA90C">
            <w:pPr>
              <w:widowControl/>
              <w:spacing w:line="360" w:lineRule="auto"/>
              <w:jc w:val="center"/>
              <w:rPr>
                <w:rFonts w:ascii="宋体" w:hAnsi="宋体" w:cs="宋体"/>
                <w:color w:val="auto"/>
                <w:kern w:val="0"/>
                <w:sz w:val="24"/>
                <w:szCs w:val="24"/>
                <w:highlight w:val="none"/>
              </w:rPr>
            </w:pPr>
            <w:r>
              <w:rPr>
                <w:rFonts w:hint="eastAsia" w:ascii="宋体" w:hAnsi="宋体" w:eastAsia="宋体" w:cs="宋体"/>
                <w:color w:val="auto"/>
                <w:sz w:val="24"/>
                <w:szCs w:val="24"/>
                <w:highlight w:val="none"/>
              </w:rPr>
              <w:t>1批</w:t>
            </w:r>
            <w:r>
              <w:rPr>
                <w:rFonts w:hint="eastAsia" w:ascii="宋体" w:hAnsi="宋体" w:eastAsia="宋体" w:cs="宋体"/>
                <w:color w:val="auto"/>
                <w:kern w:val="2"/>
                <w:sz w:val="24"/>
                <w:szCs w:val="24"/>
                <w:highlight w:val="none"/>
                <w:lang w:val="en-US" w:eastAsia="zh-CN" w:bidi="ar"/>
              </w:rPr>
              <w:t>（详见附件</w:t>
            </w:r>
            <w:r>
              <w:rPr>
                <w:rFonts w:hint="default" w:ascii="宋体" w:hAnsi="宋体" w:eastAsia="宋体" w:cs="宋体"/>
                <w:color w:val="auto"/>
                <w:kern w:val="2"/>
                <w:sz w:val="24"/>
                <w:szCs w:val="24"/>
                <w:highlight w:val="none"/>
                <w:lang w:eastAsia="zh-CN" w:bidi="ar"/>
              </w:rPr>
              <w:t>1《</w:t>
            </w:r>
            <w:r>
              <w:rPr>
                <w:rFonts w:hint="eastAsia" w:ascii="宋体" w:hAnsi="宋体" w:eastAsia="宋体" w:cs="宋体"/>
                <w:color w:val="auto"/>
                <w:kern w:val="2"/>
                <w:sz w:val="24"/>
                <w:szCs w:val="24"/>
                <w:highlight w:val="none"/>
                <w:lang w:val="en-US" w:eastAsia="zh-CN" w:bidi="ar"/>
              </w:rPr>
              <w:t>供货清单</w:t>
            </w:r>
            <w:r>
              <w:rPr>
                <w:rFonts w:hint="default" w:ascii="宋体" w:hAnsi="宋体" w:eastAsia="宋体" w:cs="宋体"/>
                <w:color w:val="auto"/>
                <w:kern w:val="2"/>
                <w:sz w:val="24"/>
                <w:szCs w:val="24"/>
                <w:highlight w:val="none"/>
                <w:lang w:eastAsia="zh-CN" w:bidi="ar"/>
              </w:rPr>
              <w:t>》</w:t>
            </w:r>
            <w:r>
              <w:rPr>
                <w:rFonts w:hint="eastAsia" w:ascii="宋体" w:hAnsi="宋体" w:eastAsia="宋体" w:cs="宋体"/>
                <w:color w:val="auto"/>
                <w:kern w:val="2"/>
                <w:sz w:val="24"/>
                <w:szCs w:val="24"/>
                <w:highlight w:val="none"/>
                <w:lang w:val="en-US" w:eastAsia="zh-CN" w:bidi="ar"/>
              </w:rPr>
              <w:t>）</w:t>
            </w:r>
          </w:p>
        </w:tc>
        <w:tc>
          <w:tcPr>
            <w:tcW w:w="1321" w:type="dxa"/>
            <w:tcBorders>
              <w:top w:val="nil"/>
              <w:left w:val="nil"/>
              <w:bottom w:val="single" w:color="auto" w:sz="4" w:space="0"/>
              <w:right w:val="single" w:color="auto" w:sz="4" w:space="0"/>
            </w:tcBorders>
            <w:vAlign w:val="center"/>
          </w:tcPr>
          <w:p w14:paraId="030494E3">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w:t>
            </w:r>
          </w:p>
        </w:tc>
      </w:tr>
      <w:tr w14:paraId="24AAE70A">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14:paraId="6C4FD0DF">
            <w:pPr>
              <w:widowControl/>
              <w:spacing w:line="360" w:lineRule="auto"/>
              <w:rPr>
                <w:rFonts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货物验收完成后的保修等售后服务由卖方与使用单位另行签订服务合同单独约定，与本合同各自独立履行、互不影响。</w:t>
            </w:r>
          </w:p>
        </w:tc>
      </w:tr>
      <w:tr w14:paraId="7E34C892">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14:paraId="020BF98C">
            <w:pPr>
              <w:widowControl/>
              <w:spacing w:line="360" w:lineRule="auto"/>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 xml:space="preserve">备注说明： 本项目使用单位（最终用户）：                  </w:t>
            </w:r>
            <w:r>
              <w:rPr>
                <w:rFonts w:hint="eastAsia" w:ascii="宋体" w:hAnsi="宋体" w:cs="宋体"/>
                <w:b/>
                <w:color w:val="auto"/>
                <w:sz w:val="24"/>
                <w:szCs w:val="24"/>
                <w:highlight w:val="none"/>
                <w:u w:val="single"/>
              </w:rPr>
              <w:t>。</w:t>
            </w:r>
          </w:p>
        </w:tc>
      </w:tr>
    </w:tbl>
    <w:p w14:paraId="0FEA6B17">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5D32D26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2.1交货方式：卖方负责送货到交货地点完成安装，并承担运输过程中发生的一切费用及风险。</w:t>
      </w:r>
    </w:p>
    <w:p w14:paraId="28E25F4D">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2.2交货地点：使用单位指定地点。</w:t>
      </w:r>
    </w:p>
    <w:p w14:paraId="0EDC15A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2.3交付使用期: 合同签订之日起  个日历日内（含交货、安装）。</w:t>
      </w:r>
    </w:p>
    <w:p w14:paraId="3233686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2.4到货签收：卖方每批次供货到指定地点后，卖方应当组织最终用户对到货数量、型号等进行清点签收，并向买方提交最终用户签署的到货签收单原件。</w:t>
      </w:r>
    </w:p>
    <w:p w14:paraId="25F2B97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3、采购清单： </w:t>
      </w:r>
    </w:p>
    <w:p w14:paraId="1F94B74D">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4、付款条件、方式与履约保证金</w:t>
      </w:r>
    </w:p>
    <w:p w14:paraId="3D3415DE">
      <w:pPr>
        <w:pStyle w:val="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4.1付款条件</w:t>
      </w:r>
    </w:p>
    <w:p w14:paraId="0EC96EB1">
      <w:pPr>
        <w:pStyle w:val="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卖方同意，待买方收到使用单位</w:t>
      </w:r>
      <w:r>
        <w:rPr>
          <w:rFonts w:hint="default" w:hAnsi="宋体" w:cs="宋体"/>
          <w:color w:val="auto"/>
          <w:sz w:val="24"/>
          <w:szCs w:val="24"/>
          <w:highlight w:val="none"/>
        </w:rPr>
        <w:t>足额</w:t>
      </w:r>
      <w:r>
        <w:rPr>
          <w:rFonts w:hint="eastAsia" w:hAnsi="宋体" w:cs="宋体"/>
          <w:color w:val="auto"/>
          <w:sz w:val="24"/>
          <w:szCs w:val="24"/>
          <w:highlight w:val="none"/>
        </w:rPr>
        <w:t>货款后，买方按4.2约定向卖方付款。</w:t>
      </w:r>
    </w:p>
    <w:p w14:paraId="29B02FC8">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4.2付款方式</w:t>
      </w:r>
    </w:p>
    <w:p w14:paraId="0F7CB7F0">
      <w:pPr>
        <w:tabs>
          <w:tab w:val="left" w:pos="513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4.2.1</w:t>
      </w:r>
      <w:r>
        <w:rPr>
          <w:rFonts w:hint="eastAsia" w:ascii="宋体" w:hAnsi="宋体" w:eastAsia="宋体" w:cs="宋体"/>
          <w:color w:val="auto"/>
          <w:kern w:val="0"/>
          <w:sz w:val="24"/>
          <w:szCs w:val="24"/>
          <w:highlight w:val="none"/>
        </w:rPr>
        <w:t>合同签订后</w:t>
      </w:r>
      <w:r>
        <w:rPr>
          <w:rFonts w:hint="eastAsia" w:ascii="宋体" w:hAnsi="宋体" w:cs="宋体"/>
          <w:color w:val="auto"/>
          <w:kern w:val="0"/>
          <w:sz w:val="24"/>
          <w:szCs w:val="24"/>
          <w:highlight w:val="none"/>
          <w:lang w:eastAsia="zh-CN"/>
        </w:rPr>
        <w:t>15个</w:t>
      </w:r>
      <w:r>
        <w:rPr>
          <w:rFonts w:hint="eastAsia" w:ascii="宋体" w:hAnsi="宋体" w:eastAsia="宋体" w:cs="宋体"/>
          <w:color w:val="auto"/>
          <w:kern w:val="0"/>
          <w:sz w:val="24"/>
          <w:szCs w:val="24"/>
          <w:highlight w:val="none"/>
        </w:rPr>
        <w:t>工作日内，</w:t>
      </w:r>
      <w:r>
        <w:rPr>
          <w:rFonts w:hint="eastAsia" w:ascii="宋体" w:hAnsi="宋体" w:eastAsia="宋体" w:cs="宋体"/>
          <w:color w:val="auto"/>
          <w:sz w:val="24"/>
          <w:szCs w:val="24"/>
          <w:highlight w:val="none"/>
        </w:rPr>
        <w:t>卖方向买方</w:t>
      </w:r>
      <w:r>
        <w:rPr>
          <w:rFonts w:hint="eastAsia" w:ascii="宋体" w:hAnsi="宋体" w:eastAsia="宋体" w:cs="宋体"/>
          <w:color w:val="auto"/>
          <w:kern w:val="0"/>
          <w:sz w:val="24"/>
          <w:szCs w:val="24"/>
          <w:highlight w:val="none"/>
        </w:rPr>
        <w:t>支付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的3%作为项目</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可以转账、支票、汇票、本票或金融机构、担保机构出具的保函等形式交纳，且在合同签订时一并提交，质量保证期届满且无合同纠纷后</w:t>
      </w:r>
      <w:r>
        <w:rPr>
          <w:rFonts w:hint="eastAsia" w:ascii="宋体" w:hAnsi="宋体" w:cs="宋体"/>
          <w:color w:val="auto"/>
          <w:kern w:val="0"/>
          <w:sz w:val="24"/>
          <w:szCs w:val="24"/>
          <w:highlight w:val="none"/>
          <w:lang w:val="en-US" w:eastAsia="zh-CN"/>
        </w:rPr>
        <w:t>7个</w:t>
      </w:r>
      <w:r>
        <w:rPr>
          <w:rFonts w:hint="eastAsia" w:ascii="宋体" w:hAnsi="宋体" w:eastAsia="宋体" w:cs="宋体"/>
          <w:color w:val="auto"/>
          <w:kern w:val="0"/>
          <w:sz w:val="24"/>
          <w:szCs w:val="24"/>
          <w:highlight w:val="none"/>
        </w:rPr>
        <w:t>工作日内，向</w:t>
      </w:r>
      <w:r>
        <w:rPr>
          <w:rFonts w:hint="eastAsia" w:ascii="宋体" w:hAnsi="宋体" w:eastAsia="宋体" w:cs="宋体"/>
          <w:color w:val="auto"/>
          <w:sz w:val="24"/>
          <w:szCs w:val="24"/>
          <w:highlight w:val="none"/>
        </w:rPr>
        <w:t>中标/成交</w:t>
      </w:r>
      <w:r>
        <w:rPr>
          <w:rFonts w:hint="eastAsia" w:ascii="宋体" w:hAnsi="宋体" w:eastAsia="宋体" w:cs="宋体"/>
          <w:color w:val="auto"/>
          <w:kern w:val="0"/>
          <w:sz w:val="24"/>
          <w:szCs w:val="24"/>
          <w:highlight w:val="none"/>
        </w:rPr>
        <w:t>供应商无息返还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的3%</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p>
    <w:p w14:paraId="6AF4FFD7">
      <w:pPr>
        <w:tabs>
          <w:tab w:val="left" w:pos="5130"/>
        </w:tabs>
        <w:spacing w:line="360" w:lineRule="auto"/>
        <w:ind w:firstLine="480" w:firstLineChars="200"/>
        <w:rPr>
          <w:rFonts w:ascii="宋体" w:hAnsi="宋体" w:eastAsia="宋体"/>
          <w:color w:val="auto"/>
          <w:sz w:val="24"/>
          <w:szCs w:val="24"/>
          <w:highlight w:val="none"/>
        </w:rPr>
      </w:pPr>
      <w:r>
        <w:rPr>
          <w:rFonts w:hint="eastAsia" w:ascii="宋体" w:hAnsi="宋体" w:cs="宋体"/>
          <w:color w:val="auto"/>
          <w:kern w:val="0"/>
          <w:sz w:val="24"/>
          <w:szCs w:val="24"/>
          <w:highlight w:val="none"/>
          <w:lang w:val="en-US" w:eastAsia="zh-CN"/>
        </w:rPr>
        <w:t>4.2.2</w:t>
      </w:r>
      <w:r>
        <w:rPr>
          <w:rFonts w:hint="eastAsia" w:ascii="宋体" w:hAnsi="宋体" w:eastAsia="宋体"/>
          <w:color w:val="auto"/>
          <w:sz w:val="24"/>
          <w:szCs w:val="24"/>
          <w:highlight w:val="none"/>
        </w:rPr>
        <w:t>合同签订后</w:t>
      </w:r>
      <w:r>
        <w:rPr>
          <w:rFonts w:hint="eastAsia" w:ascii="宋体" w:hAnsi="宋体"/>
          <w:color w:val="auto"/>
          <w:sz w:val="24"/>
          <w:szCs w:val="24"/>
          <w:highlight w:val="none"/>
          <w:lang w:val="en-US" w:eastAsia="zh-CN"/>
        </w:rPr>
        <w:t>21</w:t>
      </w:r>
      <w:r>
        <w:rPr>
          <w:rFonts w:hint="eastAsia" w:ascii="宋体" w:hAnsi="宋体" w:eastAsia="宋体"/>
          <w:color w:val="auto"/>
          <w:sz w:val="24"/>
          <w:szCs w:val="24"/>
          <w:highlight w:val="none"/>
        </w:rPr>
        <w:t>个工作日内</w:t>
      </w:r>
      <w:r>
        <w:rPr>
          <w:rFonts w:ascii="宋体" w:hAnsi="宋体" w:eastAsia="宋体"/>
          <w:color w:val="auto"/>
          <w:sz w:val="24"/>
          <w:szCs w:val="24"/>
          <w:highlight w:val="none"/>
        </w:rPr>
        <w:t>，买方向卖方支付合同总价</w:t>
      </w:r>
      <w:r>
        <w:rPr>
          <w:rFonts w:hint="eastAsia" w:ascii="宋体" w:hAnsi="宋体"/>
          <w:color w:val="auto"/>
          <w:sz w:val="24"/>
          <w:szCs w:val="24"/>
          <w:highlight w:val="none"/>
          <w:lang w:val="en-US" w:eastAsia="zh-CN"/>
        </w:rPr>
        <w:t>5</w:t>
      </w:r>
      <w:r>
        <w:rPr>
          <w:rFonts w:hint="eastAsia" w:ascii="宋体" w:hAnsi="宋体" w:eastAsia="宋体"/>
          <w:color w:val="auto"/>
          <w:sz w:val="24"/>
          <w:szCs w:val="24"/>
          <w:highlight w:val="none"/>
        </w:rPr>
        <w:t>0</w:t>
      </w:r>
      <w:r>
        <w:rPr>
          <w:rFonts w:ascii="宋体" w:hAnsi="宋体" w:eastAsia="宋体"/>
          <w:color w:val="auto"/>
          <w:sz w:val="24"/>
          <w:szCs w:val="24"/>
          <w:highlight w:val="none"/>
        </w:rPr>
        <w:t>%</w:t>
      </w:r>
      <w:r>
        <w:rPr>
          <w:rFonts w:hint="eastAsia" w:ascii="宋体" w:hAnsi="宋体" w:eastAsia="宋体"/>
          <w:color w:val="auto"/>
          <w:sz w:val="24"/>
          <w:szCs w:val="24"/>
          <w:highlight w:val="none"/>
        </w:rPr>
        <w:t>的</w:t>
      </w:r>
      <w:r>
        <w:rPr>
          <w:rFonts w:ascii="宋体" w:hAnsi="宋体" w:eastAsia="宋体"/>
          <w:color w:val="auto"/>
          <w:sz w:val="24"/>
          <w:szCs w:val="24"/>
          <w:highlight w:val="none"/>
        </w:rPr>
        <w:t>预付款。</w:t>
      </w:r>
    </w:p>
    <w:p w14:paraId="610C595E">
      <w:pPr>
        <w:tabs>
          <w:tab w:val="left" w:pos="5130"/>
        </w:tabs>
        <w:spacing w:line="360" w:lineRule="auto"/>
        <w:ind w:left="479" w:leftChars="228" w:firstLine="0" w:firstLineChars="0"/>
        <w:rPr>
          <w:rFonts w:ascii="宋体" w:hAnsi="宋体" w:cs="宋体"/>
          <w:color w:val="auto"/>
          <w:sz w:val="24"/>
          <w:szCs w:val="24"/>
          <w:highlight w:val="none"/>
        </w:rPr>
      </w:pPr>
      <w:r>
        <w:rPr>
          <w:rFonts w:hint="eastAsia" w:ascii="宋体" w:hAnsi="宋体" w:eastAsia="宋体" w:cs="宋体"/>
          <w:color w:val="auto"/>
          <w:kern w:val="0"/>
          <w:sz w:val="24"/>
          <w:szCs w:val="24"/>
          <w:highlight w:val="none"/>
        </w:rPr>
        <w:t>4.2.</w:t>
      </w:r>
      <w:r>
        <w:rPr>
          <w:rFonts w:hint="eastAsia" w:ascii="宋体" w:hAnsi="宋体" w:cs="宋体"/>
          <w:color w:val="auto"/>
          <w:kern w:val="0"/>
          <w:sz w:val="24"/>
          <w:szCs w:val="24"/>
          <w:highlight w:val="none"/>
          <w:lang w:val="en-US" w:eastAsia="zh-CN"/>
        </w:rPr>
        <w:t>3</w:t>
      </w:r>
      <w:r>
        <w:rPr>
          <w:rFonts w:hint="eastAsia" w:ascii="宋体" w:hAnsi="宋体" w:cs="宋体"/>
          <w:color w:val="auto"/>
          <w:sz w:val="24"/>
          <w:szCs w:val="24"/>
          <w:highlight w:val="none"/>
        </w:rPr>
        <w:t>卖方供货安装、调试完毕，使用单位验收合格后，卖方开具合同总价100%的正规发票</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和全部货物清单给买方，买方在</w:t>
      </w:r>
      <w:r>
        <w:rPr>
          <w:rFonts w:hint="eastAsia" w:ascii="宋体" w:hAnsi="宋体" w:cs="宋体"/>
          <w:color w:val="auto"/>
          <w:sz w:val="24"/>
          <w:szCs w:val="24"/>
          <w:highlight w:val="none"/>
          <w:lang w:val="en-US" w:eastAsia="zh-CN"/>
        </w:rPr>
        <w:t>7个</w:t>
      </w:r>
      <w:r>
        <w:rPr>
          <w:rFonts w:hint="eastAsia" w:ascii="宋体" w:hAnsi="宋体" w:cs="宋体"/>
          <w:color w:val="auto"/>
          <w:sz w:val="24"/>
          <w:szCs w:val="24"/>
          <w:highlight w:val="none"/>
        </w:rPr>
        <w:t>工作日内向卖方支付本合同总价</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0%的款项</w:t>
      </w:r>
      <w:r>
        <w:rPr>
          <w:rFonts w:hint="eastAsia" w:ascii="宋体" w:hAnsi="宋体" w:cs="宋体"/>
          <w:color w:val="auto"/>
          <w:sz w:val="24"/>
          <w:szCs w:val="24"/>
          <w:highlight w:val="none"/>
          <w:lang w:eastAsia="zh-CN"/>
        </w:rPr>
        <w:t>。</w:t>
      </w:r>
    </w:p>
    <w:p w14:paraId="6052371C">
      <w:pPr>
        <w:widowControl/>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14:paraId="782797B2">
      <w:pPr>
        <w:tabs>
          <w:tab w:val="left" w:pos="513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4.2.1</w:t>
      </w:r>
      <w:r>
        <w:rPr>
          <w:rFonts w:hint="eastAsia" w:ascii="宋体" w:hAnsi="宋体" w:eastAsia="宋体" w:cs="宋体"/>
          <w:color w:val="auto"/>
          <w:kern w:val="0"/>
          <w:sz w:val="24"/>
          <w:szCs w:val="24"/>
          <w:highlight w:val="none"/>
        </w:rPr>
        <w:t>合同签订后</w:t>
      </w:r>
      <w:r>
        <w:rPr>
          <w:rFonts w:hint="eastAsia" w:ascii="宋体" w:hAnsi="宋体" w:cs="宋体"/>
          <w:color w:val="auto"/>
          <w:kern w:val="0"/>
          <w:sz w:val="24"/>
          <w:szCs w:val="24"/>
          <w:highlight w:val="none"/>
          <w:lang w:eastAsia="zh-CN"/>
        </w:rPr>
        <w:t>15个</w:t>
      </w:r>
      <w:r>
        <w:rPr>
          <w:rFonts w:hint="eastAsia" w:ascii="宋体" w:hAnsi="宋体" w:eastAsia="宋体" w:cs="宋体"/>
          <w:color w:val="auto"/>
          <w:kern w:val="0"/>
          <w:sz w:val="24"/>
          <w:szCs w:val="24"/>
          <w:highlight w:val="none"/>
        </w:rPr>
        <w:t>工作日内，</w:t>
      </w:r>
      <w:r>
        <w:rPr>
          <w:rFonts w:hint="eastAsia" w:ascii="宋体" w:hAnsi="宋体" w:eastAsia="宋体" w:cs="宋体"/>
          <w:color w:val="auto"/>
          <w:sz w:val="24"/>
          <w:szCs w:val="24"/>
          <w:highlight w:val="none"/>
        </w:rPr>
        <w:t>卖方向买方</w:t>
      </w:r>
      <w:r>
        <w:rPr>
          <w:rFonts w:hint="eastAsia" w:ascii="宋体" w:hAnsi="宋体" w:eastAsia="宋体" w:cs="宋体"/>
          <w:color w:val="auto"/>
          <w:kern w:val="0"/>
          <w:sz w:val="24"/>
          <w:szCs w:val="24"/>
          <w:highlight w:val="none"/>
        </w:rPr>
        <w:t>支付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%作为项目</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可以转账、支票、汇票、本票或金融机构、担保机构出具的保函等形式交纳，且在合同签订时一并提交，质量保证期届满且无合同纠纷后</w:t>
      </w:r>
      <w:r>
        <w:rPr>
          <w:rFonts w:hint="eastAsia" w:ascii="宋体" w:hAnsi="宋体" w:cs="宋体"/>
          <w:color w:val="auto"/>
          <w:kern w:val="0"/>
          <w:sz w:val="24"/>
          <w:szCs w:val="24"/>
          <w:highlight w:val="none"/>
          <w:lang w:val="en-US" w:eastAsia="zh-CN"/>
        </w:rPr>
        <w:t>7个</w:t>
      </w:r>
      <w:r>
        <w:rPr>
          <w:rFonts w:hint="eastAsia" w:ascii="宋体" w:hAnsi="宋体" w:eastAsia="宋体" w:cs="宋体"/>
          <w:color w:val="auto"/>
          <w:kern w:val="0"/>
          <w:sz w:val="24"/>
          <w:szCs w:val="24"/>
          <w:highlight w:val="none"/>
        </w:rPr>
        <w:t>工作日内，向</w:t>
      </w:r>
      <w:r>
        <w:rPr>
          <w:rFonts w:hint="eastAsia" w:ascii="宋体" w:hAnsi="宋体" w:eastAsia="宋体" w:cs="宋体"/>
          <w:color w:val="auto"/>
          <w:sz w:val="24"/>
          <w:szCs w:val="24"/>
          <w:highlight w:val="none"/>
        </w:rPr>
        <w:t>中标/成交</w:t>
      </w:r>
      <w:r>
        <w:rPr>
          <w:rFonts w:hint="eastAsia" w:ascii="宋体" w:hAnsi="宋体" w:eastAsia="宋体" w:cs="宋体"/>
          <w:color w:val="auto"/>
          <w:kern w:val="0"/>
          <w:sz w:val="24"/>
          <w:szCs w:val="24"/>
          <w:highlight w:val="none"/>
        </w:rPr>
        <w:t>供应商无息返还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p>
    <w:p w14:paraId="05D14B28">
      <w:pPr>
        <w:tabs>
          <w:tab w:val="left" w:pos="5130"/>
        </w:tabs>
        <w:spacing w:line="360" w:lineRule="auto"/>
        <w:ind w:firstLine="480" w:firstLineChars="200"/>
        <w:rPr>
          <w:rFonts w:ascii="宋体" w:hAnsi="宋体" w:eastAsia="宋体"/>
          <w:color w:val="auto"/>
          <w:sz w:val="24"/>
          <w:szCs w:val="24"/>
          <w:highlight w:val="none"/>
        </w:rPr>
      </w:pPr>
      <w:r>
        <w:rPr>
          <w:rFonts w:hint="eastAsia" w:ascii="宋体" w:hAnsi="宋体" w:cs="宋体"/>
          <w:color w:val="auto"/>
          <w:kern w:val="0"/>
          <w:sz w:val="24"/>
          <w:szCs w:val="24"/>
          <w:highlight w:val="none"/>
          <w:lang w:val="en-US" w:eastAsia="zh-CN"/>
        </w:rPr>
        <w:t>4.2.2</w:t>
      </w:r>
      <w:r>
        <w:rPr>
          <w:rFonts w:hint="eastAsia" w:ascii="宋体" w:hAnsi="宋体" w:eastAsia="宋体"/>
          <w:color w:val="auto"/>
          <w:sz w:val="24"/>
          <w:szCs w:val="24"/>
          <w:highlight w:val="none"/>
        </w:rPr>
        <w:t>合同签订后</w:t>
      </w:r>
      <w:r>
        <w:rPr>
          <w:rFonts w:hint="eastAsia" w:ascii="宋体" w:hAnsi="宋体"/>
          <w:color w:val="auto"/>
          <w:sz w:val="24"/>
          <w:szCs w:val="24"/>
          <w:highlight w:val="none"/>
          <w:lang w:val="en-US" w:eastAsia="zh-CN"/>
        </w:rPr>
        <w:t>21</w:t>
      </w:r>
      <w:r>
        <w:rPr>
          <w:rFonts w:hint="eastAsia" w:ascii="宋体" w:hAnsi="宋体" w:eastAsia="宋体"/>
          <w:color w:val="auto"/>
          <w:sz w:val="24"/>
          <w:szCs w:val="24"/>
          <w:highlight w:val="none"/>
        </w:rPr>
        <w:t>个工作日内</w:t>
      </w:r>
      <w:r>
        <w:rPr>
          <w:rFonts w:ascii="宋体" w:hAnsi="宋体" w:eastAsia="宋体"/>
          <w:color w:val="auto"/>
          <w:sz w:val="24"/>
          <w:szCs w:val="24"/>
          <w:highlight w:val="none"/>
        </w:rPr>
        <w:t>，买方向卖方支付合同总价</w:t>
      </w:r>
      <w:r>
        <w:rPr>
          <w:rFonts w:hint="eastAsia" w:ascii="宋体" w:hAnsi="宋体"/>
          <w:color w:val="auto"/>
          <w:sz w:val="24"/>
          <w:szCs w:val="24"/>
          <w:highlight w:val="none"/>
          <w:lang w:val="en-US" w:eastAsia="zh-CN"/>
        </w:rPr>
        <w:t>5</w:t>
      </w:r>
      <w:r>
        <w:rPr>
          <w:rFonts w:hint="eastAsia" w:ascii="宋体" w:hAnsi="宋体" w:eastAsia="宋体"/>
          <w:color w:val="auto"/>
          <w:sz w:val="24"/>
          <w:szCs w:val="24"/>
          <w:highlight w:val="none"/>
        </w:rPr>
        <w:t>0</w:t>
      </w:r>
      <w:r>
        <w:rPr>
          <w:rFonts w:ascii="宋体" w:hAnsi="宋体" w:eastAsia="宋体"/>
          <w:color w:val="auto"/>
          <w:sz w:val="24"/>
          <w:szCs w:val="24"/>
          <w:highlight w:val="none"/>
        </w:rPr>
        <w:t>%</w:t>
      </w:r>
      <w:r>
        <w:rPr>
          <w:rFonts w:hint="eastAsia" w:ascii="宋体" w:hAnsi="宋体" w:eastAsia="宋体"/>
          <w:color w:val="auto"/>
          <w:sz w:val="24"/>
          <w:szCs w:val="24"/>
          <w:highlight w:val="none"/>
        </w:rPr>
        <w:t>的</w:t>
      </w:r>
      <w:r>
        <w:rPr>
          <w:rFonts w:ascii="宋体" w:hAnsi="宋体" w:eastAsia="宋体"/>
          <w:color w:val="auto"/>
          <w:sz w:val="24"/>
          <w:szCs w:val="24"/>
          <w:highlight w:val="none"/>
        </w:rPr>
        <w:t>预付款。</w:t>
      </w:r>
    </w:p>
    <w:p w14:paraId="40000ADA">
      <w:pPr>
        <w:tabs>
          <w:tab w:val="left" w:pos="5130"/>
        </w:tabs>
        <w:spacing w:line="360" w:lineRule="auto"/>
        <w:ind w:left="479" w:leftChars="228" w:firstLine="0" w:firstLineChars="0"/>
        <w:rPr>
          <w:rFonts w:ascii="宋体" w:hAnsi="宋体" w:cs="宋体"/>
          <w:color w:val="auto"/>
          <w:sz w:val="24"/>
          <w:szCs w:val="24"/>
          <w:highlight w:val="none"/>
        </w:rPr>
      </w:pPr>
      <w:r>
        <w:rPr>
          <w:rFonts w:hint="eastAsia" w:ascii="宋体" w:hAnsi="宋体" w:eastAsia="宋体" w:cs="宋体"/>
          <w:color w:val="auto"/>
          <w:kern w:val="0"/>
          <w:sz w:val="24"/>
          <w:szCs w:val="24"/>
          <w:highlight w:val="none"/>
        </w:rPr>
        <w:t>4.2.</w:t>
      </w:r>
      <w:r>
        <w:rPr>
          <w:rFonts w:hint="eastAsia" w:ascii="宋体" w:hAnsi="宋体" w:cs="宋体"/>
          <w:color w:val="auto"/>
          <w:kern w:val="0"/>
          <w:sz w:val="24"/>
          <w:szCs w:val="24"/>
          <w:highlight w:val="none"/>
          <w:lang w:val="en-US" w:eastAsia="zh-CN"/>
        </w:rPr>
        <w:t>3</w:t>
      </w:r>
      <w:r>
        <w:rPr>
          <w:rFonts w:hint="eastAsia" w:ascii="宋体" w:hAnsi="宋体" w:cs="宋体"/>
          <w:color w:val="auto"/>
          <w:sz w:val="24"/>
          <w:szCs w:val="24"/>
          <w:highlight w:val="none"/>
        </w:rPr>
        <w:t>卖方供货安装、调试完毕，使用单位验收合格后，卖方开具合同总价100%的正规发票</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和全部货物清单给买方，买方在</w:t>
      </w:r>
      <w:r>
        <w:rPr>
          <w:rFonts w:hint="eastAsia" w:ascii="宋体" w:hAnsi="宋体" w:cs="宋体"/>
          <w:color w:val="auto"/>
          <w:sz w:val="24"/>
          <w:szCs w:val="24"/>
          <w:highlight w:val="none"/>
          <w:lang w:val="en-US" w:eastAsia="zh-CN"/>
        </w:rPr>
        <w:t>7个</w:t>
      </w:r>
      <w:r>
        <w:rPr>
          <w:rFonts w:hint="eastAsia" w:ascii="宋体" w:hAnsi="宋体" w:cs="宋体"/>
          <w:color w:val="auto"/>
          <w:sz w:val="24"/>
          <w:szCs w:val="24"/>
          <w:highlight w:val="none"/>
        </w:rPr>
        <w:t>工作日内向卖方支付本合同总价</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0%的款项</w:t>
      </w:r>
      <w:r>
        <w:rPr>
          <w:rFonts w:hint="eastAsia" w:ascii="宋体" w:hAnsi="宋体" w:cs="宋体"/>
          <w:color w:val="auto"/>
          <w:sz w:val="24"/>
          <w:szCs w:val="24"/>
          <w:highlight w:val="none"/>
          <w:lang w:eastAsia="zh-CN"/>
        </w:rPr>
        <w:t>。</w:t>
      </w:r>
    </w:p>
    <w:p w14:paraId="7D21AE3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5、技术资料：</w:t>
      </w:r>
    </w:p>
    <w:p w14:paraId="2C24D56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5.1卖方应在交付使用时向使用单位提供配套资料1套。</w:t>
      </w:r>
    </w:p>
    <w:p w14:paraId="03E6332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14:paraId="1B6B0306">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6、验收</w:t>
      </w:r>
    </w:p>
    <w:p w14:paraId="4D4C741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14:paraId="176AB01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6.2合同货物验收时，由使用单位签署</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w:t>
      </w:r>
    </w:p>
    <w:p w14:paraId="3F2249F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6.3卖方应派代表参与验收过程，卖方未派代表参与或对验收意见有异议但未在验收完成后3个工作日内书面提出的，视为卖方对验收意见无异议。</w:t>
      </w:r>
    </w:p>
    <w:p w14:paraId="5AA664C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14:paraId="7FA2DD7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6.5买方根据本合同约定提出换货、退货或解除合同的，卖方应在收到买方或使用单位通知后3个工作日内自行收回不符合合同约定的货物，并承担相应费用。</w:t>
      </w:r>
    </w:p>
    <w:p w14:paraId="7D1DA91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7、售后服务</w:t>
      </w:r>
    </w:p>
    <w:p w14:paraId="370826B9">
      <w:pPr>
        <w:tabs>
          <w:tab w:val="left" w:pos="0"/>
        </w:tabs>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货物验收后的维修等售后服务由卖方直接向最终用户提供，卖方应就货物售后服务与最终用户另行签订相应服务合同，买方不向最终用户承担售后服务义务。</w:t>
      </w:r>
    </w:p>
    <w:p w14:paraId="0E3CFEE3">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8、知识产权</w:t>
      </w:r>
    </w:p>
    <w:p w14:paraId="3F80332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14:paraId="486753D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9、违约责任</w:t>
      </w:r>
    </w:p>
    <w:p w14:paraId="7F65E68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9.1卖方未能按时交货或未能按时交付使用的，每逾期一日，卖方应支付逾期交货货款1‰的违约金。逾期超过10个日历日，买方有权单方解除本合同，卖方应另外支付合同总价20％的违约金。</w:t>
      </w:r>
    </w:p>
    <w:p w14:paraId="73F293B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9.2合同货物验收不合格的，买方有权选择解除合同或换货。如买方选择换货，卖方重新供货导致的交货期延迟的，按9.1条处理；若买方选择单方解除合同的，卖方支付合同总价20%的违约金。</w:t>
      </w:r>
    </w:p>
    <w:p w14:paraId="442F6AA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w:t>
      </w:r>
      <w:r>
        <w:rPr>
          <w:rFonts w:hint="eastAsia" w:ascii="宋体" w:hAnsi="宋体" w:cs="宋体"/>
          <w:bCs/>
          <w:color w:val="auto"/>
          <w:kern w:val="0"/>
          <w:sz w:val="24"/>
          <w:szCs w:val="24"/>
          <w:highlight w:val="none"/>
        </w:rPr>
        <w:t>卖方应保证提供原产、正宗品牌货物，不得用伪劣货物替代。否则，如</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08667E22">
      <w:pPr>
        <w:spacing w:line="360" w:lineRule="auto"/>
        <w:ind w:firstLine="480" w:firstLineChars="200"/>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9.4在生产过程或验收过程中发现卖方对中标货物进行分包、转包，买方有权单方解除合同并有权拒付全部货款。</w:t>
      </w:r>
    </w:p>
    <w:p w14:paraId="54600B0A">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kern w:val="0"/>
          <w:sz w:val="24"/>
          <w:szCs w:val="24"/>
          <w:highlight w:val="none"/>
        </w:rPr>
        <w:t>9.5卖方有虚报各项技术指标等</w:t>
      </w:r>
      <w:r>
        <w:rPr>
          <w:rFonts w:hint="eastAsia" w:ascii="宋体" w:hAnsi="宋体" w:cs="宋体"/>
          <w:color w:val="auto"/>
          <w:sz w:val="24"/>
          <w:szCs w:val="24"/>
          <w:highlight w:val="none"/>
        </w:rPr>
        <w:t>弄虚作假、隐瞒事实内容等情形</w:t>
      </w:r>
      <w:r>
        <w:rPr>
          <w:rFonts w:hint="eastAsia" w:ascii="宋体" w:hAnsi="宋体" w:cs="宋体"/>
          <w:bCs/>
          <w:color w:val="auto"/>
          <w:kern w:val="0"/>
          <w:sz w:val="24"/>
          <w:szCs w:val="24"/>
          <w:highlight w:val="none"/>
        </w:rPr>
        <w:t>，</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24202AB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9.6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14:paraId="4E3ECE6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9.7除本合同另有约定外，在买方发出的违约通知后30天内仍未纠正其任何一种违约行为，买方有权单方解除本合同，卖方除应退还买方已支付的款项外，还应向买方支付合同总价20％的违约金。</w:t>
      </w:r>
    </w:p>
    <w:p w14:paraId="43FD123B">
      <w:pPr>
        <w:spacing w:line="360" w:lineRule="auto"/>
        <w:ind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9.8本合同约定的违约金无法弥补买方损失的，卖方应继续承担相应的赔偿责任。买方有权直接从未付的款项中扣除卖方根据本合同约定应付未付的违约金、赔偿金等。</w:t>
      </w:r>
    </w:p>
    <w:p w14:paraId="7BF8A723">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10、不可抗力</w:t>
      </w:r>
    </w:p>
    <w:p w14:paraId="6911D47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61A0695">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6BE3A08F">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10.3当事人一方因不可抗力的原因不能履行合同的，应及时通知对方，以减轻可能给对方造成的损失，并应当在合理期限内提供证明。</w:t>
      </w:r>
    </w:p>
    <w:p w14:paraId="224216A5">
      <w:pPr>
        <w:spacing w:line="360" w:lineRule="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11、合同纠纷处理方式</w:t>
      </w:r>
    </w:p>
    <w:p w14:paraId="5E7A74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hint="default" w:ascii="宋体" w:hAnsi="宋体" w:cs="宋体"/>
          <w:color w:val="auto"/>
          <w:sz w:val="24"/>
          <w:szCs w:val="24"/>
          <w:highlight w:val="none"/>
        </w:rPr>
        <w:t>合同履行</w:t>
      </w:r>
      <w:r>
        <w:rPr>
          <w:rFonts w:hint="eastAsia" w:ascii="宋体" w:hAnsi="宋体" w:eastAsia="宋体" w:cs="宋体"/>
          <w:color w:val="auto"/>
          <w:sz w:val="24"/>
          <w:szCs w:val="24"/>
          <w:highlight w:val="none"/>
        </w:rPr>
        <w:t>地</w:t>
      </w:r>
      <w:r>
        <w:rPr>
          <w:rFonts w:hint="default" w:ascii="宋体" w:hAnsi="宋体" w:cs="宋体"/>
          <w:color w:val="auto"/>
          <w:sz w:val="24"/>
          <w:szCs w:val="24"/>
          <w:highlight w:val="none"/>
        </w:rPr>
        <w:t>（交货地）</w:t>
      </w:r>
      <w:r>
        <w:rPr>
          <w:rFonts w:hint="eastAsia" w:ascii="宋体" w:hAnsi="宋体" w:cs="宋体"/>
          <w:color w:val="auto"/>
          <w:sz w:val="24"/>
          <w:szCs w:val="24"/>
          <w:highlight w:val="none"/>
        </w:rPr>
        <w:t>人民法院提起诉讼。</w:t>
      </w:r>
    </w:p>
    <w:p w14:paraId="4B5EEBF2">
      <w:pPr>
        <w:spacing w:line="360" w:lineRule="auto"/>
        <w:rPr>
          <w:rFonts w:ascii="宋体" w:hAnsi="宋体" w:cs="宋体"/>
          <w:b/>
          <w:bCs/>
          <w:color w:val="auto"/>
          <w:kern w:val="0"/>
          <w:sz w:val="24"/>
          <w:szCs w:val="24"/>
          <w:highlight w:val="none"/>
        </w:rPr>
      </w:pPr>
      <w:r>
        <w:rPr>
          <w:rFonts w:hint="eastAsia" w:ascii="宋体" w:hAnsi="宋体" w:cs="宋体"/>
          <w:b/>
          <w:color w:val="auto"/>
          <w:sz w:val="24"/>
          <w:szCs w:val="24"/>
          <w:highlight w:val="none"/>
        </w:rPr>
        <w:t>12、</w:t>
      </w:r>
      <w:r>
        <w:rPr>
          <w:rFonts w:hint="eastAsia" w:ascii="宋体" w:hAnsi="宋体" w:cs="宋体"/>
          <w:b/>
          <w:bCs/>
          <w:color w:val="auto"/>
          <w:kern w:val="0"/>
          <w:sz w:val="24"/>
          <w:szCs w:val="24"/>
          <w:highlight w:val="none"/>
        </w:rPr>
        <w:t>其他约定</w:t>
      </w:r>
    </w:p>
    <w:p w14:paraId="0D843A8B">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12.1本合同未尽事宜，买卖双方另行补充。</w:t>
      </w:r>
    </w:p>
    <w:p w14:paraId="380C6995">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12.2卖方同意，由卖方</w:t>
      </w:r>
      <w:r>
        <w:rPr>
          <w:rFonts w:hint="eastAsia" w:ascii="宋体" w:hAnsi="宋体" w:cs="宋体"/>
          <w:bCs/>
          <w:color w:val="auto"/>
          <w:kern w:val="0"/>
          <w:sz w:val="24"/>
          <w:szCs w:val="24"/>
          <w:highlight w:val="none"/>
        </w:rPr>
        <w:t>依据与最终用户的服务协议直接向最终用户履行保修等售后服务义务。</w:t>
      </w:r>
    </w:p>
    <w:p w14:paraId="34B2C009">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kern w:val="2"/>
          <w:sz w:val="24"/>
          <w:szCs w:val="24"/>
          <w:highlight w:val="none"/>
          <w:lang w:val="en-US" w:eastAsia="zh-CN" w:bidi="ar"/>
        </w:rPr>
      </w:pPr>
      <w:r>
        <w:rPr>
          <w:rFonts w:hint="eastAsia" w:ascii="宋体" w:hAnsi="宋体" w:cs="宋体"/>
          <w:color w:val="auto"/>
          <w:sz w:val="24"/>
          <w:szCs w:val="24"/>
          <w:highlight w:val="none"/>
        </w:rPr>
        <w:t>12.3</w:t>
      </w:r>
      <w:r>
        <w:rPr>
          <w:rFonts w:hint="eastAsia" w:ascii="宋体" w:hAnsi="宋体" w:eastAsia="宋体" w:cs="宋体"/>
          <w:i w:val="0"/>
          <w:iCs w:val="0"/>
          <w:caps w:val="0"/>
          <w:color w:val="auto"/>
          <w:spacing w:val="0"/>
          <w:kern w:val="2"/>
          <w:sz w:val="24"/>
          <w:szCs w:val="24"/>
          <w:highlight w:val="none"/>
          <w:lang w:val="en-US" w:eastAsia="zh-CN" w:bidi="ar"/>
        </w:rPr>
        <w:t>本项目的下述文件均为本合同不可分割的一部分，且应当互为解释；存在不一致时，应按下列顺序优先解释：</w:t>
      </w:r>
    </w:p>
    <w:p w14:paraId="145EF34B">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（1）采购合同;</w:t>
      </w:r>
    </w:p>
    <w:p w14:paraId="2D96219F">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（2）买卖合同;</w:t>
      </w:r>
    </w:p>
    <w:p w14:paraId="2E9E2C1A">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（3）招标文件及补充规定;</w:t>
      </w:r>
    </w:p>
    <w:p w14:paraId="7C027480">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（4）投标文件及澄清说明。</w:t>
      </w:r>
    </w:p>
    <w:p w14:paraId="4792F8B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12.4</w:t>
      </w:r>
      <w:r>
        <w:rPr>
          <w:rFonts w:hint="eastAsia" w:ascii="宋体" w:hAnsi="宋体" w:cs="宋体"/>
          <w:color w:val="auto"/>
          <w:sz w:val="24"/>
          <w:szCs w:val="24"/>
          <w:highlight w:val="none"/>
        </w:rPr>
        <w:t>本合同经双方签订之日起生效。一式伍份，买方贰份，卖方贰份，送</w:t>
      </w:r>
      <w:r>
        <w:rPr>
          <w:rFonts w:hint="eastAsia" w:ascii="宋体" w:hAnsi="宋体" w:cs="宋体"/>
          <w:color w:val="auto"/>
          <w:sz w:val="24"/>
          <w:szCs w:val="24"/>
          <w:highlight w:val="none"/>
          <w:lang w:eastAsia="zh-CN"/>
        </w:rPr>
        <w:t>厦门市思明区财政局</w:t>
      </w:r>
      <w:r>
        <w:rPr>
          <w:rFonts w:hint="eastAsia" w:ascii="宋体" w:hAnsi="宋体" w:cs="宋体"/>
          <w:color w:val="auto"/>
          <w:sz w:val="24"/>
          <w:szCs w:val="24"/>
          <w:highlight w:val="none"/>
        </w:rPr>
        <w:t>政府采购监管处备案壹份，具有同等法律效力。</w:t>
      </w:r>
    </w:p>
    <w:p w14:paraId="316F398D">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（以下无正文）</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4"/>
        <w:gridCol w:w="2845"/>
        <w:gridCol w:w="1353"/>
        <w:gridCol w:w="3007"/>
      </w:tblGrid>
      <w:tr w14:paraId="3BF5D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60A83096">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买</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669" w:type="pct"/>
            <w:tcBorders>
              <w:top w:val="single" w:color="auto" w:sz="4" w:space="0"/>
              <w:left w:val="nil"/>
              <w:bottom w:val="single" w:color="auto" w:sz="4" w:space="0"/>
              <w:right w:val="single" w:color="auto" w:sz="4" w:space="0"/>
            </w:tcBorders>
            <w:shd w:val="clear" w:color="auto" w:fill="auto"/>
            <w:vAlign w:val="center"/>
          </w:tcPr>
          <w:p w14:paraId="5E3AF11F">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厦门万翔网络商务有限公司</w:t>
            </w:r>
          </w:p>
        </w:tc>
        <w:tc>
          <w:tcPr>
            <w:tcW w:w="794" w:type="pct"/>
            <w:tcBorders>
              <w:top w:val="single" w:color="auto" w:sz="4" w:space="0"/>
              <w:left w:val="nil"/>
              <w:bottom w:val="single" w:color="auto" w:sz="4" w:space="0"/>
              <w:right w:val="single" w:color="auto" w:sz="4" w:space="0"/>
            </w:tcBorders>
            <w:shd w:val="clear" w:color="auto" w:fill="auto"/>
            <w:vAlign w:val="center"/>
          </w:tcPr>
          <w:p w14:paraId="30CF776E">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卖</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764" w:type="pct"/>
            <w:tcBorders>
              <w:top w:val="single" w:color="auto" w:sz="4" w:space="0"/>
              <w:left w:val="nil"/>
              <w:bottom w:val="single" w:color="auto" w:sz="4" w:space="0"/>
              <w:right w:val="single" w:color="auto" w:sz="4" w:space="0"/>
            </w:tcBorders>
            <w:shd w:val="clear" w:color="auto" w:fill="auto"/>
            <w:vAlign w:val="center"/>
          </w:tcPr>
          <w:p w14:paraId="1E2ED876">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0" w:name="yf2"/>
            <w:bookmarkEnd w:id="0"/>
          </w:p>
        </w:tc>
      </w:tr>
      <w:tr w14:paraId="66143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1661EA30">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669" w:type="pct"/>
            <w:tcBorders>
              <w:top w:val="single" w:color="auto" w:sz="4" w:space="0"/>
              <w:left w:val="nil"/>
              <w:bottom w:val="single" w:color="auto" w:sz="4" w:space="0"/>
              <w:right w:val="single" w:color="auto" w:sz="4" w:space="0"/>
            </w:tcBorders>
            <w:shd w:val="clear" w:color="auto" w:fill="auto"/>
            <w:vAlign w:val="center"/>
          </w:tcPr>
          <w:p w14:paraId="0FA644EF">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 xml:space="preserve">厦门市湖里区机场北路476号 </w:t>
            </w:r>
          </w:p>
        </w:tc>
        <w:tc>
          <w:tcPr>
            <w:tcW w:w="794" w:type="pct"/>
            <w:tcBorders>
              <w:top w:val="single" w:color="auto" w:sz="4" w:space="0"/>
              <w:left w:val="nil"/>
              <w:bottom w:val="single" w:color="auto" w:sz="4" w:space="0"/>
              <w:right w:val="single" w:color="auto" w:sz="4" w:space="0"/>
            </w:tcBorders>
            <w:shd w:val="clear" w:color="auto" w:fill="auto"/>
            <w:vAlign w:val="center"/>
          </w:tcPr>
          <w:p w14:paraId="3308104F">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764" w:type="pct"/>
            <w:tcBorders>
              <w:top w:val="single" w:color="auto" w:sz="4" w:space="0"/>
              <w:left w:val="nil"/>
              <w:bottom w:val="single" w:color="auto" w:sz="4" w:space="0"/>
              <w:right w:val="single" w:color="auto" w:sz="4" w:space="0"/>
            </w:tcBorders>
            <w:shd w:val="clear" w:color="auto" w:fill="auto"/>
            <w:vAlign w:val="center"/>
          </w:tcPr>
          <w:p w14:paraId="29C656D7">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1" w:name="yfzcdz"/>
            <w:bookmarkEnd w:id="1"/>
          </w:p>
        </w:tc>
      </w:tr>
      <w:tr w14:paraId="6207E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3B830A6B">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669" w:type="pct"/>
            <w:tcBorders>
              <w:top w:val="single" w:color="auto" w:sz="4" w:space="0"/>
              <w:left w:val="nil"/>
              <w:bottom w:val="single" w:color="auto" w:sz="4" w:space="0"/>
              <w:right w:val="single" w:color="auto" w:sz="4" w:space="0"/>
            </w:tcBorders>
            <w:shd w:val="clear" w:color="auto" w:fill="auto"/>
            <w:vAlign w:val="center"/>
          </w:tcPr>
          <w:p w14:paraId="50A26198">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7A516C1">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764" w:type="pct"/>
            <w:tcBorders>
              <w:top w:val="single" w:color="auto" w:sz="4" w:space="0"/>
              <w:left w:val="nil"/>
              <w:bottom w:val="single" w:color="auto" w:sz="4" w:space="0"/>
              <w:right w:val="single" w:color="auto" w:sz="4" w:space="0"/>
            </w:tcBorders>
            <w:shd w:val="clear" w:color="auto" w:fill="auto"/>
            <w:vAlign w:val="center"/>
          </w:tcPr>
          <w:p w14:paraId="457511C4">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2" w:name="yffddbr"/>
            <w:bookmarkEnd w:id="2"/>
          </w:p>
        </w:tc>
      </w:tr>
      <w:tr w14:paraId="49FE0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25DA483C">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669" w:type="pct"/>
            <w:tcBorders>
              <w:top w:val="single" w:color="auto" w:sz="4" w:space="0"/>
              <w:left w:val="nil"/>
              <w:bottom w:val="single" w:color="auto" w:sz="4" w:space="0"/>
              <w:right w:val="single" w:color="auto" w:sz="4" w:space="0"/>
            </w:tcBorders>
            <w:shd w:val="clear" w:color="auto" w:fill="auto"/>
            <w:vAlign w:val="center"/>
          </w:tcPr>
          <w:p w14:paraId="2B6B8634">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1080BE0F">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764" w:type="pct"/>
            <w:tcBorders>
              <w:top w:val="single" w:color="auto" w:sz="4" w:space="0"/>
              <w:left w:val="nil"/>
              <w:bottom w:val="single" w:color="auto" w:sz="4" w:space="0"/>
              <w:right w:val="single" w:color="auto" w:sz="4" w:space="0"/>
            </w:tcBorders>
            <w:shd w:val="clear" w:color="auto" w:fill="auto"/>
            <w:vAlign w:val="center"/>
          </w:tcPr>
          <w:p w14:paraId="521DF253">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5D95C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28A2366E">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669" w:type="pct"/>
            <w:tcBorders>
              <w:top w:val="single" w:color="auto" w:sz="4" w:space="0"/>
              <w:left w:val="nil"/>
              <w:bottom w:val="single" w:color="auto" w:sz="4" w:space="0"/>
              <w:right w:val="single" w:color="auto" w:sz="4" w:space="0"/>
            </w:tcBorders>
            <w:shd w:val="clear" w:color="auto" w:fill="auto"/>
            <w:vAlign w:val="center"/>
          </w:tcPr>
          <w:p w14:paraId="7125CF65">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3FDC23D4">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764" w:type="pct"/>
            <w:tcBorders>
              <w:top w:val="single" w:color="auto" w:sz="4" w:space="0"/>
              <w:left w:val="nil"/>
              <w:bottom w:val="single" w:color="auto" w:sz="4" w:space="0"/>
              <w:right w:val="single" w:color="auto" w:sz="4" w:space="0"/>
            </w:tcBorders>
            <w:shd w:val="clear" w:color="auto" w:fill="auto"/>
            <w:vAlign w:val="center"/>
          </w:tcPr>
          <w:p w14:paraId="5E2BF6BE">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3" w:name="yflxdh"/>
            <w:bookmarkEnd w:id="3"/>
          </w:p>
        </w:tc>
      </w:tr>
      <w:tr w14:paraId="779FC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7A18F4DB">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669" w:type="pct"/>
            <w:tcBorders>
              <w:top w:val="single" w:color="auto" w:sz="4" w:space="0"/>
              <w:left w:val="nil"/>
              <w:bottom w:val="single" w:color="auto" w:sz="4" w:space="0"/>
              <w:right w:val="single" w:color="auto" w:sz="4" w:space="0"/>
            </w:tcBorders>
            <w:shd w:val="clear" w:color="auto" w:fill="auto"/>
            <w:vAlign w:val="center"/>
          </w:tcPr>
          <w:p w14:paraId="7DC4D45C">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c>
          <w:tcPr>
            <w:tcW w:w="794" w:type="pct"/>
            <w:tcBorders>
              <w:top w:val="single" w:color="auto" w:sz="4" w:space="0"/>
              <w:left w:val="nil"/>
              <w:bottom w:val="single" w:color="auto" w:sz="4" w:space="0"/>
              <w:right w:val="single" w:color="auto" w:sz="4" w:space="0"/>
            </w:tcBorders>
            <w:shd w:val="clear" w:color="auto" w:fill="auto"/>
            <w:vAlign w:val="center"/>
          </w:tcPr>
          <w:p w14:paraId="60836341">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764" w:type="pct"/>
            <w:tcBorders>
              <w:top w:val="single" w:color="auto" w:sz="4" w:space="0"/>
              <w:left w:val="nil"/>
              <w:bottom w:val="single" w:color="auto" w:sz="4" w:space="0"/>
              <w:right w:val="single" w:color="auto" w:sz="4" w:space="0"/>
            </w:tcBorders>
            <w:shd w:val="clear" w:color="auto" w:fill="auto"/>
            <w:vAlign w:val="center"/>
          </w:tcPr>
          <w:p w14:paraId="4C33479B">
            <w:pPr>
              <w:keepNext w:val="0"/>
              <w:keepLines w:val="0"/>
              <w:widowControl w:val="0"/>
              <w:suppressLineNumbers w:val="0"/>
              <w:spacing w:before="0" w:beforeAutospacing="0" w:after="0" w:afterAutospacing="0" w:line="240" w:lineRule="atLeast"/>
              <w:ind w:left="0" w:right="0"/>
              <w:jc w:val="left"/>
              <w:rPr>
                <w:rFonts w:hint="eastAsia" w:ascii="宋体" w:hAnsi="宋体" w:eastAsia="宋体" w:cs="Times New Roman"/>
                <w:color w:val="auto"/>
                <w:kern w:val="0"/>
                <w:sz w:val="24"/>
                <w:szCs w:val="24"/>
                <w:highlight w:val="none"/>
              </w:rPr>
            </w:pPr>
            <w:bookmarkStart w:id="4" w:name="yfkhh"/>
            <w:bookmarkEnd w:id="4"/>
          </w:p>
        </w:tc>
      </w:tr>
      <w:tr w14:paraId="08F1F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384642EB">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669" w:type="pct"/>
            <w:tcBorders>
              <w:top w:val="single" w:color="auto" w:sz="4" w:space="0"/>
              <w:left w:val="nil"/>
              <w:bottom w:val="single" w:color="auto" w:sz="4" w:space="0"/>
              <w:right w:val="single" w:color="auto" w:sz="4" w:space="0"/>
            </w:tcBorders>
            <w:shd w:val="clear" w:color="auto" w:fill="auto"/>
            <w:vAlign w:val="center"/>
          </w:tcPr>
          <w:p w14:paraId="6086EA25">
            <w:pPr>
              <w:pStyle w:val="6"/>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 xml:space="preserve">35101570201052503924  </w:t>
            </w:r>
          </w:p>
        </w:tc>
        <w:tc>
          <w:tcPr>
            <w:tcW w:w="794" w:type="pct"/>
            <w:tcBorders>
              <w:top w:val="single" w:color="auto" w:sz="4" w:space="0"/>
              <w:left w:val="nil"/>
              <w:bottom w:val="single" w:color="auto" w:sz="4" w:space="0"/>
              <w:right w:val="single" w:color="auto" w:sz="4" w:space="0"/>
            </w:tcBorders>
            <w:shd w:val="clear" w:color="auto" w:fill="auto"/>
            <w:vAlign w:val="center"/>
          </w:tcPr>
          <w:p w14:paraId="2F856185">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764" w:type="pct"/>
            <w:tcBorders>
              <w:top w:val="single" w:color="auto" w:sz="4" w:space="0"/>
              <w:left w:val="nil"/>
              <w:bottom w:val="single" w:color="auto" w:sz="4" w:space="0"/>
              <w:right w:val="single" w:color="auto" w:sz="4" w:space="0"/>
            </w:tcBorders>
            <w:shd w:val="clear" w:color="auto" w:fill="auto"/>
            <w:vAlign w:val="center"/>
          </w:tcPr>
          <w:p w14:paraId="312EA34B">
            <w:pPr>
              <w:keepNext w:val="0"/>
              <w:keepLines w:val="0"/>
              <w:widowControl w:val="0"/>
              <w:suppressLineNumbers w:val="0"/>
              <w:spacing w:before="0" w:beforeAutospacing="0" w:after="0" w:afterAutospacing="0" w:line="360" w:lineRule="auto"/>
              <w:ind w:left="0" w:right="0"/>
              <w:jc w:val="left"/>
              <w:rPr>
                <w:rFonts w:hint="eastAsia" w:ascii="宋体" w:hAnsi="宋体" w:eastAsia="宋体" w:cs="Times New Roman"/>
                <w:color w:val="auto"/>
                <w:kern w:val="0"/>
                <w:sz w:val="24"/>
                <w:szCs w:val="24"/>
                <w:highlight w:val="none"/>
              </w:rPr>
            </w:pPr>
            <w:bookmarkStart w:id="5" w:name="yfzh"/>
            <w:bookmarkEnd w:id="5"/>
          </w:p>
        </w:tc>
      </w:tr>
      <w:tr w14:paraId="57381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575586DA">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669" w:type="pct"/>
            <w:tcBorders>
              <w:top w:val="single" w:color="auto" w:sz="4" w:space="0"/>
              <w:left w:val="nil"/>
              <w:bottom w:val="single" w:color="auto" w:sz="4" w:space="0"/>
              <w:right w:val="single" w:color="auto" w:sz="4" w:space="0"/>
            </w:tcBorders>
            <w:shd w:val="clear" w:color="auto" w:fill="auto"/>
            <w:vAlign w:val="center"/>
          </w:tcPr>
          <w:p w14:paraId="7832D968">
            <w:pPr>
              <w:pStyle w:val="6"/>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757FB7CB">
            <w:pPr>
              <w:pStyle w:val="6"/>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764" w:type="pct"/>
            <w:tcBorders>
              <w:top w:val="single" w:color="auto" w:sz="4" w:space="0"/>
              <w:left w:val="nil"/>
              <w:bottom w:val="single" w:color="auto" w:sz="4" w:space="0"/>
              <w:right w:val="single" w:color="auto" w:sz="4" w:space="0"/>
            </w:tcBorders>
            <w:shd w:val="clear" w:color="auto" w:fill="auto"/>
            <w:vAlign w:val="center"/>
          </w:tcPr>
          <w:p w14:paraId="1D22E19A">
            <w:pPr>
              <w:pStyle w:val="6"/>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bl>
    <w:p w14:paraId="377E2A6A">
      <w:pPr>
        <w:spacing w:line="360" w:lineRule="auto"/>
        <w:rPr>
          <w:rFonts w:hint="eastAsia" w:ascii="宋体" w:hAnsi="宋体" w:eastAsia="宋体" w:cs="宋体"/>
          <w:color w:val="auto"/>
          <w:sz w:val="24"/>
          <w:szCs w:val="24"/>
          <w:highlight w:val="none"/>
        </w:rPr>
      </w:pPr>
    </w:p>
    <w:p w14:paraId="05344480">
      <w:pPr>
        <w:spacing w:line="360" w:lineRule="auto"/>
        <w:ind w:firstLine="600" w:firstLineChars="250"/>
        <w:rPr>
          <w:rFonts w:ascii="宋体" w:hAnsi="宋体" w:cs="宋体"/>
          <w:color w:val="auto"/>
          <w:sz w:val="24"/>
          <w:szCs w:val="24"/>
          <w:highlight w:val="none"/>
        </w:rPr>
      </w:pPr>
    </w:p>
    <w:p w14:paraId="1C519906">
      <w:pPr>
        <w:spacing w:line="360" w:lineRule="auto"/>
        <w:ind w:firstLine="600" w:firstLineChars="250"/>
        <w:rPr>
          <w:rFonts w:ascii="宋体" w:hAnsi="宋体" w:cs="宋体"/>
          <w:color w:val="auto"/>
          <w:sz w:val="24"/>
          <w:szCs w:val="24"/>
          <w:highlight w:val="none"/>
        </w:rPr>
      </w:pPr>
    </w:p>
    <w:p w14:paraId="3EA98A3A">
      <w:pPr>
        <w:keepNext w:val="0"/>
        <w:keepLines w:val="0"/>
        <w:widowControl/>
        <w:suppressLineNumbers w:val="0"/>
        <w:ind w:left="-850" w:leftChars="-405"/>
        <w:rPr>
          <w:rFonts w:hint="eastAsia" w:ascii="宋体" w:hAnsi="宋体" w:eastAsia="宋体" w:cs="宋体"/>
          <w:color w:val="auto"/>
          <w:kern w:val="2"/>
          <w:sz w:val="24"/>
          <w:szCs w:val="24"/>
          <w:highlight w:val="none"/>
        </w:rPr>
      </w:pPr>
      <w:r>
        <w:rPr>
          <w:rFonts w:hint="default" w:ascii="宋体" w:hAnsi="宋体" w:cs="宋体"/>
          <w:color w:val="auto"/>
          <w:sz w:val="24"/>
          <w:szCs w:val="24"/>
          <w:highlight w:val="none"/>
        </w:rPr>
        <w:t>附件1：</w:t>
      </w:r>
      <w:r>
        <w:rPr>
          <w:rFonts w:hint="default" w:ascii="宋体" w:hAnsi="宋体" w:eastAsia="宋体" w:cs="宋体"/>
          <w:b w:val="0"/>
          <w:bCs w:val="0"/>
          <w:color w:val="auto"/>
          <w:kern w:val="2"/>
          <w:sz w:val="24"/>
          <w:szCs w:val="24"/>
          <w:highlight w:val="none"/>
        </w:rPr>
        <w:t>供货清单</w:t>
      </w:r>
    </w:p>
    <w:p w14:paraId="755BE1B3">
      <w:pPr>
        <w:pStyle w:val="6"/>
        <w:keepNext w:val="0"/>
        <w:keepLines w:val="0"/>
        <w:widowControl w:val="0"/>
        <w:suppressLineNumbers w:val="0"/>
        <w:spacing w:before="0" w:beforeAutospacing="0" w:after="0" w:afterAutospacing="0"/>
        <w:ind w:left="0" w:right="0"/>
        <w:jc w:val="both"/>
        <w:textAlignment w:val="baseline"/>
        <w:rPr>
          <w:rFonts w:hint="default" w:ascii="宋体" w:hAnsi="宋体" w:eastAsia="等线" w:cs="宋体"/>
          <w:color w:val="auto"/>
          <w:kern w:val="2"/>
          <w:sz w:val="24"/>
          <w:szCs w:val="24"/>
          <w:highlight w:val="none"/>
        </w:rPr>
      </w:pPr>
      <w:r>
        <w:rPr>
          <w:rFonts w:hint="default" w:ascii="宋体" w:hAnsi="宋体" w:eastAsia="等线" w:cs="宋体"/>
          <w:color w:val="auto"/>
          <w:kern w:val="2"/>
          <w:sz w:val="24"/>
          <w:szCs w:val="24"/>
          <w:highlight w:val="none"/>
          <w:lang w:val="en-US" w:eastAsia="zh-CN" w:bidi="ar"/>
        </w:rPr>
        <w:t xml:space="preserve"> </w:t>
      </w:r>
    </w:p>
    <w:tbl>
      <w:tblPr>
        <w:tblStyle w:val="10"/>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40"/>
        <w:gridCol w:w="857"/>
        <w:gridCol w:w="775"/>
        <w:gridCol w:w="776"/>
        <w:gridCol w:w="1502"/>
        <w:gridCol w:w="1963"/>
        <w:gridCol w:w="994"/>
        <w:gridCol w:w="1105"/>
      </w:tblGrid>
      <w:tr w14:paraId="5B0A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257163C">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序号</w:t>
            </w: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3C224E4">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名</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 xml:space="preserve"> 称</w:t>
            </w: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3E56C3D">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数量</w:t>
            </w: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6398648">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原产地</w:t>
            </w: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5DA4FF5">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制造商</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1B4FAB8">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规 格</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型</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号</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DF8BB75">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单价（元）</w:t>
            </w:r>
          </w:p>
        </w:tc>
        <w:tc>
          <w:tcPr>
            <w:tcW w:w="649" w:type="pct"/>
            <w:tcBorders>
              <w:top w:val="single" w:color="auto" w:sz="4" w:space="0"/>
              <w:left w:val="single" w:color="auto" w:sz="4" w:space="0"/>
              <w:bottom w:val="single" w:color="auto" w:sz="4" w:space="0"/>
              <w:right w:val="single" w:color="auto" w:sz="4" w:space="0"/>
            </w:tcBorders>
            <w:shd w:val="clear" w:color="auto" w:fill="auto"/>
            <w:vAlign w:val="top"/>
          </w:tcPr>
          <w:p w14:paraId="3487B5A0">
            <w:pPr>
              <w:pStyle w:val="13"/>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金额（元）</w:t>
            </w:r>
          </w:p>
        </w:tc>
      </w:tr>
      <w:tr w14:paraId="342A4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4BA310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AC51BF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6BC9AC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686603C">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6B984B1">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BFDCB07">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8C05454">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821739D">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30B84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3D7A65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11B6DD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34F3D4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8AA7D16">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4335353">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EF07D60">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2AF22D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567B56FB">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4E5E0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7D3070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455280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E24A78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A2206A9">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C776185">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46B448B">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9E2916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5A059AE1">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14FA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71289D9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6F1C6794">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7B24F8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8033D27">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29EE87D">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5850560">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73D936F">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484A10D">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55F61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1C06FF8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88CC9F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8BEACF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263EE435">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0ECE1CC">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797257F">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872BEB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92F0C09">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61DAA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74CE530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CA3E61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7A196F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C91B81F">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AD14141">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6E69B07B">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CEBCD3F">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6779459">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64B42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12D45ED">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191D2D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ED0277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80F6335">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5CD282F">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09EA309">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DB741A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1B57560">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18CA7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235B373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DDFF31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DFEA1A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69B8052">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2CA4300">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6E5A7BD4">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210AC8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EC016EA">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3AE1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E25899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6F0F39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0A41E2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716DE02">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E6534C9">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CD62558">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4617D2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0769841">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655B3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66D3954">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0AB3F8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008AEF4">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25A187CE">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2533D9B">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E89A40C">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121E90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302A7D4">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759C5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000A1FD">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3D733F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A6D4D1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0CDE187">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285E12A">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233C026">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972A0A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5978BE65">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3F9E2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2A4AC54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AA986D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FA1347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03266CB">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D131BFF">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44FC2E6">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646AC0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074FDEDE">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26EC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AF3AB0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0DE3A4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AF0304E">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4926AC1">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F4C395F">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2A091DC">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607A59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D802E62">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7FDE3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E52BFB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DC29574">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0E3B45A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6D6E43E">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D97BE82">
            <w:pPr>
              <w:pStyle w:val="13"/>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FA8B9FB">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0F7FAD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4A3D4CC">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16557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6"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071949F0">
            <w:pPr>
              <w:keepNext w:val="0"/>
              <w:keepLines w:val="0"/>
              <w:widowControl w:val="0"/>
              <w:suppressLineNumbers w:val="0"/>
              <w:spacing w:before="0" w:beforeAutospacing="0" w:after="0" w:afterAutospacing="0" w:line="460" w:lineRule="exact"/>
              <w:ind w:left="0" w:right="0"/>
              <w:jc w:val="both"/>
              <w:rPr>
                <w:rFonts w:hint="default" w:ascii="华文楷体" w:hAnsi="华文楷体" w:eastAsia="华文楷体" w:cs="华文楷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lang w:val="en-US" w:eastAsia="zh-CN" w:bidi="ar"/>
              </w:rPr>
              <w:t>合计（元）：</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151BAFD2">
            <w:pPr>
              <w:keepNext w:val="0"/>
              <w:keepLines w:val="0"/>
              <w:widowControl w:val="0"/>
              <w:suppressLineNumbers w:val="0"/>
              <w:spacing w:before="0" w:beforeAutospacing="0" w:after="0" w:afterAutospacing="0"/>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14DA0C0">
            <w:pPr>
              <w:keepNext w:val="0"/>
              <w:keepLines w:val="0"/>
              <w:widowControl w:val="0"/>
              <w:suppressLineNumbers w:val="0"/>
              <w:spacing w:before="0" w:beforeAutospacing="0" w:after="0" w:afterAutospacing="0"/>
              <w:ind w:left="0" w:right="0"/>
              <w:jc w:val="center"/>
              <w:rPr>
                <w:rFonts w:hint="default" w:ascii="华文楷体" w:hAnsi="华文楷体" w:eastAsia="华文楷体" w:cs="华文楷体"/>
                <w:b/>
                <w:bCs w:val="0"/>
                <w:color w:val="auto"/>
                <w:kern w:val="0"/>
                <w:sz w:val="24"/>
                <w:szCs w:val="24"/>
                <w:highlight w:val="none"/>
              </w:rPr>
            </w:pPr>
          </w:p>
        </w:tc>
      </w:tr>
    </w:tbl>
    <w:p w14:paraId="1B69FA2B">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2"/>
          <w:sz w:val="24"/>
          <w:szCs w:val="24"/>
          <w:highlight w:val="none"/>
        </w:rPr>
      </w:pPr>
    </w:p>
    <w:p w14:paraId="2A9872EB">
      <w:pPr>
        <w:spacing w:line="360" w:lineRule="auto"/>
        <w:rPr>
          <w:rFonts w:hint="default" w:ascii="宋体" w:hAnsi="宋体" w:cs="宋体"/>
          <w:color w:val="auto"/>
          <w:sz w:val="24"/>
          <w:szCs w:val="24"/>
          <w:highlight w:val="none"/>
        </w:rPr>
        <w:sectPr>
          <w:footerReference r:id="rId3" w:type="default"/>
          <w:pgSz w:w="11906" w:h="16838"/>
          <w:pgMar w:top="1440" w:right="1800" w:bottom="1440" w:left="1800" w:header="851" w:footer="992" w:gutter="0"/>
          <w:cols w:space="720" w:num="1"/>
          <w:docGrid w:type="lines" w:linePitch="312" w:charSpace="0"/>
        </w:sectPr>
      </w:pPr>
    </w:p>
    <w:p w14:paraId="58749660">
      <w:pPr>
        <w:spacing w:line="360" w:lineRule="auto"/>
        <w:rPr>
          <w:rFonts w:hint="default" w:ascii="宋体" w:hAnsi="宋体" w:cs="宋体"/>
          <w:color w:val="auto"/>
          <w:sz w:val="24"/>
          <w:szCs w:val="24"/>
          <w:highlight w:val="none"/>
        </w:rPr>
      </w:pPr>
      <w:r>
        <w:rPr>
          <w:rFonts w:hint="default" w:ascii="宋体" w:hAnsi="宋体" w:cs="宋体"/>
          <w:color w:val="auto"/>
          <w:sz w:val="24"/>
          <w:szCs w:val="24"/>
          <w:highlight w:val="none"/>
        </w:rPr>
        <w:t>附件2：</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p>
    <w:p w14:paraId="1092A728">
      <w:pPr>
        <w:spacing w:line="360" w:lineRule="auto"/>
        <w:rPr>
          <w:rFonts w:ascii="宋体" w:hAnsi="宋体" w:cs="宋体"/>
          <w:color w:val="auto"/>
          <w:sz w:val="24"/>
          <w:szCs w:val="24"/>
          <w:highlight w:val="none"/>
        </w:rPr>
      </w:pPr>
      <w:r>
        <w:rPr>
          <w:rFonts w:hint="default" w:ascii="宋体" w:hAnsi="宋体" w:eastAsia="宋体" w:cs="宋体"/>
          <w:b/>
          <w:bCs/>
          <w:color w:val="auto"/>
          <w:sz w:val="24"/>
          <w:szCs w:val="24"/>
          <w:highlight w:val="none"/>
        </w:rPr>
        <w:drawing>
          <wp:inline distT="0" distB="0" distL="114300" distR="114300">
            <wp:extent cx="5271770" cy="7526655"/>
            <wp:effectExtent l="0" t="0" r="508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1770" cy="7526655"/>
                    </a:xfrm>
                    <a:prstGeom prst="rect">
                      <a:avLst/>
                    </a:prstGeom>
                  </pic:spPr>
                </pic:pic>
              </a:graphicData>
            </a:graphic>
          </wp:inline>
        </w:drawing>
      </w:r>
    </w:p>
    <w:p w14:paraId="5AC980E1">
      <w:pPr>
        <w:spacing w:line="360" w:lineRule="auto"/>
        <w:jc w:val="center"/>
        <w:rPr>
          <w:rFonts w:ascii="宋体" w:hAnsi="宋体" w:cs="宋体"/>
          <w:b/>
          <w:bCs/>
          <w:color w:val="auto"/>
          <w:sz w:val="24"/>
          <w:szCs w:val="24"/>
          <w:highlight w:val="none"/>
        </w:rPr>
      </w:pPr>
    </w:p>
    <w:p w14:paraId="5E39F4A6">
      <w:pPr>
        <w:spacing w:line="360" w:lineRule="auto"/>
        <w:rPr>
          <w:rFonts w:ascii="宋体" w:hAnsi="宋体" w:cs="宋体"/>
          <w:color w:val="auto"/>
          <w:sz w:val="24"/>
          <w:szCs w:val="24"/>
          <w:highlight w:val="none"/>
        </w:rPr>
      </w:pPr>
    </w:p>
    <w:p w14:paraId="1FCF7327">
      <w:pPr>
        <w:spacing w:line="360" w:lineRule="auto"/>
        <w:ind w:firstLine="2891" w:firstLineChars="1200"/>
        <w:rPr>
          <w:rFonts w:ascii="宋体" w:hAnsi="宋体" w:cs="宋体"/>
          <w:b/>
          <w:bCs/>
          <w:color w:val="auto"/>
          <w:sz w:val="24"/>
          <w:szCs w:val="24"/>
          <w:highlight w:val="none"/>
        </w:rPr>
      </w:pPr>
      <w:r>
        <w:rPr>
          <w:rFonts w:hint="default" w:ascii="宋体" w:hAnsi="宋体" w:cs="宋体"/>
          <w:b/>
          <w:bCs/>
          <w:color w:val="auto"/>
          <w:sz w:val="24"/>
          <w:szCs w:val="24"/>
          <w:highlight w:val="none"/>
          <w:lang w:eastAsia="zh-CN"/>
        </w:rPr>
        <w:t>XM2025</w:t>
      </w:r>
      <w:r>
        <w:rPr>
          <w:rFonts w:hint="eastAsia" w:ascii="宋体" w:hAnsi="宋体" w:cs="宋体"/>
          <w:b/>
          <w:bCs/>
          <w:color w:val="auto"/>
          <w:sz w:val="24"/>
          <w:szCs w:val="24"/>
          <w:highlight w:val="none"/>
          <w:lang w:eastAsia="zh-CN"/>
        </w:rPr>
        <w:t>-</w:t>
      </w:r>
      <w:r>
        <w:rPr>
          <w:rFonts w:hint="default" w:ascii="宋体" w:hAnsi="宋体" w:cs="宋体"/>
          <w:b/>
          <w:bCs/>
          <w:color w:val="auto"/>
          <w:sz w:val="24"/>
          <w:szCs w:val="24"/>
          <w:highlight w:val="none"/>
          <w:lang w:eastAsia="zh-CN"/>
        </w:rPr>
        <w:t>DZ0019</w:t>
      </w:r>
      <w:r>
        <w:rPr>
          <w:rFonts w:hint="eastAsia" w:ascii="宋体" w:hAnsi="宋体" w:cs="宋体"/>
          <w:b/>
          <w:bCs/>
          <w:color w:val="auto"/>
          <w:sz w:val="24"/>
          <w:szCs w:val="24"/>
          <w:highlight w:val="none"/>
        </w:rPr>
        <w:t>买卖合同</w:t>
      </w:r>
    </w:p>
    <w:p w14:paraId="1D73C1DC">
      <w:pPr>
        <w:spacing w:line="360" w:lineRule="auto"/>
        <w:ind w:right="480"/>
        <w:jc w:val="center"/>
        <w:rPr>
          <w:rFonts w:ascii="宋体" w:hAnsi="宋体" w:cs="宋体"/>
          <w:color w:val="auto"/>
          <w:sz w:val="24"/>
          <w:szCs w:val="24"/>
          <w:highlight w:val="none"/>
        </w:rPr>
      </w:pPr>
    </w:p>
    <w:p w14:paraId="75949413">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2F8E5CD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买方： </w:t>
      </w:r>
    </w:p>
    <w:p w14:paraId="336C9BB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卖方：厦门万翔网络商务有限公司</w:t>
      </w:r>
    </w:p>
    <w:p w14:paraId="75A668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买方委托卖方采购      ，</w:t>
      </w:r>
      <w:r>
        <w:rPr>
          <w:rFonts w:hint="eastAsia" w:ascii="宋体" w:hAnsi="宋体" w:cs="宋体"/>
          <w:color w:val="auto"/>
          <w:sz w:val="24"/>
          <w:szCs w:val="24"/>
          <w:highlight w:val="none"/>
        </w:rPr>
        <w:t>现根据项目编号:</w:t>
      </w:r>
      <w:r>
        <w:rPr>
          <w:rFonts w:hint="default" w:ascii="宋体" w:hAnsi="宋体" w:cs="宋体"/>
          <w:color w:val="auto"/>
          <w:sz w:val="24"/>
          <w:szCs w:val="24"/>
          <w:highlight w:val="none"/>
          <w:u w:val="single"/>
          <w:lang w:eastAsia="zh-CN"/>
        </w:rPr>
        <w:t>XM2025</w:t>
      </w:r>
      <w:r>
        <w:rPr>
          <w:rFonts w:hint="eastAsia" w:ascii="宋体" w:hAnsi="宋体" w:cs="宋体"/>
          <w:color w:val="auto"/>
          <w:sz w:val="24"/>
          <w:szCs w:val="24"/>
          <w:highlight w:val="none"/>
          <w:u w:val="single"/>
        </w:rPr>
        <w:t>-DZ0</w:t>
      </w:r>
      <w:r>
        <w:rPr>
          <w:rFonts w:hint="default" w:ascii="宋体" w:hAnsi="宋体" w:cs="宋体"/>
          <w:color w:val="auto"/>
          <w:sz w:val="24"/>
          <w:szCs w:val="24"/>
          <w:highlight w:val="none"/>
          <w:u w:val="single"/>
        </w:rPr>
        <w:t>019</w:t>
      </w:r>
      <w:r>
        <w:rPr>
          <w:rFonts w:hint="eastAsia" w:ascii="宋体" w:hAnsi="宋体" w:cs="宋体"/>
          <w:color w:val="auto"/>
          <w:sz w:val="24"/>
          <w:szCs w:val="24"/>
          <w:highlight w:val="none"/>
        </w:rPr>
        <w:t>的招标（采购）文件、投标（报价）文件以及评审结果通知书（中标/成交供应商为：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），买卖双方经协商一致，就卖方将从中标/成交供应商处采购的货物出售给买方、并约定由中标/成交供应商直接向买方履行安装及售后服务等义务，特制定本合同，以资共同遵守：</w:t>
      </w:r>
    </w:p>
    <w:p w14:paraId="0176F862">
      <w:pPr>
        <w:tabs>
          <w:tab w:val="left" w:pos="315"/>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1、合同标的物和价格（详见附件）</w:t>
      </w:r>
    </w:p>
    <w:tbl>
      <w:tblPr>
        <w:tblStyle w:val="9"/>
        <w:tblW w:w="8365" w:type="dxa"/>
        <w:tblInd w:w="103" w:type="dxa"/>
        <w:tblLayout w:type="fixed"/>
        <w:tblCellMar>
          <w:top w:w="0" w:type="dxa"/>
          <w:left w:w="108" w:type="dxa"/>
          <w:bottom w:w="0" w:type="dxa"/>
          <w:right w:w="108" w:type="dxa"/>
        </w:tblCellMar>
      </w:tblPr>
      <w:tblGrid>
        <w:gridCol w:w="1281"/>
        <w:gridCol w:w="2268"/>
        <w:gridCol w:w="1817"/>
        <w:gridCol w:w="1338"/>
        <w:gridCol w:w="1661"/>
      </w:tblGrid>
      <w:tr w14:paraId="21101366">
        <w:tblPrEx>
          <w:tblCellMar>
            <w:top w:w="0" w:type="dxa"/>
            <w:left w:w="108" w:type="dxa"/>
            <w:bottom w:w="0" w:type="dxa"/>
            <w:right w:w="108" w:type="dxa"/>
          </w:tblCellMar>
        </w:tblPrEx>
        <w:trPr>
          <w:trHeight w:val="615" w:hRule="atLeast"/>
        </w:trPr>
        <w:tc>
          <w:tcPr>
            <w:tcW w:w="1281" w:type="dxa"/>
            <w:tcBorders>
              <w:top w:val="single" w:color="auto" w:sz="4" w:space="0"/>
              <w:left w:val="single" w:color="auto" w:sz="4" w:space="0"/>
              <w:bottom w:val="single" w:color="auto" w:sz="4" w:space="0"/>
              <w:right w:val="single" w:color="auto" w:sz="4" w:space="0"/>
            </w:tcBorders>
            <w:vAlign w:val="center"/>
          </w:tcPr>
          <w:p w14:paraId="60A697A4">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68" w:type="dxa"/>
            <w:tcBorders>
              <w:top w:val="single" w:color="auto" w:sz="4" w:space="0"/>
              <w:left w:val="nil"/>
              <w:bottom w:val="single" w:color="auto" w:sz="4" w:space="0"/>
              <w:right w:val="single" w:color="auto" w:sz="4" w:space="0"/>
            </w:tcBorders>
            <w:vAlign w:val="center"/>
          </w:tcPr>
          <w:p w14:paraId="752467B6">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17" w:type="dxa"/>
            <w:tcBorders>
              <w:top w:val="single" w:color="auto" w:sz="4" w:space="0"/>
              <w:left w:val="nil"/>
              <w:bottom w:val="single" w:color="auto" w:sz="4" w:space="0"/>
              <w:right w:val="single" w:color="auto" w:sz="4" w:space="0"/>
            </w:tcBorders>
            <w:vAlign w:val="center"/>
          </w:tcPr>
          <w:p w14:paraId="1FAE42D7">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338" w:type="dxa"/>
            <w:tcBorders>
              <w:top w:val="single" w:color="auto" w:sz="4" w:space="0"/>
              <w:left w:val="nil"/>
              <w:bottom w:val="single" w:color="auto" w:sz="4" w:space="0"/>
              <w:right w:val="single" w:color="auto" w:sz="4" w:space="0"/>
            </w:tcBorders>
            <w:vAlign w:val="center"/>
          </w:tcPr>
          <w:p w14:paraId="250DFE9B">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661" w:type="dxa"/>
            <w:tcBorders>
              <w:top w:val="single" w:color="auto" w:sz="4" w:space="0"/>
              <w:left w:val="nil"/>
              <w:bottom w:val="single" w:color="auto" w:sz="4" w:space="0"/>
              <w:right w:val="single" w:color="auto" w:sz="4" w:space="0"/>
            </w:tcBorders>
            <w:vAlign w:val="center"/>
          </w:tcPr>
          <w:p w14:paraId="05A5553D">
            <w:pPr>
              <w:widowControl/>
              <w:spacing w:line="360" w:lineRule="auto"/>
              <w:jc w:val="center"/>
              <w:rPr>
                <w:rFonts w:ascii="宋体" w:hAnsi="宋体" w:cs="宋体"/>
                <w:color w:val="auto"/>
                <w:kern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合同总价</w:t>
            </w:r>
            <w:r>
              <w:rPr>
                <w:rFonts w:hint="eastAsia" w:ascii="宋体" w:hAnsi="宋体" w:cs="宋体"/>
                <w:i w:val="0"/>
                <w:iCs w:val="0"/>
                <w:caps w:val="0"/>
                <w:color w:val="auto"/>
                <w:spacing w:val="0"/>
                <w:kern w:val="0"/>
                <w:sz w:val="24"/>
                <w:szCs w:val="24"/>
                <w:highlight w:val="none"/>
                <w:lang w:val="en-US" w:eastAsia="zh-CN" w:bidi="ar"/>
              </w:rPr>
              <w:t>，</w:t>
            </w:r>
            <w:r>
              <w:rPr>
                <w:rFonts w:hint="eastAsia" w:ascii="宋体" w:hAnsi="宋体" w:cs="宋体"/>
                <w:color w:val="auto"/>
                <w:kern w:val="0"/>
                <w:sz w:val="24"/>
                <w:szCs w:val="24"/>
                <w:highlight w:val="none"/>
              </w:rPr>
              <w:t>金额</w:t>
            </w:r>
          </w:p>
        </w:tc>
      </w:tr>
      <w:tr w14:paraId="33E7CC1C">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431A5841">
            <w:pPr>
              <w:widowControl/>
              <w:spacing w:line="360" w:lineRule="auto"/>
              <w:ind w:firstLine="240" w:firstLineChars="100"/>
              <w:jc w:val="left"/>
              <w:rPr>
                <w:rFonts w:ascii="宋体" w:hAnsi="宋体" w:cs="宋体"/>
                <w:color w:val="auto"/>
                <w:kern w:val="0"/>
                <w:sz w:val="24"/>
                <w:szCs w:val="24"/>
                <w:highlight w:val="none"/>
              </w:rPr>
            </w:pPr>
          </w:p>
        </w:tc>
        <w:tc>
          <w:tcPr>
            <w:tcW w:w="2268" w:type="dxa"/>
            <w:tcBorders>
              <w:top w:val="nil"/>
              <w:left w:val="nil"/>
              <w:bottom w:val="single" w:color="auto" w:sz="4" w:space="0"/>
              <w:right w:val="single" w:color="auto" w:sz="4" w:space="0"/>
            </w:tcBorders>
            <w:vAlign w:val="center"/>
          </w:tcPr>
          <w:p w14:paraId="4B8D7DBF">
            <w:pPr>
              <w:spacing w:line="360" w:lineRule="auto"/>
              <w:rPr>
                <w:rFonts w:ascii="宋体" w:hAnsi="宋体" w:cs="宋体"/>
                <w:color w:val="auto"/>
                <w:sz w:val="24"/>
                <w:szCs w:val="24"/>
                <w:highlight w:val="none"/>
              </w:rPr>
            </w:pPr>
          </w:p>
        </w:tc>
        <w:tc>
          <w:tcPr>
            <w:tcW w:w="1817" w:type="dxa"/>
            <w:tcBorders>
              <w:top w:val="nil"/>
              <w:left w:val="single" w:color="auto" w:sz="4" w:space="0"/>
              <w:bottom w:val="single" w:color="auto" w:sz="4" w:space="0"/>
              <w:right w:val="single" w:color="auto" w:sz="4" w:space="0"/>
            </w:tcBorders>
            <w:vAlign w:val="center"/>
          </w:tcPr>
          <w:p w14:paraId="2A89F245">
            <w:pPr>
              <w:spacing w:line="360" w:lineRule="auto"/>
              <w:jc w:val="center"/>
              <w:rPr>
                <w:rFonts w:ascii="宋体" w:hAnsi="宋体" w:cs="宋体"/>
                <w:color w:val="auto"/>
                <w:sz w:val="24"/>
                <w:szCs w:val="24"/>
                <w:highlight w:val="none"/>
              </w:rPr>
            </w:pPr>
          </w:p>
        </w:tc>
        <w:tc>
          <w:tcPr>
            <w:tcW w:w="1338" w:type="dxa"/>
            <w:tcBorders>
              <w:top w:val="nil"/>
              <w:left w:val="nil"/>
              <w:bottom w:val="single" w:color="auto" w:sz="4" w:space="0"/>
              <w:right w:val="single" w:color="auto" w:sz="4" w:space="0"/>
            </w:tcBorders>
            <w:vAlign w:val="center"/>
          </w:tcPr>
          <w:p w14:paraId="480743E2">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1批（详见附件：价格清单）</w:t>
            </w:r>
          </w:p>
        </w:tc>
        <w:tc>
          <w:tcPr>
            <w:tcW w:w="1661" w:type="dxa"/>
            <w:tcBorders>
              <w:top w:val="nil"/>
              <w:left w:val="nil"/>
              <w:bottom w:val="single" w:color="auto" w:sz="4" w:space="0"/>
              <w:right w:val="single" w:color="auto" w:sz="4" w:space="0"/>
            </w:tcBorders>
            <w:vAlign w:val="center"/>
          </w:tcPr>
          <w:p w14:paraId="7DD70022">
            <w:pPr>
              <w:widowControl/>
              <w:spacing w:line="360" w:lineRule="auto"/>
              <w:jc w:val="center"/>
              <w:rPr>
                <w:rFonts w:ascii="宋体" w:hAnsi="宋体" w:cs="宋体"/>
                <w:color w:val="auto"/>
                <w:kern w:val="0"/>
                <w:sz w:val="24"/>
                <w:szCs w:val="24"/>
                <w:highlight w:val="none"/>
              </w:rPr>
            </w:pPr>
          </w:p>
        </w:tc>
      </w:tr>
      <w:tr w14:paraId="0DCD7E70">
        <w:tblPrEx>
          <w:tblCellMar>
            <w:top w:w="0" w:type="dxa"/>
            <w:left w:w="108" w:type="dxa"/>
            <w:bottom w:w="0" w:type="dxa"/>
            <w:right w:w="108" w:type="dxa"/>
          </w:tblCellMar>
        </w:tblPrEx>
        <w:trPr>
          <w:trHeight w:val="540" w:hRule="atLeast"/>
        </w:trPr>
        <w:tc>
          <w:tcPr>
            <w:tcW w:w="8365" w:type="dxa"/>
            <w:gridSpan w:val="5"/>
            <w:tcBorders>
              <w:top w:val="single" w:color="auto" w:sz="4" w:space="0"/>
              <w:left w:val="single" w:color="auto" w:sz="4" w:space="0"/>
              <w:bottom w:val="single" w:color="auto" w:sz="4" w:space="0"/>
              <w:right w:val="single" w:color="000000" w:sz="4" w:space="0"/>
            </w:tcBorders>
            <w:vAlign w:val="center"/>
          </w:tcPr>
          <w:p w14:paraId="1F2E92FE">
            <w:pPr>
              <w:widowControl/>
              <w:spacing w:line="360" w:lineRule="auto"/>
              <w:rPr>
                <w:rFonts w:ascii="宋体" w:hAnsi="宋体" w:cs="宋体"/>
                <w:b/>
                <w:color w:val="auto"/>
                <w:sz w:val="24"/>
                <w:szCs w:val="24"/>
                <w:highlight w:val="none"/>
              </w:rPr>
            </w:pPr>
            <w:r>
              <w:rPr>
                <w:rFonts w:hint="eastAsia" w:ascii="宋体" w:hAnsi="宋体" w:cs="宋体"/>
                <w:b/>
                <w:bCs/>
                <w:color w:val="auto"/>
                <w:kern w:val="0"/>
                <w:sz w:val="24"/>
                <w:szCs w:val="24"/>
                <w:highlight w:val="none"/>
              </w:rPr>
              <w:t>合同总价</w:t>
            </w:r>
            <w:r>
              <w:rPr>
                <w:rFonts w:hint="eastAsia" w:ascii="宋体" w:hAnsi="宋体" w:cs="宋体"/>
                <w:b/>
                <w:bCs/>
                <w:color w:val="auto"/>
                <w:kern w:val="0"/>
                <w:sz w:val="24"/>
                <w:szCs w:val="24"/>
                <w:highlight w:val="none"/>
                <w:lang w:eastAsia="zh-CN"/>
              </w:rPr>
              <w:t>（</w:t>
            </w:r>
            <w:r>
              <w:rPr>
                <w:rFonts w:hint="eastAsia" w:ascii="宋体" w:hAnsi="宋体" w:cs="宋体"/>
                <w:b/>
                <w:bCs/>
                <w:color w:val="auto"/>
                <w:kern w:val="0"/>
                <w:sz w:val="24"/>
                <w:szCs w:val="24"/>
                <w:highlight w:val="none"/>
              </w:rPr>
              <w:t>中标总价</w:t>
            </w:r>
            <w:r>
              <w:rPr>
                <w:rFonts w:hint="eastAsia" w:ascii="宋体" w:hAnsi="宋体" w:cs="宋体"/>
                <w:b/>
                <w:bCs/>
                <w:color w:val="auto"/>
                <w:kern w:val="0"/>
                <w:sz w:val="24"/>
                <w:szCs w:val="24"/>
                <w:highlight w:val="none"/>
                <w:lang w:eastAsia="zh-CN"/>
              </w:rPr>
              <w:t>）</w:t>
            </w:r>
            <w:r>
              <w:rPr>
                <w:rFonts w:hint="eastAsia" w:ascii="宋体" w:hAnsi="宋体" w:cs="宋体"/>
                <w:b/>
                <w:bCs/>
                <w:color w:val="auto"/>
                <w:kern w:val="0"/>
                <w:sz w:val="24"/>
                <w:szCs w:val="24"/>
                <w:highlight w:val="none"/>
              </w:rPr>
              <w:t>：</w:t>
            </w:r>
            <w:r>
              <w:rPr>
                <w:rFonts w:hint="eastAsia" w:ascii="宋体" w:hAnsi="宋体" w:cs="宋体"/>
                <w:b/>
                <w:bCs/>
                <w:color w:val="auto"/>
                <w:sz w:val="24"/>
                <w:szCs w:val="24"/>
                <w:highlight w:val="none"/>
                <w:lang w:val="en-US" w:eastAsia="zh-CN"/>
              </w:rPr>
              <w:t>人民币</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kern w:val="0"/>
                <w:sz w:val="24"/>
                <w:szCs w:val="24"/>
                <w:highlight w:val="none"/>
              </w:rPr>
              <w:t>元整</w:t>
            </w:r>
            <w:r>
              <w:rPr>
                <w:rFonts w:hint="eastAsia" w:ascii="宋体" w:hAnsi="宋体" w:cs="宋体"/>
                <w:bCs/>
                <w:color w:val="auto"/>
                <w:sz w:val="24"/>
                <w:szCs w:val="24"/>
                <w:highlight w:val="none"/>
              </w:rPr>
              <w:t>。货物验收完成后的保修等售后服务由买方与</w:t>
            </w:r>
            <w:r>
              <w:rPr>
                <w:rFonts w:hint="eastAsia" w:ascii="宋体" w:hAnsi="宋体" w:cs="宋体"/>
                <w:color w:val="auto"/>
                <w:sz w:val="24"/>
                <w:szCs w:val="24"/>
                <w:highlight w:val="none"/>
              </w:rPr>
              <w:t>中标/成交</w:t>
            </w:r>
            <w:r>
              <w:rPr>
                <w:rFonts w:hint="eastAsia" w:ascii="宋体" w:hAnsi="宋体" w:cs="宋体"/>
                <w:bCs/>
                <w:color w:val="auto"/>
                <w:sz w:val="24"/>
                <w:szCs w:val="24"/>
                <w:highlight w:val="none"/>
              </w:rPr>
              <w:t>供应商另行签订服务合同单独约定</w:t>
            </w:r>
            <w:r>
              <w:rPr>
                <w:rFonts w:hint="eastAsia" w:ascii="宋体" w:hAnsi="宋体" w:cs="宋体"/>
                <w:bCs/>
                <w:color w:val="auto"/>
                <w:kern w:val="0"/>
                <w:sz w:val="24"/>
                <w:szCs w:val="24"/>
                <w:highlight w:val="none"/>
              </w:rPr>
              <w:t>，与本合同各自独立履行、互不影响。</w:t>
            </w:r>
          </w:p>
        </w:tc>
      </w:tr>
    </w:tbl>
    <w:p w14:paraId="0C96D27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72519F9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2.1交货期：合同签订之日起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个日历日内（含交货、安装并验收合格交付使用）。</w:t>
      </w:r>
    </w:p>
    <w:p w14:paraId="24AF84B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2.2交货地点：买方指定的地点。</w:t>
      </w:r>
    </w:p>
    <w:p w14:paraId="61B22A3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2.3到货签收：卖方每批次供货到买方指定地点后，买方应当对到货数量、型号等进行清点签收，买方应按第4条约定的付款条件向卖方支付约定的货款。</w:t>
      </w:r>
    </w:p>
    <w:p w14:paraId="019F8C3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3、验收</w:t>
      </w:r>
    </w:p>
    <w:p w14:paraId="3B7762CF">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3.1买方负责承担合同货物安装过程中相应的协调、配合工作。</w:t>
      </w:r>
    </w:p>
    <w:p w14:paraId="6CB1455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3.2安装工作完成后，买方负责对合同货物进行验收。买方验收合格即视为最终验收合格；若无正当理由，买方超过30天仍未验收且未提出书面异议的，则视为最终验收合格。</w:t>
      </w:r>
    </w:p>
    <w:p w14:paraId="2FD86208">
      <w:pPr>
        <w:pStyle w:val="7"/>
        <w:spacing w:after="0" w:line="360" w:lineRule="auto"/>
        <w:ind w:firstLine="240"/>
        <w:rPr>
          <w:rFonts w:ascii="宋体" w:hAnsi="宋体" w:cs="宋体"/>
          <w:color w:val="auto"/>
          <w:sz w:val="24"/>
          <w:highlight w:val="none"/>
        </w:rPr>
      </w:pPr>
      <w:r>
        <w:rPr>
          <w:rFonts w:hint="eastAsia" w:ascii="宋体" w:hAnsi="宋体" w:cs="宋体"/>
          <w:color w:val="auto"/>
          <w:sz w:val="24"/>
          <w:highlight w:val="none"/>
          <w:lang w:val="en-US"/>
        </w:rPr>
        <w:t xml:space="preserve"> 3.3</w:t>
      </w:r>
      <w:r>
        <w:rPr>
          <w:rFonts w:hint="eastAsia" w:ascii="宋体" w:hAnsi="宋体" w:cs="宋体"/>
          <w:color w:val="auto"/>
          <w:sz w:val="24"/>
          <w:highlight w:val="none"/>
        </w:rPr>
        <w:t>买方在货物安装完毕后发现货物存在问题的，应在货物交付后</w:t>
      </w:r>
      <w:r>
        <w:rPr>
          <w:rFonts w:hint="eastAsia" w:ascii="宋体" w:hAnsi="宋体" w:cs="宋体"/>
          <w:color w:val="auto"/>
          <w:sz w:val="24"/>
          <w:highlight w:val="none"/>
          <w:u w:val="single"/>
        </w:rPr>
        <w:t xml:space="preserve"> 5 </w:t>
      </w:r>
      <w:r>
        <w:rPr>
          <w:rFonts w:hint="eastAsia" w:ascii="宋体" w:hAnsi="宋体" w:cs="宋体"/>
          <w:color w:val="auto"/>
          <w:sz w:val="24"/>
          <w:highlight w:val="none"/>
        </w:rPr>
        <w:t>个工作日内向卖方提出书面异议，逾期提出书面异议的，视为最终验收合格。</w:t>
      </w:r>
    </w:p>
    <w:p w14:paraId="77C299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3.4最终验收时，买方填写《</w:t>
      </w:r>
      <w:r>
        <w:rPr>
          <w:rFonts w:hint="eastAsia" w:ascii="宋体" w:hAnsi="宋体" w:cs="宋体"/>
          <w:color w:val="auto"/>
          <w:sz w:val="24"/>
          <w:szCs w:val="24"/>
          <w:highlight w:val="none"/>
          <w:lang w:eastAsia="zh-CN"/>
        </w:rPr>
        <w:t>厦门市大宗货物政府采购供货验收单</w:t>
      </w:r>
      <w:r>
        <w:rPr>
          <w:rFonts w:hint="eastAsia" w:ascii="宋体" w:hAnsi="宋体" w:cs="宋体"/>
          <w:color w:val="auto"/>
          <w:sz w:val="24"/>
          <w:szCs w:val="24"/>
          <w:highlight w:val="none"/>
        </w:rPr>
        <w:t>》中货物相关信息，签署验收意见和加盖公章，并分别提供一份给中标供应商和卖方。</w:t>
      </w:r>
    </w:p>
    <w:p w14:paraId="1F945CDD">
      <w:pPr>
        <w:tabs>
          <w:tab w:val="left" w:pos="5130"/>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4、付款方式</w:t>
      </w:r>
    </w:p>
    <w:p w14:paraId="74421DBE">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4.1合同签订后</w:t>
      </w:r>
      <w:r>
        <w:rPr>
          <w:rFonts w:hint="eastAsia" w:ascii="宋体" w:hAnsi="宋体" w:cs="宋体"/>
          <w:color w:val="auto"/>
          <w:sz w:val="24"/>
          <w:szCs w:val="24"/>
          <w:highlight w:val="none"/>
          <w:lang w:val="en-US" w:eastAsia="zh-CN"/>
        </w:rPr>
        <w:t>21</w:t>
      </w:r>
      <w:r>
        <w:rPr>
          <w:rFonts w:hint="eastAsia" w:ascii="宋体" w:hAnsi="宋体" w:cs="宋体"/>
          <w:color w:val="auto"/>
          <w:sz w:val="24"/>
          <w:szCs w:val="24"/>
          <w:highlight w:val="none"/>
          <w:lang w:eastAsia="zh-CN"/>
        </w:rPr>
        <w:t>个</w:t>
      </w:r>
      <w:r>
        <w:rPr>
          <w:rFonts w:hint="eastAsia" w:ascii="宋体" w:hAnsi="宋体" w:cs="宋体"/>
          <w:color w:val="auto"/>
          <w:sz w:val="24"/>
          <w:szCs w:val="24"/>
          <w:highlight w:val="none"/>
        </w:rPr>
        <w:t>工作日内，买方向卖方支付合同总价</w:t>
      </w:r>
      <w:r>
        <w:rPr>
          <w:rFonts w:hint="eastAsia" w:ascii="宋体" w:hAnsi="宋体" w:cs="宋体"/>
          <w:color w:val="auto"/>
          <w:sz w:val="24"/>
          <w:szCs w:val="24"/>
          <w:highlight w:val="none"/>
          <w:u w:val="single"/>
          <w:lang w:val="en-US" w:eastAsia="zh-CN"/>
        </w:rPr>
        <w:t>50</w:t>
      </w:r>
      <w:r>
        <w:rPr>
          <w:rFonts w:hint="eastAsia" w:ascii="宋体" w:hAnsi="宋体" w:cs="宋体"/>
          <w:color w:val="auto"/>
          <w:sz w:val="24"/>
          <w:szCs w:val="24"/>
          <w:highlight w:val="none"/>
        </w:rPr>
        <w:t>%的预付款。</w:t>
      </w:r>
    </w:p>
    <w:p w14:paraId="4E42082C">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4.2卖方供货安装、调试完毕，买方验收合格后，卖方开具合同总价100%的正规发票和全部货物清单给买方，买方在7个工作日内向卖方支付本合同总价50%的款项。</w:t>
      </w:r>
    </w:p>
    <w:p w14:paraId="0E54CE6C">
      <w:pPr>
        <w:tabs>
          <w:tab w:val="left" w:pos="5130"/>
        </w:tabs>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4.3付款时需具备以下材料：</w:t>
      </w:r>
    </w:p>
    <w:p w14:paraId="0456ED33">
      <w:pPr>
        <w:tabs>
          <w:tab w:val="left" w:pos="5130"/>
        </w:tabs>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（1）买方、使用单位签署的《</w:t>
      </w:r>
      <w:r>
        <w:rPr>
          <w:rFonts w:hint="eastAsia" w:ascii="宋体" w:hAnsi="宋体" w:cs="宋体"/>
          <w:color w:val="auto"/>
          <w:sz w:val="24"/>
          <w:szCs w:val="24"/>
          <w:highlight w:val="none"/>
          <w:u w:val="single"/>
          <w:lang w:eastAsia="zh-CN"/>
        </w:rPr>
        <w:t>厦门市大宗货物政府采购供货验收单</w:t>
      </w:r>
      <w:r>
        <w:rPr>
          <w:rFonts w:hint="eastAsia" w:ascii="宋体" w:hAnsi="宋体" w:cs="宋体"/>
          <w:color w:val="auto"/>
          <w:sz w:val="24"/>
          <w:szCs w:val="24"/>
          <w:highlight w:val="none"/>
          <w:u w:val="single"/>
        </w:rPr>
        <w:t>》；</w:t>
      </w:r>
    </w:p>
    <w:p w14:paraId="1A65DB13">
      <w:pPr>
        <w:tabs>
          <w:tab w:val="left" w:pos="5130"/>
        </w:tabs>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（2）货物发票（需附清单）；</w:t>
      </w:r>
    </w:p>
    <w:p w14:paraId="38A9F2F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u w:val="single"/>
        </w:rPr>
        <w:t>4.4</w:t>
      </w:r>
      <w:r>
        <w:rPr>
          <w:rFonts w:hint="eastAsia" w:ascii="宋体" w:hAnsi="宋体" w:cs="宋体"/>
          <w:color w:val="auto"/>
          <w:sz w:val="24"/>
          <w:szCs w:val="24"/>
          <w:highlight w:val="none"/>
        </w:rPr>
        <w:t>卖方指定收款账户如下：</w:t>
      </w:r>
    </w:p>
    <w:p w14:paraId="142C4706">
      <w:pPr>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rPr>
        <w:t>卖方全称：厦门万翔网络商务有限公司</w:t>
      </w:r>
    </w:p>
    <w:p w14:paraId="0886A9C3">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中国建设银行股份有限公司厦门自贸试验区航空港支行</w:t>
      </w:r>
    </w:p>
    <w:p w14:paraId="0F18400D">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35101570201052503924</w:t>
      </w:r>
    </w:p>
    <w:p w14:paraId="67F546B2">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5、售后服务</w:t>
      </w:r>
    </w:p>
    <w:p w14:paraId="4513D9FE">
      <w:pPr>
        <w:tabs>
          <w:tab w:val="left" w:pos="0"/>
        </w:tabs>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货物验收后的质保、保修等售后服务由</w:t>
      </w:r>
      <w:r>
        <w:rPr>
          <w:rFonts w:hint="eastAsia" w:ascii="宋体" w:hAnsi="宋体" w:cs="宋体"/>
          <w:bCs/>
          <w:color w:val="auto"/>
          <w:sz w:val="24"/>
          <w:szCs w:val="24"/>
          <w:highlight w:val="none"/>
          <w:u w:val="single"/>
        </w:rPr>
        <w:t>中标</w:t>
      </w:r>
      <w:r>
        <w:rPr>
          <w:rFonts w:hint="eastAsia" w:ascii="宋体" w:hAnsi="宋体" w:cs="宋体"/>
          <w:bCs/>
          <w:color w:val="auto"/>
          <w:sz w:val="24"/>
          <w:szCs w:val="24"/>
          <w:highlight w:val="none"/>
          <w:u w:val="single"/>
          <w:lang w:val="en-US" w:eastAsia="zh-CN"/>
        </w:rPr>
        <w:t>/成交</w:t>
      </w:r>
      <w:r>
        <w:rPr>
          <w:rFonts w:hint="eastAsia" w:ascii="宋体" w:hAnsi="宋体" w:cs="宋体"/>
          <w:bCs/>
          <w:color w:val="auto"/>
          <w:sz w:val="24"/>
          <w:szCs w:val="24"/>
          <w:highlight w:val="none"/>
          <w:u w:val="single"/>
        </w:rPr>
        <w:t>供应商</w:t>
      </w:r>
      <w:r>
        <w:rPr>
          <w:rFonts w:hint="eastAsia" w:ascii="宋体" w:hAnsi="宋体" w:cs="宋体"/>
          <w:bCs/>
          <w:color w:val="auto"/>
          <w:kern w:val="0"/>
          <w:sz w:val="24"/>
          <w:szCs w:val="24"/>
          <w:highlight w:val="none"/>
          <w:u w:val="single"/>
        </w:rPr>
        <w:t>提供，买方应就货物保修等售后服务与</w:t>
      </w:r>
      <w:r>
        <w:rPr>
          <w:rFonts w:hint="eastAsia" w:ascii="宋体" w:hAnsi="宋体" w:cs="宋体"/>
          <w:bCs/>
          <w:color w:val="auto"/>
          <w:kern w:val="0"/>
          <w:sz w:val="24"/>
          <w:szCs w:val="24"/>
          <w:highlight w:val="none"/>
          <w:u w:val="single"/>
          <w:lang w:eastAsia="zh-CN"/>
        </w:rPr>
        <w:t>供应商</w:t>
      </w:r>
      <w:r>
        <w:rPr>
          <w:rFonts w:hint="eastAsia" w:ascii="宋体" w:hAnsi="宋体" w:cs="宋体"/>
          <w:bCs/>
          <w:color w:val="auto"/>
          <w:kern w:val="0"/>
          <w:sz w:val="24"/>
          <w:szCs w:val="24"/>
          <w:highlight w:val="none"/>
          <w:u w:val="single"/>
        </w:rPr>
        <w:t>另行签订相应服务合同，卖方不向买方承担保修等售后服务</w:t>
      </w:r>
      <w:r>
        <w:rPr>
          <w:rFonts w:hint="default" w:ascii="宋体" w:hAnsi="宋体" w:cs="宋体"/>
          <w:bCs/>
          <w:color w:val="auto"/>
          <w:kern w:val="0"/>
          <w:sz w:val="24"/>
          <w:szCs w:val="24"/>
          <w:highlight w:val="none"/>
          <w:u w:val="single"/>
        </w:rPr>
        <w:t>义务</w:t>
      </w:r>
      <w:r>
        <w:rPr>
          <w:rFonts w:hint="eastAsia" w:ascii="宋体" w:hAnsi="宋体" w:cs="宋体"/>
          <w:bCs/>
          <w:color w:val="auto"/>
          <w:sz w:val="24"/>
          <w:szCs w:val="24"/>
          <w:highlight w:val="none"/>
        </w:rPr>
        <w:t>。</w:t>
      </w:r>
    </w:p>
    <w:p w14:paraId="48892F6E">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6、违约责任</w:t>
      </w:r>
    </w:p>
    <w:p w14:paraId="50A3EBE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6.1除不可抗力外，买方不能在本合同规定的时间内支付相应的货款时,应向卖方支付违约金,其支付办法是,每延迟一日,违约金为逾期应付款的万分之四,依此累加。</w:t>
      </w:r>
    </w:p>
    <w:p w14:paraId="4BC338F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除不可抗力外，卖方不能按时交货或完成安装时,应提前五天以书面的形式通知买方,并征得买方同意,否则应向买方支付违约金,其支付办法是,每延迟一日,违约金为逾期交货或安装部分价款的万分之四，依此累加。</w:t>
      </w:r>
    </w:p>
    <w:p w14:paraId="2AA64979">
      <w:pPr>
        <w:spacing w:line="360" w:lineRule="auto"/>
        <w:ind w:firstLine="523" w:firstLineChars="218"/>
        <w:rPr>
          <w:rFonts w:ascii="宋体" w:hAnsi="宋体" w:cs="宋体"/>
          <w:color w:val="auto"/>
          <w:sz w:val="24"/>
          <w:szCs w:val="24"/>
          <w:highlight w:val="none"/>
        </w:rPr>
      </w:pPr>
      <w:r>
        <w:rPr>
          <w:rFonts w:hint="eastAsia" w:ascii="宋体" w:hAnsi="宋体" w:cs="宋体"/>
          <w:color w:val="auto"/>
          <w:sz w:val="24"/>
          <w:szCs w:val="24"/>
          <w:highlight w:val="none"/>
        </w:rPr>
        <w:t>6.3一方违反合同造成另一方损失的，违约方应向守约方承担相应的赔偿责任。本合同约定的违约金不足以弥补守约方损失的，违约方应继续承担赔偿责任。</w:t>
      </w:r>
    </w:p>
    <w:p w14:paraId="41C8046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7、不可抗力</w:t>
      </w:r>
    </w:p>
    <w:p w14:paraId="594887D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46808742">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7.2本合同中的不可抗力指不能预见、不能避免并不能克服的客观情况。包括但不限于：自然灾害如地震、台风、洪水、火灾；政府行为、法律规定或其适用的变化或者其他任何无法预见、避免或者控制的事件。</w:t>
      </w:r>
    </w:p>
    <w:p w14:paraId="56B336AF">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7.3当事人一方因不可抗力的原因不能履行合同的，应及时通知对方，以减轻可能给对方造成的损失，并应当在合理期限内提供证明。</w:t>
      </w:r>
    </w:p>
    <w:p w14:paraId="3549FBB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8、合同纠纷处理方式：</w:t>
      </w:r>
    </w:p>
    <w:p w14:paraId="30A01B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hint="default" w:ascii="宋体" w:hAnsi="宋体" w:cs="宋体"/>
          <w:color w:val="auto"/>
          <w:sz w:val="24"/>
          <w:szCs w:val="24"/>
          <w:highlight w:val="none"/>
        </w:rPr>
        <w:t>合同履行地（交货地）人民法院提起诉讼</w:t>
      </w:r>
      <w:r>
        <w:rPr>
          <w:rFonts w:hint="eastAsia" w:ascii="宋体" w:hAnsi="宋体" w:cs="宋体"/>
          <w:color w:val="auto"/>
          <w:sz w:val="24"/>
          <w:szCs w:val="24"/>
          <w:highlight w:val="none"/>
        </w:rPr>
        <w:t>。</w:t>
      </w:r>
    </w:p>
    <w:p w14:paraId="11CA201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9、其他约定</w:t>
      </w:r>
    </w:p>
    <w:p w14:paraId="19BD55B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9.1买卖双方同意，卖方供货经买方验收完成后，卖方即履行完毕所有合同义务。</w:t>
      </w:r>
    </w:p>
    <w:p w14:paraId="06D0183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9.2本合同未尽事宜，双方另行补充。</w:t>
      </w:r>
    </w:p>
    <w:p w14:paraId="3822845B">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kern w:val="2"/>
          <w:sz w:val="24"/>
          <w:szCs w:val="24"/>
          <w:highlight w:val="none"/>
          <w:lang w:val="en-US" w:eastAsia="zh-CN" w:bidi="ar"/>
        </w:rPr>
      </w:pPr>
      <w:r>
        <w:rPr>
          <w:rFonts w:hint="eastAsia" w:ascii="宋体" w:hAnsi="宋体" w:cs="宋体"/>
          <w:color w:val="auto"/>
          <w:sz w:val="24"/>
          <w:szCs w:val="24"/>
          <w:highlight w:val="none"/>
        </w:rPr>
        <w:t>9.3</w:t>
      </w:r>
      <w:r>
        <w:rPr>
          <w:rFonts w:hint="eastAsia" w:ascii="宋体" w:hAnsi="宋体" w:eastAsia="宋体" w:cs="宋体"/>
          <w:i w:val="0"/>
          <w:iCs w:val="0"/>
          <w:caps w:val="0"/>
          <w:color w:val="auto"/>
          <w:spacing w:val="0"/>
          <w:kern w:val="2"/>
          <w:sz w:val="24"/>
          <w:szCs w:val="24"/>
          <w:highlight w:val="none"/>
          <w:lang w:val="en-US" w:eastAsia="zh-CN" w:bidi="ar"/>
        </w:rPr>
        <w:t>本项目的下述文件均为本合同不可分割的一部分，且应当互为解释；存在不一致时，应按下列顺序优先解释：</w:t>
      </w:r>
    </w:p>
    <w:p w14:paraId="5D73C7C8">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（1）采购合同;</w:t>
      </w:r>
    </w:p>
    <w:p w14:paraId="0ABEA400">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（2）买卖合同;</w:t>
      </w:r>
    </w:p>
    <w:p w14:paraId="4ED8EA9D">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（3）招标文件及补充规定;</w:t>
      </w:r>
    </w:p>
    <w:p w14:paraId="6D032C4C">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（4）投标文件及澄清说明。</w:t>
      </w:r>
    </w:p>
    <w:p w14:paraId="0A2607E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本合同一式伍份，经双方签订之日起生效。买方执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份，卖方执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份，送</w:t>
      </w:r>
      <w:r>
        <w:rPr>
          <w:rFonts w:hint="eastAsia" w:ascii="宋体" w:hAnsi="宋体" w:cs="宋体"/>
          <w:color w:val="auto"/>
          <w:sz w:val="24"/>
          <w:szCs w:val="24"/>
          <w:highlight w:val="none"/>
          <w:lang w:eastAsia="zh-CN"/>
        </w:rPr>
        <w:t>厦门市思明区财政局</w:t>
      </w:r>
      <w:r>
        <w:rPr>
          <w:rFonts w:hint="eastAsia" w:ascii="宋体" w:hAnsi="宋体" w:cs="宋体"/>
          <w:color w:val="auto"/>
          <w:sz w:val="24"/>
          <w:szCs w:val="24"/>
          <w:highlight w:val="none"/>
        </w:rPr>
        <w:t>政府采购监管处备案壹份，具有同等法律效力。</w:t>
      </w:r>
    </w:p>
    <w:p w14:paraId="67E8045F">
      <w:pPr>
        <w:spacing w:line="360" w:lineRule="auto"/>
        <w:jc w:val="center"/>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val="en-US" w:eastAsia="zh-CN"/>
        </w:rPr>
        <w:t>（以下无正文</w:t>
      </w:r>
      <w:r>
        <w:rPr>
          <w:rFonts w:hint="eastAsia" w:ascii="宋体" w:hAnsi="宋体" w:eastAsia="宋体"/>
          <w:color w:val="auto"/>
          <w:sz w:val="24"/>
          <w:szCs w:val="24"/>
          <w:highlight w:val="none"/>
          <w:lang w:eastAsia="zh-CN"/>
        </w:rPr>
        <w:t>）</w:t>
      </w:r>
    </w:p>
    <w:tbl>
      <w:tblPr>
        <w:tblStyle w:val="9"/>
        <w:tblW w:w="9348" w:type="dxa"/>
        <w:jc w:val="center"/>
        <w:tblLayout w:type="fixed"/>
        <w:tblCellMar>
          <w:top w:w="0" w:type="dxa"/>
          <w:left w:w="108" w:type="dxa"/>
          <w:bottom w:w="0" w:type="dxa"/>
          <w:right w:w="108" w:type="dxa"/>
        </w:tblCellMar>
      </w:tblPr>
      <w:tblGrid>
        <w:gridCol w:w="1442"/>
        <w:gridCol w:w="3121"/>
        <w:gridCol w:w="1486"/>
        <w:gridCol w:w="3299"/>
      </w:tblGrid>
      <w:tr w14:paraId="16C8768F">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A43CC58">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14:paraId="79C06B24">
            <w:pPr>
              <w:pStyle w:val="5"/>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210A666B">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1A9B4AA7">
            <w:pPr>
              <w:pStyle w:val="6"/>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r>
              <w:rPr>
                <w:rFonts w:hint="eastAsia" w:ascii="宋体" w:hAnsi="宋体" w:cs="宋体"/>
                <w:color w:val="auto"/>
                <w:sz w:val="24"/>
                <w:szCs w:val="24"/>
                <w:highlight w:val="none"/>
              </w:rPr>
              <w:t>厦门万翔网络商务有限公司</w:t>
            </w:r>
          </w:p>
        </w:tc>
      </w:tr>
      <w:tr w14:paraId="70CB1C93">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76058145">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14:paraId="328FE34A">
            <w:pPr>
              <w:pStyle w:val="5"/>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5358EC50">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43868588">
            <w:pPr>
              <w:pStyle w:val="6"/>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r>
              <w:rPr>
                <w:rFonts w:hint="eastAsia" w:ascii="宋体" w:hAnsi="宋体" w:cs="宋体"/>
                <w:color w:val="auto"/>
                <w:sz w:val="24"/>
                <w:szCs w:val="24"/>
                <w:highlight w:val="none"/>
              </w:rPr>
              <w:t xml:space="preserve">厦门市湖里区机场北路476号 </w:t>
            </w:r>
          </w:p>
        </w:tc>
      </w:tr>
      <w:tr w14:paraId="637D7E9C">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D85775C">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14:paraId="7D022E66">
            <w:pPr>
              <w:pStyle w:val="5"/>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50230C50">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6C34CA49">
            <w:pPr>
              <w:pStyle w:val="6"/>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1CA813F1">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FA67C6B">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14:paraId="55059FDC">
            <w:pPr>
              <w:pStyle w:val="5"/>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40EE1A5A">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6DDA3BD4">
            <w:pPr>
              <w:pStyle w:val="6"/>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33D4E19C">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9B7505C">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14:paraId="1A18E0EC">
            <w:pPr>
              <w:pStyle w:val="5"/>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074B4FFB">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039522D0">
            <w:pPr>
              <w:pStyle w:val="6"/>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4BEAB490">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7802ABC9">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14:paraId="534FBBEE">
            <w:pPr>
              <w:pStyle w:val="5"/>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32B32B31">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3524D51A">
            <w:pPr>
              <w:pStyle w:val="6"/>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szCs w:val="18"/>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5CD6863F">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4D72EC1">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14:paraId="4B95D840">
            <w:pPr>
              <w:pStyle w:val="5"/>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23EB38AF">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56116674">
            <w:pPr>
              <w:pStyle w:val="6"/>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szCs w:val="18"/>
                <w:highlight w:val="none"/>
              </w:rPr>
            </w:pPr>
            <w:r>
              <w:rPr>
                <w:rFonts w:hint="eastAsia" w:ascii="宋体" w:hAnsi="宋体" w:cs="宋体"/>
                <w:color w:val="auto"/>
                <w:sz w:val="24"/>
                <w:szCs w:val="24"/>
                <w:highlight w:val="none"/>
              </w:rPr>
              <w:t xml:space="preserve">35101570201052503924  </w:t>
            </w:r>
          </w:p>
        </w:tc>
      </w:tr>
      <w:tr w14:paraId="1E427682">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4DE1728">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4583813F">
            <w:pPr>
              <w:pStyle w:val="5"/>
              <w:keepNext w:val="0"/>
              <w:keepLines w:val="0"/>
              <w:suppressLineNumbers w:val="0"/>
              <w:autoSpaceDE w:val="0"/>
              <w:spacing w:before="0" w:beforeAutospacing="0" w:after="0" w:afterAutospacing="0" w:line="360" w:lineRule="auto"/>
              <w:ind w:left="0" w:right="0"/>
              <w:rPr>
                <w:rFonts w:hint="default" w:ascii="宋体" w:hAnsi="宋体" w:eastAsia="宋体" w:cs="Times New Roman"/>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14:paraId="66EFEA1C">
            <w:pPr>
              <w:pStyle w:val="5"/>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1C9C0895">
            <w:pPr>
              <w:pStyle w:val="5"/>
              <w:keepNext w:val="0"/>
              <w:keepLines w:val="0"/>
              <w:suppressLineNumbers w:val="0"/>
              <w:autoSpaceDE w:val="0"/>
              <w:spacing w:before="0" w:beforeAutospacing="0" w:after="0" w:afterAutospacing="0" w:line="360" w:lineRule="auto"/>
              <w:ind w:left="0" w:right="0"/>
              <w:rPr>
                <w:rFonts w:hint="default" w:ascii="宋体" w:hAnsi="宋体" w:eastAsia="宋体" w:cs="Times New Roman"/>
                <w:color w:val="auto"/>
                <w:sz w:val="24"/>
                <w:szCs w:val="24"/>
                <w:highlight w:val="none"/>
              </w:rPr>
            </w:pPr>
          </w:p>
        </w:tc>
      </w:tr>
    </w:tbl>
    <w:p w14:paraId="6FF7DEB3">
      <w:pPr>
        <w:pStyle w:val="14"/>
        <w:widowControl/>
        <w:ind w:left="-850" w:leftChars="-405" w:firstLine="0"/>
        <w:rPr>
          <w:rFonts w:hint="default" w:ascii="华文楷体" w:hAnsi="华文楷体" w:eastAsia="华文楷体" w:cs="华文楷体"/>
          <w:b/>
          <w:bCs w:val="0"/>
          <w:color w:val="auto"/>
          <w:kern w:val="2"/>
          <w:sz w:val="28"/>
          <w:szCs w:val="28"/>
          <w:highlight w:val="none"/>
        </w:rPr>
        <w:sectPr>
          <w:footerReference r:id="rId4" w:type="default"/>
          <w:pgSz w:w="11906" w:h="16838"/>
          <w:pgMar w:top="1440" w:right="1800" w:bottom="1440" w:left="1800" w:header="851" w:footer="992" w:gutter="0"/>
          <w:cols w:space="720" w:num="1"/>
          <w:docGrid w:type="lines" w:linePitch="312" w:charSpace="0"/>
        </w:sectPr>
      </w:pPr>
    </w:p>
    <w:p w14:paraId="71BD7450">
      <w:pPr>
        <w:pStyle w:val="14"/>
        <w:widowControl/>
        <w:ind w:left="-850" w:leftChars="-405" w:firstLine="0"/>
        <w:rPr>
          <w:rFonts w:hint="eastAsia" w:ascii="宋体" w:hAnsi="宋体" w:cs="宋体"/>
          <w:color w:val="auto"/>
          <w:sz w:val="24"/>
          <w:szCs w:val="24"/>
          <w:highlight w:val="none"/>
        </w:rPr>
      </w:pPr>
      <w:r>
        <w:rPr>
          <w:rFonts w:hint="default" w:ascii="华文楷体" w:hAnsi="华文楷体" w:eastAsia="华文楷体" w:cs="华文楷体"/>
          <w:b/>
          <w:bCs w:val="0"/>
          <w:color w:val="auto"/>
          <w:kern w:val="2"/>
          <w:sz w:val="28"/>
          <w:szCs w:val="28"/>
          <w:highlight w:val="none"/>
        </w:rPr>
        <w:t>附件</w:t>
      </w:r>
      <w:r>
        <w:rPr>
          <w:rFonts w:hint="eastAsia" w:ascii="华文楷体" w:hAnsi="华文楷体" w:eastAsia="华文楷体" w:cs="华文楷体"/>
          <w:b/>
          <w:bCs w:val="0"/>
          <w:color w:val="auto"/>
          <w:kern w:val="2"/>
          <w:sz w:val="28"/>
          <w:szCs w:val="28"/>
          <w:highlight w:val="none"/>
          <w:lang w:val="en-US" w:eastAsia="zh-CN"/>
        </w:rPr>
        <w:t>1</w:t>
      </w:r>
      <w:r>
        <w:rPr>
          <w:rFonts w:hint="default" w:ascii="华文楷体" w:hAnsi="华文楷体" w:eastAsia="华文楷体" w:cs="华文楷体"/>
          <w:b/>
          <w:bCs w:val="0"/>
          <w:color w:val="auto"/>
          <w:kern w:val="2"/>
          <w:sz w:val="28"/>
          <w:szCs w:val="28"/>
          <w:highlight w:val="none"/>
        </w:rPr>
        <w:t>：供货清单</w:t>
      </w:r>
    </w:p>
    <w:p w14:paraId="07BD6AC5">
      <w:pPr>
        <w:pStyle w:val="15"/>
        <w:rPr>
          <w:rFonts w:hint="eastAsia" w:ascii="宋体" w:hAnsi="宋体" w:cs="宋体"/>
          <w:color w:val="auto"/>
          <w:sz w:val="24"/>
          <w:szCs w:val="24"/>
          <w:highlight w:val="none"/>
        </w:rPr>
      </w:pPr>
    </w:p>
    <w:tbl>
      <w:tblPr>
        <w:tblStyle w:val="10"/>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14:paraId="39091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noWrap w:val="0"/>
            <w:vAlign w:val="center"/>
          </w:tcPr>
          <w:p w14:paraId="4F2AE08D">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序号</w:t>
            </w:r>
          </w:p>
        </w:tc>
        <w:tc>
          <w:tcPr>
            <w:tcW w:w="1272" w:type="dxa"/>
            <w:noWrap w:val="0"/>
            <w:vAlign w:val="center"/>
          </w:tcPr>
          <w:p w14:paraId="53ECBFB9">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名  称</w:t>
            </w:r>
          </w:p>
        </w:tc>
        <w:tc>
          <w:tcPr>
            <w:tcW w:w="821" w:type="dxa"/>
            <w:noWrap w:val="0"/>
            <w:vAlign w:val="center"/>
          </w:tcPr>
          <w:p w14:paraId="37A150E4">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数量</w:t>
            </w:r>
          </w:p>
        </w:tc>
        <w:tc>
          <w:tcPr>
            <w:tcW w:w="994" w:type="dxa"/>
            <w:noWrap w:val="0"/>
            <w:vAlign w:val="center"/>
          </w:tcPr>
          <w:p w14:paraId="52D361C2">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原产地</w:t>
            </w:r>
          </w:p>
        </w:tc>
        <w:tc>
          <w:tcPr>
            <w:tcW w:w="1445" w:type="dxa"/>
            <w:noWrap w:val="0"/>
            <w:vAlign w:val="center"/>
          </w:tcPr>
          <w:p w14:paraId="70EEBFDC">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制  造  商</w:t>
            </w:r>
          </w:p>
        </w:tc>
        <w:tc>
          <w:tcPr>
            <w:tcW w:w="2977" w:type="dxa"/>
            <w:noWrap w:val="0"/>
            <w:vAlign w:val="center"/>
          </w:tcPr>
          <w:p w14:paraId="0074B3D5">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规   格   型   号</w:t>
            </w:r>
          </w:p>
        </w:tc>
        <w:tc>
          <w:tcPr>
            <w:tcW w:w="1276" w:type="dxa"/>
            <w:noWrap w:val="0"/>
            <w:vAlign w:val="center"/>
          </w:tcPr>
          <w:p w14:paraId="35441A6F">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单价（元）</w:t>
            </w:r>
          </w:p>
        </w:tc>
        <w:tc>
          <w:tcPr>
            <w:tcW w:w="1417" w:type="dxa"/>
            <w:noWrap w:val="0"/>
            <w:vAlign w:val="top"/>
          </w:tcPr>
          <w:p w14:paraId="6CD28045">
            <w:pPr>
              <w:pStyle w:val="13"/>
              <w:keepNext w:val="0"/>
              <w:keepLines w:val="0"/>
              <w:widowControl w:val="0"/>
              <w:suppressLineNumbers w:val="0"/>
              <w:spacing w:before="0" w:beforeAutospacing="0" w:after="0" w:afterAutospacing="0" w:line="460" w:lineRule="exact"/>
              <w:ind w:left="0" w:right="0"/>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金额（元）</w:t>
            </w:r>
          </w:p>
        </w:tc>
      </w:tr>
      <w:tr w14:paraId="40A0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166E790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426B850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5B5A432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16F8D743">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06F6F2CC">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58B532E7">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123C3C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6B1ECEAC">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1A3F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2AA61F7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1D329D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270FF61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4BDDCA3B">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5E7F63BF">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517DC5C">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2B9EB5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29A94687">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6BFE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7A79F5C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003C9BD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3B7BE31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3034BBE2">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046D6290">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14E8FA87">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74E8024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4A0A9969">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A1A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14B3DEA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2FE16D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3E64434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286401A">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DAC2D48">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5B77F5AD">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22D0FD7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3E382FE5">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5144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2D989AB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70F8626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73F445D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1B7A09C1">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06DA5D8">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EB7B2AA">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1685E4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593ACB05">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5DC7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05169CA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62B588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05F1E21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688E19F1">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19AFAF4C">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59A8932">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04C0419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076E5D21">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54DBA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47CB444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77DFD5B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23D3C26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0F1890BA">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2D62E172">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1653C22">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3497034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0DCAB1A6">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68AE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BD9443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06F967E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6B09D82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3386F65C">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5DB9F4B2">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FF1EA16">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39949B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2DEAB909">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3F18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3B2636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788BD05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279E868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115EB7C8">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2F07042D">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86F44CA">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28CD316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710E21D">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0F61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10C395C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4BDBE5C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03A9877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E2438EC">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50125CA7">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ADB5300">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795CE47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5B1E3537">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AFC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485D016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4383B07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3D1A853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3542D8A">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530E351A">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47A7D9E8">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78850EB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D1F831A">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368B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44555E6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6290A47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6BAD9F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8E221D0">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0C0B5B34">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083D2A2">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27F5E75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7D68A7F1">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7A267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696832D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F0978D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0094F3B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9DE4D7B">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76673146">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B9AA395">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E1E5C8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52B2338C">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4F8B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0AB3787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483B58E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05CDC4A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0E2018C7">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3C69E677">
            <w:pPr>
              <w:pStyle w:val="13"/>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7B0F262">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7ECAFDC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0026346D">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44F1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noWrap w:val="0"/>
            <w:vAlign w:val="center"/>
          </w:tcPr>
          <w:p w14:paraId="38DE1B26">
            <w:pPr>
              <w:keepNext w:val="0"/>
              <w:keepLines w:val="0"/>
              <w:suppressLineNumbers w:val="0"/>
              <w:spacing w:before="0" w:beforeAutospacing="0" w:after="0" w:afterAutospacing="0" w:line="460" w:lineRule="exact"/>
              <w:ind w:left="0" w:right="0"/>
              <w:rPr>
                <w:rFonts w:hint="default" w:ascii="华文楷体" w:hAnsi="华文楷体" w:eastAsia="华文楷体" w:cs="Times New Roman"/>
                <w:b/>
                <w:color w:val="auto"/>
                <w:kern w:val="0"/>
                <w:sz w:val="24"/>
                <w:highlight w:val="none"/>
              </w:rPr>
            </w:pPr>
            <w:r>
              <w:rPr>
                <w:rFonts w:hint="eastAsia" w:ascii="华文楷体" w:hAnsi="华文楷体" w:eastAsia="华文楷体" w:cs="Times New Roman"/>
                <w:b/>
                <w:color w:val="auto"/>
                <w:kern w:val="0"/>
                <w:sz w:val="24"/>
                <w:highlight w:val="none"/>
              </w:rPr>
              <w:t>合计（元）：</w:t>
            </w:r>
          </w:p>
        </w:tc>
        <w:tc>
          <w:tcPr>
            <w:tcW w:w="1276" w:type="dxa"/>
            <w:noWrap w:val="0"/>
            <w:vAlign w:val="center"/>
          </w:tcPr>
          <w:p w14:paraId="47B99FA3">
            <w:pPr>
              <w:keepNext w:val="0"/>
              <w:keepLines w:val="0"/>
              <w:suppressLineNumbers w:val="0"/>
              <w:spacing w:before="0" w:beforeAutospacing="0" w:after="0" w:afterAutospacing="0"/>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3DAE70F8">
            <w:pPr>
              <w:keepNext w:val="0"/>
              <w:keepLines w:val="0"/>
              <w:suppressLineNumbers w:val="0"/>
              <w:spacing w:before="0" w:beforeAutospacing="0" w:after="0" w:afterAutospacing="0"/>
              <w:ind w:left="0" w:right="0"/>
              <w:jc w:val="center"/>
              <w:rPr>
                <w:rFonts w:hint="default" w:ascii="华文楷体" w:hAnsi="华文楷体" w:eastAsia="华文楷体" w:cs="Times New Roman"/>
                <w:b/>
                <w:color w:val="auto"/>
                <w:kern w:val="0"/>
                <w:sz w:val="24"/>
                <w:highlight w:val="none"/>
              </w:rPr>
            </w:pPr>
          </w:p>
        </w:tc>
      </w:tr>
    </w:tbl>
    <w:p w14:paraId="5B33BC77">
      <w:pPr>
        <w:pStyle w:val="14"/>
        <w:widowControl/>
        <w:ind w:left="-850" w:leftChars="-405" w:firstLine="0"/>
        <w:rPr>
          <w:rFonts w:hint="default" w:ascii="华文楷体" w:hAnsi="华文楷体" w:eastAsia="华文楷体" w:cs="华文楷体"/>
          <w:b/>
          <w:bCs w:val="0"/>
          <w:color w:val="auto"/>
          <w:kern w:val="2"/>
          <w:sz w:val="28"/>
          <w:szCs w:val="28"/>
          <w:highlight w:val="none"/>
        </w:rPr>
        <w:sectPr>
          <w:pgSz w:w="11906" w:h="16838"/>
          <w:pgMar w:top="1440" w:right="1800" w:bottom="1440" w:left="1800" w:header="851" w:footer="992" w:gutter="0"/>
          <w:cols w:space="720" w:num="1"/>
          <w:docGrid w:type="lines" w:linePitch="312" w:charSpace="0"/>
        </w:sectPr>
      </w:pPr>
    </w:p>
    <w:p w14:paraId="5C2951A7">
      <w:pPr>
        <w:pStyle w:val="14"/>
        <w:widowControl/>
        <w:ind w:left="-850" w:leftChars="-405" w:firstLine="0"/>
        <w:rPr>
          <w:rFonts w:hint="eastAsia" w:ascii="华文楷体" w:hAnsi="华文楷体" w:eastAsia="华文楷体" w:cs="华文楷体"/>
          <w:b/>
          <w:bCs w:val="0"/>
          <w:color w:val="auto"/>
          <w:kern w:val="2"/>
          <w:sz w:val="28"/>
          <w:szCs w:val="28"/>
          <w:highlight w:val="none"/>
          <w:lang w:val="en-US" w:eastAsia="zh-CN"/>
        </w:rPr>
      </w:pPr>
      <w:r>
        <w:rPr>
          <w:rFonts w:hint="default" w:ascii="华文楷体" w:hAnsi="华文楷体" w:eastAsia="华文楷体" w:cs="华文楷体"/>
          <w:b/>
          <w:bCs w:val="0"/>
          <w:color w:val="auto"/>
          <w:kern w:val="2"/>
          <w:sz w:val="28"/>
          <w:szCs w:val="28"/>
          <w:highlight w:val="none"/>
        </w:rPr>
        <w:t>附件</w:t>
      </w:r>
      <w:r>
        <w:rPr>
          <w:rFonts w:hint="eastAsia" w:ascii="华文楷体" w:hAnsi="华文楷体" w:eastAsia="华文楷体" w:cs="华文楷体"/>
          <w:b/>
          <w:bCs w:val="0"/>
          <w:color w:val="auto"/>
          <w:kern w:val="2"/>
          <w:sz w:val="28"/>
          <w:szCs w:val="28"/>
          <w:highlight w:val="none"/>
          <w:lang w:val="en-US" w:eastAsia="zh-CN"/>
        </w:rPr>
        <w:t>2</w:t>
      </w:r>
      <w:r>
        <w:rPr>
          <w:rFonts w:hint="default" w:ascii="华文楷体" w:hAnsi="华文楷体" w:eastAsia="华文楷体" w:cs="华文楷体"/>
          <w:b/>
          <w:bCs w:val="0"/>
          <w:color w:val="auto"/>
          <w:kern w:val="2"/>
          <w:sz w:val="28"/>
          <w:szCs w:val="28"/>
          <w:highlight w:val="none"/>
        </w:rPr>
        <w:t>：</w:t>
      </w:r>
      <w:r>
        <w:rPr>
          <w:rFonts w:hint="eastAsia" w:ascii="华文楷体" w:hAnsi="华文楷体" w:eastAsia="华文楷体" w:cs="华文楷体"/>
          <w:b/>
          <w:bCs w:val="0"/>
          <w:color w:val="auto"/>
          <w:kern w:val="2"/>
          <w:sz w:val="28"/>
          <w:szCs w:val="28"/>
          <w:highlight w:val="none"/>
          <w:lang w:val="en-US" w:eastAsia="zh-CN"/>
        </w:rPr>
        <w:t>厦门市大宗货物政府采购供货验收单</w:t>
      </w:r>
    </w:p>
    <w:p w14:paraId="4E3EABC6">
      <w:pPr>
        <w:rPr>
          <w:rFonts w:hint="eastAsia" w:ascii="宋体" w:hAnsi="宋体" w:cs="宋体"/>
          <w:color w:val="auto"/>
          <w:sz w:val="24"/>
          <w:szCs w:val="24"/>
          <w:highlight w:val="none"/>
        </w:rPr>
      </w:pPr>
    </w:p>
    <w:p w14:paraId="07AEF07F">
      <w:pPr>
        <w:pStyle w:val="14"/>
        <w:widowControl/>
        <w:spacing w:line="360" w:lineRule="auto"/>
        <w:ind w:left="-850" w:leftChars="-405"/>
        <w:rPr>
          <w:rFonts w:ascii="宋体" w:hAnsi="宋体" w:cs="宋体"/>
          <w:color w:val="auto"/>
          <w:sz w:val="24"/>
          <w:szCs w:val="24"/>
          <w:highlight w:val="none"/>
        </w:rPr>
      </w:pPr>
      <w:r>
        <w:rPr>
          <w:rFonts w:hint="eastAsia" w:ascii="宋体" w:hAnsi="宋体"/>
          <w:b/>
          <w:bCs/>
          <w:color w:val="auto"/>
          <w:sz w:val="36"/>
          <w:szCs w:val="36"/>
          <w:highlight w:val="none"/>
        </w:rPr>
        <w:drawing>
          <wp:inline distT="0" distB="0" distL="114300" distR="114300">
            <wp:extent cx="5274310" cy="7529195"/>
            <wp:effectExtent l="0" t="0" r="2540" b="14605"/>
            <wp:docPr id="3" name="图片 3"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副本验收报告格式(最终稿）(2)"/>
                    <pic:cNvPicPr>
                      <a:picLocks noChangeAspect="1"/>
                    </pic:cNvPicPr>
                  </pic:nvPicPr>
                  <pic:blipFill>
                    <a:blip r:embed="rId8"/>
                    <a:stretch>
                      <a:fillRect/>
                    </a:stretch>
                  </pic:blipFill>
                  <pic:spPr>
                    <a:xfrm>
                      <a:off x="0" y="0"/>
                      <a:ext cx="5274310" cy="7529195"/>
                    </a:xfrm>
                    <a:prstGeom prst="rect">
                      <a:avLst/>
                    </a:prstGeom>
                    <a:noFill/>
                    <a:ln>
                      <a:noFill/>
                    </a:ln>
                  </pic:spPr>
                </pic:pic>
              </a:graphicData>
            </a:graphic>
          </wp:inline>
        </w:drawing>
      </w:r>
    </w:p>
    <w:p w14:paraId="2E70516A">
      <w:pPr>
        <w:spacing w:line="360" w:lineRule="auto"/>
        <w:rPr>
          <w:rFonts w:ascii="宋体" w:hAnsi="宋体" w:cs="宋体"/>
          <w:color w:val="auto"/>
          <w:sz w:val="24"/>
          <w:szCs w:val="24"/>
          <w:highlight w:val="none"/>
        </w:rPr>
      </w:pPr>
    </w:p>
    <w:p w14:paraId="6F6648E2">
      <w:pPr>
        <w:rPr>
          <w:color w:val="auto"/>
          <w:highlight w:val="none"/>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848DA">
    <w:pPr>
      <w:pStyle w:val="5"/>
      <w:ind w:firstLine="4140" w:firstLineChars="2300"/>
    </w:pPr>
    <w:r>
      <w:rPr>
        <w:rFonts w:hint="eastAsia" w:ascii="宋体" w:hAnsi="宋体"/>
        <w:szCs w:val="20"/>
      </w:rPr>
      <w:t>4</w:t>
    </w:r>
    <w:r>
      <w:rPr>
        <w:rFonts w:ascii="宋体" w:hAnsi="宋体"/>
        <w:szCs w:val="20"/>
      </w:rPr>
      <w:t>-</w:t>
    </w:r>
    <w:r>
      <w:rPr>
        <w:rFonts w:ascii="宋体" w:hAnsi="宋体"/>
        <w:szCs w:val="20"/>
      </w:rPr>
      <w:fldChar w:fldCharType="begin"/>
    </w:r>
    <w:r>
      <w:rPr>
        <w:rStyle w:val="12"/>
        <w:rFonts w:ascii="宋体" w:hAnsi="宋体"/>
        <w:szCs w:val="20"/>
      </w:rPr>
      <w:instrText xml:space="preserve"> PAGE </w:instrText>
    </w:r>
    <w:r>
      <w:rPr>
        <w:rFonts w:ascii="宋体" w:hAnsi="宋体"/>
        <w:szCs w:val="20"/>
      </w:rPr>
      <w:fldChar w:fldCharType="separate"/>
    </w:r>
    <w:r>
      <w:rPr>
        <w:rStyle w:val="12"/>
        <w:rFonts w:ascii="宋体" w:hAnsi="宋体"/>
        <w:szCs w:val="20"/>
      </w:rPr>
      <w:t>5</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BA28F">
    <w:pPr>
      <w:pStyle w:val="5"/>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12"/>
        <w:rFonts w:ascii="宋体" w:hAnsi="宋体"/>
        <w:szCs w:val="20"/>
      </w:rPr>
      <w:instrText xml:space="preserve"> PAGE </w:instrText>
    </w:r>
    <w:r>
      <w:rPr>
        <w:rFonts w:ascii="宋体" w:hAnsi="宋体"/>
        <w:szCs w:val="20"/>
      </w:rPr>
      <w:fldChar w:fldCharType="separate"/>
    </w:r>
    <w:r>
      <w:rPr>
        <w:rStyle w:val="12"/>
        <w:rFonts w:ascii="宋体" w:hAnsi="宋体"/>
        <w:szCs w:val="20"/>
      </w:rPr>
      <w:t>5</w:t>
    </w:r>
    <w:r>
      <w:rPr>
        <w:rFonts w:ascii="宋体" w:hAnsi="宋体"/>
        <w:szCs w:val="20"/>
      </w:rPr>
      <w:fldChar w:fldCharType="end"/>
    </w:r>
    <w:r>
      <w:rPr>
        <w:rFonts w:ascii="宋体" w:hAnsi="宋体"/>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B0707">
    <w:pPr>
      <w:pStyle w:val="5"/>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12"/>
        <w:rFonts w:ascii="宋体" w:hAnsi="宋体"/>
        <w:szCs w:val="20"/>
      </w:rPr>
      <w:instrText xml:space="preserve"> PAGE </w:instrText>
    </w:r>
    <w:r>
      <w:rPr>
        <w:rFonts w:ascii="宋体" w:hAnsi="宋体"/>
        <w:szCs w:val="20"/>
      </w:rPr>
      <w:fldChar w:fldCharType="separate"/>
    </w:r>
    <w:r>
      <w:rPr>
        <w:rStyle w:val="12"/>
        <w:rFonts w:ascii="宋体" w:hAnsi="宋体"/>
        <w:szCs w:val="20"/>
      </w:rPr>
      <w:t>5</w:t>
    </w:r>
    <w:r>
      <w:rPr>
        <w:rFonts w:ascii="宋体" w:hAnsi="宋体"/>
        <w:szCs w:val="20"/>
      </w:rPr>
      <w:fldChar w:fldCharType="end"/>
    </w:r>
    <w:r>
      <w:rPr>
        <w:rFonts w:ascii="宋体" w:hAnsi="宋体"/>
        <w:szCs w:val="20"/>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WIzMDI0MWMzODgzNmNiNWE5OTZlNjc0MGJhNDgifQ=="/>
  </w:docVars>
  <w:rsids>
    <w:rsidRoot w:val="00000000"/>
    <w:rsid w:val="04807F84"/>
    <w:rsid w:val="29E14AC1"/>
    <w:rsid w:val="2FF7925C"/>
    <w:rsid w:val="370308C6"/>
    <w:rsid w:val="46D63C88"/>
    <w:rsid w:val="50FB388D"/>
    <w:rsid w:val="52E514FA"/>
    <w:rsid w:val="5E453C8E"/>
    <w:rsid w:val="667C60E9"/>
    <w:rsid w:val="6F663618"/>
    <w:rsid w:val="756D63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unhideWhenUsed/>
    <w:qFormat/>
    <w:uiPriority w:val="99"/>
    <w:pPr>
      <w:spacing w:after="120"/>
      <w:ind w:left="420" w:leftChars="200"/>
    </w:pPr>
  </w:style>
  <w:style w:type="paragraph" w:styleId="4">
    <w:name w:val="Plain Text"/>
    <w:basedOn w:val="1"/>
    <w:qFormat/>
    <w:uiPriority w:val="0"/>
    <w:rPr>
      <w:rFonts w:ascii="宋体" w:hAnsi="Courier New"/>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Normal (Web)"/>
    <w:basedOn w:val="1"/>
    <w:semiHidden/>
    <w:unhideWhenUsed/>
    <w:qFormat/>
    <w:uiPriority w:val="99"/>
    <w:rPr>
      <w:sz w:val="24"/>
    </w:rPr>
  </w:style>
  <w:style w:type="paragraph" w:styleId="7">
    <w:name w:val="Body Text First Indent"/>
    <w:basedOn w:val="2"/>
    <w:next w:val="8"/>
    <w:qFormat/>
    <w:uiPriority w:val="0"/>
    <w:pPr>
      <w:ind w:firstLine="420" w:firstLineChars="100"/>
    </w:pPr>
    <w:rPr>
      <w:rFonts w:ascii="Times New Roman" w:hAnsi="Times New Roman"/>
      <w:szCs w:val="24"/>
      <w:lang w:val="zh-CN"/>
    </w:rPr>
  </w:style>
  <w:style w:type="paragraph" w:styleId="8">
    <w:name w:val="Body Text First Indent 2"/>
    <w:basedOn w:val="3"/>
    <w:unhideWhenUsed/>
    <w:qFormat/>
    <w:uiPriority w:val="99"/>
    <w:pPr>
      <w:ind w:firstLine="420" w:firstLineChars="200"/>
    </w:pPr>
  </w:style>
  <w:style w:type="table" w:styleId="10">
    <w:name w:val="Table Grid"/>
    <w:basedOn w:val="9"/>
    <w:qFormat/>
    <w:uiPriority w:val="59"/>
    <w:pPr>
      <w:keepNext w:val="0"/>
      <w:keepLines w:val="0"/>
      <w:widowControl w:val="0"/>
      <w:suppressLineNumbers w:val="0"/>
      <w:spacing w:before="0" w:beforeAutospacing="0" w:after="0" w:afterAutospacing="0"/>
      <w:ind w:left="0" w:right="0"/>
      <w:jc w:val="both"/>
    </w:pPr>
    <w:rPr>
      <w:rFonts w:hint="default" w:ascii="Calibri" w:hAnsi="Calibri"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2">
    <w:name w:val="page number"/>
    <w:basedOn w:val="11"/>
    <w:qFormat/>
    <w:uiPriority w:val="0"/>
  </w:style>
  <w:style w:type="paragraph" w:customStyle="1" w:styleId="13">
    <w:name w:val="正文（绿盟科技）"/>
    <w:basedOn w:val="1"/>
    <w:qFormat/>
    <w:uiPriority w:val="0"/>
    <w:pPr>
      <w:widowControl/>
      <w:spacing w:before="0" w:beforeAutospacing="0" w:after="0" w:afterAutospacing="0" w:line="300" w:lineRule="auto"/>
      <w:ind w:left="0" w:right="0"/>
      <w:jc w:val="left"/>
    </w:pPr>
    <w:rPr>
      <w:rFonts w:hint="default" w:ascii="Arial" w:hAnsi="Arial" w:eastAsia="宋体" w:cs="黑体"/>
      <w:kern w:val="0"/>
      <w:sz w:val="21"/>
      <w:szCs w:val="21"/>
      <w:lang w:val="en-US" w:eastAsia="zh-CN" w:bidi="ar"/>
    </w:rPr>
  </w:style>
  <w:style w:type="paragraph" w:customStyle="1" w:styleId="14">
    <w:name w:val="*正文"/>
    <w:basedOn w:val="1"/>
    <w:qFormat/>
    <w:uiPriority w:val="0"/>
    <w:pPr>
      <w:keepNext w:val="0"/>
      <w:keepLines w:val="0"/>
      <w:widowControl w:val="0"/>
      <w:suppressLineNumbers w:val="0"/>
      <w:spacing w:before="0" w:beforeAutospacing="0" w:after="0" w:afterAutospacing="0" w:line="360" w:lineRule="auto"/>
      <w:ind w:left="0" w:right="0" w:firstLine="200" w:firstLineChars="200"/>
      <w:jc w:val="both"/>
    </w:pPr>
    <w:rPr>
      <w:rFonts w:hint="eastAsia" w:ascii="宋体" w:hAnsi="宋体" w:eastAsia="宋体" w:cs="Times New Roman"/>
      <w:kern w:val="2"/>
      <w:sz w:val="22"/>
      <w:szCs w:val="22"/>
      <w:lang w:val="en-US" w:eastAsia="zh-CN" w:bidi="ar"/>
    </w:rPr>
  </w:style>
  <w:style w:type="paragraph" w:customStyle="1" w:styleId="15">
    <w:name w:val="Heading2"/>
    <w:basedOn w:val="1"/>
    <w:next w:val="1"/>
    <w:qFormat/>
    <w:uiPriority w:val="0"/>
    <w:pPr>
      <w:textAlignment w:val="baseline"/>
    </w:pPr>
    <w:rPr>
      <w:rFonts w:ascii="等线" w:hAnsi="等线" w:eastAsia="等线"/>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5116</Words>
  <Characters>5400</Characters>
  <Lines>0</Lines>
  <Paragraphs>0</Paragraphs>
  <TotalTime>2</TotalTime>
  <ScaleCrop>false</ScaleCrop>
  <LinksUpToDate>false</LinksUpToDate>
  <CharactersWithSpaces>5720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2024-06-14T16:47:00Z</dcterms:created>
  <dc:creator>Dell</dc:creator>
  <cp:lastModifiedBy>Auniverse</cp:lastModifiedBy>
  <dcterms:modified xsi:type="dcterms:W3CDTF">2025-07-15T07:17:53Z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0802FE0F801541F69B7E853AA70647BB_13</vt:lpwstr>
  </property>
  <property fmtid="{D5CDD505-2E9C-101B-9397-08002B2CF9AE}" pid="4" name="KSOTemplateDocerSaveRecord">
    <vt:lpwstr>eyJoZGlkIjoiMjA0NDI5OWMzZGIyYjFhZmY0OGUzZmQ1YjEwMTU3OGIiLCJ1c2VySWQiOiI2ODA5NTM4MTAifQ==</vt:lpwstr>
  </property>
</Properties>
</file>