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433D5">
      <w:pPr>
        <w:jc w:val="center"/>
        <w:rPr>
          <w:rFonts w:ascii="宋体" w:hAnsi="宋体"/>
          <w:b/>
          <w:color w:val="auto"/>
          <w:sz w:val="72"/>
          <w:highlight w:val="none"/>
        </w:rPr>
      </w:pPr>
      <w:r>
        <w:rPr>
          <w:rFonts w:hint="eastAsia" w:ascii="宋体" w:hAnsi="宋体"/>
          <w:b/>
          <w:color w:val="auto"/>
          <w:sz w:val="72"/>
          <w:highlight w:val="none"/>
        </w:rPr>
        <w:t>厦 门 市 大 宗 货 物</w:t>
      </w:r>
    </w:p>
    <w:p w14:paraId="1B0E8E7A">
      <w:pPr>
        <w:jc w:val="center"/>
        <w:rPr>
          <w:rFonts w:ascii="宋体" w:hAnsi="宋体"/>
          <w:b/>
          <w:color w:val="auto"/>
          <w:sz w:val="72"/>
          <w:highlight w:val="none"/>
        </w:rPr>
      </w:pPr>
      <w:r>
        <w:rPr>
          <w:rFonts w:hint="eastAsia" w:ascii="宋体" w:hAnsi="宋体"/>
          <w:b/>
          <w:color w:val="auto"/>
          <w:sz w:val="72"/>
          <w:highlight w:val="none"/>
        </w:rPr>
        <w:t xml:space="preserve">政 府 采 购 项 目 </w:t>
      </w:r>
    </w:p>
    <w:p w14:paraId="255F5A4B">
      <w:pPr>
        <w:spacing w:line="360" w:lineRule="auto"/>
        <w:jc w:val="center"/>
        <w:rPr>
          <w:rFonts w:ascii="宋体" w:hAnsi="宋体"/>
          <w:b/>
          <w:color w:val="auto"/>
          <w:sz w:val="72"/>
          <w:highlight w:val="none"/>
        </w:rPr>
      </w:pPr>
      <w:r>
        <w:rPr>
          <w:rFonts w:hint="eastAsia" w:ascii="宋体" w:hAnsi="宋体"/>
          <w:b/>
          <w:color w:val="auto"/>
          <w:sz w:val="72"/>
          <w:highlight w:val="none"/>
        </w:rPr>
        <w:t>招   标   文   件</w:t>
      </w:r>
    </w:p>
    <w:p w14:paraId="58FFB777">
      <w:pPr>
        <w:spacing w:line="360" w:lineRule="auto"/>
        <w:ind w:firstLine="1438" w:firstLineChars="398"/>
        <w:rPr>
          <w:rFonts w:ascii="宋体" w:hAnsi="宋体"/>
          <w:b/>
          <w:color w:val="auto"/>
          <w:sz w:val="36"/>
          <w:highlight w:val="none"/>
        </w:rPr>
      </w:pPr>
    </w:p>
    <w:p w14:paraId="251CA370">
      <w:pPr>
        <w:spacing w:line="360" w:lineRule="auto"/>
        <w:ind w:firstLine="1438" w:firstLineChars="398"/>
        <w:rPr>
          <w:rFonts w:ascii="宋体" w:hAnsi="宋体"/>
          <w:b/>
          <w:color w:val="auto"/>
          <w:sz w:val="36"/>
          <w:highlight w:val="none"/>
        </w:rPr>
      </w:pPr>
    </w:p>
    <w:p w14:paraId="0B632764">
      <w:pPr>
        <w:spacing w:line="360" w:lineRule="auto"/>
        <w:ind w:firstLine="1438" w:firstLineChars="398"/>
        <w:rPr>
          <w:rFonts w:ascii="宋体" w:hAnsi="宋体"/>
          <w:b/>
          <w:color w:val="auto"/>
          <w:sz w:val="36"/>
          <w:highlight w:val="none"/>
        </w:rPr>
      </w:pPr>
    </w:p>
    <w:p w14:paraId="5797FC21">
      <w:pPr>
        <w:spacing w:line="360" w:lineRule="auto"/>
        <w:ind w:firstLine="1438" w:firstLineChars="398"/>
        <w:rPr>
          <w:rFonts w:ascii="宋体" w:hAnsi="宋体"/>
          <w:b/>
          <w:color w:val="auto"/>
          <w:sz w:val="36"/>
          <w:highlight w:val="none"/>
        </w:rPr>
      </w:pPr>
    </w:p>
    <w:p w14:paraId="5FE89C22">
      <w:pPr>
        <w:spacing w:line="360" w:lineRule="auto"/>
        <w:ind w:firstLine="1438" w:firstLineChars="398"/>
        <w:rPr>
          <w:rFonts w:hint="eastAsia" w:ascii="宋体" w:hAnsi="宋体" w:eastAsia="宋体"/>
          <w:b/>
          <w:color w:val="auto"/>
          <w:sz w:val="36"/>
          <w:highlight w:val="none"/>
          <w:u w:val="single"/>
          <w:lang w:eastAsia="zh-CN"/>
        </w:rPr>
      </w:pPr>
      <w:r>
        <w:rPr>
          <w:rFonts w:hint="eastAsia" w:ascii="宋体" w:hAnsi="宋体"/>
          <w:b/>
          <w:color w:val="auto"/>
          <w:sz w:val="36"/>
          <w:highlight w:val="none"/>
        </w:rPr>
        <w:t>招 标 编 号：</w:t>
      </w:r>
      <w:r>
        <w:rPr>
          <w:rFonts w:hint="eastAsia" w:ascii="宋体" w:hAnsi="宋体"/>
          <w:b/>
          <w:color w:val="auto"/>
          <w:sz w:val="36"/>
          <w:highlight w:val="none"/>
          <w:u w:val="single"/>
          <w:lang w:eastAsia="zh-CN"/>
        </w:rPr>
        <w:t>XM2025-DZ0026</w:t>
      </w:r>
    </w:p>
    <w:p w14:paraId="438CBDBC">
      <w:pPr>
        <w:spacing w:line="360" w:lineRule="auto"/>
        <w:ind w:left="3948" w:leftChars="684" w:hanging="2512" w:hangingChars="695"/>
        <w:rPr>
          <w:rFonts w:hint="eastAsia" w:ascii="宋体" w:hAnsi="宋体" w:eastAsia="宋体"/>
          <w:b/>
          <w:color w:val="auto"/>
          <w:sz w:val="36"/>
          <w:highlight w:val="none"/>
          <w:u w:val="single"/>
          <w:lang w:eastAsia="zh-CN"/>
        </w:rPr>
      </w:pPr>
      <w:r>
        <w:rPr>
          <w:rFonts w:hint="eastAsia" w:ascii="宋体" w:hAnsi="宋体"/>
          <w:b/>
          <w:color w:val="auto"/>
          <w:sz w:val="36"/>
          <w:highlight w:val="none"/>
        </w:rPr>
        <w:t>项 目 名 称：</w:t>
      </w:r>
      <w:r>
        <w:rPr>
          <w:rFonts w:hint="eastAsia" w:ascii="宋体" w:hAnsi="宋体"/>
          <w:b/>
          <w:color w:val="auto"/>
          <w:sz w:val="36"/>
          <w:highlight w:val="none"/>
          <w:lang w:eastAsia="zh-CN"/>
        </w:rPr>
        <w:t>2025年大宗复印纸采购</w:t>
      </w:r>
    </w:p>
    <w:p w14:paraId="5DD35482">
      <w:pPr>
        <w:spacing w:line="360" w:lineRule="auto"/>
        <w:ind w:firstLine="1438" w:firstLineChars="398"/>
        <w:rPr>
          <w:rFonts w:ascii="宋体" w:hAnsi="宋体"/>
          <w:b/>
          <w:color w:val="auto"/>
          <w:sz w:val="36"/>
          <w:highlight w:val="none"/>
        </w:rPr>
      </w:pPr>
    </w:p>
    <w:p w14:paraId="657114B1">
      <w:pPr>
        <w:spacing w:line="360" w:lineRule="auto"/>
        <w:ind w:firstLine="1438" w:firstLineChars="398"/>
        <w:rPr>
          <w:rFonts w:ascii="宋体" w:hAnsi="宋体"/>
          <w:b/>
          <w:color w:val="auto"/>
          <w:sz w:val="36"/>
          <w:highlight w:val="none"/>
        </w:rPr>
      </w:pPr>
    </w:p>
    <w:p w14:paraId="7B40764C">
      <w:pPr>
        <w:spacing w:line="360" w:lineRule="auto"/>
        <w:ind w:firstLine="1438" w:firstLineChars="398"/>
        <w:rPr>
          <w:rFonts w:ascii="宋体" w:hAnsi="宋体"/>
          <w:b/>
          <w:color w:val="auto"/>
          <w:sz w:val="36"/>
          <w:highlight w:val="none"/>
        </w:rPr>
      </w:pPr>
    </w:p>
    <w:p w14:paraId="21540A37">
      <w:pPr>
        <w:spacing w:line="360" w:lineRule="auto"/>
        <w:ind w:firstLine="1438" w:firstLineChars="398"/>
        <w:rPr>
          <w:rFonts w:ascii="宋体" w:hAnsi="宋体"/>
          <w:b/>
          <w:color w:val="auto"/>
          <w:sz w:val="36"/>
          <w:highlight w:val="none"/>
        </w:rPr>
      </w:pPr>
    </w:p>
    <w:p w14:paraId="2A0BD75D">
      <w:pPr>
        <w:spacing w:line="360" w:lineRule="auto"/>
        <w:ind w:firstLine="1438" w:firstLineChars="398"/>
        <w:rPr>
          <w:rFonts w:ascii="宋体" w:hAnsi="宋体"/>
          <w:b/>
          <w:color w:val="auto"/>
          <w:sz w:val="36"/>
          <w:highlight w:val="none"/>
        </w:rPr>
      </w:pPr>
    </w:p>
    <w:p w14:paraId="73F71A53">
      <w:pPr>
        <w:pStyle w:val="6"/>
        <w:spacing w:line="360" w:lineRule="auto"/>
        <w:ind w:firstLine="1438" w:firstLineChars="398"/>
        <w:jc w:val="left"/>
        <w:rPr>
          <w:rFonts w:hAnsi="宋体"/>
          <w:b/>
          <w:color w:val="auto"/>
          <w:spacing w:val="20"/>
          <w:sz w:val="32"/>
          <w:highlight w:val="none"/>
        </w:rPr>
      </w:pPr>
      <w:r>
        <w:rPr>
          <w:rFonts w:hint="eastAsia" w:hAnsi="宋体" w:cs="宋体"/>
          <w:b/>
          <w:color w:val="auto"/>
          <w:spacing w:val="20"/>
          <w:sz w:val="32"/>
          <w:highlight w:val="none"/>
        </w:rPr>
        <w:t>使用单位：</w:t>
      </w:r>
      <w:r>
        <w:rPr>
          <w:rFonts w:hint="eastAsia" w:hAnsi="宋体"/>
          <w:b/>
          <w:color w:val="auto"/>
          <w:spacing w:val="20"/>
          <w:sz w:val="32"/>
          <w:highlight w:val="none"/>
        </w:rPr>
        <w:t>厦门市政府机关事业单位和福建</w:t>
      </w:r>
    </w:p>
    <w:p w14:paraId="35E8D434">
      <w:pPr>
        <w:pStyle w:val="6"/>
        <w:ind w:firstLine="1445" w:firstLineChars="400"/>
        <w:jc w:val="left"/>
        <w:rPr>
          <w:rFonts w:hAnsi="宋体" w:cs="宋体"/>
          <w:b/>
          <w:color w:val="auto"/>
          <w:spacing w:val="20"/>
          <w:sz w:val="32"/>
          <w:highlight w:val="none"/>
        </w:rPr>
      </w:pPr>
      <w:r>
        <w:rPr>
          <w:rFonts w:hint="eastAsia" w:hAnsi="宋体"/>
          <w:b/>
          <w:color w:val="auto"/>
          <w:spacing w:val="20"/>
          <w:sz w:val="32"/>
          <w:highlight w:val="none"/>
        </w:rPr>
        <w:t>省内其他终端用户</w:t>
      </w:r>
    </w:p>
    <w:p w14:paraId="00240454">
      <w:pPr>
        <w:pStyle w:val="6"/>
        <w:ind w:firstLine="1438" w:firstLineChars="398"/>
        <w:jc w:val="left"/>
        <w:rPr>
          <w:rFonts w:hAnsi="宋体" w:cs="宋体"/>
          <w:b/>
          <w:bCs/>
          <w:color w:val="auto"/>
          <w:sz w:val="32"/>
          <w:highlight w:val="none"/>
          <w:u w:val="single"/>
        </w:rPr>
      </w:pPr>
      <w:r>
        <w:rPr>
          <w:rFonts w:hint="eastAsia" w:hAnsi="宋体" w:cs="宋体"/>
          <w:b/>
          <w:color w:val="auto"/>
          <w:spacing w:val="20"/>
          <w:sz w:val="32"/>
          <w:highlight w:val="none"/>
        </w:rPr>
        <w:t>采购单位：</w:t>
      </w:r>
      <w:r>
        <w:rPr>
          <w:rFonts w:hint="eastAsia" w:hAnsi="宋体" w:cs="宋体"/>
          <w:b/>
          <w:bCs/>
          <w:color w:val="auto"/>
          <w:sz w:val="32"/>
          <w:highlight w:val="none"/>
        </w:rPr>
        <w:t>厦门万翔网络商务有限公司</w:t>
      </w:r>
    </w:p>
    <w:p w14:paraId="3D7A3881">
      <w:pPr>
        <w:pStyle w:val="6"/>
        <w:spacing w:line="360" w:lineRule="auto"/>
        <w:ind w:firstLine="1438" w:firstLineChars="398"/>
        <w:jc w:val="left"/>
        <w:rPr>
          <w:rFonts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厦门万翔招标有限公司</w:t>
      </w:r>
    </w:p>
    <w:p w14:paraId="25680225">
      <w:pPr>
        <w:spacing w:line="360" w:lineRule="auto"/>
        <w:ind w:firstLine="1438" w:firstLineChars="398"/>
        <w:rPr>
          <w:rFonts w:ascii="宋体" w:hAnsi="宋体"/>
          <w:b/>
          <w:color w:val="auto"/>
          <w:sz w:val="36"/>
          <w:highlight w:val="none"/>
        </w:rPr>
      </w:pPr>
    </w:p>
    <w:p w14:paraId="05E9E775">
      <w:pPr>
        <w:pStyle w:val="6"/>
        <w:spacing w:line="360" w:lineRule="auto"/>
        <w:jc w:val="center"/>
        <w:outlineLvl w:val="0"/>
        <w:rPr>
          <w:rFonts w:hAnsi="宋体"/>
          <w:b/>
          <w:color w:val="auto"/>
          <w:sz w:val="32"/>
          <w:highlight w:val="none"/>
        </w:rPr>
      </w:pPr>
      <w:r>
        <w:rPr>
          <w:rFonts w:hint="eastAsia" w:hAnsi="宋体"/>
          <w:b/>
          <w:color w:val="auto"/>
          <w:sz w:val="32"/>
          <w:highlight w:val="none"/>
        </w:rPr>
        <w:t>2025年</w:t>
      </w:r>
    </w:p>
    <w:p w14:paraId="18CEB397">
      <w:pPr>
        <w:pStyle w:val="6"/>
        <w:spacing w:line="360" w:lineRule="auto"/>
        <w:jc w:val="center"/>
        <w:outlineLvl w:val="0"/>
        <w:rPr>
          <w:rFonts w:hAnsi="宋体"/>
          <w:b/>
          <w:color w:val="auto"/>
          <w:sz w:val="32"/>
          <w:highlight w:val="none"/>
        </w:rPr>
      </w:pPr>
    </w:p>
    <w:p w14:paraId="13AEFDF7">
      <w:pPr>
        <w:pStyle w:val="6"/>
        <w:spacing w:line="360" w:lineRule="auto"/>
        <w:jc w:val="center"/>
        <w:outlineLvl w:val="0"/>
        <w:rPr>
          <w:rFonts w:hAnsi="宋体"/>
          <w:b/>
          <w:color w:val="auto"/>
          <w:sz w:val="32"/>
          <w:highlight w:val="none"/>
        </w:rPr>
      </w:pPr>
    </w:p>
    <w:p w14:paraId="21590705">
      <w:pPr>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关于政府采购信用贷款的提示</w:t>
      </w:r>
    </w:p>
    <w:p w14:paraId="45E55C91">
      <w:pPr>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（201608版）</w:t>
      </w:r>
    </w:p>
    <w:p w14:paraId="717C3274">
      <w:pPr>
        <w:rPr>
          <w:rFonts w:ascii="宋体" w:hAnsi="宋体" w:cs="宋体"/>
          <w:color w:val="auto"/>
          <w:sz w:val="24"/>
          <w:szCs w:val="24"/>
          <w:highlight w:val="none"/>
        </w:rPr>
      </w:pPr>
    </w:p>
    <w:p w14:paraId="60EEF32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207CFBB9">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 xml:space="preserve">有关金融机构联系方式： </w:t>
      </w:r>
    </w:p>
    <w:p w14:paraId="5ED3FBF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（一）中国建设银行厦门分行：</w:t>
      </w:r>
    </w:p>
    <w:p w14:paraId="7D7DFDB5">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 xml:space="preserve">联系人：魏慧媛   2158595 </w:t>
      </w:r>
    </w:p>
    <w:p w14:paraId="3964CC9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（二）中国光大银行厦门分行：</w:t>
      </w:r>
    </w:p>
    <w:p w14:paraId="7A670EC3">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联系人：陈  虹   2283776、13806013400；朱姗姗   2991131、18050082825</w:t>
      </w:r>
    </w:p>
    <w:p w14:paraId="686A5CE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（三）兴业银行厦门分行</w:t>
      </w:r>
    </w:p>
    <w:p w14:paraId="6E93EA1D">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 xml:space="preserve">联系人：陈小姐  0592-5312509 13599531245 ；高经理  0592-5312350 13850017508 </w:t>
      </w:r>
    </w:p>
    <w:p w14:paraId="6C124F7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（四）厦门市担保有限公司：</w:t>
      </w:r>
    </w:p>
    <w:p w14:paraId="12D1BA96">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联系人：陈文辉   5125116；吴龙辉   5120019</w:t>
      </w:r>
    </w:p>
    <w:p w14:paraId="0383783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（五）厦门银行股份有限公司 </w:t>
      </w:r>
    </w:p>
    <w:p w14:paraId="3C7DB70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联系人：张冬梅 13395990009 ；陈韵 13656021986</w:t>
      </w:r>
    </w:p>
    <w:p w14:paraId="0930029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1D9F32D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本提示仅作为信息告知，具体贷款事宜以银行等有关金融机构审批为准。</w:t>
      </w:r>
    </w:p>
    <w:p w14:paraId="6B2C22CC">
      <w:pPr>
        <w:spacing w:line="360" w:lineRule="auto"/>
        <w:ind w:firstLine="480" w:firstLineChars="200"/>
        <w:rPr>
          <w:rFonts w:ascii="宋体" w:hAnsi="宋体" w:cs="宋体"/>
          <w:color w:val="auto"/>
          <w:sz w:val="24"/>
          <w:szCs w:val="24"/>
          <w:highlight w:val="none"/>
        </w:rPr>
      </w:pPr>
    </w:p>
    <w:p w14:paraId="28222558">
      <w:pPr>
        <w:spacing w:line="360" w:lineRule="auto"/>
        <w:ind w:firstLine="480" w:firstLineChars="200"/>
        <w:rPr>
          <w:rFonts w:ascii="宋体" w:hAnsi="宋体" w:cs="宋体"/>
          <w:color w:val="auto"/>
          <w:sz w:val="24"/>
          <w:szCs w:val="24"/>
          <w:highlight w:val="none"/>
        </w:rPr>
      </w:pPr>
    </w:p>
    <w:p w14:paraId="5D7754EC">
      <w:pPr>
        <w:spacing w:line="360" w:lineRule="auto"/>
        <w:ind w:firstLine="480" w:firstLineChars="200"/>
        <w:rPr>
          <w:rFonts w:ascii="宋体" w:hAnsi="宋体" w:cs="宋体"/>
          <w:color w:val="auto"/>
          <w:sz w:val="24"/>
          <w:szCs w:val="24"/>
          <w:highlight w:val="none"/>
        </w:rPr>
      </w:pPr>
    </w:p>
    <w:p w14:paraId="2159F8D8">
      <w:pPr>
        <w:spacing w:line="360" w:lineRule="auto"/>
        <w:ind w:firstLine="480" w:firstLineChars="200"/>
        <w:rPr>
          <w:rFonts w:ascii="宋体" w:hAnsi="宋体" w:cs="宋体"/>
          <w:color w:val="auto"/>
          <w:sz w:val="24"/>
          <w:szCs w:val="24"/>
          <w:highlight w:val="none"/>
        </w:rPr>
      </w:pPr>
    </w:p>
    <w:p w14:paraId="545EEB5B">
      <w:pPr>
        <w:spacing w:line="360" w:lineRule="auto"/>
        <w:rPr>
          <w:rFonts w:ascii="宋体" w:hAnsi="宋体" w:cs="宋体"/>
          <w:color w:val="auto"/>
          <w:sz w:val="24"/>
          <w:szCs w:val="24"/>
          <w:highlight w:val="none"/>
        </w:rPr>
      </w:pPr>
    </w:p>
    <w:p w14:paraId="0C3A1341">
      <w:pPr>
        <w:pStyle w:val="6"/>
        <w:spacing w:line="360" w:lineRule="auto"/>
        <w:jc w:val="center"/>
        <w:outlineLvl w:val="0"/>
        <w:rPr>
          <w:rFonts w:hAnsi="宋体" w:cs="宋体"/>
          <w:b/>
          <w:bCs/>
          <w:color w:val="auto"/>
          <w:sz w:val="32"/>
          <w:szCs w:val="32"/>
          <w:highlight w:val="none"/>
        </w:rPr>
      </w:pPr>
      <w:r>
        <w:rPr>
          <w:rFonts w:hint="eastAsia" w:hAnsi="宋体" w:cs="宋体"/>
          <w:b/>
          <w:bCs/>
          <w:color w:val="auto"/>
          <w:sz w:val="32"/>
          <w:szCs w:val="32"/>
          <w:highlight w:val="none"/>
        </w:rPr>
        <w:t xml:space="preserve">  目   录</w:t>
      </w:r>
    </w:p>
    <w:p w14:paraId="094C6D6D">
      <w:pPr>
        <w:pStyle w:val="3"/>
        <w:snapToGrid w:val="0"/>
        <w:spacing w:line="360" w:lineRule="auto"/>
        <w:ind w:firstLine="0"/>
        <w:rPr>
          <w:rFonts w:ascii="宋体" w:hAnsi="宋体" w:cs="宋体"/>
          <w:color w:val="auto"/>
          <w:sz w:val="24"/>
          <w:szCs w:val="24"/>
          <w:highlight w:val="none"/>
        </w:rPr>
      </w:pPr>
    </w:p>
    <w:p w14:paraId="0086B8A7">
      <w:pPr>
        <w:pStyle w:val="3"/>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第一章    投标邀请 …………………………………………………1</w:t>
      </w:r>
    </w:p>
    <w:p w14:paraId="1FBC81BA">
      <w:pPr>
        <w:pStyle w:val="3"/>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 xml:space="preserve">     投标邀请函……………………………………………………1-1</w:t>
      </w:r>
    </w:p>
    <w:p w14:paraId="5D576238">
      <w:pPr>
        <w:pStyle w:val="3"/>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第二章    投标人须知  ……………………………………………2</w:t>
      </w:r>
    </w:p>
    <w:p w14:paraId="51DB3D76">
      <w:pPr>
        <w:spacing w:line="360" w:lineRule="auto"/>
        <w:ind w:firstLine="240" w:firstLineChars="100"/>
        <w:rPr>
          <w:rFonts w:ascii="宋体" w:hAnsi="宋体" w:cs="宋体"/>
          <w:bCs/>
          <w:color w:val="auto"/>
          <w:sz w:val="24"/>
          <w:szCs w:val="24"/>
          <w:highlight w:val="none"/>
        </w:rPr>
      </w:pPr>
      <w:r>
        <w:rPr>
          <w:rFonts w:hint="eastAsia" w:ascii="宋体" w:hAnsi="宋体" w:cs="宋体"/>
          <w:bCs/>
          <w:color w:val="auto"/>
          <w:sz w:val="24"/>
          <w:szCs w:val="24"/>
          <w:highlight w:val="none"/>
        </w:rPr>
        <w:t xml:space="preserve">投标人须知前附表1、2、3、4 </w:t>
      </w:r>
      <w:r>
        <w:rPr>
          <w:rFonts w:hint="eastAsia" w:ascii="宋体" w:hAnsi="宋体" w:cs="宋体"/>
          <w:color w:val="auto"/>
          <w:sz w:val="24"/>
          <w:szCs w:val="24"/>
          <w:highlight w:val="none"/>
        </w:rPr>
        <w:t>……………………………………2-1-1</w:t>
      </w:r>
    </w:p>
    <w:p w14:paraId="53D01026">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一、 说明 ………………………………………………………2-2-1</w:t>
      </w:r>
    </w:p>
    <w:p w14:paraId="1A21F678">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二、 招标文件 ………………………………………………2-2-4</w:t>
      </w:r>
    </w:p>
    <w:p w14:paraId="7B4BE8AA">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三、 投标文件的编写 ………………………………………2-2-5</w:t>
      </w:r>
    </w:p>
    <w:p w14:paraId="7FE6B14E">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四、 投标文件的提交 …………………………………………2-2-8</w:t>
      </w:r>
    </w:p>
    <w:p w14:paraId="7D49A9B7">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五、 投标文件的评估和比较 …………………………………2-2-9</w:t>
      </w:r>
    </w:p>
    <w:p w14:paraId="07C7F359">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六、 定标与签订合同…………………………………………2-2-12</w:t>
      </w:r>
    </w:p>
    <w:p w14:paraId="001F6D7C">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七、 意外情况的处理  ……………………………………  2-2-15</w:t>
      </w:r>
    </w:p>
    <w:p w14:paraId="73406A1A">
      <w:pPr>
        <w:pStyle w:val="3"/>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第三章    招标内容及要求  ……………………………………3-1</w:t>
      </w:r>
    </w:p>
    <w:p w14:paraId="012C10C6">
      <w:pPr>
        <w:pStyle w:val="3"/>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第四章    政府采购货物买卖合同（试行）</w:t>
      </w:r>
      <w:r>
        <w:rPr>
          <w:rFonts w:ascii="宋体" w:hAnsi="宋体" w:cs="宋体"/>
          <w:bCs/>
          <w:color w:val="auto"/>
          <w:sz w:val="24"/>
          <w:szCs w:val="24"/>
          <w:highlight w:val="none"/>
        </w:rPr>
        <w:t xml:space="preserve"> </w:t>
      </w:r>
      <w:r>
        <w:rPr>
          <w:rFonts w:hint="eastAsia" w:ascii="宋体" w:hAnsi="宋体" w:cs="宋体"/>
          <w:color w:val="auto"/>
          <w:sz w:val="24"/>
          <w:szCs w:val="24"/>
          <w:highlight w:val="none"/>
        </w:rPr>
        <w:t>………………………4-1</w:t>
      </w:r>
    </w:p>
    <w:p w14:paraId="7CCCF71C">
      <w:pPr>
        <w:pStyle w:val="3"/>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第五章    投标文件格式 …………………………………………5-1</w:t>
      </w:r>
    </w:p>
    <w:p w14:paraId="0A9E6899">
      <w:pPr>
        <w:pStyle w:val="3"/>
        <w:spacing w:line="360" w:lineRule="auto"/>
        <w:ind w:firstLine="2250" w:firstLineChars="934"/>
        <w:rPr>
          <w:rFonts w:ascii="宋体" w:hAnsi="宋体" w:cs="宋体"/>
          <w:b/>
          <w:color w:val="auto"/>
          <w:sz w:val="24"/>
          <w:szCs w:val="24"/>
          <w:highlight w:val="none"/>
          <w:u w:val="single"/>
        </w:rPr>
        <w:sectPr>
          <w:pgSz w:w="11906" w:h="16838"/>
          <w:pgMar w:top="1440" w:right="1800" w:bottom="1440" w:left="1800" w:header="851" w:footer="992" w:gutter="0"/>
          <w:cols w:space="720" w:num="1"/>
          <w:docGrid w:type="lines" w:linePitch="312" w:charSpace="0"/>
        </w:sectPr>
      </w:pPr>
    </w:p>
    <w:p w14:paraId="6C857242">
      <w:pPr>
        <w:pStyle w:val="17"/>
        <w:spacing w:line="360" w:lineRule="auto"/>
        <w:jc w:val="center"/>
        <w:rPr>
          <w:rFonts w:hAnsi="宋体" w:cs="宋体"/>
          <w:b/>
          <w:bCs/>
          <w:color w:val="auto"/>
          <w:sz w:val="32"/>
          <w:szCs w:val="32"/>
          <w:highlight w:val="none"/>
        </w:rPr>
      </w:pPr>
      <w:r>
        <w:rPr>
          <w:rFonts w:hint="eastAsia" w:hAnsi="宋体" w:cs="宋体"/>
          <w:b/>
          <w:color w:val="auto"/>
          <w:sz w:val="32"/>
          <w:szCs w:val="32"/>
          <w:highlight w:val="none"/>
        </w:rPr>
        <w:t>第一章  投标邀请函</w:t>
      </w:r>
    </w:p>
    <w:p w14:paraId="328EC98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cs="宋体"/>
          <w:color w:val="auto"/>
          <w:sz w:val="24"/>
          <w:szCs w:val="24"/>
          <w:highlight w:val="none"/>
        </w:rPr>
        <w:t>委托，</w:t>
      </w:r>
      <w:r>
        <w:rPr>
          <w:rFonts w:hint="eastAsia" w:ascii="宋体" w:hAnsi="宋体" w:cs="宋体"/>
          <w:b/>
          <w:color w:val="auto"/>
          <w:sz w:val="24"/>
          <w:szCs w:val="24"/>
          <w:highlight w:val="none"/>
          <w:u w:val="single"/>
        </w:rPr>
        <w:t>厦门万翔招标有限公司</w:t>
      </w:r>
      <w:r>
        <w:rPr>
          <w:rFonts w:hint="eastAsia" w:ascii="宋体" w:hAnsi="宋体" w:cs="宋体"/>
          <w:color w:val="auto"/>
          <w:sz w:val="24"/>
          <w:szCs w:val="24"/>
          <w:highlight w:val="none"/>
        </w:rPr>
        <w:t>对【</w:t>
      </w:r>
      <w:r>
        <w:rPr>
          <w:rFonts w:hint="eastAsia" w:ascii="宋体" w:hAnsi="宋体" w:cs="宋体"/>
          <w:color w:val="auto"/>
          <w:sz w:val="24"/>
          <w:szCs w:val="24"/>
          <w:highlight w:val="none"/>
          <w:u w:val="single"/>
          <w:lang w:eastAsia="zh-CN"/>
        </w:rPr>
        <w:t>2025年大宗复印纸采购</w:t>
      </w:r>
      <w:r>
        <w:rPr>
          <w:rFonts w:hint="eastAsia" w:ascii="宋体" w:hAnsi="宋体" w:cs="宋体"/>
          <w:color w:val="auto"/>
          <w:sz w:val="24"/>
          <w:szCs w:val="24"/>
          <w:highlight w:val="none"/>
          <w:u w:val="single"/>
        </w:rPr>
        <w:t>】</w:t>
      </w:r>
      <w:r>
        <w:rPr>
          <w:rFonts w:hint="eastAsia" w:ascii="宋体" w:hAnsi="宋体" w:cs="宋体"/>
          <w:color w:val="auto"/>
          <w:sz w:val="24"/>
          <w:szCs w:val="24"/>
          <w:highlight w:val="none"/>
        </w:rPr>
        <w:t>货物（或服务）进行国内公开招标，现欢迎国内合格的投标人前来投标。</w:t>
      </w:r>
    </w:p>
    <w:p w14:paraId="21742AE8">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1、招标编号：</w:t>
      </w:r>
      <w:r>
        <w:rPr>
          <w:rFonts w:hint="eastAsia" w:ascii="宋体" w:hAnsi="宋体" w:cs="宋体"/>
          <w:color w:val="auto"/>
          <w:sz w:val="24"/>
          <w:szCs w:val="24"/>
          <w:highlight w:val="none"/>
          <w:u w:val="single"/>
          <w:lang w:eastAsia="zh-CN"/>
        </w:rPr>
        <w:t>XM2025-DZ0026</w:t>
      </w:r>
      <w:r>
        <w:rPr>
          <w:rFonts w:hint="eastAsia" w:ascii="宋体" w:hAnsi="宋体" w:cs="宋体"/>
          <w:color w:val="auto"/>
          <w:sz w:val="24"/>
          <w:szCs w:val="24"/>
          <w:highlight w:val="none"/>
          <w:u w:val="single"/>
        </w:rPr>
        <w:t>。</w:t>
      </w:r>
    </w:p>
    <w:p w14:paraId="183CE9CC">
      <w:pPr>
        <w:spacing w:line="360" w:lineRule="auto"/>
        <w:ind w:firstLine="424" w:firstLineChars="200"/>
        <w:rPr>
          <w:rFonts w:ascii="宋体" w:hAnsi="宋体" w:cs="宋体"/>
          <w:color w:val="auto"/>
          <w:spacing w:val="-14"/>
          <w:sz w:val="24"/>
          <w:szCs w:val="24"/>
          <w:highlight w:val="none"/>
        </w:rPr>
      </w:pPr>
      <w:r>
        <w:rPr>
          <w:rFonts w:hint="eastAsia" w:ascii="宋体" w:hAnsi="宋体" w:cs="宋体"/>
          <w:color w:val="auto"/>
          <w:spacing w:val="-14"/>
          <w:sz w:val="24"/>
          <w:szCs w:val="24"/>
          <w:highlight w:val="none"/>
        </w:rPr>
        <w:t>2、招标货物（服务）名称、数量及主要技术规格：见后</w:t>
      </w:r>
      <w:r>
        <w:rPr>
          <w:rFonts w:hint="eastAsia" w:ascii="宋体" w:hAnsi="宋体" w:cs="宋体"/>
          <w:color w:val="auto"/>
          <w:sz w:val="24"/>
          <w:szCs w:val="24"/>
          <w:highlight w:val="none"/>
        </w:rPr>
        <w:t>附招标货物（</w:t>
      </w:r>
      <w:r>
        <w:rPr>
          <w:rFonts w:hint="eastAsia" w:ascii="宋体" w:hAnsi="宋体" w:cs="宋体"/>
          <w:color w:val="auto"/>
          <w:spacing w:val="-14"/>
          <w:sz w:val="24"/>
          <w:szCs w:val="24"/>
          <w:highlight w:val="none"/>
        </w:rPr>
        <w:t>服务）</w:t>
      </w:r>
      <w:r>
        <w:rPr>
          <w:rFonts w:hint="eastAsia" w:ascii="宋体" w:hAnsi="宋体" w:cs="宋体"/>
          <w:color w:val="auto"/>
          <w:sz w:val="24"/>
          <w:szCs w:val="24"/>
          <w:highlight w:val="none"/>
        </w:rPr>
        <w:t>一览表。</w:t>
      </w:r>
    </w:p>
    <w:p w14:paraId="430E237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3、招标文件获取方式：</w:t>
      </w:r>
      <w:r>
        <w:rPr>
          <w:rFonts w:hint="eastAsia" w:ascii="宋体" w:hAnsi="宋体" w:cs="宋体"/>
          <w:bCs/>
          <w:color w:val="auto"/>
          <w:sz w:val="24"/>
          <w:szCs w:val="24"/>
          <w:highlight w:val="none"/>
        </w:rPr>
        <w:t>2025年</w:t>
      </w:r>
      <w:r>
        <w:rPr>
          <w:rFonts w:hint="eastAsia" w:ascii="宋体" w:hAnsi="宋体" w:cs="宋体"/>
          <w:bCs/>
          <w:color w:val="auto"/>
          <w:sz w:val="24"/>
          <w:szCs w:val="24"/>
          <w:highlight w:val="none"/>
          <w:lang w:val="en-US" w:eastAsia="zh-CN"/>
        </w:rPr>
        <w:t>6</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25</w:t>
      </w:r>
      <w:r>
        <w:rPr>
          <w:rFonts w:hint="eastAsia" w:ascii="宋体" w:hAnsi="宋体" w:cs="宋体"/>
          <w:color w:val="auto"/>
          <w:sz w:val="24"/>
          <w:szCs w:val="24"/>
          <w:highlight w:val="none"/>
        </w:rPr>
        <w:t>日至2025年</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日，有意向的供应商应在厦门招投标网（http:// www.xmztb.com，下同）注册账号，登录后可免费在线浏览招标文件，下载招标文件后方具备投标资格。</w:t>
      </w:r>
    </w:p>
    <w:p w14:paraId="4C7ADA9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A、供应商注册详见厦门招投标网－办事指南－操作手册—《供应商注册登记操作手册》</w:t>
      </w:r>
    </w:p>
    <w:p w14:paraId="13B90D5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B、下载招标文件详见厦门招投标网－办事指南－操作手册—《供应商招标项目操作手册》</w:t>
      </w:r>
    </w:p>
    <w:p w14:paraId="46F7D9D3">
      <w:pPr>
        <w:pStyle w:val="6"/>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4、招标文件售价：每个合同包</w:t>
      </w:r>
      <w:r>
        <w:rPr>
          <w:rFonts w:hint="eastAsia" w:hAnsi="宋体" w:cs="宋体"/>
          <w:color w:val="auto"/>
          <w:sz w:val="24"/>
          <w:szCs w:val="24"/>
          <w:highlight w:val="none"/>
          <w:u w:val="single"/>
        </w:rPr>
        <w:t>0</w:t>
      </w:r>
      <w:r>
        <w:rPr>
          <w:rFonts w:hint="eastAsia" w:hAnsi="宋体" w:cs="宋体"/>
          <w:color w:val="auto"/>
          <w:sz w:val="24"/>
          <w:szCs w:val="24"/>
          <w:highlight w:val="none"/>
        </w:rPr>
        <w:t>元人民币，售后不退。</w:t>
      </w:r>
    </w:p>
    <w:p w14:paraId="3E32373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5、投标截止时间：投标文件应于2025年</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17</w:t>
      </w:r>
      <w:r>
        <w:rPr>
          <w:rFonts w:hint="eastAsia" w:ascii="宋体" w:hAnsi="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0（北京时间）之前登录厦门招投标网上传投标文件。已上传但未提示上传成功的投标无效。</w:t>
      </w:r>
    </w:p>
    <w:p w14:paraId="37B2DF5F">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A、网上投标详见厦门招投标网－办事指南－操作手册—《供应商招标项目操作手册》。</w:t>
      </w:r>
    </w:p>
    <w:p w14:paraId="6652A4D8">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shd w:val="clear" w:color="auto" w:fill="FFFFFF"/>
        </w:rPr>
        <w:t>B</w:t>
      </w:r>
      <w:r>
        <w:rPr>
          <w:rFonts w:hint="eastAsia" w:ascii="宋体" w:hAnsi="宋体" w:cs="宋体"/>
          <w:color w:val="auto"/>
          <w:sz w:val="24"/>
          <w:szCs w:val="24"/>
          <w:highlight w:val="none"/>
        </w:rPr>
        <w:t>、</w:t>
      </w:r>
      <w:r>
        <w:rPr>
          <w:rStyle w:val="15"/>
          <w:rFonts w:ascii="Helvetica" w:hAnsi="Helvetica" w:eastAsia="Helvetica" w:cs="Helvetica"/>
          <w:b w:val="0"/>
          <w:bCs w:val="0"/>
          <w:color w:val="auto"/>
          <w:sz w:val="24"/>
          <w:szCs w:val="24"/>
          <w:highlight w:val="none"/>
          <w:shd w:val="clear" w:color="auto" w:fill="FFFFFF"/>
        </w:rPr>
        <w:t>数字证书办理</w:t>
      </w:r>
      <w:r>
        <w:rPr>
          <w:rStyle w:val="15"/>
          <w:rFonts w:hint="eastAsia" w:ascii="Helvetica" w:hAnsi="Helvetica" w:cs="Helvetica"/>
          <w:b w:val="0"/>
          <w:bCs w:val="0"/>
          <w:color w:val="auto"/>
          <w:sz w:val="24"/>
          <w:szCs w:val="24"/>
          <w:highlight w:val="none"/>
          <w:shd w:val="clear" w:color="auto" w:fill="FFFFFF"/>
        </w:rPr>
        <w:t>详见</w:t>
      </w:r>
      <w:r>
        <w:rPr>
          <w:rFonts w:hint="eastAsia" w:ascii="宋体" w:hAnsi="宋体" w:cs="宋体"/>
          <w:color w:val="auto"/>
          <w:sz w:val="24"/>
          <w:szCs w:val="24"/>
          <w:highlight w:val="none"/>
        </w:rPr>
        <w:t>厦门招投标网－办事指南－操作手册—《投标流程》</w:t>
      </w:r>
    </w:p>
    <w:p w14:paraId="032C9C9A">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6、开标时间: 2025年</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17</w:t>
      </w:r>
      <w:r>
        <w:rPr>
          <w:rFonts w:hint="eastAsia" w:ascii="宋体" w:hAnsi="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0（北京时间）于厦门招投标网进行公开开标。投标人可登陆厦门招投标网查看开标全过程。</w:t>
      </w:r>
    </w:p>
    <w:p w14:paraId="3F987D4E">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7、本项目接受联合体投标。</w:t>
      </w:r>
    </w:p>
    <w:p w14:paraId="42026021">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A、接受联合体投标且投标人为联合体的，全部联合体组成成员都应在厦门招投标网注册账号。</w:t>
      </w:r>
    </w:p>
    <w:p w14:paraId="3A0CD6C0">
      <w:pPr>
        <w:spacing w:line="360" w:lineRule="auto"/>
        <w:ind w:firstLine="360" w:firstLineChars="150"/>
        <w:rPr>
          <w:rFonts w:ascii="宋体" w:hAnsi="宋体" w:cs="宋体"/>
          <w:bCs/>
          <w:color w:val="auto"/>
          <w:sz w:val="24"/>
          <w:szCs w:val="24"/>
          <w:highlight w:val="none"/>
        </w:rPr>
      </w:pPr>
      <w:r>
        <w:rPr>
          <w:rFonts w:hint="eastAsia" w:ascii="宋体" w:hAnsi="宋体" w:cs="宋体"/>
          <w:color w:val="auto"/>
          <w:sz w:val="24"/>
          <w:szCs w:val="24"/>
          <w:highlight w:val="none"/>
        </w:rPr>
        <w:t>B、接受联合体投标且投标人为联合体的，投标人应由“联合体牵头方”完成系统设定的具体操作流程（包括但不限于：招标文件获取、提交投标保证金、编制电子投标文件等）。</w:t>
      </w:r>
    </w:p>
    <w:p w14:paraId="6C2AD40A">
      <w:pPr>
        <w:spacing w:line="360" w:lineRule="auto"/>
        <w:ind w:firstLine="360" w:firstLineChars="150"/>
        <w:rPr>
          <w:rFonts w:ascii="宋体" w:hAnsi="宋体" w:cs="宋体"/>
          <w:color w:val="auto"/>
          <w:sz w:val="24"/>
          <w:szCs w:val="24"/>
          <w:highlight w:val="none"/>
        </w:rPr>
      </w:pPr>
      <w:r>
        <w:rPr>
          <w:rFonts w:hint="eastAsia" w:ascii="宋体" w:hAnsi="宋体" w:cs="宋体"/>
          <w:bCs/>
          <w:color w:val="auto"/>
          <w:sz w:val="24"/>
          <w:szCs w:val="24"/>
          <w:highlight w:val="none"/>
        </w:rPr>
        <w:t>8、招标文件如有变更，</w:t>
      </w:r>
      <w:r>
        <w:rPr>
          <w:rFonts w:hint="eastAsia" w:ascii="宋体" w:hAnsi="宋体" w:cs="宋体"/>
          <w:b/>
          <w:color w:val="auto"/>
          <w:sz w:val="24"/>
          <w:szCs w:val="24"/>
          <w:highlight w:val="none"/>
          <w:u w:val="single"/>
        </w:rPr>
        <w:t>厦门万翔招标有限公司</w:t>
      </w:r>
      <w:r>
        <w:rPr>
          <w:rFonts w:hint="eastAsia" w:ascii="宋体" w:hAnsi="宋体" w:cs="宋体"/>
          <w:bCs/>
          <w:color w:val="auto"/>
          <w:sz w:val="24"/>
          <w:szCs w:val="24"/>
          <w:highlight w:val="none"/>
        </w:rPr>
        <w:t>将通过福建省政府采购网、厦门招投标网等媒体发布通知信息，请投标人关注。</w:t>
      </w:r>
      <w:r>
        <w:rPr>
          <w:rFonts w:hint="eastAsia" w:ascii="宋体" w:hAnsi="宋体" w:cs="宋体"/>
          <w:color w:val="auto"/>
          <w:sz w:val="24"/>
          <w:szCs w:val="24"/>
          <w:highlight w:val="none"/>
        </w:rPr>
        <w:t>（请投标人在网上下载招标文件时，必须提供准确的电子邮箱、传真以及联系方式，电子网络系统将会自动发送相关信息，投标人收到相关信息后请回复确认）。</w:t>
      </w:r>
    </w:p>
    <w:p w14:paraId="02959064">
      <w:pPr>
        <w:spacing w:line="360" w:lineRule="auto"/>
        <w:ind w:firstLine="361" w:firstLineChars="150"/>
        <w:rPr>
          <w:rFonts w:ascii="宋体" w:hAnsi="宋体" w:cs="宋体"/>
          <w:b/>
          <w:color w:val="auto"/>
          <w:sz w:val="24"/>
          <w:szCs w:val="24"/>
          <w:highlight w:val="none"/>
        </w:rPr>
      </w:pPr>
      <w:r>
        <w:rPr>
          <w:rFonts w:hint="eastAsia" w:ascii="宋体" w:hAnsi="宋体" w:cs="宋体"/>
          <w:b/>
          <w:color w:val="auto"/>
          <w:sz w:val="24"/>
          <w:szCs w:val="24"/>
          <w:highlight w:val="none"/>
        </w:rPr>
        <w:t>9、友情提醒：本项目全程采用网上招、投标方式进行采购，请各投标人必须按照有关规定要求在网上注册、</w:t>
      </w:r>
      <w:r>
        <w:rPr>
          <w:rStyle w:val="15"/>
          <w:rFonts w:ascii="Helvetica" w:hAnsi="Helvetica" w:eastAsia="Helvetica" w:cs="Helvetica"/>
          <w:color w:val="auto"/>
          <w:sz w:val="24"/>
          <w:szCs w:val="24"/>
          <w:highlight w:val="none"/>
          <w:shd w:val="clear" w:color="auto" w:fill="FFFFFF"/>
        </w:rPr>
        <w:t>需办理数字证书</w:t>
      </w:r>
      <w:r>
        <w:rPr>
          <w:rStyle w:val="15"/>
          <w:rFonts w:hint="eastAsia" w:ascii="Helvetica" w:hAnsi="Helvetica" w:cs="Helvetica"/>
          <w:color w:val="auto"/>
          <w:sz w:val="24"/>
          <w:szCs w:val="24"/>
          <w:highlight w:val="none"/>
          <w:shd w:val="clear" w:color="auto" w:fill="FFFFFF"/>
        </w:rPr>
        <w:t>、</w:t>
      </w:r>
      <w:r>
        <w:rPr>
          <w:rFonts w:hint="eastAsia" w:ascii="宋体" w:hAnsi="宋体" w:cs="宋体"/>
          <w:b/>
          <w:color w:val="auto"/>
          <w:sz w:val="24"/>
          <w:szCs w:val="24"/>
          <w:highlight w:val="none"/>
        </w:rPr>
        <w:t>购买招标文件和递交投标文件。</w:t>
      </w:r>
    </w:p>
    <w:p w14:paraId="1B0D4DD4">
      <w:pPr>
        <w:spacing w:line="360" w:lineRule="auto"/>
        <w:ind w:firstLine="360" w:firstLineChars="150"/>
        <w:rPr>
          <w:rFonts w:ascii="宋体" w:hAnsi="宋体" w:cs="宋体"/>
          <w:color w:val="auto"/>
          <w:sz w:val="24"/>
          <w:szCs w:val="24"/>
          <w:highlight w:val="none"/>
          <w:u w:val="single"/>
        </w:rPr>
      </w:pPr>
      <w:r>
        <w:rPr>
          <w:rFonts w:hint="eastAsia" w:ascii="宋体" w:hAnsi="宋体" w:cs="宋体"/>
          <w:color w:val="auto"/>
          <w:sz w:val="24"/>
          <w:szCs w:val="24"/>
          <w:highlight w:val="none"/>
        </w:rPr>
        <w:t>10、投标人对本次招标活动事项提出疑问的，请在投标截止时间十五日之前，登录厦门招投标网与招标代理机构联系。来函请加盖单位公章，并提供联系人、联系电话及传真号码。</w:t>
      </w:r>
    </w:p>
    <w:p w14:paraId="7F78054C">
      <w:pPr>
        <w:tabs>
          <w:tab w:val="left" w:pos="1140"/>
        </w:tabs>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11、各有关联系方式</w:t>
      </w:r>
    </w:p>
    <w:tbl>
      <w:tblPr>
        <w:tblStyle w:val="12"/>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097"/>
        <w:gridCol w:w="3190"/>
        <w:gridCol w:w="3276"/>
      </w:tblGrid>
      <w:tr w14:paraId="2E91BC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ign w:val="center"/>
          </w:tcPr>
          <w:p w14:paraId="0CFA3B89">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序号</w:t>
            </w:r>
          </w:p>
        </w:tc>
        <w:tc>
          <w:tcPr>
            <w:tcW w:w="1409" w:type="dxa"/>
            <w:noWrap/>
            <w:vAlign w:val="center"/>
          </w:tcPr>
          <w:p w14:paraId="142E91F0">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分工</w:t>
            </w:r>
          </w:p>
        </w:tc>
        <w:tc>
          <w:tcPr>
            <w:tcW w:w="1097" w:type="dxa"/>
            <w:noWrap/>
            <w:vAlign w:val="center"/>
          </w:tcPr>
          <w:p w14:paraId="7AB8E249">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联系人</w:t>
            </w:r>
          </w:p>
        </w:tc>
        <w:tc>
          <w:tcPr>
            <w:tcW w:w="3190" w:type="dxa"/>
            <w:noWrap/>
            <w:vAlign w:val="center"/>
          </w:tcPr>
          <w:p w14:paraId="1E81F034">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职责范围</w:t>
            </w:r>
          </w:p>
        </w:tc>
        <w:tc>
          <w:tcPr>
            <w:tcW w:w="3276" w:type="dxa"/>
            <w:noWrap/>
            <w:vAlign w:val="center"/>
          </w:tcPr>
          <w:p w14:paraId="60F5FC10">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联系电话</w:t>
            </w:r>
          </w:p>
        </w:tc>
      </w:tr>
      <w:tr w14:paraId="34AB0A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25E83710">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1409" w:type="dxa"/>
            <w:noWrap/>
            <w:vAlign w:val="center"/>
          </w:tcPr>
          <w:p w14:paraId="2D7B048C">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项目经办</w:t>
            </w:r>
          </w:p>
        </w:tc>
        <w:tc>
          <w:tcPr>
            <w:tcW w:w="1097" w:type="dxa"/>
            <w:noWrap/>
            <w:vAlign w:val="center"/>
          </w:tcPr>
          <w:p w14:paraId="2B905C0F">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徐先生、陈</w:t>
            </w:r>
            <w:r>
              <w:rPr>
                <w:rFonts w:hint="eastAsia" w:ascii="宋体" w:hAnsi="宋体" w:cs="宋体"/>
                <w:color w:val="auto"/>
                <w:kern w:val="0"/>
                <w:sz w:val="24"/>
                <w:szCs w:val="24"/>
                <w:highlight w:val="none"/>
              </w:rPr>
              <w:t>小姐</w:t>
            </w:r>
          </w:p>
        </w:tc>
        <w:tc>
          <w:tcPr>
            <w:tcW w:w="3190" w:type="dxa"/>
            <w:noWrap/>
            <w:vAlign w:val="center"/>
          </w:tcPr>
          <w:p w14:paraId="0CEAD4D6">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负责招标文件的咨询、答疑等工作</w:t>
            </w:r>
          </w:p>
        </w:tc>
        <w:tc>
          <w:tcPr>
            <w:tcW w:w="3276" w:type="dxa"/>
            <w:noWrap/>
            <w:vAlign w:val="center"/>
          </w:tcPr>
          <w:p w14:paraId="20D4D396">
            <w:pPr>
              <w:spacing w:line="360" w:lineRule="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0592-</w:t>
            </w:r>
            <w:r>
              <w:rPr>
                <w:rFonts w:hint="eastAsia" w:ascii="宋体" w:hAnsi="宋体" w:cs="宋体"/>
                <w:color w:val="auto"/>
                <w:sz w:val="24"/>
                <w:szCs w:val="24"/>
                <w:highlight w:val="none"/>
                <w:lang w:val="en-US" w:eastAsia="zh-CN"/>
              </w:rPr>
              <w:t>5730600、2298129</w:t>
            </w:r>
          </w:p>
          <w:p w14:paraId="0C4A0026">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传真0592-5706660-6969</w:t>
            </w:r>
          </w:p>
        </w:tc>
      </w:tr>
      <w:tr w14:paraId="571EF6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46FAB3B9">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w:t>
            </w:r>
          </w:p>
        </w:tc>
        <w:tc>
          <w:tcPr>
            <w:tcW w:w="1409" w:type="dxa"/>
            <w:noWrap/>
            <w:vAlign w:val="center"/>
          </w:tcPr>
          <w:p w14:paraId="5E5CDBF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投标保证金</w:t>
            </w:r>
          </w:p>
        </w:tc>
        <w:tc>
          <w:tcPr>
            <w:tcW w:w="1097" w:type="dxa"/>
            <w:noWrap/>
            <w:vAlign w:val="center"/>
          </w:tcPr>
          <w:p w14:paraId="273B360F">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陈</w:t>
            </w:r>
            <w:r>
              <w:rPr>
                <w:rFonts w:hint="eastAsia" w:ascii="宋体" w:hAnsi="宋体" w:cs="宋体"/>
                <w:color w:val="auto"/>
                <w:sz w:val="24"/>
                <w:szCs w:val="24"/>
                <w:highlight w:val="none"/>
              </w:rPr>
              <w:t>小姐</w:t>
            </w:r>
          </w:p>
        </w:tc>
        <w:tc>
          <w:tcPr>
            <w:tcW w:w="3190" w:type="dxa"/>
            <w:noWrap/>
            <w:vAlign w:val="center"/>
          </w:tcPr>
          <w:p w14:paraId="3BED038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投标保证金收、退</w:t>
            </w:r>
          </w:p>
        </w:tc>
        <w:tc>
          <w:tcPr>
            <w:tcW w:w="3276" w:type="dxa"/>
            <w:noWrap/>
            <w:vAlign w:val="center"/>
          </w:tcPr>
          <w:p w14:paraId="7FC83FED">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0592-5703367</w:t>
            </w:r>
          </w:p>
        </w:tc>
      </w:tr>
      <w:tr w14:paraId="5EF809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0D637D59">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3</w:t>
            </w:r>
          </w:p>
        </w:tc>
        <w:tc>
          <w:tcPr>
            <w:tcW w:w="1409" w:type="dxa"/>
            <w:noWrap/>
            <w:vAlign w:val="center"/>
          </w:tcPr>
          <w:p w14:paraId="609C3E7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代理服务费</w:t>
            </w:r>
          </w:p>
        </w:tc>
        <w:tc>
          <w:tcPr>
            <w:tcW w:w="1097" w:type="dxa"/>
            <w:noWrap/>
            <w:vAlign w:val="center"/>
          </w:tcPr>
          <w:p w14:paraId="22C3D967">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陈小姐</w:t>
            </w:r>
          </w:p>
        </w:tc>
        <w:tc>
          <w:tcPr>
            <w:tcW w:w="3190" w:type="dxa"/>
            <w:noWrap/>
            <w:vAlign w:val="center"/>
          </w:tcPr>
          <w:p w14:paraId="0CC51AE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代理服务费收取</w:t>
            </w:r>
          </w:p>
        </w:tc>
        <w:tc>
          <w:tcPr>
            <w:tcW w:w="3276" w:type="dxa"/>
            <w:noWrap/>
            <w:vAlign w:val="center"/>
          </w:tcPr>
          <w:p w14:paraId="3737C372">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0592-5703367</w:t>
            </w:r>
          </w:p>
        </w:tc>
      </w:tr>
      <w:tr w14:paraId="1A9625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13888D80">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4</w:t>
            </w:r>
          </w:p>
        </w:tc>
        <w:tc>
          <w:tcPr>
            <w:tcW w:w="1409" w:type="dxa"/>
            <w:noWrap/>
            <w:vAlign w:val="center"/>
          </w:tcPr>
          <w:p w14:paraId="0C67748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监督</w:t>
            </w:r>
          </w:p>
        </w:tc>
        <w:tc>
          <w:tcPr>
            <w:tcW w:w="1097" w:type="dxa"/>
            <w:noWrap/>
            <w:vAlign w:val="center"/>
          </w:tcPr>
          <w:p w14:paraId="19C550F0">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黄经理</w:t>
            </w:r>
          </w:p>
        </w:tc>
        <w:tc>
          <w:tcPr>
            <w:tcW w:w="3190" w:type="dxa"/>
            <w:noWrap/>
            <w:vAlign w:val="center"/>
          </w:tcPr>
          <w:p w14:paraId="7F727253">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欢迎投标人对项目采购过程中公告发布、招标文件购买、投标保证金缴交和退还、代理服务费收取、中标通知书发放等环节的服务进行监督。我们将竭诚为您提供最优质的服务。</w:t>
            </w:r>
          </w:p>
        </w:tc>
        <w:tc>
          <w:tcPr>
            <w:tcW w:w="3276" w:type="dxa"/>
            <w:noWrap/>
            <w:vAlign w:val="center"/>
          </w:tcPr>
          <w:p w14:paraId="2BE63794">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0592-5705656</w:t>
            </w:r>
          </w:p>
        </w:tc>
      </w:tr>
      <w:tr w14:paraId="6266CB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1D11D876">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5</w:t>
            </w:r>
          </w:p>
        </w:tc>
        <w:tc>
          <w:tcPr>
            <w:tcW w:w="1409" w:type="dxa"/>
            <w:noWrap/>
            <w:vAlign w:val="center"/>
          </w:tcPr>
          <w:p w14:paraId="6BBEEEE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接收质疑</w:t>
            </w:r>
          </w:p>
        </w:tc>
        <w:tc>
          <w:tcPr>
            <w:tcW w:w="1097" w:type="dxa"/>
            <w:noWrap/>
            <w:vAlign w:val="center"/>
          </w:tcPr>
          <w:p w14:paraId="48D09BB5">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刘经理</w:t>
            </w:r>
          </w:p>
        </w:tc>
        <w:tc>
          <w:tcPr>
            <w:tcW w:w="3190" w:type="dxa"/>
            <w:noWrap/>
            <w:vAlign w:val="center"/>
          </w:tcPr>
          <w:p w14:paraId="62C7CCF5">
            <w:pPr>
              <w:spacing w:line="360" w:lineRule="auto"/>
              <w:rPr>
                <w:rFonts w:ascii="宋体" w:hAnsi="宋体" w:cs="宋体"/>
                <w:b/>
                <w:color w:val="auto"/>
                <w:sz w:val="24"/>
                <w:szCs w:val="24"/>
                <w:highlight w:val="none"/>
              </w:rPr>
            </w:pPr>
            <w:r>
              <w:rPr>
                <w:rFonts w:hint="eastAsia" w:ascii="宋体" w:hAnsi="宋体" w:cs="宋体"/>
                <w:color w:val="auto"/>
                <w:kern w:val="0"/>
                <w:sz w:val="24"/>
                <w:szCs w:val="24"/>
                <w:highlight w:val="none"/>
              </w:rPr>
              <w:t>负责接收质疑</w:t>
            </w:r>
          </w:p>
        </w:tc>
        <w:tc>
          <w:tcPr>
            <w:tcW w:w="3276" w:type="dxa"/>
            <w:noWrap/>
            <w:vAlign w:val="center"/>
          </w:tcPr>
          <w:p w14:paraId="18EB01C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电话0592-2218761</w:t>
            </w:r>
          </w:p>
          <w:p w14:paraId="0F26CA6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传真0592-5706660-6969</w:t>
            </w:r>
          </w:p>
          <w:p w14:paraId="64EF51B9">
            <w:pPr>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"mailto:邮箱hcq@iport.com.cn" </w:instrText>
            </w:r>
            <w:r>
              <w:rPr>
                <w:color w:val="auto"/>
                <w:highlight w:val="none"/>
              </w:rPr>
              <w:fldChar w:fldCharType="separate"/>
            </w:r>
            <w:r>
              <w:rPr>
                <w:rFonts w:hint="eastAsia" w:ascii="宋体" w:hAnsi="宋体" w:cs="宋体"/>
                <w:color w:val="auto"/>
                <w:sz w:val="24"/>
                <w:szCs w:val="24"/>
                <w:highlight w:val="none"/>
              </w:rPr>
              <w:t>邮箱lmf@iport.com.cn</w:t>
            </w:r>
            <w:r>
              <w:rPr>
                <w:rFonts w:hint="eastAsia" w:ascii="宋体" w:hAnsi="宋体" w:cs="宋体"/>
                <w:color w:val="auto"/>
                <w:sz w:val="24"/>
                <w:szCs w:val="24"/>
                <w:highlight w:val="none"/>
              </w:rPr>
              <w:fldChar w:fldCharType="end"/>
            </w:r>
          </w:p>
          <w:p w14:paraId="69E18533">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通讯地址：厦门市湖里区机场北路476号4楼</w:t>
            </w:r>
          </w:p>
        </w:tc>
      </w:tr>
    </w:tbl>
    <w:p w14:paraId="5DB1566D">
      <w:pPr>
        <w:tabs>
          <w:tab w:val="left" w:pos="11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12、投标保证金及代理服务费缴交账户：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1CEF5E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ign w:val="center"/>
          </w:tcPr>
          <w:p w14:paraId="77E9517A">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类   别</w:t>
            </w:r>
          </w:p>
        </w:tc>
        <w:tc>
          <w:tcPr>
            <w:tcW w:w="3240" w:type="dxa"/>
            <w:noWrap/>
            <w:vAlign w:val="center"/>
          </w:tcPr>
          <w:p w14:paraId="57A8952D">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投标保证金缴交账户</w:t>
            </w:r>
          </w:p>
        </w:tc>
        <w:tc>
          <w:tcPr>
            <w:tcW w:w="4602" w:type="dxa"/>
            <w:noWrap/>
            <w:vAlign w:val="center"/>
          </w:tcPr>
          <w:p w14:paraId="771BE08D">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代理服务费缴交账户</w:t>
            </w:r>
          </w:p>
        </w:tc>
      </w:tr>
      <w:tr w14:paraId="274CBE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ign w:val="center"/>
          </w:tcPr>
          <w:p w14:paraId="6D322D5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开 户 行</w:t>
            </w:r>
          </w:p>
        </w:tc>
        <w:tc>
          <w:tcPr>
            <w:tcW w:w="3240" w:type="dxa"/>
            <w:noWrap/>
            <w:vAlign w:val="center"/>
          </w:tcPr>
          <w:p w14:paraId="34100199">
            <w:pPr>
              <w:keepNext w:val="0"/>
              <w:keepLines w:val="0"/>
              <w:suppressLineNumbers w:val="0"/>
              <w:spacing w:before="0" w:beforeAutospacing="0" w:after="0" w:afterAutospacing="0" w:line="360" w:lineRule="auto"/>
              <w:ind w:left="0" w:leftChars="0" w:right="0" w:rightChars="0"/>
              <w:jc w:val="center"/>
              <w:rPr>
                <w:rFonts w:ascii="宋体" w:hAnsi="宋体" w:cs="宋体"/>
                <w:color w:val="auto"/>
                <w:sz w:val="24"/>
                <w:szCs w:val="24"/>
                <w:highlight w:val="none"/>
              </w:rPr>
            </w:pPr>
            <w:r>
              <w:rPr>
                <w:rFonts w:hint="eastAsia" w:ascii="宋体" w:hAnsi="宋体" w:eastAsia="宋体" w:cs="宋体"/>
                <w:color w:val="auto"/>
                <w:sz w:val="24"/>
                <w:szCs w:val="24"/>
                <w:highlight w:val="none"/>
              </w:rPr>
              <w:t>兴业银行股份有限公司厦门分行营业部</w:t>
            </w:r>
          </w:p>
        </w:tc>
        <w:tc>
          <w:tcPr>
            <w:tcW w:w="4602" w:type="dxa"/>
            <w:noWrap/>
            <w:vAlign w:val="center"/>
          </w:tcPr>
          <w:p w14:paraId="52D1A6B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中国建设银行股份有限公司厦门自贸试验区航空港支行</w:t>
            </w:r>
          </w:p>
        </w:tc>
      </w:tr>
      <w:tr w14:paraId="14EF7D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ign w:val="center"/>
          </w:tcPr>
          <w:p w14:paraId="4340783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账    号</w:t>
            </w:r>
          </w:p>
        </w:tc>
        <w:tc>
          <w:tcPr>
            <w:tcW w:w="3240" w:type="dxa"/>
            <w:noWrap/>
            <w:vAlign w:val="center"/>
          </w:tcPr>
          <w:p w14:paraId="1E4F7767">
            <w:pPr>
              <w:keepNext w:val="0"/>
              <w:keepLines w:val="0"/>
              <w:suppressLineNumbers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129680100100555246</w:t>
            </w:r>
            <w:r>
              <w:rPr>
                <w:rFonts w:hint="eastAsia" w:ascii="宋体" w:hAnsi="宋体" w:cs="宋体"/>
                <w:color w:val="auto"/>
                <w:sz w:val="24"/>
                <w:szCs w:val="24"/>
                <w:highlight w:val="none"/>
                <w:lang w:val="en-US" w:eastAsia="zh-CN"/>
              </w:rPr>
              <w:t>461816</w:t>
            </w:r>
          </w:p>
        </w:tc>
        <w:tc>
          <w:tcPr>
            <w:tcW w:w="4602" w:type="dxa"/>
            <w:noWrap/>
            <w:vAlign w:val="center"/>
          </w:tcPr>
          <w:p w14:paraId="47D18BD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35101570201052504219</w:t>
            </w:r>
          </w:p>
        </w:tc>
      </w:tr>
      <w:tr w14:paraId="1E857B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ign w:val="center"/>
          </w:tcPr>
          <w:p w14:paraId="7757782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户名</w:t>
            </w:r>
          </w:p>
        </w:tc>
        <w:tc>
          <w:tcPr>
            <w:tcW w:w="7842" w:type="dxa"/>
            <w:gridSpan w:val="2"/>
            <w:noWrap/>
            <w:vAlign w:val="center"/>
          </w:tcPr>
          <w:p w14:paraId="386AC32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厦门万翔招标有限公司</w:t>
            </w:r>
          </w:p>
        </w:tc>
      </w:tr>
    </w:tbl>
    <w:p w14:paraId="2F09D545">
      <w:pPr>
        <w:tabs>
          <w:tab w:val="left" w:pos="1140"/>
        </w:tabs>
        <w:spacing w:line="360" w:lineRule="auto"/>
        <w:ind w:firstLine="480" w:firstLineChars="200"/>
        <w:rPr>
          <w:rFonts w:ascii="宋体" w:hAnsi="宋体" w:cs="宋体"/>
          <w:color w:val="auto"/>
          <w:sz w:val="24"/>
          <w:szCs w:val="24"/>
          <w:highlight w:val="none"/>
        </w:rPr>
      </w:pPr>
    </w:p>
    <w:p w14:paraId="6C823B2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注：投标人须将相关的费用缴交至上表对应的账号，缴错账号而产生的一切后果由投标人自行承担。</w:t>
      </w:r>
    </w:p>
    <w:p w14:paraId="157F0A14">
      <w:pPr>
        <w:numPr>
          <w:ilvl w:val="255"/>
          <w:numId w:val="0"/>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13、注意事项：</w:t>
      </w:r>
    </w:p>
    <w:p w14:paraId="298B2DAB">
      <w:pPr>
        <w:widowControl/>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项目中标供应商服务费发票将以邮件方式发送至购标指定邮箱。</w:t>
      </w:r>
    </w:p>
    <w:p w14:paraId="0D1CF480">
      <w:pPr>
        <w:numPr>
          <w:ilvl w:val="255"/>
          <w:numId w:val="0"/>
        </w:numPr>
        <w:spacing w:line="360" w:lineRule="auto"/>
        <w:rPr>
          <w:rFonts w:ascii="宋体" w:hAnsi="宋体" w:cs="宋体"/>
          <w:color w:val="auto"/>
          <w:sz w:val="24"/>
          <w:szCs w:val="24"/>
          <w:highlight w:val="none"/>
        </w:rPr>
      </w:pPr>
    </w:p>
    <w:p w14:paraId="338F1CA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招标代理机构：厦门万翔招标有限公司 </w:t>
      </w:r>
    </w:p>
    <w:p w14:paraId="3F39D658">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 xml:space="preserve">地  址：厦门市湖里区机场北路476号四楼 </w:t>
      </w:r>
    </w:p>
    <w:p w14:paraId="649A2DDF">
      <w:pPr>
        <w:tabs>
          <w:tab w:val="left" w:pos="2775"/>
        </w:tabs>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邮  编： 361006</w:t>
      </w:r>
    </w:p>
    <w:p w14:paraId="39CBF3FD">
      <w:pPr>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合同款项事宜联系人：</w:t>
      </w:r>
      <w:r>
        <w:rPr>
          <w:rFonts w:hint="eastAsia" w:ascii="宋体" w:hAnsi="宋体" w:cs="宋体"/>
          <w:color w:val="auto"/>
          <w:kern w:val="0"/>
          <w:sz w:val="24"/>
          <w:szCs w:val="24"/>
          <w:highlight w:val="none"/>
        </w:rPr>
        <w:t>黄春兰0592-5777279</w:t>
      </w:r>
    </w:p>
    <w:p w14:paraId="5DF16CA0">
      <w:pPr>
        <w:tabs>
          <w:tab w:val="left" w:pos="2775"/>
        </w:tabs>
        <w:spacing w:line="360" w:lineRule="auto"/>
        <w:ind w:firstLine="480"/>
        <w:rPr>
          <w:rFonts w:ascii="宋体" w:hAnsi="宋体" w:cs="宋体"/>
          <w:color w:val="auto"/>
          <w:sz w:val="24"/>
          <w:szCs w:val="24"/>
          <w:highlight w:val="none"/>
        </w:rPr>
      </w:pPr>
    </w:p>
    <w:p w14:paraId="68ACC634">
      <w:pPr>
        <w:spacing w:line="360" w:lineRule="auto"/>
        <w:rPr>
          <w:rFonts w:ascii="宋体" w:hAnsi="宋体" w:cs="宋体"/>
          <w:color w:val="auto"/>
          <w:sz w:val="24"/>
          <w:szCs w:val="24"/>
          <w:highlight w:val="none"/>
        </w:rPr>
      </w:pPr>
    </w:p>
    <w:p w14:paraId="67B70F83">
      <w:pPr>
        <w:spacing w:line="360" w:lineRule="auto"/>
        <w:rPr>
          <w:rFonts w:ascii="宋体" w:hAnsi="宋体" w:cs="宋体"/>
          <w:color w:val="auto"/>
          <w:sz w:val="24"/>
          <w:szCs w:val="24"/>
          <w:highlight w:val="none"/>
        </w:rPr>
      </w:pPr>
    </w:p>
    <w:p w14:paraId="7A1416D5">
      <w:pPr>
        <w:spacing w:line="360" w:lineRule="auto"/>
        <w:rPr>
          <w:rFonts w:ascii="宋体" w:hAnsi="宋体" w:cs="宋体"/>
          <w:color w:val="auto"/>
          <w:sz w:val="24"/>
          <w:szCs w:val="24"/>
          <w:highlight w:val="none"/>
        </w:rPr>
      </w:pPr>
    </w:p>
    <w:p w14:paraId="2D50C7D9">
      <w:pPr>
        <w:spacing w:line="360" w:lineRule="auto"/>
        <w:rPr>
          <w:rFonts w:ascii="宋体" w:hAnsi="宋体" w:cs="宋体"/>
          <w:color w:val="auto"/>
          <w:sz w:val="24"/>
          <w:szCs w:val="24"/>
          <w:highlight w:val="none"/>
        </w:rPr>
      </w:pPr>
    </w:p>
    <w:p w14:paraId="22884A77">
      <w:pPr>
        <w:spacing w:line="360" w:lineRule="auto"/>
        <w:rPr>
          <w:rFonts w:ascii="宋体" w:hAnsi="宋体" w:cs="宋体"/>
          <w:color w:val="auto"/>
          <w:sz w:val="24"/>
          <w:szCs w:val="24"/>
          <w:highlight w:val="none"/>
        </w:rPr>
      </w:pPr>
    </w:p>
    <w:p w14:paraId="3F9C1927">
      <w:pPr>
        <w:spacing w:line="360" w:lineRule="auto"/>
        <w:rPr>
          <w:rFonts w:ascii="宋体" w:hAnsi="宋体" w:cs="宋体"/>
          <w:color w:val="auto"/>
          <w:sz w:val="24"/>
          <w:szCs w:val="24"/>
          <w:highlight w:val="none"/>
        </w:rPr>
      </w:pPr>
    </w:p>
    <w:p w14:paraId="18E0C5EC">
      <w:pPr>
        <w:spacing w:line="360" w:lineRule="auto"/>
        <w:rPr>
          <w:rFonts w:ascii="宋体" w:hAnsi="宋体" w:cs="宋体"/>
          <w:color w:val="auto"/>
          <w:sz w:val="24"/>
          <w:szCs w:val="24"/>
          <w:highlight w:val="none"/>
        </w:rPr>
      </w:pPr>
    </w:p>
    <w:p w14:paraId="1173DB4E">
      <w:pPr>
        <w:spacing w:line="360" w:lineRule="auto"/>
        <w:rPr>
          <w:rFonts w:ascii="宋体" w:hAnsi="宋体" w:cs="宋体"/>
          <w:color w:val="auto"/>
          <w:sz w:val="24"/>
          <w:szCs w:val="24"/>
          <w:highlight w:val="none"/>
        </w:rPr>
      </w:pPr>
    </w:p>
    <w:p w14:paraId="392B8B91">
      <w:pPr>
        <w:spacing w:line="360" w:lineRule="auto"/>
        <w:rPr>
          <w:rFonts w:ascii="宋体" w:hAnsi="宋体" w:cs="宋体"/>
          <w:color w:val="auto"/>
          <w:sz w:val="24"/>
          <w:szCs w:val="24"/>
          <w:highlight w:val="none"/>
        </w:rPr>
      </w:pPr>
    </w:p>
    <w:p w14:paraId="0F0DF99A">
      <w:pPr>
        <w:spacing w:line="360" w:lineRule="auto"/>
        <w:rPr>
          <w:rFonts w:ascii="宋体" w:hAnsi="宋体" w:cs="宋体"/>
          <w:color w:val="auto"/>
          <w:sz w:val="24"/>
          <w:szCs w:val="24"/>
          <w:highlight w:val="none"/>
        </w:rPr>
      </w:pPr>
    </w:p>
    <w:p w14:paraId="0D63AB2A">
      <w:pPr>
        <w:spacing w:line="360" w:lineRule="auto"/>
        <w:rPr>
          <w:rFonts w:ascii="宋体" w:hAnsi="宋体" w:cs="宋体"/>
          <w:color w:val="auto"/>
          <w:sz w:val="24"/>
          <w:szCs w:val="24"/>
          <w:highlight w:val="none"/>
        </w:rPr>
      </w:pPr>
    </w:p>
    <w:p w14:paraId="402CA760">
      <w:pPr>
        <w:spacing w:line="360" w:lineRule="auto"/>
        <w:rPr>
          <w:rFonts w:ascii="宋体" w:hAnsi="宋体" w:cs="宋体"/>
          <w:color w:val="auto"/>
          <w:sz w:val="24"/>
          <w:szCs w:val="24"/>
          <w:highlight w:val="none"/>
        </w:rPr>
      </w:pPr>
    </w:p>
    <w:p w14:paraId="2F4074A5">
      <w:pPr>
        <w:spacing w:line="360" w:lineRule="auto"/>
        <w:rPr>
          <w:rFonts w:ascii="宋体" w:hAnsi="宋体" w:cs="宋体"/>
          <w:color w:val="auto"/>
          <w:sz w:val="24"/>
          <w:szCs w:val="24"/>
          <w:highlight w:val="none"/>
        </w:rPr>
      </w:pPr>
    </w:p>
    <w:p w14:paraId="7D1D83B1">
      <w:pPr>
        <w:spacing w:line="360" w:lineRule="auto"/>
        <w:rPr>
          <w:rFonts w:ascii="宋体" w:hAnsi="宋体" w:cs="宋体"/>
          <w:color w:val="auto"/>
          <w:sz w:val="24"/>
          <w:szCs w:val="24"/>
          <w:highlight w:val="none"/>
        </w:rPr>
      </w:pPr>
    </w:p>
    <w:p w14:paraId="2CB87C57">
      <w:pPr>
        <w:spacing w:line="360" w:lineRule="auto"/>
        <w:rPr>
          <w:rFonts w:ascii="宋体" w:hAnsi="宋体" w:cs="宋体"/>
          <w:color w:val="auto"/>
          <w:sz w:val="24"/>
          <w:szCs w:val="24"/>
          <w:highlight w:val="none"/>
        </w:rPr>
      </w:pPr>
    </w:p>
    <w:p w14:paraId="1E686225">
      <w:pPr>
        <w:spacing w:line="360" w:lineRule="auto"/>
        <w:rPr>
          <w:rFonts w:ascii="宋体" w:hAnsi="宋体" w:cs="宋体"/>
          <w:color w:val="auto"/>
          <w:sz w:val="32"/>
          <w:szCs w:val="32"/>
          <w:highlight w:val="none"/>
        </w:rPr>
      </w:pPr>
    </w:p>
    <w:p w14:paraId="3C5E81BC">
      <w:pPr>
        <w:spacing w:line="360" w:lineRule="auto"/>
        <w:rPr>
          <w:rFonts w:ascii="宋体" w:hAnsi="宋体" w:cs="宋体"/>
          <w:color w:val="auto"/>
          <w:sz w:val="32"/>
          <w:szCs w:val="32"/>
          <w:highlight w:val="none"/>
        </w:rPr>
      </w:pPr>
      <w:r>
        <w:rPr>
          <w:rFonts w:hint="eastAsia" w:ascii="宋体" w:hAnsi="宋体" w:cs="宋体"/>
          <w:color w:val="auto"/>
          <w:sz w:val="32"/>
          <w:szCs w:val="32"/>
          <w:highlight w:val="none"/>
        </w:rPr>
        <w:t>附：招标货物(服务)一览表</w:t>
      </w:r>
    </w:p>
    <w:p w14:paraId="2752088B">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招标货物（服务）一览表</w:t>
      </w:r>
    </w:p>
    <w:tbl>
      <w:tblPr>
        <w:tblStyle w:val="12"/>
        <w:tblW w:w="0" w:type="auto"/>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620"/>
        <w:gridCol w:w="1080"/>
        <w:gridCol w:w="2027"/>
      </w:tblGrid>
      <w:tr w14:paraId="46DF3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ign w:val="center"/>
          </w:tcPr>
          <w:p w14:paraId="5401335B">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ign w:val="center"/>
          </w:tcPr>
          <w:p w14:paraId="3BA59912">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ign w:val="center"/>
          </w:tcPr>
          <w:p w14:paraId="25366167">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900" w:type="dxa"/>
            <w:tcBorders>
              <w:top w:val="single" w:color="auto" w:sz="4" w:space="0"/>
              <w:left w:val="single" w:color="auto" w:sz="4" w:space="0"/>
              <w:bottom w:val="single" w:color="auto" w:sz="4" w:space="0"/>
              <w:right w:val="single" w:color="auto" w:sz="4" w:space="0"/>
            </w:tcBorders>
            <w:noWrap/>
            <w:vAlign w:val="center"/>
          </w:tcPr>
          <w:p w14:paraId="170D10C5">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r>
              <w:rPr>
                <w:rFonts w:hint="default" w:ascii="宋体" w:hAnsi="宋体" w:eastAsia="宋体" w:cs="宋体"/>
                <w:b w:val="0"/>
                <w:bCs w:val="0"/>
                <w:color w:val="auto"/>
                <w:sz w:val="24"/>
                <w:szCs w:val="24"/>
                <w:highlight w:val="none"/>
              </w:rPr>
              <w:t>（箱）</w:t>
            </w:r>
          </w:p>
        </w:tc>
        <w:tc>
          <w:tcPr>
            <w:tcW w:w="1620" w:type="dxa"/>
            <w:tcBorders>
              <w:top w:val="single" w:color="auto" w:sz="4" w:space="0"/>
              <w:left w:val="single" w:color="auto" w:sz="4" w:space="0"/>
              <w:bottom w:val="single" w:color="auto" w:sz="4" w:space="0"/>
              <w:right w:val="single" w:color="auto" w:sz="4" w:space="0"/>
            </w:tcBorders>
            <w:noWrap/>
            <w:vAlign w:val="center"/>
          </w:tcPr>
          <w:p w14:paraId="2E42584A">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ign w:val="center"/>
          </w:tcPr>
          <w:p w14:paraId="34A67A22">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2027" w:type="dxa"/>
            <w:tcBorders>
              <w:top w:val="single" w:color="auto" w:sz="4" w:space="0"/>
              <w:left w:val="single" w:color="auto" w:sz="4" w:space="0"/>
              <w:bottom w:val="single" w:color="auto" w:sz="4" w:space="0"/>
              <w:right w:val="single" w:color="auto" w:sz="4" w:space="0"/>
            </w:tcBorders>
            <w:noWrap/>
            <w:vAlign w:val="center"/>
          </w:tcPr>
          <w:p w14:paraId="206A7B9C">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5BDA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restart"/>
            <w:tcBorders>
              <w:top w:val="single" w:color="auto" w:sz="4" w:space="0"/>
              <w:left w:val="single" w:color="auto" w:sz="4" w:space="0"/>
              <w:right w:val="single" w:color="auto" w:sz="4" w:space="0"/>
            </w:tcBorders>
            <w:noWrap/>
            <w:vAlign w:val="center"/>
          </w:tcPr>
          <w:p w14:paraId="132D956B">
            <w:pPr>
              <w:pStyle w:val="4"/>
              <w:tabs>
                <w:tab w:val="left" w:pos="8360"/>
              </w:tabs>
              <w:spacing w:line="360" w:lineRule="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 xml:space="preserve">XM2025 </w:t>
            </w:r>
            <w:r>
              <w:rPr>
                <w:rFonts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DZ00</w:t>
            </w:r>
            <w:r>
              <w:rPr>
                <w:rFonts w:hint="eastAsia" w:ascii="宋体" w:hAnsi="宋体" w:eastAsia="宋体" w:cs="宋体"/>
                <w:b w:val="0"/>
                <w:bCs w:val="0"/>
                <w:color w:val="auto"/>
                <w:sz w:val="24"/>
                <w:szCs w:val="24"/>
                <w:highlight w:val="none"/>
                <w:lang w:val="en-US" w:eastAsia="zh-CN"/>
              </w:rPr>
              <w:t>26</w:t>
            </w:r>
          </w:p>
        </w:tc>
        <w:tc>
          <w:tcPr>
            <w:tcW w:w="952" w:type="dxa"/>
            <w:tcBorders>
              <w:top w:val="single" w:color="auto" w:sz="4" w:space="0"/>
              <w:left w:val="single" w:color="auto" w:sz="4" w:space="0"/>
              <w:bottom w:val="single" w:color="auto" w:sz="4" w:space="0"/>
              <w:right w:val="single" w:color="auto" w:sz="4" w:space="0"/>
            </w:tcBorders>
            <w:noWrap/>
            <w:vAlign w:val="center"/>
          </w:tcPr>
          <w:p w14:paraId="36BF9BAA">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ign w:val="center"/>
          </w:tcPr>
          <w:p w14:paraId="3DB645E8">
            <w:pPr>
              <w:jc w:val="center"/>
              <w:rPr>
                <w:rFonts w:ascii="宋体" w:hAnsi="宋体" w:eastAsia="宋体" w:cs="宋体"/>
                <w:b w:val="0"/>
                <w:bCs w:val="0"/>
                <w:color w:val="auto"/>
                <w:sz w:val="24"/>
                <w:szCs w:val="24"/>
                <w:highlight w:val="none"/>
              </w:rPr>
            </w:pPr>
            <w:r>
              <w:rPr>
                <w:rFonts w:hint="eastAsia" w:asciiTheme="minorEastAsia" w:hAnsiTheme="minorEastAsia"/>
                <w:color w:val="auto"/>
                <w:szCs w:val="21"/>
                <w:highlight w:val="none"/>
              </w:rPr>
              <w:t>A3-70g  5包/箱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4DDFA608">
            <w:pPr>
              <w:widowControl/>
              <w:jc w:val="center"/>
              <w:rPr>
                <w:rFonts w:ascii="宋体" w:hAnsi="宋体" w:eastAsia="宋体" w:cs="宋体"/>
                <w:b w:val="0"/>
                <w:bCs w:val="0"/>
                <w:color w:val="auto"/>
                <w:sz w:val="24"/>
                <w:szCs w:val="24"/>
                <w:highlight w:val="none"/>
              </w:rPr>
            </w:pPr>
            <w:r>
              <w:rPr>
                <w:rFonts w:hint="eastAsia" w:asciiTheme="minorEastAsia" w:hAnsiTheme="minorEastAsia"/>
                <w:color w:val="auto"/>
                <w:szCs w:val="21"/>
                <w:highlight w:val="none"/>
              </w:rPr>
              <w:t>11986</w:t>
            </w:r>
          </w:p>
        </w:tc>
        <w:tc>
          <w:tcPr>
            <w:tcW w:w="1620" w:type="dxa"/>
            <w:vMerge w:val="restart"/>
            <w:tcBorders>
              <w:top w:val="single" w:color="auto" w:sz="4" w:space="0"/>
              <w:left w:val="single" w:color="auto" w:sz="4" w:space="0"/>
              <w:right w:val="single" w:color="auto" w:sz="4" w:space="0"/>
            </w:tcBorders>
            <w:noWrap/>
            <w:vAlign w:val="center"/>
          </w:tcPr>
          <w:p w14:paraId="2E83DE6E">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080" w:type="dxa"/>
            <w:vMerge w:val="restart"/>
            <w:tcBorders>
              <w:top w:val="single" w:color="auto" w:sz="4" w:space="0"/>
              <w:left w:val="single" w:color="auto" w:sz="4" w:space="0"/>
              <w:right w:val="single" w:color="auto" w:sz="4" w:space="0"/>
            </w:tcBorders>
            <w:noWrap/>
            <w:vAlign w:val="center"/>
          </w:tcPr>
          <w:p w14:paraId="5BEAD639">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2027" w:type="dxa"/>
            <w:vMerge w:val="restart"/>
            <w:tcBorders>
              <w:top w:val="single" w:color="auto" w:sz="4" w:space="0"/>
              <w:left w:val="single" w:color="auto" w:sz="4" w:space="0"/>
              <w:right w:val="single" w:color="auto" w:sz="4" w:space="0"/>
            </w:tcBorders>
            <w:noWrap/>
            <w:vAlign w:val="center"/>
          </w:tcPr>
          <w:p w14:paraId="0B6F3035">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厦门市政府机关事业单位和福建省内其他终端用户</w:t>
            </w:r>
          </w:p>
        </w:tc>
      </w:tr>
      <w:tr w14:paraId="02CB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4" w:hRule="atLeast"/>
        </w:trPr>
        <w:tc>
          <w:tcPr>
            <w:tcW w:w="1218" w:type="dxa"/>
            <w:vMerge w:val="continue"/>
            <w:tcBorders>
              <w:left w:val="single" w:color="auto" w:sz="4" w:space="0"/>
              <w:right w:val="single" w:color="auto" w:sz="4" w:space="0"/>
            </w:tcBorders>
            <w:noWrap/>
            <w:vAlign w:val="center"/>
          </w:tcPr>
          <w:p w14:paraId="4227A7C9">
            <w:pPr>
              <w:pStyle w:val="4"/>
              <w:tabs>
                <w:tab w:val="left" w:pos="8360"/>
              </w:tabs>
              <w:spacing w:line="360" w:lineRule="auto"/>
              <w:rPr>
                <w:rFonts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ign w:val="center"/>
          </w:tcPr>
          <w:p w14:paraId="288315F2">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w:t>
            </w:r>
          </w:p>
        </w:tc>
        <w:tc>
          <w:tcPr>
            <w:tcW w:w="1716" w:type="dxa"/>
            <w:tcBorders>
              <w:top w:val="single" w:color="auto" w:sz="4" w:space="0"/>
              <w:left w:val="single" w:color="auto" w:sz="4" w:space="0"/>
              <w:bottom w:val="single" w:color="auto" w:sz="4" w:space="0"/>
              <w:right w:val="single" w:color="auto" w:sz="4" w:space="0"/>
            </w:tcBorders>
            <w:noWrap/>
            <w:vAlign w:val="center"/>
          </w:tcPr>
          <w:p w14:paraId="6B44BC0B">
            <w:pPr>
              <w:jc w:val="center"/>
              <w:rPr>
                <w:rFonts w:ascii="宋体" w:hAnsi="宋体" w:eastAsia="宋体" w:cs="宋体"/>
                <w:b w:val="0"/>
                <w:bCs w:val="0"/>
                <w:color w:val="auto"/>
                <w:sz w:val="24"/>
                <w:szCs w:val="24"/>
                <w:highlight w:val="none"/>
              </w:rPr>
            </w:pPr>
            <w:r>
              <w:rPr>
                <w:rFonts w:hint="eastAsia" w:asciiTheme="minorEastAsia" w:hAnsiTheme="minorEastAsia"/>
                <w:color w:val="auto"/>
                <w:szCs w:val="21"/>
                <w:highlight w:val="none"/>
              </w:rPr>
              <w:t>A3-80g 5包/箱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45D16197">
            <w:pPr>
              <w:jc w:val="center"/>
              <w:rPr>
                <w:rFonts w:ascii="宋体" w:hAnsi="宋体" w:eastAsia="宋体" w:cs="宋体"/>
                <w:b w:val="0"/>
                <w:bCs w:val="0"/>
                <w:color w:val="auto"/>
                <w:sz w:val="24"/>
                <w:szCs w:val="24"/>
                <w:highlight w:val="none"/>
              </w:rPr>
            </w:pPr>
            <w:r>
              <w:rPr>
                <w:rFonts w:hint="eastAsia" w:asciiTheme="minorEastAsia" w:hAnsiTheme="minorEastAsia"/>
                <w:color w:val="auto"/>
                <w:szCs w:val="21"/>
                <w:highlight w:val="none"/>
              </w:rPr>
              <w:t>9126</w:t>
            </w:r>
          </w:p>
        </w:tc>
        <w:tc>
          <w:tcPr>
            <w:tcW w:w="1620" w:type="dxa"/>
            <w:vMerge w:val="continue"/>
            <w:tcBorders>
              <w:left w:val="single" w:color="auto" w:sz="4" w:space="0"/>
              <w:right w:val="single" w:color="auto" w:sz="4" w:space="0"/>
            </w:tcBorders>
            <w:noWrap/>
            <w:vAlign w:val="center"/>
          </w:tcPr>
          <w:p w14:paraId="6F5BCED7">
            <w:pPr>
              <w:pStyle w:val="4"/>
              <w:tabs>
                <w:tab w:val="left" w:pos="8360"/>
              </w:tabs>
              <w:spacing w:line="360" w:lineRule="auto"/>
              <w:rPr>
                <w:rFonts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ign w:val="center"/>
          </w:tcPr>
          <w:p w14:paraId="3F1A218F">
            <w:pPr>
              <w:pStyle w:val="4"/>
              <w:tabs>
                <w:tab w:val="left" w:pos="8360"/>
              </w:tabs>
              <w:spacing w:line="360" w:lineRule="auto"/>
              <w:rPr>
                <w:rFonts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ign w:val="center"/>
          </w:tcPr>
          <w:p w14:paraId="5680AB8E">
            <w:pPr>
              <w:pStyle w:val="4"/>
              <w:tabs>
                <w:tab w:val="left" w:pos="8360"/>
              </w:tabs>
              <w:spacing w:line="360" w:lineRule="auto"/>
              <w:rPr>
                <w:rFonts w:ascii="宋体" w:hAnsi="宋体" w:eastAsia="宋体" w:cs="宋体"/>
                <w:b w:val="0"/>
                <w:bCs w:val="0"/>
                <w:color w:val="auto"/>
                <w:sz w:val="24"/>
                <w:szCs w:val="24"/>
                <w:highlight w:val="none"/>
              </w:rPr>
            </w:pPr>
          </w:p>
        </w:tc>
      </w:tr>
      <w:tr w14:paraId="655CF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ign w:val="center"/>
          </w:tcPr>
          <w:p w14:paraId="25479E39">
            <w:pPr>
              <w:pStyle w:val="4"/>
              <w:tabs>
                <w:tab w:val="left" w:pos="8360"/>
              </w:tabs>
              <w:spacing w:line="360" w:lineRule="auto"/>
              <w:rPr>
                <w:rFonts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ign w:val="center"/>
          </w:tcPr>
          <w:p w14:paraId="7FAD2D4D">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w:t>
            </w:r>
          </w:p>
        </w:tc>
        <w:tc>
          <w:tcPr>
            <w:tcW w:w="1716" w:type="dxa"/>
            <w:tcBorders>
              <w:top w:val="single" w:color="auto" w:sz="4" w:space="0"/>
              <w:left w:val="single" w:color="auto" w:sz="4" w:space="0"/>
              <w:bottom w:val="single" w:color="auto" w:sz="4" w:space="0"/>
              <w:right w:val="single" w:color="auto" w:sz="4" w:space="0"/>
            </w:tcBorders>
            <w:noWrap/>
            <w:vAlign w:val="center"/>
          </w:tcPr>
          <w:p w14:paraId="5D2A7A49">
            <w:pPr>
              <w:jc w:val="center"/>
              <w:rPr>
                <w:rFonts w:ascii="宋体" w:hAnsi="宋体" w:eastAsia="宋体" w:cs="宋体"/>
                <w:b w:val="0"/>
                <w:bCs w:val="0"/>
                <w:color w:val="auto"/>
                <w:sz w:val="24"/>
                <w:szCs w:val="24"/>
                <w:highlight w:val="none"/>
              </w:rPr>
            </w:pPr>
            <w:r>
              <w:rPr>
                <w:rFonts w:hint="eastAsia" w:asciiTheme="minorEastAsia" w:hAnsiTheme="minorEastAsia"/>
                <w:color w:val="auto"/>
                <w:szCs w:val="21"/>
                <w:highlight w:val="none"/>
              </w:rPr>
              <w:t>A4-70g 10包/箱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05348D76">
            <w:pPr>
              <w:jc w:val="center"/>
              <w:rPr>
                <w:rFonts w:ascii="宋体" w:hAnsi="宋体" w:eastAsia="宋体" w:cs="宋体"/>
                <w:b w:val="0"/>
                <w:bCs w:val="0"/>
                <w:color w:val="auto"/>
                <w:sz w:val="24"/>
                <w:szCs w:val="24"/>
                <w:highlight w:val="none"/>
              </w:rPr>
            </w:pPr>
            <w:r>
              <w:rPr>
                <w:rFonts w:hint="eastAsia" w:asciiTheme="minorEastAsia" w:hAnsiTheme="minorEastAsia"/>
                <w:color w:val="auto"/>
                <w:szCs w:val="21"/>
                <w:highlight w:val="none"/>
              </w:rPr>
              <w:t>56000</w:t>
            </w:r>
          </w:p>
        </w:tc>
        <w:tc>
          <w:tcPr>
            <w:tcW w:w="1620" w:type="dxa"/>
            <w:vMerge w:val="continue"/>
            <w:tcBorders>
              <w:left w:val="single" w:color="auto" w:sz="4" w:space="0"/>
              <w:right w:val="single" w:color="auto" w:sz="4" w:space="0"/>
            </w:tcBorders>
            <w:noWrap/>
            <w:vAlign w:val="center"/>
          </w:tcPr>
          <w:p w14:paraId="1AF2B9D2">
            <w:pPr>
              <w:pStyle w:val="4"/>
              <w:tabs>
                <w:tab w:val="left" w:pos="8360"/>
              </w:tabs>
              <w:spacing w:line="360" w:lineRule="auto"/>
              <w:rPr>
                <w:rFonts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ign w:val="center"/>
          </w:tcPr>
          <w:p w14:paraId="568B92A9">
            <w:pPr>
              <w:pStyle w:val="4"/>
              <w:tabs>
                <w:tab w:val="left" w:pos="8360"/>
              </w:tabs>
              <w:spacing w:line="360" w:lineRule="auto"/>
              <w:rPr>
                <w:rFonts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ign w:val="center"/>
          </w:tcPr>
          <w:p w14:paraId="19249ED2">
            <w:pPr>
              <w:pStyle w:val="4"/>
              <w:tabs>
                <w:tab w:val="left" w:pos="8360"/>
              </w:tabs>
              <w:spacing w:line="360" w:lineRule="auto"/>
              <w:rPr>
                <w:rFonts w:ascii="宋体" w:hAnsi="宋体" w:eastAsia="宋体" w:cs="宋体"/>
                <w:b w:val="0"/>
                <w:bCs w:val="0"/>
                <w:color w:val="auto"/>
                <w:sz w:val="24"/>
                <w:szCs w:val="24"/>
                <w:highlight w:val="none"/>
              </w:rPr>
            </w:pPr>
          </w:p>
        </w:tc>
      </w:tr>
      <w:tr w14:paraId="0235C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ign w:val="center"/>
          </w:tcPr>
          <w:p w14:paraId="71D52AD8">
            <w:pPr>
              <w:pStyle w:val="4"/>
              <w:tabs>
                <w:tab w:val="left" w:pos="8360"/>
              </w:tabs>
              <w:spacing w:line="360" w:lineRule="auto"/>
              <w:rPr>
                <w:rFonts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ign w:val="center"/>
          </w:tcPr>
          <w:p w14:paraId="3ABCFBDC">
            <w:pPr>
              <w:pStyle w:val="4"/>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w:t>
            </w:r>
          </w:p>
        </w:tc>
        <w:tc>
          <w:tcPr>
            <w:tcW w:w="1716" w:type="dxa"/>
            <w:tcBorders>
              <w:top w:val="single" w:color="auto" w:sz="4" w:space="0"/>
              <w:left w:val="single" w:color="auto" w:sz="4" w:space="0"/>
              <w:bottom w:val="single" w:color="auto" w:sz="4" w:space="0"/>
              <w:right w:val="single" w:color="auto" w:sz="4" w:space="0"/>
            </w:tcBorders>
            <w:noWrap/>
            <w:vAlign w:val="center"/>
          </w:tcPr>
          <w:p w14:paraId="5CA76387">
            <w:pPr>
              <w:jc w:val="center"/>
              <w:rPr>
                <w:rFonts w:ascii="宋体" w:hAnsi="宋体" w:eastAsia="宋体" w:cs="宋体"/>
                <w:b w:val="0"/>
                <w:bCs w:val="0"/>
                <w:color w:val="auto"/>
                <w:sz w:val="24"/>
                <w:szCs w:val="24"/>
                <w:highlight w:val="none"/>
              </w:rPr>
            </w:pPr>
            <w:r>
              <w:rPr>
                <w:rFonts w:hint="eastAsia" w:asciiTheme="minorEastAsia" w:hAnsiTheme="minorEastAsia"/>
                <w:color w:val="auto"/>
                <w:szCs w:val="21"/>
                <w:highlight w:val="none"/>
              </w:rPr>
              <w:t>A4-80g 10包/箱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04EBDCC1">
            <w:pPr>
              <w:jc w:val="center"/>
              <w:rPr>
                <w:rFonts w:ascii="宋体" w:hAnsi="宋体" w:eastAsia="宋体" w:cs="宋体"/>
                <w:b w:val="0"/>
                <w:bCs w:val="0"/>
                <w:color w:val="auto"/>
                <w:sz w:val="24"/>
                <w:szCs w:val="24"/>
                <w:highlight w:val="none"/>
              </w:rPr>
            </w:pPr>
            <w:r>
              <w:rPr>
                <w:rFonts w:hint="eastAsia" w:asciiTheme="minorEastAsia" w:hAnsiTheme="minorEastAsia"/>
                <w:color w:val="auto"/>
                <w:szCs w:val="21"/>
                <w:highlight w:val="none"/>
              </w:rPr>
              <w:t>53400</w:t>
            </w:r>
          </w:p>
        </w:tc>
        <w:tc>
          <w:tcPr>
            <w:tcW w:w="1620" w:type="dxa"/>
            <w:vMerge w:val="continue"/>
            <w:tcBorders>
              <w:left w:val="single" w:color="auto" w:sz="4" w:space="0"/>
              <w:right w:val="single" w:color="auto" w:sz="4" w:space="0"/>
            </w:tcBorders>
            <w:noWrap/>
            <w:vAlign w:val="center"/>
          </w:tcPr>
          <w:p w14:paraId="6A0C0CC2">
            <w:pPr>
              <w:pStyle w:val="4"/>
              <w:tabs>
                <w:tab w:val="left" w:pos="8360"/>
              </w:tabs>
              <w:spacing w:line="360" w:lineRule="auto"/>
              <w:rPr>
                <w:rFonts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ign w:val="center"/>
          </w:tcPr>
          <w:p w14:paraId="570BD50B">
            <w:pPr>
              <w:pStyle w:val="4"/>
              <w:tabs>
                <w:tab w:val="left" w:pos="8360"/>
              </w:tabs>
              <w:spacing w:line="360" w:lineRule="auto"/>
              <w:rPr>
                <w:rFonts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ign w:val="center"/>
          </w:tcPr>
          <w:p w14:paraId="34A78EC9">
            <w:pPr>
              <w:pStyle w:val="4"/>
              <w:tabs>
                <w:tab w:val="left" w:pos="8360"/>
              </w:tabs>
              <w:spacing w:line="360" w:lineRule="auto"/>
              <w:rPr>
                <w:rFonts w:ascii="宋体" w:hAnsi="宋体" w:eastAsia="宋体" w:cs="宋体"/>
                <w:b w:val="0"/>
                <w:bCs w:val="0"/>
                <w:color w:val="auto"/>
                <w:sz w:val="24"/>
                <w:szCs w:val="24"/>
                <w:highlight w:val="none"/>
              </w:rPr>
            </w:pPr>
          </w:p>
        </w:tc>
      </w:tr>
      <w:tr w14:paraId="5C40E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ign w:val="center"/>
          </w:tcPr>
          <w:p w14:paraId="34815134">
            <w:pPr>
              <w:pStyle w:val="4"/>
              <w:tabs>
                <w:tab w:val="left" w:pos="8360"/>
              </w:tabs>
              <w:spacing w:line="360" w:lineRule="auto"/>
              <w:rPr>
                <w:rFonts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ign w:val="center"/>
          </w:tcPr>
          <w:p w14:paraId="46BE6B76">
            <w:pPr>
              <w:widowControl/>
              <w:jc w:val="center"/>
              <w:rPr>
                <w:rFonts w:hint="eastAsia" w:ascii="宋体" w:hAnsi="宋体" w:eastAsia="宋体" w:cs="宋体"/>
                <w:b w:val="0"/>
                <w:bCs w:val="0"/>
                <w:color w:val="auto"/>
                <w:sz w:val="24"/>
                <w:szCs w:val="24"/>
                <w:highlight w:val="none"/>
              </w:rPr>
            </w:pPr>
            <w:r>
              <w:rPr>
                <w:rFonts w:hint="eastAsia" w:ascii="宋体" w:hAnsi="宋体" w:eastAsia="宋体" w:cs="宋体"/>
                <w:color w:val="auto"/>
                <w:kern w:val="0"/>
                <w:szCs w:val="21"/>
                <w:highlight w:val="none"/>
              </w:rPr>
              <w:t>1-5</w:t>
            </w:r>
          </w:p>
        </w:tc>
        <w:tc>
          <w:tcPr>
            <w:tcW w:w="1716" w:type="dxa"/>
            <w:tcBorders>
              <w:top w:val="single" w:color="auto" w:sz="4" w:space="0"/>
              <w:left w:val="single" w:color="auto" w:sz="4" w:space="0"/>
              <w:bottom w:val="single" w:color="auto" w:sz="4" w:space="0"/>
              <w:right w:val="single" w:color="auto" w:sz="4" w:space="0"/>
            </w:tcBorders>
            <w:noWrap/>
            <w:vAlign w:val="center"/>
          </w:tcPr>
          <w:p w14:paraId="599DC8BB">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8K-70g 4包/箱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076FECB6">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104182</w:t>
            </w:r>
          </w:p>
        </w:tc>
        <w:tc>
          <w:tcPr>
            <w:tcW w:w="1620" w:type="dxa"/>
            <w:vMerge w:val="continue"/>
            <w:tcBorders>
              <w:left w:val="single" w:color="auto" w:sz="4" w:space="0"/>
              <w:right w:val="single" w:color="auto" w:sz="4" w:space="0"/>
            </w:tcBorders>
            <w:noWrap/>
            <w:vAlign w:val="center"/>
          </w:tcPr>
          <w:p w14:paraId="1DA5BA92">
            <w:pPr>
              <w:pStyle w:val="4"/>
              <w:tabs>
                <w:tab w:val="left" w:pos="8360"/>
              </w:tabs>
              <w:spacing w:line="360" w:lineRule="auto"/>
              <w:rPr>
                <w:rFonts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ign w:val="center"/>
          </w:tcPr>
          <w:p w14:paraId="2EBA10A5">
            <w:pPr>
              <w:pStyle w:val="4"/>
              <w:tabs>
                <w:tab w:val="left" w:pos="8360"/>
              </w:tabs>
              <w:spacing w:line="360" w:lineRule="auto"/>
              <w:rPr>
                <w:rFonts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ign w:val="center"/>
          </w:tcPr>
          <w:p w14:paraId="7054FF42">
            <w:pPr>
              <w:pStyle w:val="4"/>
              <w:tabs>
                <w:tab w:val="left" w:pos="8360"/>
              </w:tabs>
              <w:spacing w:line="360" w:lineRule="auto"/>
              <w:rPr>
                <w:rFonts w:ascii="宋体" w:hAnsi="宋体" w:eastAsia="宋体" w:cs="宋体"/>
                <w:b w:val="0"/>
                <w:bCs w:val="0"/>
                <w:color w:val="auto"/>
                <w:sz w:val="24"/>
                <w:szCs w:val="24"/>
                <w:highlight w:val="none"/>
              </w:rPr>
            </w:pPr>
          </w:p>
        </w:tc>
      </w:tr>
      <w:tr w14:paraId="23DAD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ign w:val="center"/>
          </w:tcPr>
          <w:p w14:paraId="076134C1">
            <w:pPr>
              <w:pStyle w:val="4"/>
              <w:tabs>
                <w:tab w:val="left" w:pos="8360"/>
              </w:tabs>
              <w:spacing w:line="360" w:lineRule="auto"/>
              <w:rPr>
                <w:rFonts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ign w:val="center"/>
          </w:tcPr>
          <w:p w14:paraId="548153B4">
            <w:pPr>
              <w:widowControl/>
              <w:jc w:val="center"/>
              <w:rPr>
                <w:rFonts w:hint="eastAsia" w:ascii="宋体" w:hAnsi="宋体" w:eastAsia="宋体" w:cs="宋体"/>
                <w:b w:val="0"/>
                <w:bCs w:val="0"/>
                <w:color w:val="auto"/>
                <w:sz w:val="24"/>
                <w:szCs w:val="24"/>
                <w:highlight w:val="none"/>
              </w:rPr>
            </w:pPr>
            <w:r>
              <w:rPr>
                <w:rFonts w:hint="eastAsia" w:ascii="宋体" w:hAnsi="宋体" w:eastAsia="宋体" w:cs="宋体"/>
                <w:color w:val="auto"/>
                <w:kern w:val="0"/>
                <w:szCs w:val="21"/>
                <w:highlight w:val="none"/>
              </w:rPr>
              <w:t>1-6</w:t>
            </w:r>
          </w:p>
        </w:tc>
        <w:tc>
          <w:tcPr>
            <w:tcW w:w="1716" w:type="dxa"/>
            <w:tcBorders>
              <w:top w:val="single" w:color="auto" w:sz="4" w:space="0"/>
              <w:left w:val="single" w:color="auto" w:sz="4" w:space="0"/>
              <w:bottom w:val="single" w:color="auto" w:sz="4" w:space="0"/>
              <w:right w:val="single" w:color="auto" w:sz="4" w:space="0"/>
            </w:tcBorders>
            <w:noWrap/>
            <w:vAlign w:val="center"/>
          </w:tcPr>
          <w:p w14:paraId="30D30DEF">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8K-80g 4包/箱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7C70D7BF">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8164</w:t>
            </w:r>
          </w:p>
        </w:tc>
        <w:tc>
          <w:tcPr>
            <w:tcW w:w="1620" w:type="dxa"/>
            <w:vMerge w:val="continue"/>
            <w:tcBorders>
              <w:left w:val="single" w:color="auto" w:sz="4" w:space="0"/>
              <w:right w:val="single" w:color="auto" w:sz="4" w:space="0"/>
            </w:tcBorders>
            <w:noWrap/>
            <w:vAlign w:val="center"/>
          </w:tcPr>
          <w:p w14:paraId="1F84885C">
            <w:pPr>
              <w:pStyle w:val="4"/>
              <w:tabs>
                <w:tab w:val="left" w:pos="8360"/>
              </w:tabs>
              <w:spacing w:line="360" w:lineRule="auto"/>
              <w:rPr>
                <w:rFonts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ign w:val="center"/>
          </w:tcPr>
          <w:p w14:paraId="11B0520C">
            <w:pPr>
              <w:pStyle w:val="4"/>
              <w:tabs>
                <w:tab w:val="left" w:pos="8360"/>
              </w:tabs>
              <w:spacing w:line="360" w:lineRule="auto"/>
              <w:rPr>
                <w:rFonts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ign w:val="center"/>
          </w:tcPr>
          <w:p w14:paraId="068FED3A">
            <w:pPr>
              <w:pStyle w:val="4"/>
              <w:tabs>
                <w:tab w:val="left" w:pos="8360"/>
              </w:tabs>
              <w:spacing w:line="360" w:lineRule="auto"/>
              <w:rPr>
                <w:rFonts w:ascii="宋体" w:hAnsi="宋体" w:eastAsia="宋体" w:cs="宋体"/>
                <w:b w:val="0"/>
                <w:bCs w:val="0"/>
                <w:color w:val="auto"/>
                <w:sz w:val="24"/>
                <w:szCs w:val="24"/>
                <w:highlight w:val="none"/>
              </w:rPr>
            </w:pPr>
          </w:p>
        </w:tc>
      </w:tr>
      <w:tr w14:paraId="66A6F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ign w:val="center"/>
          </w:tcPr>
          <w:p w14:paraId="475A4FF4">
            <w:pPr>
              <w:pStyle w:val="4"/>
              <w:tabs>
                <w:tab w:val="left" w:pos="8360"/>
              </w:tabs>
              <w:spacing w:line="360" w:lineRule="auto"/>
              <w:rPr>
                <w:rFonts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ign w:val="center"/>
          </w:tcPr>
          <w:p w14:paraId="68FBB8E8">
            <w:pPr>
              <w:widowControl/>
              <w:jc w:val="center"/>
              <w:rPr>
                <w:rFonts w:hint="eastAsia" w:ascii="宋体" w:hAnsi="宋体" w:eastAsia="宋体" w:cs="宋体"/>
                <w:b w:val="0"/>
                <w:bCs w:val="0"/>
                <w:color w:val="auto"/>
                <w:sz w:val="24"/>
                <w:szCs w:val="24"/>
                <w:highlight w:val="none"/>
              </w:rPr>
            </w:pPr>
            <w:r>
              <w:rPr>
                <w:rFonts w:hint="eastAsia" w:ascii="宋体" w:hAnsi="宋体" w:eastAsia="宋体" w:cs="宋体"/>
                <w:color w:val="auto"/>
                <w:kern w:val="0"/>
                <w:szCs w:val="21"/>
                <w:highlight w:val="none"/>
              </w:rPr>
              <w:t>1-7</w:t>
            </w:r>
          </w:p>
        </w:tc>
        <w:tc>
          <w:tcPr>
            <w:tcW w:w="1716" w:type="dxa"/>
            <w:tcBorders>
              <w:top w:val="single" w:color="auto" w:sz="4" w:space="0"/>
              <w:left w:val="single" w:color="auto" w:sz="4" w:space="0"/>
              <w:bottom w:val="single" w:color="auto" w:sz="4" w:space="0"/>
              <w:right w:val="single" w:color="auto" w:sz="4" w:space="0"/>
            </w:tcBorders>
            <w:noWrap/>
            <w:vAlign w:val="center"/>
          </w:tcPr>
          <w:p w14:paraId="6F9493CA">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16K-70g 8包/箱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789D8085">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3692</w:t>
            </w:r>
          </w:p>
        </w:tc>
        <w:tc>
          <w:tcPr>
            <w:tcW w:w="1620" w:type="dxa"/>
            <w:vMerge w:val="continue"/>
            <w:tcBorders>
              <w:left w:val="single" w:color="auto" w:sz="4" w:space="0"/>
              <w:right w:val="single" w:color="auto" w:sz="4" w:space="0"/>
            </w:tcBorders>
            <w:noWrap/>
            <w:vAlign w:val="center"/>
          </w:tcPr>
          <w:p w14:paraId="74F019B0">
            <w:pPr>
              <w:pStyle w:val="4"/>
              <w:tabs>
                <w:tab w:val="left" w:pos="8360"/>
              </w:tabs>
              <w:spacing w:line="360" w:lineRule="auto"/>
              <w:rPr>
                <w:rFonts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ign w:val="center"/>
          </w:tcPr>
          <w:p w14:paraId="421420B4">
            <w:pPr>
              <w:pStyle w:val="4"/>
              <w:tabs>
                <w:tab w:val="left" w:pos="8360"/>
              </w:tabs>
              <w:spacing w:line="360" w:lineRule="auto"/>
              <w:rPr>
                <w:rFonts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ign w:val="center"/>
          </w:tcPr>
          <w:p w14:paraId="5FD06F11">
            <w:pPr>
              <w:pStyle w:val="4"/>
              <w:tabs>
                <w:tab w:val="left" w:pos="8360"/>
              </w:tabs>
              <w:spacing w:line="360" w:lineRule="auto"/>
              <w:rPr>
                <w:rFonts w:ascii="宋体" w:hAnsi="宋体" w:eastAsia="宋体" w:cs="宋体"/>
                <w:b w:val="0"/>
                <w:bCs w:val="0"/>
                <w:color w:val="auto"/>
                <w:sz w:val="24"/>
                <w:szCs w:val="24"/>
                <w:highlight w:val="none"/>
              </w:rPr>
            </w:pPr>
          </w:p>
        </w:tc>
      </w:tr>
      <w:tr w14:paraId="523AF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ign w:val="center"/>
          </w:tcPr>
          <w:p w14:paraId="7129A91A">
            <w:pPr>
              <w:pStyle w:val="4"/>
              <w:tabs>
                <w:tab w:val="left" w:pos="8360"/>
              </w:tabs>
              <w:spacing w:line="360" w:lineRule="auto"/>
              <w:rPr>
                <w:rFonts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ign w:val="center"/>
          </w:tcPr>
          <w:p w14:paraId="201D4F11">
            <w:pPr>
              <w:widowControl/>
              <w:jc w:val="center"/>
              <w:rPr>
                <w:rFonts w:hint="eastAsia" w:ascii="宋体" w:hAnsi="宋体" w:eastAsia="宋体" w:cs="宋体"/>
                <w:b w:val="0"/>
                <w:bCs w:val="0"/>
                <w:color w:val="auto"/>
                <w:sz w:val="24"/>
                <w:szCs w:val="24"/>
                <w:highlight w:val="none"/>
              </w:rPr>
            </w:pPr>
            <w:r>
              <w:rPr>
                <w:rFonts w:hint="eastAsia" w:ascii="宋体" w:hAnsi="宋体" w:eastAsia="宋体" w:cs="宋体"/>
                <w:color w:val="auto"/>
                <w:kern w:val="0"/>
                <w:szCs w:val="21"/>
                <w:highlight w:val="none"/>
              </w:rPr>
              <w:t>1-8</w:t>
            </w:r>
          </w:p>
        </w:tc>
        <w:tc>
          <w:tcPr>
            <w:tcW w:w="1716" w:type="dxa"/>
            <w:tcBorders>
              <w:top w:val="single" w:color="auto" w:sz="4" w:space="0"/>
              <w:left w:val="single" w:color="auto" w:sz="4" w:space="0"/>
              <w:bottom w:val="single" w:color="auto" w:sz="4" w:space="0"/>
              <w:right w:val="single" w:color="auto" w:sz="4" w:space="0"/>
            </w:tcBorders>
            <w:noWrap/>
            <w:vAlign w:val="center"/>
          </w:tcPr>
          <w:p w14:paraId="1BCC24DB">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16K-80g 8包/箱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5C6E250F">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390</w:t>
            </w:r>
          </w:p>
        </w:tc>
        <w:tc>
          <w:tcPr>
            <w:tcW w:w="1620" w:type="dxa"/>
            <w:vMerge w:val="continue"/>
            <w:tcBorders>
              <w:left w:val="single" w:color="auto" w:sz="4" w:space="0"/>
              <w:right w:val="single" w:color="auto" w:sz="4" w:space="0"/>
            </w:tcBorders>
            <w:noWrap/>
            <w:vAlign w:val="center"/>
          </w:tcPr>
          <w:p w14:paraId="3679921A">
            <w:pPr>
              <w:pStyle w:val="4"/>
              <w:tabs>
                <w:tab w:val="left" w:pos="8360"/>
              </w:tabs>
              <w:spacing w:line="360" w:lineRule="auto"/>
              <w:rPr>
                <w:rFonts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ign w:val="center"/>
          </w:tcPr>
          <w:p w14:paraId="594FE895">
            <w:pPr>
              <w:pStyle w:val="4"/>
              <w:tabs>
                <w:tab w:val="left" w:pos="8360"/>
              </w:tabs>
              <w:spacing w:line="360" w:lineRule="auto"/>
              <w:rPr>
                <w:rFonts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ign w:val="center"/>
          </w:tcPr>
          <w:p w14:paraId="5C39AA4A">
            <w:pPr>
              <w:pStyle w:val="4"/>
              <w:tabs>
                <w:tab w:val="left" w:pos="8360"/>
              </w:tabs>
              <w:spacing w:line="360" w:lineRule="auto"/>
              <w:rPr>
                <w:rFonts w:ascii="宋体" w:hAnsi="宋体" w:eastAsia="宋体" w:cs="宋体"/>
                <w:b w:val="0"/>
                <w:bCs w:val="0"/>
                <w:color w:val="auto"/>
                <w:sz w:val="24"/>
                <w:szCs w:val="24"/>
                <w:highlight w:val="none"/>
              </w:rPr>
            </w:pPr>
          </w:p>
        </w:tc>
      </w:tr>
      <w:tr w14:paraId="19B8A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ign w:val="center"/>
          </w:tcPr>
          <w:p w14:paraId="4255D9F9">
            <w:pPr>
              <w:pStyle w:val="4"/>
              <w:tabs>
                <w:tab w:val="left" w:pos="8360"/>
              </w:tabs>
              <w:spacing w:line="360" w:lineRule="auto"/>
              <w:rPr>
                <w:rFonts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ign w:val="center"/>
          </w:tcPr>
          <w:p w14:paraId="3A67BF17">
            <w:pPr>
              <w:widowControl/>
              <w:jc w:val="center"/>
              <w:rPr>
                <w:rFonts w:hint="eastAsia" w:ascii="宋体" w:hAnsi="宋体" w:eastAsia="宋体" w:cs="宋体"/>
                <w:b w:val="0"/>
                <w:bCs w:val="0"/>
                <w:color w:val="auto"/>
                <w:sz w:val="24"/>
                <w:szCs w:val="24"/>
                <w:highlight w:val="none"/>
              </w:rPr>
            </w:pPr>
            <w:r>
              <w:rPr>
                <w:rFonts w:hint="eastAsia" w:ascii="宋体" w:hAnsi="宋体" w:eastAsia="宋体" w:cs="宋体"/>
                <w:color w:val="auto"/>
                <w:kern w:val="0"/>
                <w:szCs w:val="21"/>
                <w:highlight w:val="none"/>
              </w:rPr>
              <w:t>1-9</w:t>
            </w:r>
          </w:p>
        </w:tc>
        <w:tc>
          <w:tcPr>
            <w:tcW w:w="1716" w:type="dxa"/>
            <w:tcBorders>
              <w:top w:val="single" w:color="auto" w:sz="4" w:space="0"/>
              <w:left w:val="single" w:color="auto" w:sz="4" w:space="0"/>
              <w:bottom w:val="single" w:color="auto" w:sz="4" w:space="0"/>
              <w:right w:val="single" w:color="auto" w:sz="4" w:space="0"/>
            </w:tcBorders>
            <w:noWrap/>
            <w:vAlign w:val="center"/>
          </w:tcPr>
          <w:p w14:paraId="79D93BAD">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B4-70g 4包/箱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2A60ABB9">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286</w:t>
            </w:r>
          </w:p>
        </w:tc>
        <w:tc>
          <w:tcPr>
            <w:tcW w:w="1620" w:type="dxa"/>
            <w:vMerge w:val="continue"/>
            <w:tcBorders>
              <w:left w:val="single" w:color="auto" w:sz="4" w:space="0"/>
              <w:right w:val="single" w:color="auto" w:sz="4" w:space="0"/>
            </w:tcBorders>
            <w:noWrap/>
            <w:vAlign w:val="center"/>
          </w:tcPr>
          <w:p w14:paraId="2D06D50F">
            <w:pPr>
              <w:pStyle w:val="4"/>
              <w:tabs>
                <w:tab w:val="left" w:pos="8360"/>
              </w:tabs>
              <w:spacing w:line="360" w:lineRule="auto"/>
              <w:rPr>
                <w:rFonts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ign w:val="center"/>
          </w:tcPr>
          <w:p w14:paraId="2BA4E9F7">
            <w:pPr>
              <w:pStyle w:val="4"/>
              <w:tabs>
                <w:tab w:val="left" w:pos="8360"/>
              </w:tabs>
              <w:spacing w:line="360" w:lineRule="auto"/>
              <w:rPr>
                <w:rFonts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ign w:val="center"/>
          </w:tcPr>
          <w:p w14:paraId="65A0E05F">
            <w:pPr>
              <w:pStyle w:val="4"/>
              <w:tabs>
                <w:tab w:val="left" w:pos="8360"/>
              </w:tabs>
              <w:spacing w:line="360" w:lineRule="auto"/>
              <w:rPr>
                <w:rFonts w:ascii="宋体" w:hAnsi="宋体" w:eastAsia="宋体" w:cs="宋体"/>
                <w:b w:val="0"/>
                <w:bCs w:val="0"/>
                <w:color w:val="auto"/>
                <w:sz w:val="24"/>
                <w:szCs w:val="24"/>
                <w:highlight w:val="none"/>
              </w:rPr>
            </w:pPr>
          </w:p>
        </w:tc>
      </w:tr>
      <w:tr w14:paraId="51FE9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ign w:val="center"/>
          </w:tcPr>
          <w:p w14:paraId="53F8BD25">
            <w:pPr>
              <w:pStyle w:val="4"/>
              <w:tabs>
                <w:tab w:val="left" w:pos="8360"/>
              </w:tabs>
              <w:spacing w:line="360" w:lineRule="auto"/>
              <w:rPr>
                <w:rFonts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ign w:val="center"/>
          </w:tcPr>
          <w:p w14:paraId="5C50F03C">
            <w:pPr>
              <w:widowControl/>
              <w:jc w:val="center"/>
              <w:rPr>
                <w:rFonts w:hint="eastAsia" w:ascii="宋体" w:hAnsi="宋体" w:eastAsia="宋体" w:cs="宋体"/>
                <w:b w:val="0"/>
                <w:bCs w:val="0"/>
                <w:color w:val="auto"/>
                <w:sz w:val="24"/>
                <w:szCs w:val="24"/>
                <w:highlight w:val="none"/>
              </w:rPr>
            </w:pPr>
            <w:r>
              <w:rPr>
                <w:rFonts w:hint="eastAsia" w:ascii="宋体" w:hAnsi="宋体" w:eastAsia="宋体" w:cs="宋体"/>
                <w:color w:val="auto"/>
                <w:kern w:val="0"/>
                <w:szCs w:val="21"/>
                <w:highlight w:val="none"/>
              </w:rPr>
              <w:t>1-10</w:t>
            </w:r>
          </w:p>
        </w:tc>
        <w:tc>
          <w:tcPr>
            <w:tcW w:w="1716" w:type="dxa"/>
            <w:tcBorders>
              <w:top w:val="single" w:color="auto" w:sz="4" w:space="0"/>
              <w:left w:val="single" w:color="auto" w:sz="4" w:space="0"/>
              <w:bottom w:val="single" w:color="auto" w:sz="4" w:space="0"/>
              <w:right w:val="single" w:color="auto" w:sz="4" w:space="0"/>
            </w:tcBorders>
            <w:noWrap/>
            <w:vAlign w:val="center"/>
          </w:tcPr>
          <w:p w14:paraId="251CE843">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A5-70g 20包/箱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6240E803">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1482</w:t>
            </w:r>
          </w:p>
        </w:tc>
        <w:tc>
          <w:tcPr>
            <w:tcW w:w="1620" w:type="dxa"/>
            <w:vMerge w:val="continue"/>
            <w:tcBorders>
              <w:left w:val="single" w:color="auto" w:sz="4" w:space="0"/>
              <w:right w:val="single" w:color="auto" w:sz="4" w:space="0"/>
            </w:tcBorders>
            <w:noWrap/>
            <w:vAlign w:val="center"/>
          </w:tcPr>
          <w:p w14:paraId="0D3D21FE">
            <w:pPr>
              <w:pStyle w:val="4"/>
              <w:tabs>
                <w:tab w:val="left" w:pos="8360"/>
              </w:tabs>
              <w:spacing w:line="360" w:lineRule="auto"/>
              <w:rPr>
                <w:rFonts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ign w:val="center"/>
          </w:tcPr>
          <w:p w14:paraId="26E731D5">
            <w:pPr>
              <w:pStyle w:val="4"/>
              <w:tabs>
                <w:tab w:val="left" w:pos="8360"/>
              </w:tabs>
              <w:spacing w:line="360" w:lineRule="auto"/>
              <w:rPr>
                <w:rFonts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ign w:val="center"/>
          </w:tcPr>
          <w:p w14:paraId="4E07B3B1">
            <w:pPr>
              <w:pStyle w:val="4"/>
              <w:tabs>
                <w:tab w:val="left" w:pos="8360"/>
              </w:tabs>
              <w:spacing w:line="360" w:lineRule="auto"/>
              <w:rPr>
                <w:rFonts w:ascii="宋体" w:hAnsi="宋体" w:eastAsia="宋体" w:cs="宋体"/>
                <w:b w:val="0"/>
                <w:bCs w:val="0"/>
                <w:color w:val="auto"/>
                <w:sz w:val="24"/>
                <w:szCs w:val="24"/>
                <w:highlight w:val="none"/>
              </w:rPr>
            </w:pPr>
          </w:p>
        </w:tc>
      </w:tr>
      <w:tr w14:paraId="3C21B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ign w:val="center"/>
          </w:tcPr>
          <w:p w14:paraId="11CB3A3B">
            <w:pPr>
              <w:pStyle w:val="4"/>
              <w:tabs>
                <w:tab w:val="left" w:pos="8360"/>
              </w:tabs>
              <w:spacing w:line="360" w:lineRule="auto"/>
              <w:rPr>
                <w:rFonts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ign w:val="center"/>
          </w:tcPr>
          <w:p w14:paraId="3F24C46D">
            <w:pPr>
              <w:widowControl/>
              <w:jc w:val="center"/>
              <w:rPr>
                <w:rFonts w:hint="eastAsia" w:ascii="宋体" w:hAnsi="宋体" w:eastAsia="宋体" w:cs="宋体"/>
                <w:b w:val="0"/>
                <w:bCs w:val="0"/>
                <w:color w:val="auto"/>
                <w:sz w:val="24"/>
                <w:szCs w:val="24"/>
                <w:highlight w:val="none"/>
              </w:rPr>
            </w:pPr>
            <w:r>
              <w:rPr>
                <w:rFonts w:hint="eastAsia" w:ascii="宋体" w:hAnsi="宋体" w:eastAsia="宋体" w:cs="宋体"/>
                <w:color w:val="auto"/>
                <w:kern w:val="0"/>
                <w:szCs w:val="21"/>
                <w:highlight w:val="none"/>
                <w:lang w:val="en-US" w:eastAsia="zh-CN"/>
              </w:rPr>
              <w:t>1-11</w:t>
            </w:r>
          </w:p>
        </w:tc>
        <w:tc>
          <w:tcPr>
            <w:tcW w:w="1716" w:type="dxa"/>
            <w:tcBorders>
              <w:top w:val="single" w:color="auto" w:sz="4" w:space="0"/>
              <w:left w:val="single" w:color="auto" w:sz="4" w:space="0"/>
              <w:bottom w:val="single" w:color="auto" w:sz="4" w:space="0"/>
              <w:right w:val="single" w:color="auto" w:sz="4" w:space="0"/>
            </w:tcBorders>
            <w:noWrap/>
            <w:vAlign w:val="center"/>
          </w:tcPr>
          <w:p w14:paraId="3D10CFA9">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A4-70g 10包/箱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414F2F83">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10000</w:t>
            </w:r>
          </w:p>
        </w:tc>
        <w:tc>
          <w:tcPr>
            <w:tcW w:w="1620" w:type="dxa"/>
            <w:vMerge w:val="continue"/>
            <w:tcBorders>
              <w:left w:val="single" w:color="auto" w:sz="4" w:space="0"/>
              <w:right w:val="single" w:color="auto" w:sz="4" w:space="0"/>
            </w:tcBorders>
            <w:noWrap/>
            <w:vAlign w:val="center"/>
          </w:tcPr>
          <w:p w14:paraId="69C39C72">
            <w:pPr>
              <w:pStyle w:val="4"/>
              <w:tabs>
                <w:tab w:val="left" w:pos="8360"/>
              </w:tabs>
              <w:spacing w:line="360" w:lineRule="auto"/>
              <w:rPr>
                <w:rFonts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ign w:val="center"/>
          </w:tcPr>
          <w:p w14:paraId="2307760A">
            <w:pPr>
              <w:pStyle w:val="4"/>
              <w:tabs>
                <w:tab w:val="left" w:pos="8360"/>
              </w:tabs>
              <w:spacing w:line="360" w:lineRule="auto"/>
              <w:rPr>
                <w:rFonts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ign w:val="center"/>
          </w:tcPr>
          <w:p w14:paraId="7F53F15F">
            <w:pPr>
              <w:pStyle w:val="4"/>
              <w:tabs>
                <w:tab w:val="left" w:pos="8360"/>
              </w:tabs>
              <w:spacing w:line="360" w:lineRule="auto"/>
              <w:rPr>
                <w:rFonts w:ascii="宋体" w:hAnsi="宋体" w:eastAsia="宋体" w:cs="宋体"/>
                <w:b w:val="0"/>
                <w:bCs w:val="0"/>
                <w:color w:val="auto"/>
                <w:sz w:val="24"/>
                <w:szCs w:val="24"/>
                <w:highlight w:val="none"/>
              </w:rPr>
            </w:pPr>
          </w:p>
        </w:tc>
      </w:tr>
      <w:tr w14:paraId="67246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bottom w:val="single" w:color="auto" w:sz="4" w:space="0"/>
              <w:right w:val="single" w:color="auto" w:sz="4" w:space="0"/>
            </w:tcBorders>
            <w:noWrap/>
            <w:vAlign w:val="center"/>
          </w:tcPr>
          <w:p w14:paraId="2064EF9F">
            <w:pPr>
              <w:pStyle w:val="4"/>
              <w:tabs>
                <w:tab w:val="left" w:pos="8360"/>
              </w:tabs>
              <w:spacing w:line="360" w:lineRule="auto"/>
              <w:rPr>
                <w:rFonts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ign w:val="center"/>
          </w:tcPr>
          <w:p w14:paraId="64BDCE88">
            <w:pPr>
              <w:widowControl/>
              <w:jc w:val="center"/>
              <w:rPr>
                <w:rFonts w:hint="eastAsia" w:ascii="宋体" w:hAnsi="宋体" w:eastAsia="宋体" w:cs="宋体"/>
                <w:b w:val="0"/>
                <w:bCs w:val="0"/>
                <w:color w:val="auto"/>
                <w:sz w:val="24"/>
                <w:szCs w:val="24"/>
                <w:highlight w:val="none"/>
              </w:rPr>
            </w:pPr>
            <w:r>
              <w:rPr>
                <w:rFonts w:hint="eastAsia" w:ascii="宋体" w:hAnsi="宋体" w:eastAsia="宋体" w:cs="宋体"/>
                <w:color w:val="auto"/>
                <w:kern w:val="0"/>
                <w:szCs w:val="21"/>
                <w:highlight w:val="none"/>
                <w:lang w:val="en-US" w:eastAsia="zh-CN"/>
              </w:rPr>
              <w:t>1-12</w:t>
            </w:r>
          </w:p>
        </w:tc>
        <w:tc>
          <w:tcPr>
            <w:tcW w:w="1716" w:type="dxa"/>
            <w:tcBorders>
              <w:top w:val="single" w:color="auto" w:sz="4" w:space="0"/>
              <w:left w:val="single" w:color="auto" w:sz="4" w:space="0"/>
              <w:bottom w:val="single" w:color="auto" w:sz="4" w:space="0"/>
              <w:right w:val="single" w:color="auto" w:sz="4" w:space="0"/>
            </w:tcBorders>
            <w:noWrap/>
            <w:vAlign w:val="center"/>
          </w:tcPr>
          <w:p w14:paraId="36159C96">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A4-80g 10包/箱</w:t>
            </w:r>
          </w:p>
        </w:tc>
        <w:tc>
          <w:tcPr>
            <w:tcW w:w="900" w:type="dxa"/>
            <w:tcBorders>
              <w:top w:val="single" w:color="auto" w:sz="4" w:space="0"/>
              <w:left w:val="single" w:color="auto" w:sz="4" w:space="0"/>
              <w:bottom w:val="single" w:color="auto" w:sz="4" w:space="0"/>
              <w:right w:val="single" w:color="auto" w:sz="4" w:space="0"/>
            </w:tcBorders>
            <w:noWrap/>
            <w:vAlign w:val="center"/>
          </w:tcPr>
          <w:p w14:paraId="76ABB097">
            <w:pPr>
              <w:jc w:val="center"/>
              <w:rPr>
                <w:rFonts w:hint="eastAsia" w:asciiTheme="minorEastAsia" w:hAnsiTheme="minorEastAsia"/>
                <w:b w:val="0"/>
                <w:color w:val="auto"/>
                <w:sz w:val="24"/>
                <w:szCs w:val="24"/>
                <w:highlight w:val="none"/>
              </w:rPr>
            </w:pPr>
            <w:r>
              <w:rPr>
                <w:rFonts w:hint="eastAsia" w:asciiTheme="minorEastAsia" w:hAnsiTheme="minorEastAsia"/>
                <w:color w:val="auto"/>
                <w:szCs w:val="21"/>
                <w:highlight w:val="none"/>
              </w:rPr>
              <w:t>5000</w:t>
            </w:r>
          </w:p>
        </w:tc>
        <w:tc>
          <w:tcPr>
            <w:tcW w:w="1620" w:type="dxa"/>
            <w:vMerge w:val="continue"/>
            <w:tcBorders>
              <w:left w:val="single" w:color="auto" w:sz="4" w:space="0"/>
              <w:bottom w:val="single" w:color="auto" w:sz="4" w:space="0"/>
              <w:right w:val="single" w:color="auto" w:sz="4" w:space="0"/>
            </w:tcBorders>
            <w:noWrap/>
            <w:vAlign w:val="center"/>
          </w:tcPr>
          <w:p w14:paraId="47CBC264">
            <w:pPr>
              <w:pStyle w:val="4"/>
              <w:tabs>
                <w:tab w:val="left" w:pos="8360"/>
              </w:tabs>
              <w:spacing w:line="360" w:lineRule="auto"/>
              <w:rPr>
                <w:rFonts w:ascii="宋体" w:hAnsi="宋体" w:eastAsia="宋体" w:cs="宋体"/>
                <w:b w:val="0"/>
                <w:bCs w:val="0"/>
                <w:color w:val="auto"/>
                <w:sz w:val="24"/>
                <w:szCs w:val="24"/>
                <w:highlight w:val="none"/>
              </w:rPr>
            </w:pPr>
          </w:p>
        </w:tc>
        <w:tc>
          <w:tcPr>
            <w:tcW w:w="1080" w:type="dxa"/>
            <w:vMerge w:val="continue"/>
            <w:tcBorders>
              <w:left w:val="single" w:color="auto" w:sz="4" w:space="0"/>
              <w:bottom w:val="single" w:color="auto" w:sz="4" w:space="0"/>
              <w:right w:val="single" w:color="auto" w:sz="4" w:space="0"/>
            </w:tcBorders>
            <w:noWrap/>
            <w:vAlign w:val="center"/>
          </w:tcPr>
          <w:p w14:paraId="7222AEA4">
            <w:pPr>
              <w:pStyle w:val="4"/>
              <w:tabs>
                <w:tab w:val="left" w:pos="8360"/>
              </w:tabs>
              <w:spacing w:line="360" w:lineRule="auto"/>
              <w:rPr>
                <w:rFonts w:ascii="宋体" w:hAnsi="宋体" w:eastAsia="宋体" w:cs="宋体"/>
                <w:b w:val="0"/>
                <w:bCs w:val="0"/>
                <w:color w:val="auto"/>
                <w:sz w:val="24"/>
                <w:szCs w:val="24"/>
                <w:highlight w:val="none"/>
              </w:rPr>
            </w:pPr>
          </w:p>
        </w:tc>
        <w:tc>
          <w:tcPr>
            <w:tcW w:w="2027" w:type="dxa"/>
            <w:vMerge w:val="continue"/>
            <w:tcBorders>
              <w:left w:val="single" w:color="auto" w:sz="4" w:space="0"/>
              <w:bottom w:val="single" w:color="auto" w:sz="4" w:space="0"/>
              <w:right w:val="single" w:color="auto" w:sz="4" w:space="0"/>
            </w:tcBorders>
            <w:noWrap/>
            <w:vAlign w:val="center"/>
          </w:tcPr>
          <w:p w14:paraId="6DAB3CA3">
            <w:pPr>
              <w:pStyle w:val="4"/>
              <w:tabs>
                <w:tab w:val="left" w:pos="8360"/>
              </w:tabs>
              <w:spacing w:line="360" w:lineRule="auto"/>
              <w:rPr>
                <w:rFonts w:ascii="宋体" w:hAnsi="宋体" w:eastAsia="宋体" w:cs="宋体"/>
                <w:b w:val="0"/>
                <w:bCs w:val="0"/>
                <w:color w:val="auto"/>
                <w:sz w:val="24"/>
                <w:szCs w:val="24"/>
                <w:highlight w:val="none"/>
              </w:rPr>
            </w:pPr>
          </w:p>
        </w:tc>
      </w:tr>
    </w:tbl>
    <w:p w14:paraId="0C8F2764">
      <w:pPr>
        <w:spacing w:line="360" w:lineRule="auto"/>
        <w:rPr>
          <w:rFonts w:ascii="宋体" w:hAnsi="宋体" w:cs="宋体"/>
          <w:b/>
          <w:color w:val="auto"/>
          <w:sz w:val="32"/>
          <w:szCs w:val="32"/>
          <w:highlight w:val="none"/>
        </w:rPr>
      </w:pPr>
    </w:p>
    <w:p w14:paraId="60DFBA50">
      <w:pPr>
        <w:pStyle w:val="6"/>
        <w:tabs>
          <w:tab w:val="left" w:pos="8360"/>
        </w:tabs>
        <w:spacing w:line="360" w:lineRule="auto"/>
        <w:jc w:val="left"/>
        <w:rPr>
          <w:rFonts w:hAnsi="宋体" w:cs="宋体"/>
          <w:color w:val="auto"/>
          <w:sz w:val="24"/>
          <w:szCs w:val="24"/>
          <w:highlight w:val="none"/>
        </w:rPr>
      </w:pPr>
      <w:r>
        <w:rPr>
          <w:rFonts w:hint="eastAsia" w:hAnsi="宋体" w:cs="宋体"/>
          <w:color w:val="auto"/>
          <w:sz w:val="24"/>
          <w:szCs w:val="24"/>
          <w:highlight w:val="none"/>
        </w:rPr>
        <w:t>注：投标人可按合同包投标，对同一合同包内所有品目号内容投标时必须完整。评标与授标以合同包为单位。</w:t>
      </w:r>
    </w:p>
    <w:p w14:paraId="6235F8C8">
      <w:pPr>
        <w:pStyle w:val="6"/>
        <w:tabs>
          <w:tab w:val="left" w:pos="8360"/>
        </w:tabs>
        <w:spacing w:line="360" w:lineRule="auto"/>
        <w:jc w:val="left"/>
        <w:rPr>
          <w:rFonts w:hAnsi="宋体" w:cs="宋体"/>
          <w:color w:val="auto"/>
          <w:sz w:val="24"/>
          <w:szCs w:val="24"/>
          <w:highlight w:val="none"/>
        </w:rPr>
      </w:pPr>
    </w:p>
    <w:p w14:paraId="1C4C1DDF">
      <w:pPr>
        <w:pStyle w:val="17"/>
        <w:spacing w:line="360" w:lineRule="auto"/>
        <w:jc w:val="center"/>
        <w:rPr>
          <w:rFonts w:hAnsi="宋体" w:cs="宋体"/>
          <w:b/>
          <w:color w:val="auto"/>
          <w:sz w:val="32"/>
          <w:szCs w:val="32"/>
          <w:highlight w:val="none"/>
        </w:rPr>
      </w:pPr>
      <w:r>
        <w:rPr>
          <w:rFonts w:hint="eastAsia" w:hAnsi="宋体" w:cs="宋体"/>
          <w:b/>
          <w:color w:val="auto"/>
          <w:sz w:val="32"/>
          <w:szCs w:val="32"/>
          <w:highlight w:val="none"/>
        </w:rPr>
        <w:t>第二章  投标人须知</w:t>
      </w:r>
    </w:p>
    <w:p w14:paraId="2E175EBC">
      <w:pPr>
        <w:pStyle w:val="17"/>
        <w:spacing w:line="360" w:lineRule="auto"/>
        <w:jc w:val="center"/>
        <w:rPr>
          <w:rFonts w:hAnsi="宋体" w:cs="宋体"/>
          <w:color w:val="auto"/>
          <w:sz w:val="32"/>
          <w:szCs w:val="32"/>
          <w:highlight w:val="none"/>
        </w:rPr>
      </w:pPr>
      <w:r>
        <w:rPr>
          <w:rFonts w:hint="eastAsia" w:hAnsi="宋体" w:cs="宋体"/>
          <w:b/>
          <w:color w:val="auto"/>
          <w:sz w:val="32"/>
          <w:szCs w:val="32"/>
          <w:highlight w:val="none"/>
        </w:rPr>
        <w:t>投标人须知前附表1</w:t>
      </w:r>
    </w:p>
    <w:p w14:paraId="4C99270A">
      <w:pPr>
        <w:spacing w:line="360" w:lineRule="auto"/>
        <w:ind w:firstLine="527"/>
        <w:rPr>
          <w:rFonts w:ascii="宋体" w:hAnsi="宋体" w:cs="宋体"/>
          <w:color w:val="auto"/>
          <w:sz w:val="24"/>
          <w:szCs w:val="24"/>
          <w:highlight w:val="none"/>
        </w:rPr>
      </w:pPr>
      <w:r>
        <w:rPr>
          <w:rFonts w:hint="eastAsia" w:ascii="宋体" w:hAnsi="宋体" w:cs="宋体"/>
          <w:color w:val="auto"/>
          <w:sz w:val="24"/>
          <w:szCs w:val="24"/>
          <w:highlight w:val="none"/>
        </w:rPr>
        <w:t>本须知前附表1的条款号是与</w:t>
      </w:r>
      <w:r>
        <w:rPr>
          <w:rFonts w:ascii="宋体" w:hAnsi="宋体" w:cs="宋体"/>
          <w:color w:val="auto"/>
          <w:sz w:val="24"/>
          <w:szCs w:val="24"/>
          <w:highlight w:val="none"/>
        </w:rPr>
        <w:t>固定部分第二章</w:t>
      </w:r>
      <w:r>
        <w:rPr>
          <w:rFonts w:hint="eastAsia" w:ascii="宋体" w:hAnsi="宋体" w:cs="宋体"/>
          <w:color w:val="auto"/>
          <w:sz w:val="24"/>
          <w:szCs w:val="24"/>
          <w:highlight w:val="none"/>
        </w:rPr>
        <w:t xml:space="preserve">《投标人须知》中条款的项号相对应的。如有矛盾，应以本须知前附表为准。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340D1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tcPr>
          <w:p w14:paraId="42737E4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1080" w:type="dxa"/>
            <w:noWrap/>
          </w:tcPr>
          <w:p w14:paraId="6520D32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7380" w:type="dxa"/>
            <w:noWrap/>
          </w:tcPr>
          <w:p w14:paraId="706A389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编   列   内    容</w:t>
            </w:r>
          </w:p>
        </w:tc>
      </w:tr>
      <w:tr w14:paraId="17526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ign w:val="center"/>
          </w:tcPr>
          <w:p w14:paraId="3BEF87A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1080" w:type="dxa"/>
            <w:noWrap/>
            <w:vAlign w:val="center"/>
          </w:tcPr>
          <w:p w14:paraId="721EF29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7380" w:type="dxa"/>
            <w:noWrap/>
            <w:vAlign w:val="center"/>
          </w:tcPr>
          <w:p w14:paraId="11C39BE8">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 xml:space="preserve">项目名称： </w:t>
            </w:r>
            <w:r>
              <w:rPr>
                <w:rFonts w:hint="eastAsia" w:ascii="宋体" w:hAnsi="宋体" w:cs="宋体"/>
                <w:color w:val="auto"/>
                <w:sz w:val="24"/>
                <w:szCs w:val="24"/>
                <w:highlight w:val="none"/>
                <w:lang w:eastAsia="zh-CN"/>
              </w:rPr>
              <w:t>2025年大宗复印纸采购</w:t>
            </w:r>
          </w:p>
          <w:p w14:paraId="4EB4060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30C4149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采购单位地址：厦门市湖里区机场北路476号五楼 </w:t>
            </w:r>
          </w:p>
          <w:p w14:paraId="403BD2A9">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 xml:space="preserve">项目内容： </w:t>
            </w:r>
            <w:r>
              <w:rPr>
                <w:rFonts w:hint="eastAsia" w:ascii="宋体" w:hAnsi="宋体" w:cs="宋体"/>
                <w:color w:val="auto"/>
                <w:sz w:val="24"/>
                <w:szCs w:val="24"/>
                <w:highlight w:val="none"/>
                <w:lang w:eastAsia="zh-CN"/>
              </w:rPr>
              <w:t>2025年大宗复印纸采购</w:t>
            </w:r>
          </w:p>
          <w:p w14:paraId="41954027">
            <w:pPr>
              <w:spacing w:line="360" w:lineRule="auto"/>
              <w:rPr>
                <w:rFonts w:hint="eastAsia" w:ascii="宋体" w:hAnsi="宋体" w:eastAsia="宋体" w:cs="宋体"/>
                <w:color w:val="auto"/>
                <w:sz w:val="24"/>
                <w:szCs w:val="24"/>
                <w:highlight w:val="none"/>
                <w:u w:val="single"/>
                <w:lang w:eastAsia="zh-CN"/>
              </w:rPr>
            </w:pP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u w:val="single"/>
                <w:lang w:eastAsia="zh-CN"/>
              </w:rPr>
              <w:t>XM2025-DZ0026</w:t>
            </w:r>
          </w:p>
          <w:p w14:paraId="0A1B4CFB">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采购预算：人民币</w:t>
            </w:r>
            <w:r>
              <w:rPr>
                <w:rFonts w:hint="eastAsia" w:ascii="宋体" w:hAnsi="宋体" w:cs="宋体"/>
                <w:color w:val="auto"/>
                <w:sz w:val="24"/>
                <w:szCs w:val="24"/>
                <w:highlight w:val="none"/>
                <w:u w:val="single"/>
                <w:lang w:val="en-US" w:eastAsia="zh-CN"/>
              </w:rPr>
              <w:t>4200.31778</w:t>
            </w:r>
            <w:r>
              <w:rPr>
                <w:rFonts w:hint="eastAsia" w:ascii="宋体" w:hAnsi="宋体" w:cs="宋体"/>
                <w:color w:val="auto"/>
                <w:sz w:val="24"/>
                <w:szCs w:val="24"/>
                <w:highlight w:val="none"/>
                <w:u w:val="single"/>
              </w:rPr>
              <w:t>万元整</w:t>
            </w:r>
          </w:p>
        </w:tc>
      </w:tr>
      <w:tr w14:paraId="3FBCE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ign w:val="center"/>
          </w:tcPr>
          <w:p w14:paraId="0EDB133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1080" w:type="dxa"/>
            <w:noWrap/>
            <w:vAlign w:val="center"/>
          </w:tcPr>
          <w:p w14:paraId="042BA63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7380" w:type="dxa"/>
            <w:noWrap/>
            <w:vAlign w:val="center"/>
          </w:tcPr>
          <w:p w14:paraId="1FF7F64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资格标准：</w:t>
            </w:r>
          </w:p>
          <w:p w14:paraId="150548E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详见第二章《投标人须知》第3条，以及第三章《招标内容及要求》有关内容。</w:t>
            </w:r>
          </w:p>
        </w:tc>
      </w:tr>
      <w:tr w14:paraId="084E4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3745D75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1080" w:type="dxa"/>
            <w:noWrap/>
            <w:vAlign w:val="center"/>
          </w:tcPr>
          <w:p w14:paraId="4A5DECA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11.1</w:t>
            </w:r>
          </w:p>
        </w:tc>
        <w:tc>
          <w:tcPr>
            <w:tcW w:w="7380" w:type="dxa"/>
            <w:noWrap/>
            <w:vAlign w:val="center"/>
          </w:tcPr>
          <w:p w14:paraId="67B1569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投标有效期：投标截止之日起</w:t>
            </w:r>
            <w:r>
              <w:rPr>
                <w:rFonts w:hint="eastAsia" w:ascii="宋体" w:hAnsi="宋体" w:cs="宋体"/>
                <w:color w:val="auto"/>
                <w:sz w:val="24"/>
                <w:szCs w:val="24"/>
                <w:highlight w:val="none"/>
                <w:u w:val="single"/>
              </w:rPr>
              <w:t>180</w:t>
            </w:r>
            <w:r>
              <w:rPr>
                <w:rFonts w:hint="eastAsia" w:ascii="宋体" w:hAnsi="宋体" w:cs="宋体"/>
                <w:color w:val="auto"/>
                <w:sz w:val="24"/>
                <w:szCs w:val="24"/>
                <w:highlight w:val="none"/>
              </w:rPr>
              <w:t>个日历日。</w:t>
            </w:r>
          </w:p>
          <w:p w14:paraId="389DC7C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有效期不足将导致其投标文件被拒绝。</w:t>
            </w:r>
          </w:p>
        </w:tc>
      </w:tr>
      <w:tr w14:paraId="4BA95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7688731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1080" w:type="dxa"/>
            <w:noWrap/>
            <w:vAlign w:val="center"/>
          </w:tcPr>
          <w:p w14:paraId="7F68C07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7380" w:type="dxa"/>
            <w:noWrap/>
            <w:vAlign w:val="center"/>
          </w:tcPr>
          <w:p w14:paraId="424B7A8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投标保证金：人民币80万元整</w:t>
            </w:r>
          </w:p>
          <w:p w14:paraId="5060C5C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①投标保证金以转账、电汇两种形式提交（不收取现金、现金支票，不能用个人卡在银联支付系统转账，否则作未提交投标保证金处理）。</w:t>
            </w:r>
          </w:p>
          <w:p w14:paraId="1F5AA38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②若项目存在分合同包采购的，则投标保证金应按不同的合同包号分别提交。</w:t>
            </w:r>
          </w:p>
          <w:p w14:paraId="1EB4435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③经评审，若所有采购标的均为中小企业（含个体工商户）制造的货物，或者监狱企业提供本单位制造的货物；或者残疾人福利性单位提供本单位制造的货物（或提供其他残疾人福利性单位制造的货物），投标保证金全免交纳。全免交纳投标保证金的投标人应按照招标文件格式要求在投标文件中提供《中小企业声明函》。</w:t>
            </w:r>
          </w:p>
          <w:p w14:paraId="13C4DE73">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④</w:t>
            </w:r>
            <w:r>
              <w:rPr>
                <w:rFonts w:hint="eastAsia" w:ascii="宋体" w:hAnsi="宋体" w:cs="宋体"/>
                <w:color w:val="auto"/>
                <w:kern w:val="0"/>
                <w:sz w:val="24"/>
                <w:szCs w:val="24"/>
                <w:highlight w:val="none"/>
              </w:rPr>
              <w:t>投标保证金应在投标截止时间前到账。</w:t>
            </w:r>
          </w:p>
          <w:p w14:paraId="28F08BBC">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未按前述规定缴交投标保证金的，投标无效。</w:t>
            </w:r>
          </w:p>
          <w:p w14:paraId="4C9E603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631B8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7607A227">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1080" w:type="dxa"/>
            <w:noWrap/>
            <w:vAlign w:val="center"/>
          </w:tcPr>
          <w:p w14:paraId="17F21A6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19.1</w:t>
            </w:r>
          </w:p>
        </w:tc>
        <w:tc>
          <w:tcPr>
            <w:tcW w:w="7380" w:type="dxa"/>
            <w:noWrap/>
            <w:vAlign w:val="center"/>
          </w:tcPr>
          <w:p w14:paraId="42D8F33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评标方法、标准及定标原则(含推荐中标候选供应商数量)：</w:t>
            </w:r>
          </w:p>
          <w:p w14:paraId="120308FC">
            <w:pPr>
              <w:pStyle w:val="6"/>
              <w:spacing w:line="360" w:lineRule="auto"/>
              <w:rPr>
                <w:rFonts w:hAnsi="宋体" w:cs="宋体"/>
                <w:color w:val="auto"/>
                <w:sz w:val="24"/>
                <w:szCs w:val="24"/>
                <w:highlight w:val="none"/>
              </w:rPr>
            </w:pPr>
            <w:r>
              <w:rPr>
                <w:rFonts w:hint="eastAsia" w:hAnsi="宋体" w:cs="宋体"/>
                <w:color w:val="auto"/>
                <w:sz w:val="24"/>
                <w:szCs w:val="24"/>
                <w:highlight w:val="none"/>
              </w:rPr>
              <w:t>详见《投标人须知前附表3》。</w:t>
            </w:r>
          </w:p>
        </w:tc>
      </w:tr>
      <w:tr w14:paraId="20D59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1B6D713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1080" w:type="dxa"/>
            <w:noWrap/>
            <w:vAlign w:val="center"/>
          </w:tcPr>
          <w:p w14:paraId="7818BAB0">
            <w:pPr>
              <w:spacing w:line="360" w:lineRule="auto"/>
              <w:ind w:right="-63" w:rightChars="-30"/>
              <w:rPr>
                <w:rFonts w:ascii="宋体" w:hAnsi="宋体" w:cs="宋体"/>
                <w:color w:val="auto"/>
                <w:sz w:val="24"/>
                <w:szCs w:val="24"/>
                <w:highlight w:val="none"/>
              </w:rPr>
            </w:pPr>
            <w:r>
              <w:rPr>
                <w:rFonts w:hint="eastAsia" w:ascii="宋体" w:hAnsi="宋体" w:cs="宋体"/>
                <w:color w:val="auto"/>
                <w:sz w:val="24"/>
                <w:szCs w:val="24"/>
                <w:highlight w:val="none"/>
              </w:rPr>
              <w:t>12.9</w:t>
            </w:r>
          </w:p>
        </w:tc>
        <w:tc>
          <w:tcPr>
            <w:tcW w:w="7380" w:type="dxa"/>
            <w:noWrap/>
            <w:vAlign w:val="center"/>
          </w:tcPr>
          <w:p w14:paraId="094C8A4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代理服务费：</w:t>
            </w:r>
          </w:p>
          <w:p w14:paraId="649EED51">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1、代理服务费收费标准：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6E74C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47774BF5">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中标金额(万元)</w:t>
                  </w:r>
                </w:p>
              </w:tc>
              <w:tc>
                <w:tcPr>
                  <w:tcW w:w="2700" w:type="dxa"/>
                  <w:noWrap/>
                </w:tcPr>
                <w:p w14:paraId="6489617F">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费率</w:t>
                  </w:r>
                </w:p>
              </w:tc>
            </w:tr>
            <w:tr w14:paraId="16CE8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7006D14A">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[0―100]</w:t>
                  </w:r>
                </w:p>
              </w:tc>
              <w:tc>
                <w:tcPr>
                  <w:tcW w:w="2700" w:type="dxa"/>
                  <w:noWrap/>
                </w:tcPr>
                <w:p w14:paraId="3CD48B32">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1.5%</w:t>
                  </w:r>
                </w:p>
              </w:tc>
            </w:tr>
            <w:tr w14:paraId="2DB0D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0FBF2FBB">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（100－500]</w:t>
                  </w:r>
                </w:p>
              </w:tc>
              <w:tc>
                <w:tcPr>
                  <w:tcW w:w="2700" w:type="dxa"/>
                  <w:noWrap/>
                </w:tcPr>
                <w:p w14:paraId="67D820A2">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1.1%</w:t>
                  </w:r>
                </w:p>
              </w:tc>
            </w:tr>
            <w:tr w14:paraId="30F08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584B026B">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（500-1000]</w:t>
                  </w:r>
                </w:p>
              </w:tc>
              <w:tc>
                <w:tcPr>
                  <w:tcW w:w="2700" w:type="dxa"/>
                  <w:noWrap/>
                </w:tcPr>
                <w:p w14:paraId="2F4CA820">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0.8%</w:t>
                  </w:r>
                </w:p>
              </w:tc>
            </w:tr>
            <w:tr w14:paraId="2E475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2A117F0F">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（1000-5000]</w:t>
                  </w:r>
                </w:p>
              </w:tc>
              <w:tc>
                <w:tcPr>
                  <w:tcW w:w="2700" w:type="dxa"/>
                  <w:noWrap/>
                </w:tcPr>
                <w:p w14:paraId="231095C8">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0.5%</w:t>
                  </w:r>
                </w:p>
              </w:tc>
            </w:tr>
            <w:tr w14:paraId="61032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2F8AFACE">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（5000-10000]</w:t>
                  </w:r>
                </w:p>
              </w:tc>
              <w:tc>
                <w:tcPr>
                  <w:tcW w:w="2700" w:type="dxa"/>
                  <w:noWrap/>
                </w:tcPr>
                <w:p w14:paraId="6F3C4E05">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0.25%</w:t>
                  </w:r>
                </w:p>
              </w:tc>
            </w:tr>
            <w:tr w14:paraId="7A812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5AC7D261">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（10000-50000]</w:t>
                  </w:r>
                </w:p>
              </w:tc>
              <w:tc>
                <w:tcPr>
                  <w:tcW w:w="2700" w:type="dxa"/>
                  <w:noWrap/>
                </w:tcPr>
                <w:p w14:paraId="33B62E1D">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0.05%</w:t>
                  </w:r>
                </w:p>
              </w:tc>
            </w:tr>
            <w:tr w14:paraId="44DC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04DB2986">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（50000-100000]</w:t>
                  </w:r>
                </w:p>
              </w:tc>
              <w:tc>
                <w:tcPr>
                  <w:tcW w:w="2700" w:type="dxa"/>
                  <w:noWrap/>
                </w:tcPr>
                <w:p w14:paraId="583B174B">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0.035%</w:t>
                  </w:r>
                </w:p>
              </w:tc>
            </w:tr>
          </w:tbl>
          <w:p w14:paraId="14F00F6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1、代理服务费的收取按差额定率累进法计算,由中标供应商支付。中标服务费按每个《定货单》金额分别收取，定单金额不予累加，中标供应商最迟在采购单位发出《定货单》之日起10个工作日内向招标代理机构缴交中标服务费。</w:t>
            </w:r>
          </w:p>
          <w:p w14:paraId="257BCD1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2、中标供应商以转账或汇款方式提交。</w:t>
            </w:r>
          </w:p>
          <w:p w14:paraId="46D850B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经评审，若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tc>
      </w:tr>
      <w:tr w14:paraId="30931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ign w:val="center"/>
          </w:tcPr>
          <w:p w14:paraId="40C89D1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1080" w:type="dxa"/>
            <w:tcBorders>
              <w:top w:val="single" w:color="auto" w:sz="4" w:space="0"/>
              <w:left w:val="single" w:color="auto" w:sz="4" w:space="0"/>
              <w:bottom w:val="single" w:color="auto" w:sz="4" w:space="0"/>
              <w:right w:val="single" w:color="auto" w:sz="4" w:space="0"/>
            </w:tcBorders>
            <w:noWrap/>
            <w:vAlign w:val="center"/>
          </w:tcPr>
          <w:p w14:paraId="5C1144E1">
            <w:pPr>
              <w:spacing w:line="360" w:lineRule="auto"/>
              <w:jc w:val="center"/>
              <w:rPr>
                <w:rFonts w:ascii="宋体" w:hAnsi="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ign w:val="center"/>
          </w:tcPr>
          <w:p w14:paraId="183383D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监督管理部门：厦门市财政局。</w:t>
            </w:r>
          </w:p>
        </w:tc>
      </w:tr>
      <w:tr w14:paraId="01A8F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ign w:val="center"/>
          </w:tcPr>
          <w:p w14:paraId="0D31ADF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1080" w:type="dxa"/>
            <w:tcBorders>
              <w:top w:val="single" w:color="auto" w:sz="4" w:space="0"/>
              <w:left w:val="single" w:color="auto" w:sz="4" w:space="0"/>
              <w:bottom w:val="single" w:color="auto" w:sz="4" w:space="0"/>
              <w:right w:val="single" w:color="auto" w:sz="4" w:space="0"/>
            </w:tcBorders>
            <w:noWrap/>
            <w:vAlign w:val="center"/>
          </w:tcPr>
          <w:p w14:paraId="6F8971E2">
            <w:pPr>
              <w:spacing w:line="360" w:lineRule="auto"/>
              <w:jc w:val="center"/>
              <w:rPr>
                <w:rFonts w:ascii="宋体" w:hAnsi="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ign w:val="center"/>
          </w:tcPr>
          <w:p w14:paraId="1B4811C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是否允许进口产品参加本采购项目：</w:t>
            </w: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eq \o\ac(</w:instrText>
            </w:r>
            <w:r>
              <w:rPr>
                <w:rFonts w:hint="eastAsia" w:ascii="宋体" w:hAnsi="宋体" w:cs="宋体"/>
                <w:color w:val="auto"/>
                <w:position w:val="-4"/>
                <w:sz w:val="36"/>
                <w:szCs w:val="24"/>
                <w:highlight w:val="none"/>
              </w:rPr>
              <w:instrText xml:space="preserve">□</w:instrText>
            </w:r>
            <w:r>
              <w:rPr>
                <w:rFonts w:hint="eastAsia" w:ascii="宋体" w:hAnsi="宋体" w:cs="宋体"/>
                <w:color w:val="auto"/>
                <w:sz w:val="24"/>
                <w:szCs w:val="24"/>
                <w:highlight w:val="none"/>
              </w:rPr>
              <w:instrText xml:space="preserve">,√)</w:instrTex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否</w:t>
            </w:r>
          </w:p>
        </w:tc>
      </w:tr>
    </w:tbl>
    <w:p w14:paraId="1C663063">
      <w:pPr>
        <w:tabs>
          <w:tab w:val="left" w:pos="-1080"/>
          <w:tab w:val="left" w:pos="180"/>
          <w:tab w:val="left" w:pos="1080"/>
        </w:tabs>
        <w:spacing w:line="360" w:lineRule="auto"/>
        <w:rPr>
          <w:rFonts w:ascii="宋体" w:hAnsi="宋体" w:cs="宋体"/>
          <w:b/>
          <w:color w:val="auto"/>
          <w:sz w:val="24"/>
          <w:szCs w:val="24"/>
          <w:highlight w:val="none"/>
        </w:rPr>
      </w:pPr>
    </w:p>
    <w:p w14:paraId="60D0F483">
      <w:pPr>
        <w:spacing w:line="360" w:lineRule="auto"/>
        <w:jc w:val="center"/>
        <w:rPr>
          <w:rFonts w:ascii="宋体" w:hAnsi="宋体" w:cs="宋体"/>
          <w:b/>
          <w:bCs/>
          <w:color w:val="auto"/>
          <w:sz w:val="24"/>
          <w:szCs w:val="24"/>
          <w:highlight w:val="none"/>
          <w:u w:val="single"/>
        </w:rPr>
      </w:pPr>
    </w:p>
    <w:p w14:paraId="73ACB8B9">
      <w:pPr>
        <w:spacing w:line="360" w:lineRule="auto"/>
        <w:jc w:val="center"/>
        <w:rPr>
          <w:rFonts w:ascii="宋体" w:hAnsi="宋体" w:cs="宋体"/>
          <w:b/>
          <w:bCs/>
          <w:color w:val="auto"/>
          <w:sz w:val="24"/>
          <w:szCs w:val="24"/>
          <w:highlight w:val="none"/>
          <w:u w:val="single"/>
        </w:rPr>
      </w:pPr>
    </w:p>
    <w:p w14:paraId="40F3CCB5">
      <w:pPr>
        <w:spacing w:line="360" w:lineRule="auto"/>
        <w:jc w:val="center"/>
        <w:rPr>
          <w:rFonts w:ascii="宋体" w:hAnsi="宋体" w:cs="宋体"/>
          <w:b/>
          <w:bCs/>
          <w:color w:val="auto"/>
          <w:sz w:val="24"/>
          <w:szCs w:val="24"/>
          <w:highlight w:val="none"/>
          <w:u w:val="single"/>
        </w:rPr>
      </w:pPr>
    </w:p>
    <w:p w14:paraId="2D0AB0CC">
      <w:pPr>
        <w:spacing w:line="360" w:lineRule="auto"/>
        <w:jc w:val="center"/>
        <w:rPr>
          <w:rFonts w:ascii="宋体" w:hAnsi="宋体" w:cs="宋体"/>
          <w:b/>
          <w:bCs/>
          <w:color w:val="auto"/>
          <w:sz w:val="32"/>
          <w:szCs w:val="32"/>
          <w:highlight w:val="none"/>
          <w:u w:val="single"/>
        </w:rPr>
      </w:pPr>
      <w:r>
        <w:rPr>
          <w:rFonts w:hint="eastAsia" w:ascii="宋体" w:hAnsi="宋体" w:cs="宋体"/>
          <w:b/>
          <w:bCs/>
          <w:color w:val="auto"/>
          <w:sz w:val="32"/>
          <w:szCs w:val="32"/>
          <w:highlight w:val="none"/>
          <w:u w:val="single"/>
        </w:rPr>
        <w:t>投标人须知前附表2:资格性、符合性检查表</w:t>
      </w:r>
    </w:p>
    <w:p w14:paraId="42802F6F">
      <w:pPr>
        <w:spacing w:line="360" w:lineRule="auto"/>
        <w:ind w:firstLine="527"/>
        <w:rPr>
          <w:rFonts w:ascii="宋体" w:hAnsi="宋体" w:cs="宋体"/>
          <w:color w:val="auto"/>
          <w:sz w:val="24"/>
          <w:szCs w:val="24"/>
          <w:highlight w:val="none"/>
        </w:rPr>
      </w:pPr>
      <w:r>
        <w:rPr>
          <w:rFonts w:hint="eastAsia" w:ascii="宋体" w:hAnsi="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ascii="宋体" w:hAnsi="宋体" w:cs="宋体"/>
          <w:color w:val="auto"/>
          <w:sz w:val="24"/>
          <w:szCs w:val="24"/>
          <w:highlight w:val="none"/>
        </w:rPr>
        <w:t>2</w:t>
      </w:r>
      <w:r>
        <w:rPr>
          <w:rFonts w:hint="eastAsia" w:ascii="宋体" w:hAnsi="宋体" w:cs="宋体"/>
          <w:color w:val="auto"/>
          <w:sz w:val="24"/>
          <w:szCs w:val="24"/>
          <w:highlight w:val="none"/>
        </w:rPr>
        <w:t>的条款号是与</w:t>
      </w:r>
      <w:r>
        <w:rPr>
          <w:rFonts w:ascii="宋体" w:hAnsi="宋体" w:cs="宋体"/>
          <w:color w:val="auto"/>
          <w:sz w:val="24"/>
          <w:szCs w:val="24"/>
          <w:highlight w:val="none"/>
        </w:rPr>
        <w:t>固定部分第二章</w:t>
      </w:r>
      <w:r>
        <w:rPr>
          <w:rFonts w:hint="eastAsia" w:ascii="宋体" w:hAnsi="宋体" w:cs="宋体"/>
          <w:color w:val="auto"/>
          <w:sz w:val="24"/>
          <w:szCs w:val="24"/>
          <w:highlight w:val="none"/>
        </w:rPr>
        <w:t xml:space="preserve">《投标人须知》中条款的项号相对应的。如有矛盾，应以本须知前附表为准。 </w:t>
      </w:r>
    </w:p>
    <w:tbl>
      <w:tblPr>
        <w:tblStyle w:val="12"/>
        <w:tblW w:w="8739"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696"/>
        <w:gridCol w:w="1422"/>
        <w:gridCol w:w="5925"/>
      </w:tblGrid>
      <w:tr w14:paraId="191B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noWrap/>
          </w:tcPr>
          <w:p w14:paraId="67617F89">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资格性要求</w:t>
            </w:r>
          </w:p>
        </w:tc>
      </w:tr>
      <w:tr w14:paraId="2B7B7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56C388F5">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项</w:t>
            </w:r>
          </w:p>
          <w:p w14:paraId="4C14B593">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号</w:t>
            </w:r>
          </w:p>
        </w:tc>
        <w:tc>
          <w:tcPr>
            <w:tcW w:w="696" w:type="dxa"/>
            <w:tcBorders>
              <w:bottom w:val="single" w:color="auto" w:sz="4" w:space="0"/>
            </w:tcBorders>
            <w:noWrap/>
            <w:vAlign w:val="center"/>
          </w:tcPr>
          <w:p w14:paraId="4895F26B">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章</w:t>
            </w:r>
          </w:p>
        </w:tc>
        <w:tc>
          <w:tcPr>
            <w:tcW w:w="1422" w:type="dxa"/>
            <w:tcBorders>
              <w:bottom w:val="single" w:color="auto" w:sz="4" w:space="0"/>
            </w:tcBorders>
            <w:noWrap/>
            <w:vAlign w:val="center"/>
          </w:tcPr>
          <w:p w14:paraId="6CE29B42">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条款号</w:t>
            </w:r>
          </w:p>
        </w:tc>
        <w:tc>
          <w:tcPr>
            <w:tcW w:w="5925" w:type="dxa"/>
            <w:tcBorders>
              <w:bottom w:val="single" w:color="auto" w:sz="4" w:space="0"/>
            </w:tcBorders>
            <w:noWrap/>
            <w:vAlign w:val="center"/>
          </w:tcPr>
          <w:p w14:paraId="2B553589">
            <w:pPr>
              <w:tabs>
                <w:tab w:val="left" w:pos="2848"/>
              </w:tabs>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具体内容</w:t>
            </w:r>
          </w:p>
        </w:tc>
      </w:tr>
      <w:tr w14:paraId="17903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554C896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ign w:val="center"/>
          </w:tcPr>
          <w:p w14:paraId="4389B5E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4894CED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5925" w:type="dxa"/>
            <w:tcBorders>
              <w:top w:val="single" w:color="auto" w:sz="4" w:space="0"/>
              <w:left w:val="single" w:color="auto" w:sz="4" w:space="0"/>
              <w:bottom w:val="single" w:color="auto" w:sz="4" w:space="0"/>
              <w:right w:val="single" w:color="auto" w:sz="4" w:space="0"/>
            </w:tcBorders>
            <w:noWrap/>
            <w:vAlign w:val="center"/>
          </w:tcPr>
          <w:p w14:paraId="4CCF538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合格的投标人</w:t>
            </w:r>
          </w:p>
          <w:p w14:paraId="65E72AE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具体内容详见第二章第3条“合格的投标人”。</w:t>
            </w:r>
          </w:p>
        </w:tc>
      </w:tr>
      <w:tr w14:paraId="2D6AB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4CE6C5C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ign w:val="center"/>
          </w:tcPr>
          <w:p w14:paraId="5ACA7C4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55077C3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3.1</w:t>
            </w:r>
          </w:p>
        </w:tc>
        <w:tc>
          <w:tcPr>
            <w:tcW w:w="5925" w:type="dxa"/>
            <w:tcBorders>
              <w:top w:val="single" w:color="auto" w:sz="4" w:space="0"/>
              <w:left w:val="single" w:color="auto" w:sz="4" w:space="0"/>
              <w:bottom w:val="single" w:color="auto" w:sz="4" w:space="0"/>
              <w:right w:val="single" w:color="auto" w:sz="4" w:space="0"/>
            </w:tcBorders>
            <w:noWrap/>
            <w:vAlign w:val="center"/>
          </w:tcPr>
          <w:p w14:paraId="5C0DB78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611C789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投标人应具备《中华人民共和国政府采购法》第二十二条第一款规定的条件，并提供以下材料：</w:t>
            </w:r>
          </w:p>
          <w:p w14:paraId="0D9DC594">
            <w:pPr>
              <w:spacing w:line="360" w:lineRule="auto"/>
              <w:ind w:firstLine="319" w:firstLineChars="133"/>
              <w:rPr>
                <w:rFonts w:ascii="宋体" w:hAnsi="宋体" w:cs="宋体"/>
                <w:color w:val="auto"/>
                <w:sz w:val="24"/>
                <w:szCs w:val="24"/>
                <w:highlight w:val="none"/>
              </w:rPr>
            </w:pPr>
            <w:r>
              <w:rPr>
                <w:rFonts w:hint="eastAsia" w:ascii="宋体" w:hAnsi="宋体" w:cs="宋体"/>
                <w:color w:val="auto"/>
                <w:sz w:val="24"/>
                <w:szCs w:val="24"/>
                <w:highlight w:val="none"/>
              </w:rPr>
              <w:t>（1）法人或者其他组织的营业执照等证明文件，自然人的身份证明；</w:t>
            </w:r>
          </w:p>
          <w:p w14:paraId="52D3CE42">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投标人是法人或者其他组织的应提供营业执照等证明文件，投标人是自然人的应提供有效的自然人身份证明。</w:t>
            </w:r>
          </w:p>
          <w:p w14:paraId="36927EF1">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（2）投标人已提供加载有统一社会信用代码营业执照的，视为已提供税务登记证和组织机构代码证。</w:t>
            </w:r>
          </w:p>
          <w:p w14:paraId="22991EC4">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（3）按要求提供福建省政府采购供应商资格承诺函。</w:t>
            </w:r>
          </w:p>
        </w:tc>
      </w:tr>
      <w:tr w14:paraId="5D8B1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28371182">
            <w:pPr>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ign w:val="center"/>
          </w:tcPr>
          <w:p w14:paraId="0D4E067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20AAEA2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w:t>
            </w:r>
          </w:p>
        </w:tc>
        <w:tc>
          <w:tcPr>
            <w:tcW w:w="5925" w:type="dxa"/>
            <w:tcBorders>
              <w:top w:val="single" w:color="auto" w:sz="4" w:space="0"/>
              <w:left w:val="single" w:color="auto" w:sz="4" w:space="0"/>
              <w:bottom w:val="single" w:color="auto" w:sz="4" w:space="0"/>
              <w:right w:val="single" w:color="auto" w:sz="4" w:space="0"/>
            </w:tcBorders>
            <w:noWrap/>
            <w:vAlign w:val="center"/>
          </w:tcPr>
          <w:p w14:paraId="499D745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3.5如本项目接受联合体投标，则两个或者两个以上投标人可以组成一个投标联合体，以一个投标人的身份投标。</w:t>
            </w:r>
          </w:p>
          <w:p w14:paraId="1419330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以联合体形式参加投标的，联合体各方均应当符合合格的投标人相关规定。采购单位根据采购项目的特殊要求规定投标人特定条件的，联合体各方中至少应当有一方符合采购单位规定的特定条件，如联合体各方中没有一方符合特定条件的，该联合体投标无效。</w:t>
            </w:r>
          </w:p>
          <w:p w14:paraId="1B0BA49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68F6F04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（3）项目如涉及资质要求，该部分内容应由联合体中具有该资质要求的投标人承担。联合体协议及签订的采购合同应包含此项内容。</w:t>
            </w:r>
          </w:p>
          <w:p w14:paraId="0D1FB2CA">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（4）联合体中有同类资质的投标人按照联合体分工承担相同工作的，应当按照资质等级较低的投标人确定资质等级。</w:t>
            </w:r>
          </w:p>
        </w:tc>
      </w:tr>
      <w:tr w14:paraId="56F59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77301FD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ign w:val="center"/>
          </w:tcPr>
          <w:p w14:paraId="4B3DE99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68EBF5D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3.6</w:t>
            </w:r>
          </w:p>
        </w:tc>
        <w:tc>
          <w:tcPr>
            <w:tcW w:w="5925" w:type="dxa"/>
            <w:tcBorders>
              <w:top w:val="single" w:color="auto" w:sz="4" w:space="0"/>
              <w:left w:val="single" w:color="auto" w:sz="4" w:space="0"/>
              <w:bottom w:val="single" w:color="auto" w:sz="4" w:space="0"/>
              <w:right w:val="single" w:color="auto" w:sz="4" w:space="0"/>
            </w:tcBorders>
            <w:noWrap/>
            <w:vAlign w:val="center"/>
          </w:tcPr>
          <w:p w14:paraId="549AA40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3.6属于联合体投标的，由联合体中的一方负责网上投标事宜，该方的网上投标行为及其递交的投标文件等资料对联合体各方均具有约束力。</w:t>
            </w:r>
          </w:p>
        </w:tc>
      </w:tr>
      <w:tr w14:paraId="3D41B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136653D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ign w:val="center"/>
          </w:tcPr>
          <w:p w14:paraId="2192A7D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7E7A885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3.7</w:t>
            </w:r>
          </w:p>
        </w:tc>
        <w:tc>
          <w:tcPr>
            <w:tcW w:w="5925" w:type="dxa"/>
            <w:tcBorders>
              <w:top w:val="single" w:color="auto" w:sz="4" w:space="0"/>
              <w:left w:val="single" w:color="auto" w:sz="4" w:space="0"/>
              <w:bottom w:val="single" w:color="auto" w:sz="4" w:space="0"/>
              <w:right w:val="single" w:color="auto" w:sz="4" w:space="0"/>
            </w:tcBorders>
            <w:noWrap/>
            <w:vAlign w:val="center"/>
          </w:tcPr>
          <w:p w14:paraId="55FC757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3.7投标代理人在同一个项目中只能接受一个投标人的委托参加投标。</w:t>
            </w:r>
          </w:p>
        </w:tc>
      </w:tr>
      <w:tr w14:paraId="03D29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416D642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ign w:val="center"/>
          </w:tcPr>
          <w:p w14:paraId="3293D49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6F34C23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3.9</w:t>
            </w:r>
          </w:p>
        </w:tc>
        <w:tc>
          <w:tcPr>
            <w:tcW w:w="5925" w:type="dxa"/>
            <w:tcBorders>
              <w:top w:val="single" w:color="auto" w:sz="4" w:space="0"/>
              <w:left w:val="single" w:color="auto" w:sz="4" w:space="0"/>
              <w:bottom w:val="single" w:color="auto" w:sz="4" w:space="0"/>
              <w:right w:val="single" w:color="auto" w:sz="4" w:space="0"/>
            </w:tcBorders>
            <w:noWrap/>
            <w:vAlign w:val="center"/>
          </w:tcPr>
          <w:p w14:paraId="5B92C1C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3.9投标人必须在招标文件购买截止时间前，上网点击相关费用缴交，并将相关费用缴交至收款单位账户。否则投标人将无权下载招标文件，且不具备投标资格。</w:t>
            </w:r>
          </w:p>
        </w:tc>
      </w:tr>
      <w:tr w14:paraId="74DAC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50FBBD4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noWrap/>
            <w:vAlign w:val="center"/>
          </w:tcPr>
          <w:p w14:paraId="1826BA67">
            <w:pPr>
              <w:spacing w:line="360" w:lineRule="auto"/>
              <w:jc w:val="center"/>
              <w:rPr>
                <w:rFonts w:ascii="宋体" w:hAnsi="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ign w:val="center"/>
          </w:tcPr>
          <w:p w14:paraId="63D9348A">
            <w:pPr>
              <w:spacing w:line="360" w:lineRule="auto"/>
              <w:jc w:val="center"/>
              <w:rPr>
                <w:rFonts w:ascii="宋体" w:hAnsi="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ign w:val="center"/>
          </w:tcPr>
          <w:p w14:paraId="30610B4B">
            <w:pPr>
              <w:tabs>
                <w:tab w:val="left" w:pos="630"/>
              </w:tabs>
              <w:spacing w:line="360" w:lineRule="auto"/>
              <w:ind w:firstLine="560"/>
              <w:rPr>
                <w:rFonts w:ascii="宋体" w:hAnsi="宋体" w:cs="宋体"/>
                <w:color w:val="auto"/>
                <w:sz w:val="24"/>
                <w:szCs w:val="24"/>
                <w:highlight w:val="none"/>
              </w:rPr>
            </w:pPr>
            <w:r>
              <w:rPr>
                <w:rFonts w:hint="eastAsia" w:ascii="宋体" w:hAnsi="宋体" w:cs="宋体"/>
                <w:color w:val="auto"/>
                <w:sz w:val="24"/>
                <w:szCs w:val="24"/>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2862A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5D44D08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noWrap/>
          </w:tcPr>
          <w:p w14:paraId="00B7C5B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三</w:t>
            </w:r>
          </w:p>
        </w:tc>
        <w:tc>
          <w:tcPr>
            <w:tcW w:w="1422" w:type="dxa"/>
            <w:tcBorders>
              <w:top w:val="single" w:color="auto" w:sz="4" w:space="0"/>
              <w:left w:val="single" w:color="auto" w:sz="4" w:space="0"/>
              <w:bottom w:val="single" w:color="auto" w:sz="4" w:space="0"/>
              <w:right w:val="single" w:color="auto" w:sz="4" w:space="0"/>
            </w:tcBorders>
            <w:noWrap/>
          </w:tcPr>
          <w:p w14:paraId="1FB5F17B">
            <w:pPr>
              <w:spacing w:line="360" w:lineRule="auto"/>
              <w:jc w:val="center"/>
              <w:rPr>
                <w:rFonts w:ascii="宋体" w:hAnsi="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ign w:val="center"/>
          </w:tcPr>
          <w:p w14:paraId="1D67DFD6">
            <w:pPr>
              <w:keepNext w:val="0"/>
              <w:keepLines w:val="0"/>
              <w:suppressLineNumbers w:val="0"/>
              <w:spacing w:before="0" w:beforeAutospacing="0" w:after="0" w:afterAutospacing="0" w:line="360" w:lineRule="auto"/>
              <w:ind w:left="0" w:leftChars="0" w:right="0" w:rightChars="0" w:firstLine="482" w:firstLineChars="200"/>
              <w:rPr>
                <w:rFonts w:ascii="宋体" w:hAnsi="宋体" w:cs="宋体"/>
                <w:color w:val="auto"/>
                <w:sz w:val="24"/>
                <w:szCs w:val="24"/>
                <w:highlight w:val="none"/>
              </w:rPr>
            </w:pPr>
            <w:r>
              <w:rPr>
                <w:rFonts w:hint="default" w:ascii="宋体" w:hAnsi="宋体" w:cs="宋体"/>
                <w:b/>
                <w:bCs/>
                <w:color w:val="auto"/>
                <w:sz w:val="24"/>
                <w:szCs w:val="24"/>
                <w:highlight w:val="none"/>
              </w:rPr>
              <w:t>*1、投标人应提供工商营业执照（副本）（加盖公章）的复印件，提供税务登记证及组织机构代码证复印件。投标人已提供加载有统一社会信用代码营业执照的，视为已提供税务登记证和组织机构代码证。</w:t>
            </w:r>
          </w:p>
        </w:tc>
      </w:tr>
      <w:tr w14:paraId="4291C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7D2F31A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9</w:t>
            </w:r>
          </w:p>
        </w:tc>
        <w:tc>
          <w:tcPr>
            <w:tcW w:w="696" w:type="dxa"/>
            <w:tcBorders>
              <w:top w:val="single" w:color="auto" w:sz="4" w:space="0"/>
              <w:left w:val="single" w:color="auto" w:sz="4" w:space="0"/>
              <w:bottom w:val="single" w:color="auto" w:sz="4" w:space="0"/>
              <w:right w:val="single" w:color="auto" w:sz="4" w:space="0"/>
            </w:tcBorders>
            <w:noWrap/>
          </w:tcPr>
          <w:p w14:paraId="06E99A3F">
            <w:pPr>
              <w:spacing w:line="360" w:lineRule="auto"/>
              <w:jc w:val="center"/>
              <w:rPr>
                <w:rFonts w:ascii="宋体" w:hAnsi="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tcPr>
          <w:p w14:paraId="597D29F5">
            <w:pPr>
              <w:spacing w:line="360" w:lineRule="auto"/>
              <w:jc w:val="center"/>
              <w:rPr>
                <w:rFonts w:ascii="宋体" w:hAnsi="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ign w:val="top"/>
          </w:tcPr>
          <w:p w14:paraId="174EE976">
            <w:pPr>
              <w:keepNext w:val="0"/>
              <w:keepLines w:val="0"/>
              <w:suppressLineNumbers w:val="0"/>
              <w:spacing w:before="0" w:beforeAutospacing="0" w:after="0" w:afterAutospacing="0" w:line="360" w:lineRule="auto"/>
              <w:ind w:left="0" w:leftChars="0" w:right="0" w:rightChars="0" w:firstLine="482" w:firstLineChars="200"/>
              <w:rPr>
                <w:rFonts w:ascii="宋体" w:hAnsi="宋体" w:cs="宋体"/>
                <w:color w:val="auto"/>
                <w:sz w:val="24"/>
                <w:szCs w:val="24"/>
                <w:highlight w:val="none"/>
              </w:rPr>
            </w:pPr>
            <w:r>
              <w:rPr>
                <w:rFonts w:hint="default" w:ascii="宋体" w:hAnsi="宋体" w:cs="宋体"/>
                <w:b/>
                <w:bCs/>
                <w:color w:val="auto"/>
                <w:sz w:val="24"/>
                <w:szCs w:val="24"/>
                <w:highlight w:val="none"/>
              </w:rPr>
              <w:t>*2、投标人全权代表若不是单位负责人，应提供</w:t>
            </w:r>
            <w:r>
              <w:rPr>
                <w:rFonts w:hint="eastAsia" w:ascii="宋体" w:hAnsi="宋体" w:cs="宋体"/>
                <w:b/>
                <w:bCs/>
                <w:color w:val="auto"/>
                <w:sz w:val="24"/>
                <w:szCs w:val="24"/>
                <w:highlight w:val="none"/>
              </w:rPr>
              <w:t>单位</w:t>
            </w:r>
            <w:r>
              <w:rPr>
                <w:rFonts w:hint="default" w:ascii="宋体" w:hAnsi="宋体" w:cs="宋体"/>
                <w:b/>
                <w:bCs/>
                <w:color w:val="auto"/>
                <w:sz w:val="24"/>
                <w:szCs w:val="24"/>
                <w:highlight w:val="none"/>
              </w:rPr>
              <w:t>授权书原件，并提供被授权代表身份证复印件。</w:t>
            </w:r>
          </w:p>
        </w:tc>
      </w:tr>
      <w:tr w14:paraId="4DCB7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tcBorders>
              <w:top w:val="single" w:color="auto" w:sz="4" w:space="0"/>
              <w:left w:val="single" w:color="auto" w:sz="4" w:space="0"/>
              <w:bottom w:val="single" w:color="auto" w:sz="4" w:space="0"/>
              <w:right w:val="single" w:color="auto" w:sz="4" w:space="0"/>
            </w:tcBorders>
            <w:noWrap/>
            <w:vAlign w:val="center"/>
          </w:tcPr>
          <w:p w14:paraId="03BAF84A">
            <w:pPr>
              <w:spacing w:line="360" w:lineRule="auto"/>
              <w:ind w:firstLine="3373" w:firstLineChars="1400"/>
              <w:rPr>
                <w:rFonts w:ascii="宋体" w:hAnsi="宋体" w:cs="宋体"/>
                <w:color w:val="auto"/>
                <w:sz w:val="24"/>
                <w:szCs w:val="24"/>
                <w:highlight w:val="none"/>
              </w:rPr>
            </w:pPr>
            <w:r>
              <w:rPr>
                <w:rFonts w:hint="eastAsia" w:ascii="宋体" w:hAnsi="宋体" w:cs="宋体"/>
                <w:b/>
                <w:color w:val="auto"/>
                <w:sz w:val="24"/>
                <w:szCs w:val="24"/>
                <w:highlight w:val="none"/>
              </w:rPr>
              <w:t>符合性要求</w:t>
            </w:r>
          </w:p>
        </w:tc>
      </w:tr>
      <w:tr w14:paraId="18E44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36A2AC8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696" w:type="dxa"/>
            <w:tcBorders>
              <w:top w:val="single" w:color="auto" w:sz="4" w:space="0"/>
              <w:left w:val="single" w:color="auto" w:sz="4" w:space="0"/>
              <w:bottom w:val="single" w:color="auto" w:sz="4" w:space="0"/>
              <w:right w:val="single" w:color="auto" w:sz="4" w:space="0"/>
            </w:tcBorders>
            <w:noWrap/>
            <w:vAlign w:val="center"/>
          </w:tcPr>
          <w:p w14:paraId="75C2172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章</w:t>
            </w:r>
          </w:p>
        </w:tc>
        <w:tc>
          <w:tcPr>
            <w:tcW w:w="1422" w:type="dxa"/>
            <w:tcBorders>
              <w:top w:val="single" w:color="auto" w:sz="4" w:space="0"/>
              <w:left w:val="single" w:color="auto" w:sz="4" w:space="0"/>
              <w:bottom w:val="single" w:color="auto" w:sz="4" w:space="0"/>
              <w:right w:val="single" w:color="auto" w:sz="4" w:space="0"/>
            </w:tcBorders>
            <w:noWrap/>
            <w:vAlign w:val="center"/>
          </w:tcPr>
          <w:p w14:paraId="3952919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5925" w:type="dxa"/>
            <w:tcBorders>
              <w:top w:val="single" w:color="auto" w:sz="4" w:space="0"/>
              <w:left w:val="single" w:color="auto" w:sz="4" w:space="0"/>
              <w:bottom w:val="single" w:color="auto" w:sz="4" w:space="0"/>
              <w:right w:val="single" w:color="auto" w:sz="4" w:space="0"/>
            </w:tcBorders>
            <w:noWrap/>
            <w:vAlign w:val="center"/>
          </w:tcPr>
          <w:p w14:paraId="51B94A4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具体内容</w:t>
            </w:r>
          </w:p>
        </w:tc>
      </w:tr>
      <w:tr w14:paraId="43996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652990D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ign w:val="center"/>
          </w:tcPr>
          <w:p w14:paraId="2F0BF7D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一</w:t>
            </w:r>
          </w:p>
        </w:tc>
        <w:tc>
          <w:tcPr>
            <w:tcW w:w="1422" w:type="dxa"/>
            <w:tcBorders>
              <w:top w:val="single" w:color="auto" w:sz="4" w:space="0"/>
              <w:left w:val="single" w:color="auto" w:sz="4" w:space="0"/>
              <w:bottom w:val="single" w:color="auto" w:sz="4" w:space="0"/>
              <w:right w:val="single" w:color="auto" w:sz="4" w:space="0"/>
            </w:tcBorders>
            <w:noWrap/>
            <w:vAlign w:val="center"/>
          </w:tcPr>
          <w:p w14:paraId="1FCB8E6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5925" w:type="dxa"/>
            <w:tcBorders>
              <w:top w:val="single" w:color="auto" w:sz="4" w:space="0"/>
              <w:left w:val="single" w:color="auto" w:sz="4" w:space="0"/>
              <w:bottom w:val="single" w:color="auto" w:sz="4" w:space="0"/>
              <w:right w:val="single" w:color="auto" w:sz="4" w:space="0"/>
            </w:tcBorders>
            <w:noWrap/>
          </w:tcPr>
          <w:p w14:paraId="32F1D94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投标人的投标文件未按规定的投标截止时间之前提交的，其投标将被拒绝。</w:t>
            </w:r>
          </w:p>
        </w:tc>
      </w:tr>
      <w:tr w14:paraId="01B36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6CBB781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ign w:val="center"/>
          </w:tcPr>
          <w:p w14:paraId="3CE1A10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6034BCB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3.2</w:t>
            </w:r>
          </w:p>
        </w:tc>
        <w:tc>
          <w:tcPr>
            <w:tcW w:w="5925" w:type="dxa"/>
            <w:tcBorders>
              <w:top w:val="single" w:color="auto" w:sz="4" w:space="0"/>
              <w:left w:val="single" w:color="auto" w:sz="4" w:space="0"/>
              <w:bottom w:val="single" w:color="auto" w:sz="4" w:space="0"/>
              <w:right w:val="single" w:color="auto" w:sz="4" w:space="0"/>
            </w:tcBorders>
            <w:noWrap/>
            <w:vAlign w:val="center"/>
          </w:tcPr>
          <w:p w14:paraId="7808657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4C936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618AF1D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ign w:val="center"/>
          </w:tcPr>
          <w:p w14:paraId="7F5329B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762C6D9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3.3</w:t>
            </w:r>
          </w:p>
        </w:tc>
        <w:tc>
          <w:tcPr>
            <w:tcW w:w="5925" w:type="dxa"/>
            <w:tcBorders>
              <w:top w:val="single" w:color="auto" w:sz="4" w:space="0"/>
              <w:left w:val="single" w:color="auto" w:sz="4" w:space="0"/>
              <w:bottom w:val="single" w:color="auto" w:sz="4" w:space="0"/>
              <w:right w:val="single" w:color="auto" w:sz="4" w:space="0"/>
            </w:tcBorders>
            <w:noWrap/>
            <w:vAlign w:val="center"/>
          </w:tcPr>
          <w:p w14:paraId="63A7148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3.3一个投标人只能提交一个投标文件。如果投标人之间存在下列互为关联关系的情形之一的，不得同时参加本项目同一合同包投标：</w:t>
            </w:r>
          </w:p>
          <w:p w14:paraId="6FECAB7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(1)法定代表人、单位负责人为同一人或夫妻关系的不同投标人；</w:t>
            </w:r>
          </w:p>
          <w:p w14:paraId="68EAC82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(2)存在直接控股、管理关系的不同投标人；</w:t>
            </w:r>
          </w:p>
          <w:p w14:paraId="07F7DEA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(3)均为同一家母公司直接或间接持股50％及以上的被投资公司。</w:t>
            </w:r>
          </w:p>
        </w:tc>
      </w:tr>
      <w:tr w14:paraId="3E684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1AFCF60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ign w:val="center"/>
          </w:tcPr>
          <w:p w14:paraId="3EABC8A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7F0BF13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3.4</w:t>
            </w:r>
          </w:p>
        </w:tc>
        <w:tc>
          <w:tcPr>
            <w:tcW w:w="5925" w:type="dxa"/>
            <w:tcBorders>
              <w:top w:val="single" w:color="auto" w:sz="4" w:space="0"/>
              <w:left w:val="single" w:color="auto" w:sz="4" w:space="0"/>
              <w:bottom w:val="single" w:color="auto" w:sz="4" w:space="0"/>
              <w:right w:val="single" w:color="auto" w:sz="4" w:space="0"/>
            </w:tcBorders>
            <w:noWrap/>
            <w:vAlign w:val="center"/>
          </w:tcPr>
          <w:p w14:paraId="7768704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7D048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545B954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ign w:val="center"/>
          </w:tcPr>
          <w:p w14:paraId="2025EBC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6682261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3.8</w:t>
            </w:r>
          </w:p>
        </w:tc>
        <w:tc>
          <w:tcPr>
            <w:tcW w:w="5925" w:type="dxa"/>
            <w:tcBorders>
              <w:top w:val="single" w:color="auto" w:sz="4" w:space="0"/>
              <w:left w:val="single" w:color="auto" w:sz="4" w:space="0"/>
              <w:bottom w:val="single" w:color="auto" w:sz="4" w:space="0"/>
              <w:right w:val="single" w:color="auto" w:sz="4" w:space="0"/>
            </w:tcBorders>
            <w:noWrap/>
            <w:vAlign w:val="center"/>
          </w:tcPr>
          <w:p w14:paraId="162B5CF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3.8投标人存在下列情形之一的，将被认定为串通投标行为并作无效投标处理：</w:t>
            </w:r>
          </w:p>
          <w:p w14:paraId="5D5888E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（1）投标人之间协商投标报价等投标文件的实质性内容；</w:t>
            </w:r>
          </w:p>
          <w:p w14:paraId="4FF771B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（2）投标人之间约定中标供应商；</w:t>
            </w:r>
          </w:p>
          <w:p w14:paraId="7F27CF9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（3）投标人之间约定部分投标人放弃投标或者中标；</w:t>
            </w:r>
          </w:p>
          <w:p w14:paraId="477318E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（4）属于同一集团、协会、商会等组织成员的投标人按照该组织要求协同投标；</w:t>
            </w:r>
          </w:p>
          <w:p w14:paraId="45F3984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（5）投标人之间为谋取中标或者排斥特定投标人而采取的其他联合行动；</w:t>
            </w:r>
          </w:p>
          <w:p w14:paraId="0CAD1DA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（6）不同投标人的投标文件由同一单位或者个人编制；</w:t>
            </w:r>
          </w:p>
          <w:p w14:paraId="510FFEB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（7）不同投标人委托同一单位或者个人办理投标事宜；</w:t>
            </w:r>
          </w:p>
          <w:p w14:paraId="5A1AB1A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（8）不同投标人的投标文件载明的项目管理成员或者联系人员为同一人；</w:t>
            </w:r>
          </w:p>
          <w:p w14:paraId="5A8B370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（9）不同投标人的投标文件异常一致或者投标报价呈规律性差异；</w:t>
            </w:r>
          </w:p>
          <w:p w14:paraId="4B0E179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（10）不同投标人的投标文件相互混装；</w:t>
            </w:r>
          </w:p>
          <w:p w14:paraId="6014AC1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（11）不同投标人的投标保证金从同一单位或者个人的账户转出。</w:t>
            </w:r>
          </w:p>
          <w:p w14:paraId="2209377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（12）不同投标人的投标文件错、漏之处一致或雷同，且不能合理解释的；</w:t>
            </w:r>
          </w:p>
          <w:p w14:paraId="553BF66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（13）不同的投标人的法定代表人、委托代理人等由同一个单位缴纳社会保险的；</w:t>
            </w:r>
          </w:p>
          <w:p w14:paraId="1D6DF7C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328539A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（15）有关法律、法规或规章规定的其他串通投标行为。</w:t>
            </w:r>
          </w:p>
        </w:tc>
      </w:tr>
      <w:tr w14:paraId="77D3F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37AB348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ign w:val="center"/>
          </w:tcPr>
          <w:p w14:paraId="57F4A63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44DDFD9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8.1</w:t>
            </w:r>
          </w:p>
        </w:tc>
        <w:tc>
          <w:tcPr>
            <w:tcW w:w="5925" w:type="dxa"/>
            <w:tcBorders>
              <w:top w:val="single" w:color="auto" w:sz="4" w:space="0"/>
              <w:left w:val="single" w:color="auto" w:sz="4" w:space="0"/>
              <w:bottom w:val="single" w:color="auto" w:sz="4" w:space="0"/>
              <w:right w:val="single" w:color="auto" w:sz="4" w:space="0"/>
            </w:tcBorders>
            <w:noWrap/>
          </w:tcPr>
          <w:p w14:paraId="48BB556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8.1投标人应仔细阅读供应商操作手册和招标文件的所有内容，按照相关要求提交投标文件。</w:t>
            </w:r>
            <w:r>
              <w:rPr>
                <w:rFonts w:hint="eastAsia" w:ascii="宋体" w:hAnsi="宋体" w:cs="宋体"/>
                <w:b/>
                <w:color w:val="auto"/>
                <w:sz w:val="24"/>
                <w:szCs w:val="24"/>
                <w:highlight w:val="none"/>
              </w:rPr>
              <w:t>投标文件应对招标文件的要求作出实质性响应，并保证所提供的全部资料的真实性，否则其投标将被拒绝。</w:t>
            </w:r>
          </w:p>
        </w:tc>
      </w:tr>
      <w:tr w14:paraId="6D1D4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583A4F6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noWrap/>
            <w:vAlign w:val="center"/>
          </w:tcPr>
          <w:p w14:paraId="101A09C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6D88739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8.2</w:t>
            </w:r>
          </w:p>
        </w:tc>
        <w:tc>
          <w:tcPr>
            <w:tcW w:w="5925" w:type="dxa"/>
            <w:tcBorders>
              <w:top w:val="single" w:color="auto" w:sz="4" w:space="0"/>
              <w:left w:val="single" w:color="auto" w:sz="4" w:space="0"/>
              <w:bottom w:val="single" w:color="auto" w:sz="4" w:space="0"/>
              <w:right w:val="single" w:color="auto" w:sz="4" w:space="0"/>
            </w:tcBorders>
            <w:noWrap/>
          </w:tcPr>
          <w:p w14:paraId="1A8EC9D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8.2 除非有另外的规定，投标人可对招标货物（服务）一览表所列的全部合同包或部分合同包进行投标。招标采购单位不接受有任何可选择性的报价，每一种货物（服务）只能有一个报价，否则其投标将被拒绝。</w:t>
            </w:r>
          </w:p>
        </w:tc>
      </w:tr>
      <w:tr w14:paraId="408BC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16E9CF8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noWrap/>
            <w:vAlign w:val="center"/>
          </w:tcPr>
          <w:p w14:paraId="21E3F04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30C54215">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10.2</w:t>
            </w:r>
          </w:p>
        </w:tc>
        <w:tc>
          <w:tcPr>
            <w:tcW w:w="5925" w:type="dxa"/>
            <w:tcBorders>
              <w:top w:val="single" w:color="auto" w:sz="4" w:space="0"/>
              <w:left w:val="single" w:color="auto" w:sz="4" w:space="0"/>
              <w:bottom w:val="single" w:color="auto" w:sz="4" w:space="0"/>
              <w:right w:val="single" w:color="auto" w:sz="4" w:space="0"/>
            </w:tcBorders>
            <w:noWrap/>
            <w:vAlign w:val="center"/>
          </w:tcPr>
          <w:p w14:paraId="103596FB">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10.2投标文件必须包括下列部分，否则其投标将按照无效投标处理：</w:t>
            </w:r>
          </w:p>
          <w:p w14:paraId="0EEB5F9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开标一览表</w:t>
            </w:r>
          </w:p>
          <w:p w14:paraId="3E1B5D5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 商务条款响应书</w:t>
            </w:r>
          </w:p>
          <w:p w14:paraId="76054C4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技术条款响应书</w:t>
            </w:r>
          </w:p>
          <w:p w14:paraId="4DA4538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 投标书</w:t>
            </w:r>
          </w:p>
          <w:p w14:paraId="1F6337D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 投标分项报价表</w:t>
            </w:r>
          </w:p>
          <w:p w14:paraId="3CAEFFA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 货物说明一览表</w:t>
            </w:r>
          </w:p>
          <w:p w14:paraId="4AE1805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 供货范围清单</w:t>
            </w:r>
          </w:p>
          <w:p w14:paraId="3A2E4A2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 技术规格和商务响应表</w:t>
            </w:r>
          </w:p>
          <w:p w14:paraId="6CBDCF2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 代理服务费承诺书</w:t>
            </w:r>
          </w:p>
          <w:p w14:paraId="420BA8C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 投标保证金</w:t>
            </w:r>
          </w:p>
        </w:tc>
      </w:tr>
      <w:tr w14:paraId="56F95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1066ECD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9</w:t>
            </w:r>
          </w:p>
        </w:tc>
        <w:tc>
          <w:tcPr>
            <w:tcW w:w="696" w:type="dxa"/>
            <w:tcBorders>
              <w:top w:val="single" w:color="auto" w:sz="4" w:space="0"/>
              <w:left w:val="single" w:color="auto" w:sz="4" w:space="0"/>
              <w:bottom w:val="single" w:color="auto" w:sz="4" w:space="0"/>
              <w:right w:val="single" w:color="auto" w:sz="4" w:space="0"/>
            </w:tcBorders>
            <w:noWrap/>
            <w:vAlign w:val="center"/>
          </w:tcPr>
          <w:p w14:paraId="549D7E5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534270C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11.1</w:t>
            </w:r>
          </w:p>
        </w:tc>
        <w:tc>
          <w:tcPr>
            <w:tcW w:w="5925" w:type="dxa"/>
            <w:tcBorders>
              <w:top w:val="single" w:color="auto" w:sz="4" w:space="0"/>
              <w:left w:val="single" w:color="auto" w:sz="4" w:space="0"/>
              <w:bottom w:val="single" w:color="auto" w:sz="4" w:space="0"/>
              <w:right w:val="single" w:color="auto" w:sz="4" w:space="0"/>
            </w:tcBorders>
            <w:noWrap/>
            <w:vAlign w:val="center"/>
          </w:tcPr>
          <w:p w14:paraId="0D43951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11.1投标有效期：投标截止之日起</w:t>
            </w:r>
            <w:r>
              <w:rPr>
                <w:rFonts w:hint="eastAsia" w:ascii="宋体" w:hAnsi="宋体" w:cs="宋体"/>
                <w:color w:val="auto"/>
                <w:sz w:val="24"/>
                <w:szCs w:val="24"/>
                <w:highlight w:val="none"/>
                <w:u w:val="single"/>
              </w:rPr>
              <w:t>180</w:t>
            </w:r>
            <w:r>
              <w:rPr>
                <w:rFonts w:hint="eastAsia" w:ascii="宋体" w:hAnsi="宋体" w:cs="宋体"/>
                <w:color w:val="auto"/>
                <w:sz w:val="24"/>
                <w:szCs w:val="24"/>
                <w:highlight w:val="none"/>
              </w:rPr>
              <w:t>个日历日。有效期不足将导致其投标文件被拒绝。</w:t>
            </w:r>
          </w:p>
        </w:tc>
      </w:tr>
      <w:tr w14:paraId="0B41D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6729E11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10</w:t>
            </w:r>
          </w:p>
        </w:tc>
        <w:tc>
          <w:tcPr>
            <w:tcW w:w="696" w:type="dxa"/>
            <w:tcBorders>
              <w:top w:val="single" w:color="auto" w:sz="4" w:space="0"/>
              <w:left w:val="single" w:color="auto" w:sz="4" w:space="0"/>
              <w:bottom w:val="single" w:color="auto" w:sz="4" w:space="0"/>
              <w:right w:val="single" w:color="auto" w:sz="4" w:space="0"/>
            </w:tcBorders>
            <w:noWrap/>
            <w:vAlign w:val="center"/>
          </w:tcPr>
          <w:p w14:paraId="5E17F69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5CFCBB0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12.5</w:t>
            </w:r>
          </w:p>
        </w:tc>
        <w:tc>
          <w:tcPr>
            <w:tcW w:w="5925" w:type="dxa"/>
            <w:tcBorders>
              <w:top w:val="single" w:color="auto" w:sz="4" w:space="0"/>
              <w:left w:val="single" w:color="auto" w:sz="4" w:space="0"/>
              <w:bottom w:val="single" w:color="auto" w:sz="4" w:space="0"/>
              <w:right w:val="single" w:color="auto" w:sz="4" w:space="0"/>
            </w:tcBorders>
            <w:noWrap/>
            <w:vAlign w:val="center"/>
          </w:tcPr>
          <w:p w14:paraId="3EBA205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12.5未按要求缴交投标保证金的投标，将被视为无效投标。</w:t>
            </w:r>
          </w:p>
        </w:tc>
      </w:tr>
      <w:tr w14:paraId="3CDB9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17B4D62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696" w:type="dxa"/>
            <w:tcBorders>
              <w:top w:val="single" w:color="auto" w:sz="4" w:space="0"/>
              <w:left w:val="single" w:color="auto" w:sz="4" w:space="0"/>
              <w:bottom w:val="single" w:color="auto" w:sz="4" w:space="0"/>
              <w:right w:val="single" w:color="auto" w:sz="4" w:space="0"/>
            </w:tcBorders>
            <w:noWrap/>
            <w:vAlign w:val="center"/>
          </w:tcPr>
          <w:p w14:paraId="1EA5D21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553FAE71">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14.3</w:t>
            </w:r>
          </w:p>
        </w:tc>
        <w:tc>
          <w:tcPr>
            <w:tcW w:w="5925" w:type="dxa"/>
            <w:tcBorders>
              <w:top w:val="single" w:color="auto" w:sz="4" w:space="0"/>
              <w:left w:val="single" w:color="auto" w:sz="4" w:space="0"/>
              <w:bottom w:val="single" w:color="auto" w:sz="4" w:space="0"/>
              <w:right w:val="single" w:color="auto" w:sz="4" w:space="0"/>
            </w:tcBorders>
            <w:noWrap/>
          </w:tcPr>
          <w:p w14:paraId="2D1F99B0">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14.3投标文件应在投标截止时间前上传成功，已上传但未提示上传成功的投标无效。</w:t>
            </w:r>
          </w:p>
        </w:tc>
      </w:tr>
      <w:tr w14:paraId="19734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145AB27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696" w:type="dxa"/>
            <w:tcBorders>
              <w:top w:val="single" w:color="auto" w:sz="4" w:space="0"/>
              <w:left w:val="single" w:color="auto" w:sz="4" w:space="0"/>
              <w:bottom w:val="single" w:color="auto" w:sz="4" w:space="0"/>
              <w:right w:val="single" w:color="auto" w:sz="4" w:space="0"/>
            </w:tcBorders>
            <w:noWrap/>
            <w:vAlign w:val="center"/>
          </w:tcPr>
          <w:p w14:paraId="33E612A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1FC13071">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15.3.2</w:t>
            </w:r>
          </w:p>
        </w:tc>
        <w:tc>
          <w:tcPr>
            <w:tcW w:w="5925" w:type="dxa"/>
            <w:tcBorders>
              <w:top w:val="single" w:color="auto" w:sz="4" w:space="0"/>
              <w:left w:val="single" w:color="auto" w:sz="4" w:space="0"/>
              <w:bottom w:val="single" w:color="auto" w:sz="4" w:space="0"/>
              <w:right w:val="single" w:color="auto" w:sz="4" w:space="0"/>
            </w:tcBorders>
            <w:noWrap/>
          </w:tcPr>
          <w:p w14:paraId="300C096F">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15.3.2上传成功但解密失败或读取失败的“开标一览表”，其投标人的投标无效。</w:t>
            </w:r>
          </w:p>
        </w:tc>
      </w:tr>
      <w:tr w14:paraId="69364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2E87FD1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13</w:t>
            </w:r>
          </w:p>
        </w:tc>
        <w:tc>
          <w:tcPr>
            <w:tcW w:w="696" w:type="dxa"/>
            <w:tcBorders>
              <w:top w:val="single" w:color="auto" w:sz="4" w:space="0"/>
              <w:left w:val="single" w:color="auto" w:sz="4" w:space="0"/>
              <w:bottom w:val="single" w:color="auto" w:sz="4" w:space="0"/>
              <w:right w:val="single" w:color="auto" w:sz="4" w:space="0"/>
            </w:tcBorders>
            <w:noWrap/>
            <w:vAlign w:val="center"/>
          </w:tcPr>
          <w:p w14:paraId="26D5D0E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5EFFD2D0">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15.3.3</w:t>
            </w:r>
          </w:p>
        </w:tc>
        <w:tc>
          <w:tcPr>
            <w:tcW w:w="5925" w:type="dxa"/>
            <w:tcBorders>
              <w:top w:val="single" w:color="auto" w:sz="4" w:space="0"/>
              <w:left w:val="single" w:color="auto" w:sz="4" w:space="0"/>
              <w:bottom w:val="single" w:color="auto" w:sz="4" w:space="0"/>
              <w:right w:val="single" w:color="auto" w:sz="4" w:space="0"/>
            </w:tcBorders>
            <w:noWrap/>
          </w:tcPr>
          <w:p w14:paraId="65207C5D">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15.3.3若由于投标人未按开标一览表模板制作导致招标代理机构公布其开标一览表时其表格内容无法显示的，视为读取失败，该投标人的投标无效。</w:t>
            </w:r>
          </w:p>
        </w:tc>
      </w:tr>
      <w:tr w14:paraId="6474D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349E21A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14</w:t>
            </w:r>
          </w:p>
        </w:tc>
        <w:tc>
          <w:tcPr>
            <w:tcW w:w="696" w:type="dxa"/>
            <w:tcBorders>
              <w:top w:val="single" w:color="auto" w:sz="4" w:space="0"/>
              <w:left w:val="single" w:color="auto" w:sz="4" w:space="0"/>
              <w:bottom w:val="single" w:color="auto" w:sz="4" w:space="0"/>
              <w:right w:val="single" w:color="auto" w:sz="4" w:space="0"/>
            </w:tcBorders>
            <w:noWrap/>
            <w:vAlign w:val="center"/>
          </w:tcPr>
          <w:p w14:paraId="4D500C4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29D5FD0D">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17.</w:t>
            </w:r>
          </w:p>
        </w:tc>
        <w:tc>
          <w:tcPr>
            <w:tcW w:w="5925" w:type="dxa"/>
            <w:tcBorders>
              <w:top w:val="single" w:color="auto" w:sz="4" w:space="0"/>
              <w:left w:val="single" w:color="auto" w:sz="4" w:space="0"/>
              <w:bottom w:val="single" w:color="auto" w:sz="4" w:space="0"/>
              <w:right w:val="single" w:color="auto" w:sz="4" w:space="0"/>
            </w:tcBorders>
            <w:noWrap/>
          </w:tcPr>
          <w:p w14:paraId="59C141BC">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521F6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2684AFD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15</w:t>
            </w:r>
          </w:p>
        </w:tc>
        <w:tc>
          <w:tcPr>
            <w:tcW w:w="696" w:type="dxa"/>
            <w:tcBorders>
              <w:top w:val="single" w:color="auto" w:sz="4" w:space="0"/>
              <w:left w:val="single" w:color="auto" w:sz="4" w:space="0"/>
              <w:bottom w:val="single" w:color="auto" w:sz="4" w:space="0"/>
              <w:right w:val="single" w:color="auto" w:sz="4" w:space="0"/>
            </w:tcBorders>
            <w:noWrap/>
            <w:vAlign w:val="center"/>
          </w:tcPr>
          <w:p w14:paraId="4EF78DB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7B504F77">
            <w:pPr>
              <w:spacing w:line="360" w:lineRule="auto"/>
              <w:jc w:val="center"/>
              <w:rPr>
                <w:rFonts w:ascii="宋体" w:hAnsi="宋体" w:cs="宋体"/>
                <w:b/>
                <w:color w:val="auto"/>
                <w:sz w:val="24"/>
                <w:szCs w:val="24"/>
                <w:highlight w:val="none"/>
              </w:rPr>
            </w:pPr>
            <w:r>
              <w:rPr>
                <w:rFonts w:hint="eastAsia" w:ascii="宋体" w:hAnsi="宋体" w:cs="宋体"/>
                <w:color w:val="auto"/>
                <w:sz w:val="24"/>
                <w:szCs w:val="24"/>
                <w:highlight w:val="none"/>
              </w:rPr>
              <w:t>17.2</w:t>
            </w:r>
          </w:p>
        </w:tc>
        <w:tc>
          <w:tcPr>
            <w:tcW w:w="5925" w:type="dxa"/>
            <w:tcBorders>
              <w:top w:val="single" w:color="auto" w:sz="4" w:space="0"/>
              <w:left w:val="single" w:color="auto" w:sz="4" w:space="0"/>
              <w:bottom w:val="single" w:color="auto" w:sz="4" w:space="0"/>
              <w:right w:val="single" w:color="auto" w:sz="4" w:space="0"/>
            </w:tcBorders>
            <w:noWrap/>
          </w:tcPr>
          <w:p w14:paraId="02C588A1">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17.2</w:t>
            </w:r>
            <w:r>
              <w:rPr>
                <w:rFonts w:hint="eastAsia" w:ascii="宋体" w:hAnsi="宋体" w:cs="宋体"/>
                <w:b/>
                <w:color w:val="auto"/>
                <w:sz w:val="24"/>
                <w:szCs w:val="24"/>
                <w:highlight w:val="none"/>
              </w:rPr>
              <w:t>如果投标人不接受按上述方法对投标文件中的算术错误进行更正，其投标将按照无效投标处理并被没收投标保证金。</w:t>
            </w:r>
          </w:p>
        </w:tc>
      </w:tr>
      <w:tr w14:paraId="5C917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301D225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16</w:t>
            </w:r>
          </w:p>
        </w:tc>
        <w:tc>
          <w:tcPr>
            <w:tcW w:w="696" w:type="dxa"/>
            <w:tcBorders>
              <w:top w:val="single" w:color="auto" w:sz="4" w:space="0"/>
              <w:left w:val="single" w:color="auto" w:sz="4" w:space="0"/>
              <w:bottom w:val="single" w:color="auto" w:sz="4" w:space="0"/>
              <w:right w:val="single" w:color="auto" w:sz="4" w:space="0"/>
            </w:tcBorders>
            <w:noWrap/>
            <w:vAlign w:val="center"/>
          </w:tcPr>
          <w:p w14:paraId="7DB430C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2675C3B1">
            <w:pPr>
              <w:spacing w:line="360" w:lineRule="auto"/>
              <w:jc w:val="center"/>
              <w:rPr>
                <w:rFonts w:ascii="宋体" w:hAnsi="宋体" w:cs="宋体"/>
                <w:b/>
                <w:color w:val="auto"/>
                <w:sz w:val="24"/>
                <w:szCs w:val="24"/>
                <w:highlight w:val="none"/>
              </w:rPr>
            </w:pPr>
            <w:r>
              <w:rPr>
                <w:rFonts w:hint="eastAsia" w:ascii="宋体" w:hAnsi="宋体" w:cs="宋体"/>
                <w:color w:val="auto"/>
                <w:sz w:val="24"/>
                <w:szCs w:val="24"/>
                <w:highlight w:val="none"/>
              </w:rPr>
              <w:t>17.3.2</w:t>
            </w:r>
          </w:p>
        </w:tc>
        <w:tc>
          <w:tcPr>
            <w:tcW w:w="5925" w:type="dxa"/>
            <w:tcBorders>
              <w:top w:val="single" w:color="auto" w:sz="4" w:space="0"/>
              <w:left w:val="single" w:color="auto" w:sz="4" w:space="0"/>
              <w:bottom w:val="single" w:color="auto" w:sz="4" w:space="0"/>
              <w:right w:val="single" w:color="auto" w:sz="4" w:space="0"/>
            </w:tcBorders>
            <w:noWrap/>
          </w:tcPr>
          <w:p w14:paraId="6348122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采购单位可根据具体项目的情况对实质性要求作特别的规定。）实质性偏离是指：（1）实质性影响合同的范围、质量和履行；（2）实质性违背招标文件，限制了采购单位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73121B6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未按规定提交投标保证金的；</w:t>
            </w:r>
          </w:p>
          <w:p w14:paraId="079B0F6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(2)投标有效期不满足招标文件要求的；</w:t>
            </w:r>
          </w:p>
          <w:p w14:paraId="0A5E731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(3)投标内容与招标内容及要求有重大偏离或保留的；</w:t>
            </w:r>
          </w:p>
          <w:p w14:paraId="2E6D5E7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(4)投标人提交的是可选择的报价；</w:t>
            </w:r>
          </w:p>
          <w:p w14:paraId="7794640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(5)投标人未按招标文件要求对投标进行分项报价；</w:t>
            </w:r>
          </w:p>
          <w:p w14:paraId="080FEA5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(6)投标文件中提供虚假或失实资料的；</w:t>
            </w:r>
          </w:p>
          <w:p w14:paraId="293960B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(7)不符合招标文件中规定的其它实质性条款。 </w:t>
            </w:r>
          </w:p>
          <w:p w14:paraId="1A05B96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评标委员会决定投标的响应性只根据投标文件本身的内容，而不寻求其他的外部证据。</w:t>
            </w:r>
          </w:p>
        </w:tc>
      </w:tr>
      <w:tr w14:paraId="0A68E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6A6C87E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17</w:t>
            </w:r>
          </w:p>
        </w:tc>
        <w:tc>
          <w:tcPr>
            <w:tcW w:w="696" w:type="dxa"/>
            <w:tcBorders>
              <w:top w:val="single" w:color="auto" w:sz="4" w:space="0"/>
              <w:left w:val="single" w:color="auto" w:sz="4" w:space="0"/>
              <w:bottom w:val="single" w:color="auto" w:sz="4" w:space="0"/>
              <w:right w:val="single" w:color="auto" w:sz="4" w:space="0"/>
            </w:tcBorders>
            <w:noWrap/>
            <w:vAlign w:val="center"/>
          </w:tcPr>
          <w:p w14:paraId="789983B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51DD28D0">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17.3.3</w:t>
            </w:r>
          </w:p>
        </w:tc>
        <w:tc>
          <w:tcPr>
            <w:tcW w:w="5925" w:type="dxa"/>
            <w:tcBorders>
              <w:top w:val="single" w:color="auto" w:sz="4" w:space="0"/>
              <w:left w:val="single" w:color="auto" w:sz="4" w:space="0"/>
              <w:bottom w:val="single" w:color="auto" w:sz="4" w:space="0"/>
              <w:right w:val="single" w:color="auto" w:sz="4" w:space="0"/>
            </w:tcBorders>
            <w:noWrap/>
          </w:tcPr>
          <w:p w14:paraId="0214DFB8">
            <w:pPr>
              <w:spacing w:line="360" w:lineRule="auto"/>
              <w:ind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t>17.3.3投标产品必须满足中华人民共和国相关法律法规及行业的强制性要求，否则该投标人的投标将按照无效投标处理。</w:t>
            </w:r>
          </w:p>
        </w:tc>
      </w:tr>
      <w:tr w14:paraId="094D8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7FB3031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18</w:t>
            </w:r>
          </w:p>
        </w:tc>
        <w:tc>
          <w:tcPr>
            <w:tcW w:w="696" w:type="dxa"/>
            <w:tcBorders>
              <w:top w:val="single" w:color="auto" w:sz="4" w:space="0"/>
              <w:left w:val="single" w:color="auto" w:sz="4" w:space="0"/>
              <w:bottom w:val="single" w:color="auto" w:sz="4" w:space="0"/>
              <w:right w:val="single" w:color="auto" w:sz="4" w:space="0"/>
            </w:tcBorders>
            <w:noWrap/>
            <w:vAlign w:val="center"/>
          </w:tcPr>
          <w:p w14:paraId="76051A8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389D6519">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17.3.4</w:t>
            </w:r>
          </w:p>
        </w:tc>
        <w:tc>
          <w:tcPr>
            <w:tcW w:w="5925" w:type="dxa"/>
            <w:tcBorders>
              <w:top w:val="single" w:color="auto" w:sz="4" w:space="0"/>
              <w:left w:val="single" w:color="auto" w:sz="4" w:space="0"/>
              <w:bottom w:val="single" w:color="auto" w:sz="4" w:space="0"/>
              <w:right w:val="single" w:color="auto" w:sz="4" w:space="0"/>
            </w:tcBorders>
            <w:noWrap/>
            <w:vAlign w:val="center"/>
          </w:tcPr>
          <w:p w14:paraId="7B2129F7">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17.3.4投标人以他人名义投标或使用自己的数字证书上传其他投标人的投标文件，</w:t>
            </w:r>
            <w:r>
              <w:rPr>
                <w:rFonts w:hint="eastAsia" w:ascii="宋体" w:hAnsi="宋体" w:cs="宋体"/>
                <w:b/>
                <w:color w:val="auto"/>
                <w:kern w:val="0"/>
                <w:sz w:val="24"/>
                <w:szCs w:val="24"/>
                <w:highlight w:val="none"/>
              </w:rPr>
              <w:t>则</w:t>
            </w:r>
            <w:r>
              <w:rPr>
                <w:rFonts w:hint="eastAsia" w:ascii="宋体" w:hAnsi="宋体" w:cs="宋体"/>
                <w:b/>
                <w:color w:val="auto"/>
                <w:sz w:val="24"/>
                <w:szCs w:val="24"/>
                <w:highlight w:val="none"/>
              </w:rPr>
              <w:t>该投标人的投标将按照无效投标处理。</w:t>
            </w:r>
          </w:p>
        </w:tc>
      </w:tr>
      <w:tr w14:paraId="4F2B5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96" w:type="dxa"/>
            <w:tcBorders>
              <w:top w:val="single" w:color="auto" w:sz="4" w:space="0"/>
            </w:tcBorders>
            <w:noWrap/>
            <w:vAlign w:val="center"/>
          </w:tcPr>
          <w:p w14:paraId="4E06964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19</w:t>
            </w:r>
          </w:p>
        </w:tc>
        <w:tc>
          <w:tcPr>
            <w:tcW w:w="696" w:type="dxa"/>
            <w:tcBorders>
              <w:top w:val="single" w:color="auto" w:sz="4" w:space="0"/>
            </w:tcBorders>
            <w:noWrap/>
            <w:vAlign w:val="center"/>
          </w:tcPr>
          <w:p w14:paraId="208EBE9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tcBorders>
            <w:noWrap/>
            <w:vAlign w:val="center"/>
          </w:tcPr>
          <w:p w14:paraId="6228D3E0">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17.3.5</w:t>
            </w:r>
          </w:p>
        </w:tc>
        <w:tc>
          <w:tcPr>
            <w:tcW w:w="5925" w:type="dxa"/>
            <w:tcBorders>
              <w:top w:val="single" w:color="auto" w:sz="4" w:space="0"/>
            </w:tcBorders>
            <w:noWrap/>
            <w:vAlign w:val="center"/>
          </w:tcPr>
          <w:p w14:paraId="423B1802">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17.3.5采购单位（或使用单位）、招标代理机构有下列情形之一的，将被认定为采购单位（或使用单位）、招标代理机构与投标人有串通投标行为，该投标人投标作无效投标处理：</w:t>
            </w:r>
          </w:p>
          <w:p w14:paraId="34281EE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（1）在开标前开启投标文件并将有关信息泄露给其他投标人;</w:t>
            </w:r>
          </w:p>
          <w:p w14:paraId="7B6C062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（2）评审结果公告前，直接或者间接向投标人泄露评标委员会成员等信息；</w:t>
            </w:r>
          </w:p>
          <w:p w14:paraId="10C6903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（3）明示或者暗示投标人压低或者抬高投标报价；</w:t>
            </w:r>
          </w:p>
          <w:p w14:paraId="5FC5011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（4）授意投标人撤换、修改投标文件（按18条进行的澄清除外）；</w:t>
            </w:r>
          </w:p>
          <w:p w14:paraId="5A57CFD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（5）明示或者暗示投标人为特定投标人中标提供方便；</w:t>
            </w:r>
          </w:p>
          <w:p w14:paraId="1B53842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（6）为谋求特定投标人中标而采取的其他串通行为。</w:t>
            </w:r>
          </w:p>
        </w:tc>
      </w:tr>
      <w:tr w14:paraId="5B44E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463CA2D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20</w:t>
            </w:r>
          </w:p>
        </w:tc>
        <w:tc>
          <w:tcPr>
            <w:tcW w:w="696" w:type="dxa"/>
            <w:noWrap/>
            <w:vAlign w:val="center"/>
          </w:tcPr>
          <w:p w14:paraId="4653071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noWrap/>
            <w:vAlign w:val="center"/>
          </w:tcPr>
          <w:p w14:paraId="56466C13">
            <w:pPr>
              <w:spacing w:line="360" w:lineRule="auto"/>
              <w:jc w:val="center"/>
              <w:rPr>
                <w:rFonts w:ascii="宋体" w:hAnsi="宋体" w:cs="宋体"/>
                <w:color w:val="auto"/>
                <w:sz w:val="24"/>
                <w:szCs w:val="24"/>
                <w:highlight w:val="none"/>
              </w:rPr>
            </w:pPr>
            <w:r>
              <w:rPr>
                <w:rFonts w:hint="eastAsia" w:ascii="宋体" w:hAnsi="宋体" w:cs="宋体"/>
                <w:b/>
                <w:color w:val="auto"/>
                <w:kern w:val="0"/>
                <w:sz w:val="24"/>
                <w:szCs w:val="24"/>
                <w:highlight w:val="none"/>
              </w:rPr>
              <w:t>17.3.6</w:t>
            </w:r>
          </w:p>
        </w:tc>
        <w:tc>
          <w:tcPr>
            <w:tcW w:w="5925" w:type="dxa"/>
            <w:noWrap/>
            <w:vAlign w:val="center"/>
          </w:tcPr>
          <w:p w14:paraId="58A6DE1B">
            <w:pPr>
              <w:spacing w:line="360" w:lineRule="auto"/>
              <w:jc w:val="left"/>
              <w:rPr>
                <w:rFonts w:ascii="宋体" w:hAnsi="宋体" w:cs="宋体"/>
                <w:color w:val="auto"/>
                <w:sz w:val="24"/>
                <w:szCs w:val="24"/>
                <w:highlight w:val="none"/>
              </w:rPr>
            </w:pPr>
            <w:r>
              <w:rPr>
                <w:rFonts w:hint="eastAsia" w:ascii="宋体" w:hAnsi="宋体" w:cs="宋体"/>
                <w:b/>
                <w:color w:val="auto"/>
                <w:kern w:val="0"/>
                <w:sz w:val="24"/>
                <w:szCs w:val="24"/>
                <w:highlight w:val="none"/>
              </w:rPr>
              <w:t>17.3.6出现17.3.4、17.3.5情形之一的，作无效投标处理的</w:t>
            </w:r>
            <w:r>
              <w:rPr>
                <w:rFonts w:hint="eastAsia" w:ascii="宋体" w:hAnsi="宋体" w:cs="宋体"/>
                <w:b/>
                <w:color w:val="auto"/>
                <w:sz w:val="24"/>
                <w:szCs w:val="24"/>
                <w:highlight w:val="none"/>
              </w:rPr>
              <w:t>投标人的投标保证金将予以没收，招标代理机构有权上报财政部门取消其采购供应商资格、并按有关规定予以处罚。</w:t>
            </w:r>
          </w:p>
        </w:tc>
      </w:tr>
      <w:tr w14:paraId="6D655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05003BE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21</w:t>
            </w:r>
          </w:p>
        </w:tc>
        <w:tc>
          <w:tcPr>
            <w:tcW w:w="696" w:type="dxa"/>
            <w:noWrap/>
            <w:vAlign w:val="center"/>
          </w:tcPr>
          <w:p w14:paraId="6DFBE88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noWrap/>
            <w:vAlign w:val="center"/>
          </w:tcPr>
          <w:p w14:paraId="52D90225">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19.3</w:t>
            </w:r>
          </w:p>
        </w:tc>
        <w:tc>
          <w:tcPr>
            <w:tcW w:w="5925" w:type="dxa"/>
            <w:noWrap/>
            <w:vAlign w:val="center"/>
          </w:tcPr>
          <w:p w14:paraId="7CB641CA">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27C16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2CB24BE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22</w:t>
            </w:r>
          </w:p>
        </w:tc>
        <w:tc>
          <w:tcPr>
            <w:tcW w:w="696" w:type="dxa"/>
            <w:noWrap/>
            <w:vAlign w:val="center"/>
          </w:tcPr>
          <w:p w14:paraId="4DFC479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noWrap/>
            <w:vAlign w:val="center"/>
          </w:tcPr>
          <w:p w14:paraId="0F503E49">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22</w:t>
            </w:r>
          </w:p>
        </w:tc>
        <w:tc>
          <w:tcPr>
            <w:tcW w:w="5925" w:type="dxa"/>
            <w:noWrap/>
            <w:vAlign w:val="center"/>
          </w:tcPr>
          <w:p w14:paraId="114758D1">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w:t>
            </w:r>
            <w:r>
              <w:rPr>
                <w:rFonts w:hint="eastAsia" w:ascii="宋体" w:hAnsi="宋体" w:cs="宋体"/>
                <w:bCs/>
                <w:color w:val="auto"/>
                <w:sz w:val="24"/>
                <w:szCs w:val="24"/>
                <w:highlight w:val="none"/>
              </w:rPr>
              <w:t>否则作无效投标处理。</w:t>
            </w:r>
            <w:r>
              <w:rPr>
                <w:rFonts w:hint="eastAsia" w:ascii="宋体" w:hAnsi="宋体" w:cs="宋体"/>
                <w:color w:val="auto"/>
                <w:sz w:val="24"/>
                <w:szCs w:val="24"/>
                <w:highlight w:val="none"/>
              </w:rPr>
              <w:t>经评审，若所有采购标的均为中小企业（含个体工商户）制造的货物，或者监狱企业提供本单位制造的货物；或者残疾人福利性单位提供本单位制造的货物（或提供其他残疾人福利性单位制造的货物），如需支付履约保证金的，按约定比例的50%支付。</w:t>
            </w:r>
          </w:p>
        </w:tc>
      </w:tr>
      <w:tr w14:paraId="7C2E0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1212534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23</w:t>
            </w:r>
          </w:p>
        </w:tc>
        <w:tc>
          <w:tcPr>
            <w:tcW w:w="696" w:type="dxa"/>
            <w:noWrap/>
            <w:vAlign w:val="center"/>
          </w:tcPr>
          <w:p w14:paraId="0D41960C">
            <w:pPr>
              <w:spacing w:line="360" w:lineRule="auto"/>
              <w:jc w:val="center"/>
              <w:rPr>
                <w:rFonts w:ascii="宋体" w:hAnsi="宋体" w:cs="宋体"/>
                <w:color w:val="auto"/>
                <w:sz w:val="24"/>
                <w:szCs w:val="24"/>
                <w:highlight w:val="none"/>
              </w:rPr>
            </w:pPr>
          </w:p>
        </w:tc>
        <w:tc>
          <w:tcPr>
            <w:tcW w:w="1422" w:type="dxa"/>
            <w:noWrap/>
            <w:vAlign w:val="center"/>
          </w:tcPr>
          <w:p w14:paraId="41EE4A28">
            <w:pPr>
              <w:spacing w:line="360" w:lineRule="auto"/>
              <w:jc w:val="center"/>
              <w:rPr>
                <w:rFonts w:ascii="宋体" w:hAnsi="宋体" w:cs="宋体"/>
                <w:color w:val="auto"/>
                <w:sz w:val="24"/>
                <w:szCs w:val="24"/>
                <w:highlight w:val="none"/>
              </w:rPr>
            </w:pPr>
          </w:p>
        </w:tc>
        <w:tc>
          <w:tcPr>
            <w:tcW w:w="5925" w:type="dxa"/>
            <w:noWrap/>
            <w:vAlign w:val="center"/>
          </w:tcPr>
          <w:p w14:paraId="7AF20E77">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投标人如果为联合体投标，则必须同时满足下列要求，否则</w:t>
            </w:r>
            <w:r>
              <w:rPr>
                <w:rFonts w:hint="eastAsia" w:ascii="宋体" w:hAnsi="宋体" w:cs="宋体"/>
                <w:color w:val="auto"/>
                <w:sz w:val="24"/>
                <w:szCs w:val="24"/>
                <w:highlight w:val="none"/>
              </w:rPr>
              <w:t>该投标人的投标将按照无效投标处理</w:t>
            </w:r>
            <w:r>
              <w:rPr>
                <w:rFonts w:hint="eastAsia" w:ascii="宋体" w:hAnsi="宋体" w:cs="宋体"/>
                <w:bCs/>
                <w:color w:val="auto"/>
                <w:sz w:val="24"/>
                <w:szCs w:val="24"/>
                <w:highlight w:val="none"/>
              </w:rPr>
              <w:t>：</w:t>
            </w:r>
          </w:p>
          <w:p w14:paraId="29E75E0D">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①在开标一览表中注明是否联合体投标、联合体组成单位；</w:t>
            </w:r>
          </w:p>
          <w:p w14:paraId="5E867790">
            <w:pPr>
              <w:spacing w:line="360" w:lineRule="auto"/>
              <w:jc w:val="left"/>
              <w:rPr>
                <w:rFonts w:ascii="宋体" w:hAnsi="宋体" w:cs="宋体"/>
                <w:color w:val="auto"/>
                <w:sz w:val="24"/>
                <w:szCs w:val="24"/>
                <w:highlight w:val="none"/>
              </w:rPr>
            </w:pPr>
            <w:r>
              <w:rPr>
                <w:rFonts w:hint="eastAsia" w:ascii="宋体" w:hAnsi="宋体" w:cs="宋体"/>
                <w:bCs/>
                <w:color w:val="auto"/>
                <w:sz w:val="24"/>
                <w:szCs w:val="24"/>
                <w:highlight w:val="none"/>
              </w:rPr>
              <w:t>②在投标文件中提供各方盖章签署的共同投标协议扫描件。</w:t>
            </w:r>
          </w:p>
        </w:tc>
      </w:tr>
      <w:tr w14:paraId="40074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5AC74E99">
            <w:pPr>
              <w:pStyle w:val="3"/>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24</w:t>
            </w:r>
          </w:p>
        </w:tc>
        <w:tc>
          <w:tcPr>
            <w:tcW w:w="696" w:type="dxa"/>
            <w:noWrap/>
            <w:vAlign w:val="center"/>
          </w:tcPr>
          <w:p w14:paraId="1504799E">
            <w:pPr>
              <w:spacing w:line="360" w:lineRule="auto"/>
              <w:jc w:val="center"/>
              <w:rPr>
                <w:rFonts w:ascii="宋体" w:hAnsi="宋体" w:cs="宋体"/>
                <w:color w:val="auto"/>
                <w:sz w:val="24"/>
                <w:szCs w:val="24"/>
                <w:highlight w:val="none"/>
              </w:rPr>
            </w:pPr>
          </w:p>
        </w:tc>
        <w:tc>
          <w:tcPr>
            <w:tcW w:w="1422" w:type="dxa"/>
            <w:noWrap/>
            <w:vAlign w:val="center"/>
          </w:tcPr>
          <w:p w14:paraId="75D39C76">
            <w:pPr>
              <w:spacing w:line="360" w:lineRule="auto"/>
              <w:jc w:val="center"/>
              <w:rPr>
                <w:rFonts w:ascii="宋体" w:hAnsi="宋体" w:cs="宋体"/>
                <w:color w:val="auto"/>
                <w:sz w:val="24"/>
                <w:szCs w:val="24"/>
                <w:highlight w:val="none"/>
              </w:rPr>
            </w:pPr>
          </w:p>
        </w:tc>
        <w:tc>
          <w:tcPr>
            <w:tcW w:w="5925" w:type="dxa"/>
            <w:noWrap/>
            <w:vAlign w:val="center"/>
          </w:tcPr>
          <w:p w14:paraId="0770A8B6">
            <w:pPr>
              <w:spacing w:line="360" w:lineRule="auto"/>
              <w:jc w:val="left"/>
              <w:rPr>
                <w:rFonts w:ascii="宋体" w:hAnsi="宋体" w:cs="宋体"/>
                <w:color w:val="auto"/>
                <w:sz w:val="24"/>
                <w:szCs w:val="24"/>
                <w:highlight w:val="none"/>
              </w:rPr>
            </w:pPr>
            <w:r>
              <w:rPr>
                <w:rFonts w:hint="eastAsia" w:ascii="宋体" w:hAnsi="宋体" w:cs="宋体"/>
                <w:bCs/>
                <w:color w:val="auto"/>
                <w:sz w:val="24"/>
                <w:szCs w:val="24"/>
                <w:highlight w:val="none"/>
              </w:rPr>
              <w:t>投标文件中不得附有采购单位（或使用单位）不能接受的条款，</w:t>
            </w:r>
            <w:r>
              <w:rPr>
                <w:rFonts w:hint="eastAsia" w:ascii="宋体" w:hAnsi="宋体" w:cs="宋体"/>
                <w:color w:val="auto"/>
                <w:sz w:val="24"/>
                <w:szCs w:val="24"/>
                <w:highlight w:val="none"/>
              </w:rPr>
              <w:t>否则该投标人的投标将按照无效投标处理。</w:t>
            </w:r>
          </w:p>
        </w:tc>
      </w:tr>
      <w:tr w14:paraId="68A11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05459558">
            <w:pPr>
              <w:pStyle w:val="3"/>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25</w:t>
            </w:r>
          </w:p>
        </w:tc>
        <w:tc>
          <w:tcPr>
            <w:tcW w:w="696" w:type="dxa"/>
            <w:noWrap/>
            <w:vAlign w:val="center"/>
          </w:tcPr>
          <w:p w14:paraId="6F0EF543">
            <w:pPr>
              <w:pStyle w:val="3"/>
              <w:snapToGrid w:val="0"/>
              <w:spacing w:line="360" w:lineRule="auto"/>
              <w:ind w:firstLine="0"/>
              <w:jc w:val="center"/>
              <w:rPr>
                <w:rFonts w:ascii="宋体" w:hAnsi="宋体" w:cs="宋体"/>
                <w:color w:val="auto"/>
                <w:sz w:val="24"/>
                <w:szCs w:val="24"/>
                <w:highlight w:val="none"/>
              </w:rPr>
            </w:pPr>
          </w:p>
        </w:tc>
        <w:tc>
          <w:tcPr>
            <w:tcW w:w="1422" w:type="dxa"/>
            <w:noWrap/>
            <w:vAlign w:val="center"/>
          </w:tcPr>
          <w:p w14:paraId="6B5836B0">
            <w:pPr>
              <w:pStyle w:val="3"/>
              <w:snapToGrid w:val="0"/>
              <w:spacing w:line="360" w:lineRule="auto"/>
              <w:ind w:firstLine="0"/>
              <w:jc w:val="center"/>
              <w:rPr>
                <w:rFonts w:ascii="宋体" w:hAnsi="宋体" w:cs="宋体"/>
                <w:b/>
                <w:color w:val="auto"/>
                <w:sz w:val="24"/>
                <w:szCs w:val="24"/>
                <w:highlight w:val="none"/>
              </w:rPr>
            </w:pPr>
          </w:p>
        </w:tc>
        <w:tc>
          <w:tcPr>
            <w:tcW w:w="5925" w:type="dxa"/>
            <w:noWrap/>
            <w:vAlign w:val="center"/>
          </w:tcPr>
          <w:p w14:paraId="31E06607">
            <w:pPr>
              <w:pStyle w:val="3"/>
              <w:snapToGrid w:val="0"/>
              <w:spacing w:line="360" w:lineRule="auto"/>
              <w:ind w:firstLine="0"/>
              <w:jc w:val="left"/>
              <w:rPr>
                <w:rFonts w:ascii="宋体" w:hAnsi="宋体" w:cs="宋体"/>
                <w:b/>
                <w:color w:val="auto"/>
                <w:sz w:val="24"/>
                <w:szCs w:val="24"/>
                <w:highlight w:val="none"/>
              </w:rPr>
            </w:pPr>
            <w:r>
              <w:rPr>
                <w:rFonts w:hint="eastAsia" w:ascii="宋体" w:hAnsi="宋体" w:cs="宋体"/>
                <w:bCs/>
                <w:color w:val="auto"/>
                <w:sz w:val="24"/>
                <w:szCs w:val="24"/>
                <w:highlight w:val="none"/>
              </w:rPr>
              <w:t>本项目以合同包为单位，对于每个合同包，投标人必须完整地提供合同包要求的所有货物和服务，否则</w:t>
            </w:r>
            <w:r>
              <w:rPr>
                <w:rFonts w:hint="eastAsia" w:ascii="宋体" w:hAnsi="宋体" w:cs="宋体"/>
                <w:color w:val="auto"/>
                <w:sz w:val="24"/>
                <w:szCs w:val="24"/>
                <w:highlight w:val="none"/>
              </w:rPr>
              <w:t>该投标人针对该合同包的投标将按照无效投标处理</w:t>
            </w:r>
            <w:r>
              <w:rPr>
                <w:rFonts w:hint="eastAsia" w:ascii="宋体" w:hAnsi="宋体" w:cs="宋体"/>
                <w:bCs/>
                <w:color w:val="auto"/>
                <w:sz w:val="24"/>
                <w:szCs w:val="24"/>
                <w:highlight w:val="none"/>
              </w:rPr>
              <w:t>。</w:t>
            </w:r>
          </w:p>
        </w:tc>
      </w:tr>
      <w:tr w14:paraId="59C5D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4E9BCAB7">
            <w:pPr>
              <w:pStyle w:val="3"/>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26</w:t>
            </w:r>
          </w:p>
        </w:tc>
        <w:tc>
          <w:tcPr>
            <w:tcW w:w="696" w:type="dxa"/>
            <w:noWrap/>
            <w:vAlign w:val="center"/>
          </w:tcPr>
          <w:p w14:paraId="69EEA5DE">
            <w:pPr>
              <w:pStyle w:val="3"/>
              <w:snapToGrid w:val="0"/>
              <w:spacing w:line="360" w:lineRule="auto"/>
              <w:ind w:firstLine="0"/>
              <w:jc w:val="center"/>
              <w:rPr>
                <w:rFonts w:ascii="宋体" w:hAnsi="宋体" w:cs="宋体"/>
                <w:b/>
                <w:color w:val="auto"/>
                <w:sz w:val="24"/>
                <w:szCs w:val="24"/>
                <w:highlight w:val="none"/>
              </w:rPr>
            </w:pPr>
          </w:p>
        </w:tc>
        <w:tc>
          <w:tcPr>
            <w:tcW w:w="1422" w:type="dxa"/>
            <w:noWrap/>
            <w:vAlign w:val="center"/>
          </w:tcPr>
          <w:p w14:paraId="5C5E22CD">
            <w:pPr>
              <w:pStyle w:val="3"/>
              <w:snapToGrid w:val="0"/>
              <w:spacing w:line="360" w:lineRule="auto"/>
              <w:ind w:firstLine="0"/>
              <w:jc w:val="center"/>
              <w:rPr>
                <w:rFonts w:ascii="宋体" w:hAnsi="宋体" w:cs="宋体"/>
                <w:b/>
                <w:color w:val="auto"/>
                <w:sz w:val="24"/>
                <w:szCs w:val="24"/>
                <w:highlight w:val="none"/>
              </w:rPr>
            </w:pPr>
          </w:p>
        </w:tc>
        <w:tc>
          <w:tcPr>
            <w:tcW w:w="5925" w:type="dxa"/>
            <w:noWrap/>
            <w:vAlign w:val="center"/>
          </w:tcPr>
          <w:p w14:paraId="65101B6F">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投标人应对其在投标文件中声明的关于中小企业事项的真实性负责，存在以下情形之一的，经评标委员会查实，应认定存在虚假的：</w:t>
            </w:r>
          </w:p>
          <w:p w14:paraId="4C90F23A">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（1）投标人（包括联合体任一方）不符合“工信部联企业[2011]300号”规定的中小企业标准的；</w:t>
            </w:r>
          </w:p>
          <w:p w14:paraId="0D3F63AD">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（2）投标货物全部或部分为使用大型企业注册商标的货物的；</w:t>
            </w:r>
          </w:p>
          <w:p w14:paraId="2D9EA44E">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（3）投标文件中标明的小型或微型企业产品的制造商不符合“工信部联企业[2011]300号”规定的小型和微型企业标准的。</w:t>
            </w:r>
          </w:p>
          <w:p w14:paraId="5A948FB1">
            <w:pPr>
              <w:pStyle w:val="3"/>
              <w:snapToGrid w:val="0"/>
              <w:spacing w:line="360" w:lineRule="auto"/>
              <w:ind w:firstLine="0"/>
              <w:jc w:val="left"/>
              <w:rPr>
                <w:rFonts w:ascii="宋体" w:hAnsi="宋体" w:cs="宋体"/>
                <w:b/>
                <w:color w:val="auto"/>
                <w:sz w:val="24"/>
                <w:szCs w:val="24"/>
                <w:highlight w:val="none"/>
              </w:rPr>
            </w:pPr>
            <w:r>
              <w:rPr>
                <w:rFonts w:hint="eastAsia" w:ascii="宋体" w:hAnsi="宋体" w:cs="宋体"/>
                <w:bCs/>
                <w:color w:val="auto"/>
                <w:sz w:val="24"/>
                <w:szCs w:val="24"/>
                <w:highlight w:val="none"/>
              </w:rPr>
              <w:t>在评审过程中发现上述虚假情形的，该投标人的投标作无效投标处理。</w:t>
            </w:r>
          </w:p>
        </w:tc>
      </w:tr>
      <w:tr w14:paraId="287C8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29D5EDE5">
            <w:pPr>
              <w:pStyle w:val="3"/>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27</w:t>
            </w:r>
          </w:p>
        </w:tc>
        <w:tc>
          <w:tcPr>
            <w:tcW w:w="696" w:type="dxa"/>
            <w:noWrap/>
            <w:vAlign w:val="center"/>
          </w:tcPr>
          <w:p w14:paraId="531A742F">
            <w:pPr>
              <w:pStyle w:val="3"/>
              <w:snapToGrid w:val="0"/>
              <w:spacing w:line="360" w:lineRule="auto"/>
              <w:ind w:firstLine="0"/>
              <w:jc w:val="center"/>
              <w:rPr>
                <w:rFonts w:ascii="宋体" w:hAnsi="宋体" w:cs="宋体"/>
                <w:b/>
                <w:color w:val="auto"/>
                <w:sz w:val="24"/>
                <w:szCs w:val="24"/>
                <w:highlight w:val="none"/>
              </w:rPr>
            </w:pPr>
          </w:p>
        </w:tc>
        <w:tc>
          <w:tcPr>
            <w:tcW w:w="1422" w:type="dxa"/>
            <w:noWrap/>
            <w:vAlign w:val="center"/>
          </w:tcPr>
          <w:p w14:paraId="7617AD6E">
            <w:pPr>
              <w:pStyle w:val="3"/>
              <w:snapToGrid w:val="0"/>
              <w:spacing w:line="360" w:lineRule="auto"/>
              <w:ind w:firstLine="0"/>
              <w:jc w:val="center"/>
              <w:rPr>
                <w:rFonts w:ascii="宋体" w:hAnsi="宋体" w:cs="宋体"/>
                <w:b/>
                <w:color w:val="auto"/>
                <w:sz w:val="24"/>
                <w:szCs w:val="24"/>
                <w:highlight w:val="none"/>
              </w:rPr>
            </w:pPr>
          </w:p>
        </w:tc>
        <w:tc>
          <w:tcPr>
            <w:tcW w:w="5925" w:type="dxa"/>
            <w:noWrap/>
            <w:vAlign w:val="center"/>
          </w:tcPr>
          <w:p w14:paraId="5A79A62D">
            <w:pPr>
              <w:pStyle w:val="3"/>
              <w:snapToGrid w:val="0"/>
              <w:spacing w:line="360" w:lineRule="auto"/>
              <w:ind w:firstLine="0"/>
              <w:jc w:val="left"/>
              <w:rPr>
                <w:rFonts w:ascii="宋体" w:hAnsi="宋体" w:cs="宋体"/>
                <w:color w:val="auto"/>
                <w:sz w:val="24"/>
                <w:szCs w:val="24"/>
                <w:highlight w:val="none"/>
              </w:rPr>
            </w:pPr>
            <w:r>
              <w:rPr>
                <w:rFonts w:hint="eastAsia" w:ascii="宋体" w:hAnsi="宋体" w:cs="宋体"/>
                <w:bCs/>
                <w:color w:val="auto"/>
                <w:sz w:val="24"/>
                <w:szCs w:val="24"/>
                <w:highlight w:val="none"/>
              </w:rPr>
              <w:t>全免交纳投标保证金的投标人未按照招标文件格式要求在投标文件中提供《中小企业声明函》的，其投标作无效投标处理。</w:t>
            </w:r>
          </w:p>
        </w:tc>
      </w:tr>
      <w:tr w14:paraId="302AE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345E2C69">
            <w:pPr>
              <w:pStyle w:val="3"/>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28</w:t>
            </w:r>
          </w:p>
        </w:tc>
        <w:tc>
          <w:tcPr>
            <w:tcW w:w="696" w:type="dxa"/>
            <w:tcBorders>
              <w:bottom w:val="single" w:color="auto" w:sz="4" w:space="0"/>
            </w:tcBorders>
            <w:noWrap/>
            <w:vAlign w:val="center"/>
          </w:tcPr>
          <w:p w14:paraId="4CAE2A42">
            <w:pPr>
              <w:pStyle w:val="3"/>
              <w:snapToGrid w:val="0"/>
              <w:spacing w:line="360" w:lineRule="auto"/>
              <w:ind w:firstLine="0"/>
              <w:jc w:val="center"/>
              <w:rPr>
                <w:rFonts w:ascii="宋体" w:hAnsi="宋体" w:cs="宋体"/>
                <w:b/>
                <w:color w:val="auto"/>
                <w:sz w:val="24"/>
                <w:szCs w:val="24"/>
                <w:highlight w:val="none"/>
              </w:rPr>
            </w:pPr>
          </w:p>
        </w:tc>
        <w:tc>
          <w:tcPr>
            <w:tcW w:w="1422" w:type="dxa"/>
            <w:tcBorders>
              <w:bottom w:val="single" w:color="auto" w:sz="4" w:space="0"/>
            </w:tcBorders>
            <w:noWrap/>
            <w:vAlign w:val="center"/>
          </w:tcPr>
          <w:p w14:paraId="46B9E6E1">
            <w:pPr>
              <w:pStyle w:val="3"/>
              <w:snapToGrid w:val="0"/>
              <w:spacing w:line="360" w:lineRule="auto"/>
              <w:ind w:firstLine="0"/>
              <w:jc w:val="center"/>
              <w:rPr>
                <w:rFonts w:ascii="宋体" w:hAnsi="宋体" w:cs="宋体"/>
                <w:b/>
                <w:color w:val="auto"/>
                <w:sz w:val="24"/>
                <w:szCs w:val="24"/>
                <w:highlight w:val="none"/>
              </w:rPr>
            </w:pPr>
          </w:p>
        </w:tc>
        <w:tc>
          <w:tcPr>
            <w:tcW w:w="5925" w:type="dxa"/>
            <w:tcBorders>
              <w:bottom w:val="single" w:color="auto" w:sz="4" w:space="0"/>
            </w:tcBorders>
            <w:noWrap/>
            <w:vAlign w:val="center"/>
          </w:tcPr>
          <w:p w14:paraId="15740B5A">
            <w:pPr>
              <w:pStyle w:val="3"/>
              <w:snapToGrid w:val="0"/>
              <w:spacing w:line="360" w:lineRule="auto"/>
              <w:ind w:firstLine="0"/>
              <w:rPr>
                <w:rFonts w:ascii="宋体" w:hAnsi="宋体" w:cs="宋体"/>
                <w:b/>
                <w:color w:val="auto"/>
                <w:sz w:val="24"/>
                <w:szCs w:val="24"/>
                <w:highlight w:val="none"/>
              </w:rPr>
            </w:pPr>
            <w:r>
              <w:rPr>
                <w:rFonts w:hint="eastAsia" w:ascii="宋体" w:hAnsi="宋体" w:cs="宋体"/>
                <w:bCs/>
                <w:color w:val="auto"/>
                <w:sz w:val="24"/>
                <w:szCs w:val="24"/>
                <w:highlight w:val="none"/>
              </w:rPr>
              <w:t>投标人应按照招标文件格式要求在投标文件中提供《廉洁承诺书》原件扫描件（投标人为联合体的，联合体各方均应提供《廉洁承诺书》原件扫描件），否则作无效投标处理。</w:t>
            </w:r>
          </w:p>
        </w:tc>
      </w:tr>
      <w:tr w14:paraId="46FFB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04D53D93">
            <w:pPr>
              <w:pStyle w:val="3"/>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29</w:t>
            </w:r>
          </w:p>
        </w:tc>
        <w:tc>
          <w:tcPr>
            <w:tcW w:w="696" w:type="dxa"/>
            <w:tcBorders>
              <w:bottom w:val="single" w:color="auto" w:sz="4" w:space="0"/>
            </w:tcBorders>
            <w:noWrap/>
            <w:vAlign w:val="center"/>
          </w:tcPr>
          <w:p w14:paraId="6E2B7D6C">
            <w:pPr>
              <w:pStyle w:val="3"/>
              <w:snapToGrid w:val="0"/>
              <w:spacing w:line="360" w:lineRule="auto"/>
              <w:ind w:firstLine="0"/>
              <w:jc w:val="center"/>
              <w:rPr>
                <w:rFonts w:ascii="宋体" w:hAnsi="宋体" w:cs="宋体"/>
                <w:b/>
                <w:color w:val="auto"/>
                <w:sz w:val="24"/>
                <w:szCs w:val="24"/>
                <w:highlight w:val="none"/>
              </w:rPr>
            </w:pPr>
          </w:p>
        </w:tc>
        <w:tc>
          <w:tcPr>
            <w:tcW w:w="1422" w:type="dxa"/>
            <w:tcBorders>
              <w:bottom w:val="single" w:color="auto" w:sz="4" w:space="0"/>
            </w:tcBorders>
            <w:noWrap/>
            <w:vAlign w:val="center"/>
          </w:tcPr>
          <w:p w14:paraId="5FC3704F">
            <w:pPr>
              <w:pStyle w:val="3"/>
              <w:snapToGrid w:val="0"/>
              <w:spacing w:line="360" w:lineRule="auto"/>
              <w:ind w:firstLine="0"/>
              <w:jc w:val="center"/>
              <w:rPr>
                <w:rFonts w:ascii="宋体" w:hAnsi="宋体" w:cs="宋体"/>
                <w:b/>
                <w:color w:val="auto"/>
                <w:sz w:val="24"/>
                <w:szCs w:val="24"/>
                <w:highlight w:val="none"/>
              </w:rPr>
            </w:pPr>
          </w:p>
        </w:tc>
        <w:tc>
          <w:tcPr>
            <w:tcW w:w="5925" w:type="dxa"/>
            <w:tcBorders>
              <w:bottom w:val="single" w:color="auto" w:sz="4" w:space="0"/>
            </w:tcBorders>
            <w:noWrap/>
            <w:vAlign w:val="center"/>
          </w:tcPr>
          <w:p w14:paraId="4B040E00">
            <w:pPr>
              <w:spacing w:line="360" w:lineRule="auto"/>
              <w:rPr>
                <w:rFonts w:ascii="宋体" w:hAnsi="宋体" w:cs="宋体"/>
                <w:b/>
                <w:color w:val="auto"/>
                <w:sz w:val="24"/>
                <w:szCs w:val="24"/>
                <w:highlight w:val="none"/>
              </w:rPr>
            </w:pPr>
            <w:r>
              <w:rPr>
                <w:rFonts w:hint="eastAsia" w:ascii="宋体" w:hAnsi="宋体" w:cs="宋体"/>
                <w:bCs/>
                <w:color w:val="auto"/>
                <w:sz w:val="24"/>
                <w:szCs w:val="24"/>
                <w:highlight w:val="none"/>
              </w:rPr>
              <w:t>其他不满足招标文件要求经评标委员会认定须作无效投标处理的。</w:t>
            </w:r>
          </w:p>
        </w:tc>
      </w:tr>
      <w:tr w14:paraId="13790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1AC4ED5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30</w:t>
            </w:r>
          </w:p>
        </w:tc>
        <w:tc>
          <w:tcPr>
            <w:tcW w:w="696" w:type="dxa"/>
            <w:tcBorders>
              <w:bottom w:val="single" w:color="auto" w:sz="4" w:space="0"/>
            </w:tcBorders>
            <w:noWrap/>
            <w:vAlign w:val="center"/>
          </w:tcPr>
          <w:p w14:paraId="5255D9F8">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77EF570A">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35BF5FF0">
            <w:pPr>
              <w:pStyle w:val="17"/>
              <w:spacing w:line="360" w:lineRule="auto"/>
              <w:rPr>
                <w:rFonts w:ascii="宋体" w:hAnsi="宋体" w:cs="宋体"/>
                <w:color w:val="auto"/>
                <w:sz w:val="24"/>
                <w:szCs w:val="24"/>
                <w:highlight w:val="none"/>
              </w:rPr>
            </w:pPr>
            <w:r>
              <w:rPr>
                <w:rFonts w:hint="eastAsia" w:hAnsi="宋体" w:cs="宋体"/>
                <w:color w:val="auto"/>
                <w:highlight w:val="none"/>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tc>
      </w:tr>
      <w:tr w14:paraId="132D1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25C950C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31</w:t>
            </w:r>
          </w:p>
        </w:tc>
        <w:tc>
          <w:tcPr>
            <w:tcW w:w="696" w:type="dxa"/>
            <w:tcBorders>
              <w:bottom w:val="single" w:color="auto" w:sz="4" w:space="0"/>
            </w:tcBorders>
            <w:noWrap/>
            <w:vAlign w:val="center"/>
          </w:tcPr>
          <w:p w14:paraId="73B2038D">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1F95BB4C">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7376EE16">
            <w:pPr>
              <w:tabs>
                <w:tab w:val="left" w:pos="5130"/>
              </w:tabs>
              <w:spacing w:line="360" w:lineRule="auto"/>
              <w:rPr>
                <w:rFonts w:ascii="宋体" w:hAnsi="宋体"/>
                <w:color w:val="auto"/>
                <w:sz w:val="24"/>
                <w:szCs w:val="24"/>
                <w:highlight w:val="none"/>
              </w:rPr>
            </w:pPr>
            <w:r>
              <w:rPr>
                <w:rFonts w:hint="eastAsia" w:ascii="宋体" w:hAnsi="宋体" w:cs="Courier New"/>
                <w:b/>
                <w:color w:val="auto"/>
                <w:sz w:val="24"/>
                <w:szCs w:val="24"/>
                <w:highlight w:val="none"/>
              </w:rPr>
              <w:t>一、招标要求</w:t>
            </w:r>
          </w:p>
          <w:p w14:paraId="59317EF1">
            <w:pPr>
              <w:tabs>
                <w:tab w:val="left" w:pos="5130"/>
              </w:tabs>
              <w:spacing w:line="360" w:lineRule="auto"/>
              <w:rPr>
                <w:rFonts w:ascii="宋体" w:hAnsi="宋体" w:cs="宋体"/>
                <w:color w:val="auto"/>
                <w:sz w:val="24"/>
                <w:szCs w:val="24"/>
                <w:highlight w:val="none"/>
              </w:rPr>
            </w:pPr>
            <w:r>
              <w:rPr>
                <w:rFonts w:hint="eastAsia" w:hAnsi="宋体"/>
                <w:b/>
                <w:color w:val="auto"/>
                <w:sz w:val="24"/>
                <w:szCs w:val="24"/>
                <w:highlight w:val="none"/>
              </w:rPr>
              <w:t>*1、本项目只有一个合同包，</w:t>
            </w:r>
            <w:r>
              <w:rPr>
                <w:rFonts w:hint="eastAsia" w:hAnsi="宋体" w:cs="宋体"/>
                <w:b/>
                <w:color w:val="auto"/>
                <w:sz w:val="24"/>
                <w:szCs w:val="24"/>
                <w:highlight w:val="none"/>
              </w:rPr>
              <w:t>投标人</w:t>
            </w:r>
            <w:r>
              <w:rPr>
                <w:rFonts w:hint="eastAsia" w:hAnsi="宋体"/>
                <w:b/>
                <w:color w:val="auto"/>
                <w:sz w:val="24"/>
                <w:szCs w:val="24"/>
                <w:highlight w:val="none"/>
              </w:rPr>
              <w:t>必须对合同包内所有品目号进行报价。否则将作无效投标处理。</w:t>
            </w:r>
          </w:p>
        </w:tc>
      </w:tr>
      <w:tr w14:paraId="265B1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32B0068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32</w:t>
            </w:r>
          </w:p>
        </w:tc>
        <w:tc>
          <w:tcPr>
            <w:tcW w:w="696" w:type="dxa"/>
            <w:tcBorders>
              <w:bottom w:val="single" w:color="auto" w:sz="4" w:space="0"/>
            </w:tcBorders>
            <w:noWrap/>
            <w:vAlign w:val="center"/>
          </w:tcPr>
          <w:p w14:paraId="227846C8">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1C32E2D6">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2E606B51">
            <w:pPr>
              <w:spacing w:line="360" w:lineRule="auto"/>
              <w:rPr>
                <w:rFonts w:ascii="宋体" w:hAnsi="宋体" w:cs="宋体"/>
                <w:color w:val="auto"/>
                <w:sz w:val="24"/>
                <w:szCs w:val="24"/>
                <w:highlight w:val="none"/>
              </w:rPr>
            </w:pPr>
            <w:r>
              <w:rPr>
                <w:rFonts w:hint="eastAsia" w:hAnsi="宋体"/>
                <w:b/>
                <w:color w:val="auto"/>
                <w:sz w:val="24"/>
                <w:szCs w:val="24"/>
                <w:highlight w:val="none"/>
              </w:rPr>
              <w:t>*2、针对采购货物一览表所有货物，</w:t>
            </w:r>
            <w:r>
              <w:rPr>
                <w:rFonts w:hint="eastAsia" w:ascii="宋体" w:hAnsi="宋体" w:eastAsia="宋体" w:cs="Times New Roman"/>
                <w:b/>
                <w:color w:val="auto"/>
                <w:sz w:val="24"/>
                <w:szCs w:val="24"/>
                <w:highlight w:val="none"/>
              </w:rPr>
              <w:t>品目号1-1至1-10</w:t>
            </w:r>
            <w:r>
              <w:rPr>
                <w:rFonts w:hint="eastAsia" w:hAnsi="宋体" w:cs="Times New Roman"/>
                <w:b/>
                <w:color w:val="auto"/>
                <w:sz w:val="24"/>
                <w:szCs w:val="24"/>
                <w:highlight w:val="none"/>
              </w:rPr>
              <w:t>投标人</w:t>
            </w:r>
            <w:r>
              <w:rPr>
                <w:rFonts w:hint="eastAsia" w:hAnsi="宋体"/>
                <w:b/>
                <w:color w:val="auto"/>
                <w:sz w:val="24"/>
                <w:szCs w:val="24"/>
                <w:highlight w:val="none"/>
              </w:rPr>
              <w:t>投标产品需为同一个品牌产品</w:t>
            </w:r>
            <w:r>
              <w:rPr>
                <w:rFonts w:hint="eastAsia" w:ascii="宋体" w:hAnsi="宋体" w:eastAsia="宋体" w:cs="Times New Roman"/>
                <w:b/>
                <w:color w:val="auto"/>
                <w:sz w:val="24"/>
                <w:szCs w:val="24"/>
                <w:highlight w:val="none"/>
              </w:rPr>
              <w:t>，品目号1-11和1-12</w:t>
            </w:r>
            <w:r>
              <w:rPr>
                <w:rFonts w:hint="eastAsia" w:hAnsi="宋体" w:cs="Times New Roman"/>
                <w:b/>
                <w:color w:val="auto"/>
                <w:sz w:val="24"/>
                <w:szCs w:val="24"/>
                <w:highlight w:val="none"/>
              </w:rPr>
              <w:t>投标人</w:t>
            </w:r>
            <w:r>
              <w:rPr>
                <w:rFonts w:hint="eastAsia" w:hAnsi="宋体"/>
                <w:b/>
                <w:color w:val="auto"/>
                <w:sz w:val="24"/>
                <w:szCs w:val="24"/>
                <w:highlight w:val="none"/>
              </w:rPr>
              <w:t>投标产品需为同一个品牌产品，否则将作无效投标处理。</w:t>
            </w:r>
          </w:p>
        </w:tc>
      </w:tr>
      <w:tr w14:paraId="268C1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04D1A72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33</w:t>
            </w:r>
          </w:p>
        </w:tc>
        <w:tc>
          <w:tcPr>
            <w:tcW w:w="696" w:type="dxa"/>
            <w:tcBorders>
              <w:bottom w:val="single" w:color="auto" w:sz="4" w:space="0"/>
            </w:tcBorders>
            <w:noWrap/>
            <w:vAlign w:val="center"/>
          </w:tcPr>
          <w:p w14:paraId="4984BA5C">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5D7F0CCD">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4CB1886D">
            <w:pPr>
              <w:spacing w:line="360" w:lineRule="auto"/>
              <w:rPr>
                <w:rFonts w:ascii="宋体" w:hAnsi="宋体" w:cs="宋体"/>
                <w:color w:val="auto"/>
                <w:sz w:val="24"/>
                <w:szCs w:val="24"/>
                <w:highlight w:val="none"/>
              </w:rPr>
            </w:pPr>
            <w:r>
              <w:rPr>
                <w:rFonts w:hint="eastAsia" w:hAnsi="宋体"/>
                <w:b/>
                <w:color w:val="auto"/>
                <w:sz w:val="24"/>
                <w:szCs w:val="24"/>
                <w:highlight w:val="none"/>
              </w:rPr>
              <w:t>*3、</w:t>
            </w:r>
            <w:r>
              <w:rPr>
                <w:rFonts w:hint="eastAsia" w:hAnsi="宋体" w:cs="宋体"/>
                <w:b/>
                <w:color w:val="auto"/>
                <w:sz w:val="24"/>
                <w:szCs w:val="24"/>
                <w:highlight w:val="none"/>
              </w:rPr>
              <w:t>投标人</w:t>
            </w:r>
            <w:r>
              <w:rPr>
                <w:rFonts w:hint="eastAsia" w:hAnsi="宋体"/>
                <w:b/>
                <w:color w:val="auto"/>
                <w:sz w:val="24"/>
                <w:szCs w:val="24"/>
                <w:highlight w:val="none"/>
              </w:rPr>
              <w:t>须在</w:t>
            </w:r>
            <w:r>
              <w:rPr>
                <w:rFonts w:hint="eastAsia" w:hAnsi="宋体" w:cs="宋体"/>
                <w:b/>
                <w:color w:val="auto"/>
                <w:sz w:val="24"/>
                <w:szCs w:val="24"/>
                <w:highlight w:val="none"/>
              </w:rPr>
              <w:t>投标文件</w:t>
            </w:r>
            <w:r>
              <w:rPr>
                <w:rFonts w:hint="eastAsia" w:hAnsi="宋体"/>
                <w:b/>
                <w:color w:val="auto"/>
                <w:sz w:val="24"/>
                <w:szCs w:val="24"/>
                <w:highlight w:val="none"/>
              </w:rPr>
              <w:t>中提供书面承诺函：采购单位可调整各规格产品的实际供货数量。采购单位有权向厦门市政府机关事业单位和福建省内其他终端用户(合称为“使用单位”)进行供货，所需费用已包含在总报价中。</w:t>
            </w:r>
          </w:p>
        </w:tc>
      </w:tr>
      <w:tr w14:paraId="34648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7EDD7CE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34</w:t>
            </w:r>
          </w:p>
        </w:tc>
        <w:tc>
          <w:tcPr>
            <w:tcW w:w="696" w:type="dxa"/>
            <w:tcBorders>
              <w:bottom w:val="single" w:color="auto" w:sz="4" w:space="0"/>
            </w:tcBorders>
            <w:noWrap/>
            <w:vAlign w:val="center"/>
          </w:tcPr>
          <w:p w14:paraId="32040C42">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707E2D9C">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68B60C76">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*4、投标产品</w:t>
            </w:r>
            <w:r>
              <w:rPr>
                <w:rFonts w:hint="eastAsia" w:ascii="宋体" w:hAnsi="宋体"/>
                <w:b/>
                <w:color w:val="auto"/>
                <w:sz w:val="24"/>
                <w:szCs w:val="24"/>
                <w:highlight w:val="none"/>
              </w:rPr>
              <w:t>的包装规格(指每箱的包数)可与上表中的包装规格(指每箱的包数)不同，但各</w:t>
            </w:r>
            <w:r>
              <w:rPr>
                <w:rFonts w:hint="eastAsia" w:ascii="宋体" w:hAnsi="宋体" w:cs="宋体"/>
                <w:b/>
                <w:color w:val="auto"/>
                <w:sz w:val="24"/>
                <w:szCs w:val="24"/>
                <w:highlight w:val="none"/>
              </w:rPr>
              <w:t>投标人</w:t>
            </w:r>
            <w:r>
              <w:rPr>
                <w:rFonts w:hint="eastAsia" w:ascii="宋体" w:hAnsi="宋体"/>
                <w:b/>
                <w:color w:val="auto"/>
                <w:sz w:val="24"/>
                <w:szCs w:val="24"/>
                <w:highlight w:val="none"/>
              </w:rPr>
              <w:t>须统一按上表中的标准包装规格报价。</w:t>
            </w:r>
          </w:p>
        </w:tc>
      </w:tr>
      <w:tr w14:paraId="1A364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03EF793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w:t>
            </w:r>
          </w:p>
        </w:tc>
        <w:tc>
          <w:tcPr>
            <w:tcW w:w="696" w:type="dxa"/>
            <w:tcBorders>
              <w:bottom w:val="single" w:color="auto" w:sz="4" w:space="0"/>
            </w:tcBorders>
            <w:noWrap/>
            <w:vAlign w:val="center"/>
          </w:tcPr>
          <w:p w14:paraId="494ABF65">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2E49892D">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07F41799">
            <w:pPr>
              <w:numPr>
                <w:ilvl w:val="0"/>
                <w:numId w:val="0"/>
              </w:num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lang w:val="en-US" w:eastAsia="zh-CN"/>
              </w:rPr>
              <w:t>二</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rPr>
              <w:t>主要参数及要求</w:t>
            </w:r>
            <w:r>
              <w:rPr>
                <w:rFonts w:hint="eastAsia" w:ascii="宋体" w:hAnsi="宋体" w:cs="宋体"/>
                <w:b/>
                <w:color w:val="auto"/>
                <w:sz w:val="24"/>
                <w:szCs w:val="24"/>
                <w:highlight w:val="none"/>
                <w:lang w:eastAsia="zh-CN"/>
              </w:rPr>
              <w:t>：</w:t>
            </w:r>
            <w:r>
              <w:rPr>
                <w:rFonts w:hint="eastAsia" w:ascii="宋体" w:hAnsi="宋体" w:cs="宋体"/>
                <w:b/>
                <w:bCs/>
                <w:color w:val="auto"/>
                <w:sz w:val="24"/>
                <w:szCs w:val="24"/>
                <w:highlight w:val="none"/>
              </w:rPr>
              <w:t>详见招标文件正文。</w:t>
            </w:r>
          </w:p>
        </w:tc>
      </w:tr>
      <w:tr w14:paraId="27B9B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2CA317A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36</w:t>
            </w:r>
          </w:p>
        </w:tc>
        <w:tc>
          <w:tcPr>
            <w:tcW w:w="696" w:type="dxa"/>
            <w:noWrap/>
          </w:tcPr>
          <w:p w14:paraId="257313C2">
            <w:pPr>
              <w:spacing w:line="360" w:lineRule="auto"/>
              <w:jc w:val="center"/>
              <w:rPr>
                <w:rFonts w:ascii="宋体" w:hAnsi="宋体" w:cs="宋体"/>
                <w:color w:val="auto"/>
                <w:sz w:val="24"/>
                <w:szCs w:val="24"/>
                <w:highlight w:val="none"/>
              </w:rPr>
            </w:pPr>
          </w:p>
        </w:tc>
        <w:tc>
          <w:tcPr>
            <w:tcW w:w="1422" w:type="dxa"/>
            <w:noWrap/>
          </w:tcPr>
          <w:p w14:paraId="12898792">
            <w:pPr>
              <w:spacing w:line="360" w:lineRule="auto"/>
              <w:jc w:val="center"/>
              <w:rPr>
                <w:rFonts w:ascii="宋体" w:hAnsi="宋体" w:cs="宋体"/>
                <w:color w:val="auto"/>
                <w:sz w:val="24"/>
                <w:szCs w:val="24"/>
                <w:highlight w:val="none"/>
              </w:rPr>
            </w:pPr>
          </w:p>
        </w:tc>
        <w:tc>
          <w:tcPr>
            <w:tcW w:w="5925" w:type="dxa"/>
            <w:noWrap/>
          </w:tcPr>
          <w:p w14:paraId="4F191421">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备注：</w:t>
            </w:r>
          </w:p>
          <w:p w14:paraId="2C5FF7CD">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*1、投标人必须在投标文件中提供复印纸A4-70g和A4-80g获得市级以上国家质量检测机构出具的产品质量检验报告，报告中的实测数据需达到上述要求，并加盖投标人公章。</w:t>
            </w:r>
          </w:p>
        </w:tc>
      </w:tr>
      <w:tr w14:paraId="16F99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61DF2B5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37</w:t>
            </w:r>
          </w:p>
        </w:tc>
        <w:tc>
          <w:tcPr>
            <w:tcW w:w="696" w:type="dxa"/>
            <w:noWrap/>
          </w:tcPr>
          <w:p w14:paraId="2239066E">
            <w:pPr>
              <w:spacing w:line="360" w:lineRule="auto"/>
              <w:jc w:val="center"/>
              <w:rPr>
                <w:rFonts w:ascii="宋体" w:hAnsi="宋体" w:cs="宋体"/>
                <w:color w:val="auto"/>
                <w:sz w:val="24"/>
                <w:szCs w:val="24"/>
                <w:highlight w:val="none"/>
              </w:rPr>
            </w:pPr>
          </w:p>
        </w:tc>
        <w:tc>
          <w:tcPr>
            <w:tcW w:w="1422" w:type="dxa"/>
            <w:noWrap/>
          </w:tcPr>
          <w:p w14:paraId="62E2AC23">
            <w:pPr>
              <w:spacing w:line="360" w:lineRule="auto"/>
              <w:jc w:val="center"/>
              <w:rPr>
                <w:rFonts w:ascii="宋体" w:hAnsi="宋体" w:cs="宋体"/>
                <w:color w:val="auto"/>
                <w:sz w:val="24"/>
                <w:szCs w:val="24"/>
                <w:highlight w:val="none"/>
              </w:rPr>
            </w:pPr>
          </w:p>
        </w:tc>
        <w:tc>
          <w:tcPr>
            <w:tcW w:w="5925" w:type="dxa"/>
            <w:noWrap/>
          </w:tcPr>
          <w:p w14:paraId="1CCF394B">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*2、投标产品必须为全木浆产品，投标人对此应提供书面承诺函或提供相关检测证明。</w:t>
            </w:r>
          </w:p>
        </w:tc>
      </w:tr>
      <w:tr w14:paraId="336E4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57DAFA0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38</w:t>
            </w:r>
          </w:p>
        </w:tc>
        <w:tc>
          <w:tcPr>
            <w:tcW w:w="696" w:type="dxa"/>
            <w:noWrap/>
          </w:tcPr>
          <w:p w14:paraId="2BAE9F00">
            <w:pPr>
              <w:spacing w:line="360" w:lineRule="auto"/>
              <w:jc w:val="center"/>
              <w:rPr>
                <w:rFonts w:ascii="宋体" w:hAnsi="宋体" w:cs="宋体"/>
                <w:color w:val="auto"/>
                <w:sz w:val="24"/>
                <w:szCs w:val="24"/>
                <w:highlight w:val="none"/>
              </w:rPr>
            </w:pPr>
          </w:p>
        </w:tc>
        <w:tc>
          <w:tcPr>
            <w:tcW w:w="1422" w:type="dxa"/>
            <w:noWrap/>
          </w:tcPr>
          <w:p w14:paraId="2964DE96">
            <w:pPr>
              <w:spacing w:line="360" w:lineRule="auto"/>
              <w:jc w:val="center"/>
              <w:rPr>
                <w:rFonts w:ascii="宋体" w:hAnsi="宋体" w:cs="宋体"/>
                <w:color w:val="auto"/>
                <w:sz w:val="24"/>
                <w:szCs w:val="24"/>
                <w:highlight w:val="none"/>
              </w:rPr>
            </w:pPr>
          </w:p>
        </w:tc>
        <w:tc>
          <w:tcPr>
            <w:tcW w:w="5925" w:type="dxa"/>
            <w:noWrap/>
          </w:tcPr>
          <w:p w14:paraId="697BB665">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*3、投标人应在投标文件中提供书面承诺函：承诺检测样纸与投标的纸张一致。</w:t>
            </w:r>
          </w:p>
        </w:tc>
      </w:tr>
      <w:tr w14:paraId="153CD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4953F17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39</w:t>
            </w:r>
          </w:p>
        </w:tc>
        <w:tc>
          <w:tcPr>
            <w:tcW w:w="696" w:type="dxa"/>
            <w:noWrap/>
          </w:tcPr>
          <w:p w14:paraId="040A47B7">
            <w:pPr>
              <w:spacing w:line="360" w:lineRule="auto"/>
              <w:jc w:val="center"/>
              <w:rPr>
                <w:rFonts w:ascii="宋体" w:hAnsi="宋体" w:cs="宋体"/>
                <w:color w:val="auto"/>
                <w:sz w:val="24"/>
                <w:szCs w:val="24"/>
                <w:highlight w:val="none"/>
              </w:rPr>
            </w:pPr>
          </w:p>
        </w:tc>
        <w:tc>
          <w:tcPr>
            <w:tcW w:w="1422" w:type="dxa"/>
            <w:noWrap/>
          </w:tcPr>
          <w:p w14:paraId="453A29F5">
            <w:pPr>
              <w:spacing w:line="360" w:lineRule="auto"/>
              <w:jc w:val="center"/>
              <w:rPr>
                <w:rFonts w:ascii="宋体" w:hAnsi="宋体" w:cs="宋体"/>
                <w:color w:val="auto"/>
                <w:sz w:val="24"/>
                <w:szCs w:val="24"/>
                <w:highlight w:val="none"/>
              </w:rPr>
            </w:pPr>
          </w:p>
        </w:tc>
        <w:tc>
          <w:tcPr>
            <w:tcW w:w="5925" w:type="dxa"/>
            <w:noWrap/>
          </w:tcPr>
          <w:p w14:paraId="6C864784">
            <w:pPr>
              <w:spacing w:line="360" w:lineRule="auto"/>
              <w:jc w:val="left"/>
              <w:rPr>
                <w:rFonts w:ascii="宋体" w:hAnsi="宋体" w:cs="宋体"/>
                <w:bCs/>
                <w:color w:val="auto"/>
                <w:sz w:val="24"/>
                <w:szCs w:val="24"/>
                <w:highlight w:val="none"/>
              </w:rPr>
            </w:pPr>
            <w:r>
              <w:rPr>
                <w:rFonts w:hint="eastAsia" w:ascii="宋体" w:hAnsi="宋体" w:cs="宋体"/>
                <w:b/>
                <w:color w:val="auto"/>
                <w:sz w:val="24"/>
                <w:szCs w:val="24"/>
                <w:highlight w:val="none"/>
              </w:rPr>
              <w:t>*4、投标人须在递交投标文件时提供A4-70g和A4-80g两种规格复印纸样品各2包。中标供应商的样品将作为验收依据，在货物供货验收完毕后给予退还。样品需在报价截止时间前，送至厦门市湖里区云顶北路842号，厦门市政务服务中心4楼A区</w:t>
            </w:r>
            <w:r>
              <w:rPr>
                <w:rFonts w:ascii="宋体" w:hAnsi="宋体" w:cs="宋体"/>
                <w:b/>
                <w:color w:val="auto"/>
                <w:sz w:val="24"/>
                <w:szCs w:val="24"/>
                <w:highlight w:val="none"/>
              </w:rPr>
              <w:t>A440</w:t>
            </w:r>
            <w:r>
              <w:rPr>
                <w:rFonts w:hint="eastAsia" w:ascii="宋体" w:hAnsi="宋体" w:cs="宋体"/>
                <w:b/>
                <w:color w:val="auto"/>
                <w:sz w:val="24"/>
                <w:szCs w:val="24"/>
                <w:highlight w:val="none"/>
              </w:rPr>
              <w:t>样品间。</w:t>
            </w:r>
          </w:p>
        </w:tc>
      </w:tr>
      <w:tr w14:paraId="5B917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4DEDC8C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40</w:t>
            </w:r>
          </w:p>
        </w:tc>
        <w:tc>
          <w:tcPr>
            <w:tcW w:w="696" w:type="dxa"/>
            <w:noWrap/>
          </w:tcPr>
          <w:p w14:paraId="133810AD">
            <w:pPr>
              <w:spacing w:line="360" w:lineRule="auto"/>
              <w:jc w:val="center"/>
              <w:rPr>
                <w:rFonts w:ascii="宋体" w:hAnsi="宋体" w:cs="宋体"/>
                <w:color w:val="auto"/>
                <w:sz w:val="24"/>
                <w:szCs w:val="24"/>
                <w:highlight w:val="none"/>
              </w:rPr>
            </w:pPr>
          </w:p>
        </w:tc>
        <w:tc>
          <w:tcPr>
            <w:tcW w:w="1422" w:type="dxa"/>
            <w:noWrap/>
          </w:tcPr>
          <w:p w14:paraId="45E2AFAD">
            <w:pPr>
              <w:spacing w:line="360" w:lineRule="auto"/>
              <w:jc w:val="center"/>
              <w:rPr>
                <w:rFonts w:ascii="宋体" w:hAnsi="宋体" w:cs="宋体"/>
                <w:color w:val="auto"/>
                <w:sz w:val="24"/>
                <w:szCs w:val="24"/>
                <w:highlight w:val="none"/>
              </w:rPr>
            </w:pPr>
          </w:p>
        </w:tc>
        <w:tc>
          <w:tcPr>
            <w:tcW w:w="5925" w:type="dxa"/>
            <w:noWrap/>
          </w:tcPr>
          <w:p w14:paraId="54872FED">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*5、投标人必须提供书面承诺函：承诺提供的样纸与投标的纸张一致，承诺函需加盖单位公章。</w:t>
            </w:r>
          </w:p>
        </w:tc>
      </w:tr>
      <w:tr w14:paraId="3EF81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65507AF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41</w:t>
            </w:r>
          </w:p>
        </w:tc>
        <w:tc>
          <w:tcPr>
            <w:tcW w:w="696" w:type="dxa"/>
            <w:noWrap/>
          </w:tcPr>
          <w:p w14:paraId="536128F8">
            <w:pPr>
              <w:spacing w:line="360" w:lineRule="auto"/>
              <w:jc w:val="center"/>
              <w:rPr>
                <w:rFonts w:ascii="宋体" w:hAnsi="宋体" w:cs="宋体"/>
                <w:color w:val="auto"/>
                <w:sz w:val="24"/>
                <w:szCs w:val="24"/>
                <w:highlight w:val="none"/>
              </w:rPr>
            </w:pPr>
          </w:p>
        </w:tc>
        <w:tc>
          <w:tcPr>
            <w:tcW w:w="1422" w:type="dxa"/>
            <w:noWrap/>
          </w:tcPr>
          <w:p w14:paraId="1B53CD10">
            <w:pPr>
              <w:spacing w:line="360" w:lineRule="auto"/>
              <w:jc w:val="center"/>
              <w:rPr>
                <w:rFonts w:ascii="宋体" w:hAnsi="宋体" w:cs="宋体"/>
                <w:color w:val="auto"/>
                <w:sz w:val="24"/>
                <w:szCs w:val="24"/>
                <w:highlight w:val="none"/>
              </w:rPr>
            </w:pPr>
          </w:p>
        </w:tc>
        <w:tc>
          <w:tcPr>
            <w:tcW w:w="5925" w:type="dxa"/>
            <w:noWrap/>
          </w:tcPr>
          <w:p w14:paraId="76656037">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6、投标人本次投标产品的包装必须按行业通用标准包装，每500张为一包，用具有防潮性能的纸或其他材料包好、封牢。每包纸的外包装应标识明确（含批次号），以示识别。每箱内应放一张产品合格证。投标人对此必须提供书面承诺函。</w:t>
            </w:r>
          </w:p>
        </w:tc>
      </w:tr>
      <w:tr w14:paraId="18E84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4540CCA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42</w:t>
            </w:r>
          </w:p>
        </w:tc>
        <w:tc>
          <w:tcPr>
            <w:tcW w:w="696" w:type="dxa"/>
            <w:noWrap/>
          </w:tcPr>
          <w:p w14:paraId="7292D9E2">
            <w:pPr>
              <w:spacing w:line="360" w:lineRule="auto"/>
              <w:jc w:val="center"/>
              <w:rPr>
                <w:rFonts w:ascii="宋体" w:hAnsi="宋体" w:cs="宋体"/>
                <w:color w:val="auto"/>
                <w:sz w:val="24"/>
                <w:szCs w:val="24"/>
                <w:highlight w:val="none"/>
              </w:rPr>
            </w:pPr>
          </w:p>
        </w:tc>
        <w:tc>
          <w:tcPr>
            <w:tcW w:w="1422" w:type="dxa"/>
            <w:noWrap/>
          </w:tcPr>
          <w:p w14:paraId="2F554D61">
            <w:pPr>
              <w:spacing w:line="360" w:lineRule="auto"/>
              <w:jc w:val="center"/>
              <w:rPr>
                <w:rFonts w:ascii="宋体" w:hAnsi="宋体" w:cs="宋体"/>
                <w:color w:val="auto"/>
                <w:sz w:val="24"/>
                <w:szCs w:val="24"/>
                <w:highlight w:val="none"/>
              </w:rPr>
            </w:pPr>
          </w:p>
        </w:tc>
        <w:tc>
          <w:tcPr>
            <w:tcW w:w="5925" w:type="dxa"/>
            <w:noWrap/>
          </w:tcPr>
          <w:p w14:paraId="16718F8A">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三、售后服务要求</w:t>
            </w:r>
          </w:p>
          <w:p w14:paraId="0A9997C9">
            <w:pPr>
              <w:spacing w:line="360" w:lineRule="auto"/>
              <w:rPr>
                <w:rFonts w:ascii="宋体" w:hAnsi="宋体" w:cs="宋体"/>
                <w:bCs/>
                <w:color w:val="auto"/>
                <w:sz w:val="24"/>
                <w:szCs w:val="24"/>
                <w:highlight w:val="none"/>
              </w:rPr>
            </w:pPr>
            <w:r>
              <w:rPr>
                <w:rFonts w:ascii="宋体" w:hAnsi="宋体" w:cs="宋体"/>
                <w:b/>
                <w:color w:val="auto"/>
                <w:sz w:val="24"/>
                <w:szCs w:val="24"/>
                <w:highlight w:val="none"/>
              </w:rPr>
              <w:t>*1、投标人必须在投标文件中提供具体的售后服务承诺条款。</w:t>
            </w:r>
          </w:p>
        </w:tc>
      </w:tr>
      <w:tr w14:paraId="3F3B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1333F17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44</w:t>
            </w:r>
          </w:p>
        </w:tc>
        <w:tc>
          <w:tcPr>
            <w:tcW w:w="696" w:type="dxa"/>
            <w:noWrap/>
          </w:tcPr>
          <w:p w14:paraId="4A742E81">
            <w:pPr>
              <w:spacing w:line="360" w:lineRule="auto"/>
              <w:jc w:val="center"/>
              <w:rPr>
                <w:rFonts w:ascii="宋体" w:hAnsi="宋体" w:cs="宋体"/>
                <w:color w:val="auto"/>
                <w:sz w:val="24"/>
                <w:szCs w:val="24"/>
                <w:highlight w:val="none"/>
              </w:rPr>
            </w:pPr>
          </w:p>
        </w:tc>
        <w:tc>
          <w:tcPr>
            <w:tcW w:w="1422" w:type="dxa"/>
            <w:noWrap/>
          </w:tcPr>
          <w:p w14:paraId="070A335F">
            <w:pPr>
              <w:spacing w:line="360" w:lineRule="auto"/>
              <w:jc w:val="center"/>
              <w:rPr>
                <w:rFonts w:ascii="宋体" w:hAnsi="宋体" w:cs="宋体"/>
                <w:color w:val="auto"/>
                <w:sz w:val="24"/>
                <w:szCs w:val="24"/>
                <w:highlight w:val="none"/>
              </w:rPr>
            </w:pPr>
          </w:p>
        </w:tc>
        <w:tc>
          <w:tcPr>
            <w:tcW w:w="5925" w:type="dxa"/>
            <w:noWrap/>
          </w:tcPr>
          <w:p w14:paraId="6BC708A3">
            <w:pPr>
              <w:spacing w:line="360" w:lineRule="auto"/>
              <w:rPr>
                <w:rFonts w:ascii="宋体" w:hAnsi="宋体" w:cs="宋体"/>
                <w:bCs/>
                <w:color w:val="auto"/>
                <w:sz w:val="24"/>
                <w:szCs w:val="24"/>
                <w:highlight w:val="none"/>
              </w:rPr>
            </w:pPr>
            <w:r>
              <w:rPr>
                <w:rFonts w:ascii="宋体" w:hAnsi="宋体" w:cs="宋体"/>
                <w:b/>
                <w:color w:val="auto"/>
                <w:sz w:val="24"/>
                <w:szCs w:val="24"/>
                <w:highlight w:val="none"/>
              </w:rPr>
              <w:t>*2、本项目质量保证期：货物经客户验收合格后3个月。使用单位收到申购的复印纸后，3个月内发现质量问题，中标供应商应无条件给予更换或退货。</w:t>
            </w:r>
          </w:p>
        </w:tc>
      </w:tr>
      <w:tr w14:paraId="31974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6EAEA3F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45</w:t>
            </w:r>
          </w:p>
        </w:tc>
        <w:tc>
          <w:tcPr>
            <w:tcW w:w="696" w:type="dxa"/>
            <w:noWrap/>
          </w:tcPr>
          <w:p w14:paraId="5B143F28">
            <w:pPr>
              <w:spacing w:line="360" w:lineRule="auto"/>
              <w:jc w:val="center"/>
              <w:rPr>
                <w:rFonts w:ascii="宋体" w:hAnsi="宋体" w:cs="宋体"/>
                <w:color w:val="auto"/>
                <w:sz w:val="24"/>
                <w:szCs w:val="24"/>
                <w:highlight w:val="none"/>
              </w:rPr>
            </w:pPr>
          </w:p>
        </w:tc>
        <w:tc>
          <w:tcPr>
            <w:tcW w:w="1422" w:type="dxa"/>
            <w:noWrap/>
          </w:tcPr>
          <w:p w14:paraId="74AE8C8C">
            <w:pPr>
              <w:spacing w:line="360" w:lineRule="auto"/>
              <w:jc w:val="center"/>
              <w:rPr>
                <w:rFonts w:ascii="宋体" w:hAnsi="宋体" w:cs="宋体"/>
                <w:color w:val="auto"/>
                <w:sz w:val="24"/>
                <w:szCs w:val="24"/>
                <w:highlight w:val="none"/>
              </w:rPr>
            </w:pPr>
          </w:p>
        </w:tc>
        <w:tc>
          <w:tcPr>
            <w:tcW w:w="5925" w:type="dxa"/>
            <w:noWrap/>
          </w:tcPr>
          <w:p w14:paraId="73B68D0A">
            <w:pPr>
              <w:spacing w:line="360" w:lineRule="auto"/>
              <w:rPr>
                <w:rFonts w:ascii="宋体" w:hAnsi="宋体" w:cs="宋体"/>
                <w:bCs/>
                <w:color w:val="auto"/>
                <w:sz w:val="24"/>
                <w:szCs w:val="24"/>
                <w:highlight w:val="none"/>
              </w:rPr>
            </w:pPr>
            <w:r>
              <w:rPr>
                <w:rFonts w:ascii="宋体" w:hAnsi="宋体" w:cs="宋体"/>
                <w:b/>
                <w:color w:val="auto"/>
                <w:sz w:val="24"/>
                <w:szCs w:val="24"/>
                <w:highlight w:val="none"/>
              </w:rPr>
              <w:t>*3、投标人须在投标文件中提供</w:t>
            </w:r>
            <w:r>
              <w:rPr>
                <w:rFonts w:hint="eastAsia" w:ascii="宋体" w:hAnsi="宋体" w:cs="宋体"/>
                <w:b/>
                <w:color w:val="auto"/>
                <w:sz w:val="24"/>
                <w:szCs w:val="24"/>
                <w:highlight w:val="none"/>
              </w:rPr>
              <w:t>书面承诺函：承诺接受《采购合同》中《服务考核细则》对其的考核并同意按考核情况处理。</w:t>
            </w:r>
          </w:p>
        </w:tc>
      </w:tr>
      <w:tr w14:paraId="4D80E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2E2C4EB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46</w:t>
            </w:r>
          </w:p>
        </w:tc>
        <w:tc>
          <w:tcPr>
            <w:tcW w:w="696" w:type="dxa"/>
            <w:noWrap/>
          </w:tcPr>
          <w:p w14:paraId="5AB0538A">
            <w:pPr>
              <w:spacing w:line="360" w:lineRule="auto"/>
              <w:jc w:val="center"/>
              <w:rPr>
                <w:rFonts w:ascii="宋体" w:hAnsi="宋体" w:cs="宋体"/>
                <w:color w:val="auto"/>
                <w:sz w:val="24"/>
                <w:szCs w:val="24"/>
                <w:highlight w:val="none"/>
              </w:rPr>
            </w:pPr>
          </w:p>
        </w:tc>
        <w:tc>
          <w:tcPr>
            <w:tcW w:w="1422" w:type="dxa"/>
            <w:noWrap/>
          </w:tcPr>
          <w:p w14:paraId="025F2E49">
            <w:pPr>
              <w:spacing w:line="360" w:lineRule="auto"/>
              <w:jc w:val="center"/>
              <w:rPr>
                <w:rFonts w:ascii="宋体" w:hAnsi="宋体" w:cs="宋体"/>
                <w:color w:val="auto"/>
                <w:sz w:val="24"/>
                <w:szCs w:val="24"/>
                <w:highlight w:val="none"/>
              </w:rPr>
            </w:pPr>
          </w:p>
        </w:tc>
        <w:tc>
          <w:tcPr>
            <w:tcW w:w="5925" w:type="dxa"/>
            <w:noWrap/>
          </w:tcPr>
          <w:p w14:paraId="213BBFAF">
            <w:pPr>
              <w:spacing w:line="360" w:lineRule="auto"/>
              <w:rPr>
                <w:rFonts w:ascii="宋体" w:hAnsi="宋体" w:cs="宋体"/>
                <w:bCs/>
                <w:color w:val="auto"/>
                <w:sz w:val="24"/>
                <w:szCs w:val="24"/>
                <w:highlight w:val="none"/>
              </w:rPr>
            </w:pPr>
            <w:r>
              <w:rPr>
                <w:rFonts w:ascii="宋体" w:hAnsi="宋体" w:cs="宋体"/>
                <w:b/>
                <w:color w:val="auto"/>
                <w:sz w:val="24"/>
                <w:szCs w:val="24"/>
                <w:highlight w:val="none"/>
              </w:rPr>
              <w:t>*4、</w:t>
            </w:r>
            <w:r>
              <w:rPr>
                <w:rFonts w:hint="eastAsia" w:ascii="宋体" w:hAnsi="宋体"/>
                <w:b/>
                <w:color w:val="auto"/>
                <w:sz w:val="24"/>
                <w:szCs w:val="24"/>
                <w:highlight w:val="none"/>
              </w:rPr>
              <w:t>投标人同意共免费</w:t>
            </w:r>
            <w:r>
              <w:rPr>
                <w:rFonts w:hint="default" w:ascii="宋体" w:hAnsi="宋体"/>
                <w:b/>
                <w:color w:val="auto"/>
                <w:sz w:val="24"/>
                <w:szCs w:val="24"/>
                <w:highlight w:val="none"/>
              </w:rPr>
              <w:t>提供</w:t>
            </w:r>
            <w:r>
              <w:rPr>
                <w:rFonts w:hint="eastAsia" w:ascii="宋体" w:hAnsi="宋体"/>
                <w:b/>
                <w:color w:val="auto"/>
                <w:sz w:val="24"/>
                <w:szCs w:val="24"/>
                <w:highlight w:val="none"/>
              </w:rPr>
              <w:t>备用纸100箱，其中1-1、1-2、1-6、1-7备用纸各1</w:t>
            </w:r>
            <w:r>
              <w:rPr>
                <w:rFonts w:hint="eastAsia" w:ascii="宋体" w:hAnsi="宋体"/>
                <w:b/>
                <w:color w:val="auto"/>
                <w:sz w:val="24"/>
                <w:szCs w:val="24"/>
                <w:highlight w:val="none"/>
                <w:lang w:val="en-US" w:eastAsia="zh-CN"/>
              </w:rPr>
              <w:t>5</w:t>
            </w:r>
            <w:r>
              <w:rPr>
                <w:rFonts w:hint="eastAsia" w:ascii="宋体" w:hAnsi="宋体"/>
                <w:b/>
                <w:color w:val="auto"/>
                <w:sz w:val="24"/>
                <w:szCs w:val="24"/>
                <w:highlight w:val="none"/>
              </w:rPr>
              <w:t>箱，1-3、1-4备用纸各1</w:t>
            </w:r>
            <w:r>
              <w:rPr>
                <w:rFonts w:hint="eastAsia" w:ascii="宋体" w:hAnsi="宋体"/>
                <w:b/>
                <w:color w:val="auto"/>
                <w:sz w:val="24"/>
                <w:szCs w:val="24"/>
                <w:highlight w:val="none"/>
                <w:lang w:val="en-US" w:eastAsia="zh-CN"/>
              </w:rPr>
              <w:t>0</w:t>
            </w:r>
            <w:r>
              <w:rPr>
                <w:rFonts w:hint="eastAsia" w:ascii="宋体" w:hAnsi="宋体"/>
                <w:b/>
                <w:color w:val="auto"/>
                <w:sz w:val="24"/>
                <w:szCs w:val="24"/>
                <w:highlight w:val="none"/>
              </w:rPr>
              <w:t>箱，1-11、1-12备用纸各10箱。共免费</w:t>
            </w:r>
            <w:r>
              <w:rPr>
                <w:rFonts w:hint="default" w:ascii="宋体" w:hAnsi="宋体"/>
                <w:b/>
                <w:color w:val="auto"/>
                <w:sz w:val="24"/>
                <w:szCs w:val="24"/>
                <w:highlight w:val="none"/>
              </w:rPr>
              <w:t>提供</w:t>
            </w:r>
            <w:r>
              <w:rPr>
                <w:rFonts w:hint="eastAsia" w:ascii="宋体" w:hAnsi="宋体"/>
                <w:b/>
                <w:color w:val="auto"/>
                <w:sz w:val="24"/>
                <w:szCs w:val="24"/>
                <w:highlight w:val="none"/>
              </w:rPr>
              <w:t xml:space="preserve">试用及测试用纸1-3 </w:t>
            </w:r>
            <w:r>
              <w:rPr>
                <w:rFonts w:hint="eastAsia" w:ascii="宋体" w:hAnsi="宋体"/>
                <w:b/>
                <w:color w:val="auto"/>
                <w:sz w:val="24"/>
                <w:szCs w:val="24"/>
                <w:highlight w:val="none"/>
                <w:lang w:val="en-US" w:eastAsia="zh-CN"/>
              </w:rPr>
              <w:t xml:space="preserve"> </w:t>
            </w:r>
            <w:r>
              <w:rPr>
                <w:rFonts w:hint="eastAsia" w:ascii="宋体" w:hAnsi="宋体"/>
                <w:b/>
                <w:color w:val="auto"/>
                <w:sz w:val="24"/>
                <w:szCs w:val="24"/>
                <w:highlight w:val="none"/>
              </w:rPr>
              <w:t>200箱。且于中标后第一次供货时一并提供。备用纸、试用及测试纸归采购单位所有，由采购单位自行调配，合同期满后亦不予返还中标供应商。</w:t>
            </w:r>
          </w:p>
        </w:tc>
      </w:tr>
      <w:tr w14:paraId="3B754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6C6A2C4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47</w:t>
            </w:r>
          </w:p>
        </w:tc>
        <w:tc>
          <w:tcPr>
            <w:tcW w:w="696" w:type="dxa"/>
            <w:noWrap/>
          </w:tcPr>
          <w:p w14:paraId="40672745">
            <w:pPr>
              <w:spacing w:line="360" w:lineRule="auto"/>
              <w:jc w:val="center"/>
              <w:rPr>
                <w:rFonts w:ascii="宋体" w:hAnsi="宋体" w:cs="宋体"/>
                <w:color w:val="auto"/>
                <w:sz w:val="24"/>
                <w:szCs w:val="24"/>
                <w:highlight w:val="none"/>
              </w:rPr>
            </w:pPr>
          </w:p>
        </w:tc>
        <w:tc>
          <w:tcPr>
            <w:tcW w:w="1422" w:type="dxa"/>
            <w:noWrap/>
          </w:tcPr>
          <w:p w14:paraId="56A4337D">
            <w:pPr>
              <w:spacing w:line="360" w:lineRule="auto"/>
              <w:jc w:val="center"/>
              <w:rPr>
                <w:rFonts w:ascii="宋体" w:hAnsi="宋体" w:cs="宋体"/>
                <w:color w:val="auto"/>
                <w:sz w:val="24"/>
                <w:szCs w:val="24"/>
                <w:highlight w:val="none"/>
              </w:rPr>
            </w:pPr>
          </w:p>
        </w:tc>
        <w:tc>
          <w:tcPr>
            <w:tcW w:w="5925" w:type="dxa"/>
            <w:noWrap/>
          </w:tcPr>
          <w:p w14:paraId="5F1D43F8">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5、投标人须在投标文件中提供书面承诺函：承诺如果中标，应有指定的专人、专线服务电话对产品提供优质的售后服务。售后服务电话应每周5*8工作小时响应。接到需求电话，1工作小时内电话响应，4工作小时内上门（或处理）(注:上门服务时间，主要根据采购单位、使用单位需求而定。假如使用单位需要第二天上门处理的，要根据使用单位时间上门。但是同样的，如果使用单位需要晚上19：30后上门，中标供应商也要根据使用单位的要求上门。) 。</w:t>
            </w:r>
          </w:p>
        </w:tc>
      </w:tr>
      <w:tr w14:paraId="1EBFA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384843B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48</w:t>
            </w:r>
          </w:p>
        </w:tc>
        <w:tc>
          <w:tcPr>
            <w:tcW w:w="696" w:type="dxa"/>
            <w:noWrap/>
          </w:tcPr>
          <w:p w14:paraId="32C5D23E">
            <w:pPr>
              <w:spacing w:line="360" w:lineRule="auto"/>
              <w:jc w:val="center"/>
              <w:rPr>
                <w:rFonts w:ascii="宋体" w:hAnsi="宋体" w:cs="宋体"/>
                <w:color w:val="auto"/>
                <w:sz w:val="24"/>
                <w:szCs w:val="24"/>
                <w:highlight w:val="none"/>
              </w:rPr>
            </w:pPr>
          </w:p>
        </w:tc>
        <w:tc>
          <w:tcPr>
            <w:tcW w:w="1422" w:type="dxa"/>
            <w:noWrap/>
          </w:tcPr>
          <w:p w14:paraId="0101F5CF">
            <w:pPr>
              <w:spacing w:line="360" w:lineRule="auto"/>
              <w:jc w:val="center"/>
              <w:rPr>
                <w:rFonts w:ascii="宋体" w:hAnsi="宋体" w:cs="宋体"/>
                <w:color w:val="auto"/>
                <w:sz w:val="24"/>
                <w:szCs w:val="24"/>
                <w:highlight w:val="none"/>
              </w:rPr>
            </w:pPr>
          </w:p>
        </w:tc>
        <w:tc>
          <w:tcPr>
            <w:tcW w:w="5925" w:type="dxa"/>
            <w:noWrap/>
          </w:tcPr>
          <w:p w14:paraId="45818522">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*7. 售后服务网点：投标人提供书面承诺函：承诺中标后可以提供厦门市的售后服务网点数量至少</w:t>
            </w:r>
            <w:r>
              <w:rPr>
                <w:rFonts w:ascii="宋体" w:hAnsi="宋体" w:cs="宋体"/>
                <w:b/>
                <w:color w:val="auto"/>
                <w:sz w:val="24"/>
                <w:szCs w:val="24"/>
                <w:highlight w:val="none"/>
              </w:rPr>
              <w:t>2个（含）且人员超过</w:t>
            </w:r>
            <w:r>
              <w:rPr>
                <w:rFonts w:hint="eastAsia" w:ascii="宋体" w:hAnsi="宋体" w:cs="宋体"/>
                <w:b/>
                <w:color w:val="auto"/>
                <w:sz w:val="24"/>
                <w:szCs w:val="24"/>
                <w:highlight w:val="none"/>
              </w:rPr>
              <w:t>1</w:t>
            </w:r>
            <w:r>
              <w:rPr>
                <w:rFonts w:ascii="宋体" w:hAnsi="宋体" w:cs="宋体"/>
                <w:b/>
                <w:color w:val="auto"/>
                <w:sz w:val="24"/>
                <w:szCs w:val="24"/>
                <w:highlight w:val="none"/>
              </w:rPr>
              <w:t>0个（含）。</w:t>
            </w:r>
          </w:p>
        </w:tc>
      </w:tr>
      <w:tr w14:paraId="298C4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2C8F172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49</w:t>
            </w:r>
          </w:p>
        </w:tc>
        <w:tc>
          <w:tcPr>
            <w:tcW w:w="696" w:type="dxa"/>
            <w:noWrap/>
          </w:tcPr>
          <w:p w14:paraId="5AE29A98">
            <w:pPr>
              <w:spacing w:line="360" w:lineRule="auto"/>
              <w:jc w:val="center"/>
              <w:rPr>
                <w:rFonts w:ascii="宋体" w:hAnsi="宋体" w:cs="宋体"/>
                <w:color w:val="auto"/>
                <w:sz w:val="24"/>
                <w:szCs w:val="24"/>
                <w:highlight w:val="none"/>
              </w:rPr>
            </w:pPr>
          </w:p>
        </w:tc>
        <w:tc>
          <w:tcPr>
            <w:tcW w:w="1422" w:type="dxa"/>
            <w:noWrap/>
          </w:tcPr>
          <w:p w14:paraId="52B013A5">
            <w:pPr>
              <w:spacing w:line="360" w:lineRule="auto"/>
              <w:jc w:val="center"/>
              <w:rPr>
                <w:rFonts w:ascii="宋体" w:hAnsi="宋体" w:cs="宋体"/>
                <w:color w:val="auto"/>
                <w:sz w:val="24"/>
                <w:szCs w:val="24"/>
                <w:highlight w:val="none"/>
              </w:rPr>
            </w:pPr>
          </w:p>
        </w:tc>
        <w:tc>
          <w:tcPr>
            <w:tcW w:w="5925" w:type="dxa"/>
            <w:noWrap/>
          </w:tcPr>
          <w:p w14:paraId="22E8D0F9">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四、报价要求</w:t>
            </w:r>
          </w:p>
          <w:p w14:paraId="06C6C2E7">
            <w:pPr>
              <w:spacing w:line="360" w:lineRule="auto"/>
              <w:ind w:firstLine="482" w:firstLineChars="200"/>
              <w:rPr>
                <w:rFonts w:ascii="宋体" w:hAnsi="宋体" w:cs="宋体"/>
                <w:bCs/>
                <w:color w:val="auto"/>
                <w:sz w:val="24"/>
                <w:szCs w:val="24"/>
                <w:highlight w:val="none"/>
              </w:rPr>
            </w:pPr>
            <w:r>
              <w:rPr>
                <w:rFonts w:hint="eastAsia" w:ascii="宋体" w:hAnsi="宋体" w:cs="宋体"/>
                <w:b/>
                <w:color w:val="auto"/>
                <w:sz w:val="24"/>
                <w:szCs w:val="24"/>
                <w:highlight w:val="none"/>
              </w:rPr>
              <w:t>*1、投标人报价不得超过本项目采购预算人民币42003177.8 元，且应按本项目各个品目号分别报价，各品目号报价不得超过其采购预算：品目号1-1人民币2171623.48元，品目号1-2人民币1889903.34 元，品目号1-3人民币10146080.00元，品目号1-4人民币11058606.00元，品目号1-5人民币12747709.52元，品目号1-6人民币1141735.40 元，品目号1-7人民币451753.12元，品目号1-8人民币54541.50 元，品目号1-9人民币31091.06 元，品目号1-10人民币267634.38元，品目号1-</w:t>
            </w:r>
            <w:r>
              <w:rPr>
                <w:rFonts w:hint="eastAsia" w:ascii="宋体" w:hAnsi="宋体" w:cs="宋体"/>
                <w:b/>
                <w:color w:val="auto"/>
                <w:sz w:val="24"/>
                <w:szCs w:val="24"/>
                <w:highlight w:val="none"/>
                <w:lang w:val="en-US" w:eastAsia="zh-CN"/>
              </w:rPr>
              <w:t>11</w:t>
            </w:r>
            <w:r>
              <w:rPr>
                <w:rFonts w:hint="eastAsia" w:ascii="宋体" w:hAnsi="宋体" w:cs="宋体"/>
                <w:b/>
                <w:color w:val="auto"/>
                <w:sz w:val="24"/>
                <w:szCs w:val="24"/>
                <w:highlight w:val="none"/>
              </w:rPr>
              <w:t>人民币1300000.00元，品目号1-1</w:t>
            </w:r>
            <w:r>
              <w:rPr>
                <w:rFonts w:hint="eastAsia" w:ascii="宋体" w:hAnsi="宋体" w:cs="宋体"/>
                <w:b/>
                <w:color w:val="auto"/>
                <w:sz w:val="24"/>
                <w:szCs w:val="24"/>
                <w:highlight w:val="none"/>
                <w:lang w:val="en-US" w:eastAsia="zh-CN"/>
              </w:rPr>
              <w:t>2</w:t>
            </w:r>
            <w:r>
              <w:rPr>
                <w:rFonts w:hint="eastAsia" w:ascii="宋体" w:hAnsi="宋体" w:cs="宋体"/>
                <w:b/>
                <w:color w:val="auto"/>
                <w:sz w:val="24"/>
                <w:szCs w:val="24"/>
                <w:highlight w:val="none"/>
              </w:rPr>
              <w:t>人民币742500.00元。</w:t>
            </w:r>
          </w:p>
        </w:tc>
      </w:tr>
      <w:tr w14:paraId="7EAA0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7E5513D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50</w:t>
            </w:r>
          </w:p>
        </w:tc>
        <w:tc>
          <w:tcPr>
            <w:tcW w:w="696" w:type="dxa"/>
            <w:noWrap/>
          </w:tcPr>
          <w:p w14:paraId="70601798">
            <w:pPr>
              <w:spacing w:line="360" w:lineRule="auto"/>
              <w:jc w:val="center"/>
              <w:rPr>
                <w:rFonts w:ascii="宋体" w:hAnsi="宋体" w:cs="宋体"/>
                <w:color w:val="auto"/>
                <w:sz w:val="24"/>
                <w:szCs w:val="24"/>
                <w:highlight w:val="none"/>
              </w:rPr>
            </w:pPr>
          </w:p>
        </w:tc>
        <w:tc>
          <w:tcPr>
            <w:tcW w:w="1422" w:type="dxa"/>
            <w:noWrap/>
          </w:tcPr>
          <w:p w14:paraId="55652E8F">
            <w:pPr>
              <w:spacing w:line="360" w:lineRule="auto"/>
              <w:jc w:val="center"/>
              <w:rPr>
                <w:rFonts w:ascii="宋体" w:hAnsi="宋体" w:cs="宋体"/>
                <w:color w:val="auto"/>
                <w:sz w:val="24"/>
                <w:szCs w:val="24"/>
                <w:highlight w:val="none"/>
              </w:rPr>
            </w:pPr>
          </w:p>
        </w:tc>
        <w:tc>
          <w:tcPr>
            <w:tcW w:w="5925" w:type="dxa"/>
            <w:noWrap/>
          </w:tcPr>
          <w:p w14:paraId="71923F02">
            <w:pPr>
              <w:spacing w:line="360" w:lineRule="auto"/>
              <w:rPr>
                <w:rFonts w:ascii="宋体" w:hAnsi="宋体" w:cs="宋体"/>
                <w:bCs/>
                <w:color w:val="auto"/>
                <w:sz w:val="24"/>
                <w:szCs w:val="24"/>
                <w:highlight w:val="none"/>
              </w:rPr>
            </w:pPr>
            <w:r>
              <w:rPr>
                <w:rFonts w:hint="eastAsia" w:ascii="宋体" w:hAnsi="宋体" w:cs="宋体"/>
                <w:b/>
                <w:bCs/>
                <w:color w:val="auto"/>
                <w:sz w:val="24"/>
                <w:szCs w:val="24"/>
                <w:highlight w:val="none"/>
              </w:rPr>
              <w:t>*2、投标人须以人民币报价且总报价含货物（复印纸）费、运至使用单位指定地点的运输费和伴随服务费、税费、验收等所有与完成本项目有关的一切费用（投标人可在分项报价表中详细列出报价，如果所列分项报价不含以上内容，则视为已含在报价总价中），本项目为交钥匙总包价。</w:t>
            </w:r>
          </w:p>
        </w:tc>
      </w:tr>
      <w:tr w14:paraId="53A1A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3AC84B1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51</w:t>
            </w:r>
          </w:p>
        </w:tc>
        <w:tc>
          <w:tcPr>
            <w:tcW w:w="696" w:type="dxa"/>
            <w:noWrap/>
          </w:tcPr>
          <w:p w14:paraId="05A5125E">
            <w:pPr>
              <w:spacing w:line="360" w:lineRule="auto"/>
              <w:jc w:val="center"/>
              <w:rPr>
                <w:rFonts w:ascii="宋体" w:hAnsi="宋体" w:cs="宋体"/>
                <w:color w:val="auto"/>
                <w:sz w:val="24"/>
                <w:szCs w:val="24"/>
                <w:highlight w:val="none"/>
              </w:rPr>
            </w:pPr>
          </w:p>
        </w:tc>
        <w:tc>
          <w:tcPr>
            <w:tcW w:w="1422" w:type="dxa"/>
            <w:noWrap/>
          </w:tcPr>
          <w:p w14:paraId="217C8EBD">
            <w:pPr>
              <w:spacing w:line="360" w:lineRule="auto"/>
              <w:jc w:val="center"/>
              <w:rPr>
                <w:rFonts w:ascii="宋体" w:hAnsi="宋体" w:cs="宋体"/>
                <w:color w:val="auto"/>
                <w:sz w:val="24"/>
                <w:szCs w:val="24"/>
                <w:highlight w:val="none"/>
              </w:rPr>
            </w:pPr>
          </w:p>
        </w:tc>
        <w:tc>
          <w:tcPr>
            <w:tcW w:w="5925" w:type="dxa"/>
            <w:noWrap/>
          </w:tcPr>
          <w:p w14:paraId="0419F7A9">
            <w:pPr>
              <w:spacing w:line="360" w:lineRule="auto"/>
              <w:rPr>
                <w:rFonts w:ascii="宋体" w:hAnsi="宋体" w:cs="宋体"/>
                <w:bCs/>
                <w:color w:val="auto"/>
                <w:sz w:val="24"/>
                <w:szCs w:val="24"/>
                <w:highlight w:val="none"/>
              </w:rPr>
            </w:pPr>
            <w:r>
              <w:rPr>
                <w:rFonts w:hint="eastAsia" w:ascii="宋体" w:hAnsi="宋体" w:cs="宋体"/>
                <w:b/>
                <w:bCs/>
                <w:color w:val="auto"/>
                <w:sz w:val="24"/>
                <w:szCs w:val="24"/>
                <w:highlight w:val="none"/>
              </w:rPr>
              <w:t>*3、报价以人民币为货币单位，投标人必须列出招标货物一览表中各品目号货物的单价及总价。</w:t>
            </w:r>
          </w:p>
        </w:tc>
      </w:tr>
      <w:tr w14:paraId="0EC2D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3ED869A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52</w:t>
            </w:r>
          </w:p>
        </w:tc>
        <w:tc>
          <w:tcPr>
            <w:tcW w:w="696" w:type="dxa"/>
            <w:noWrap/>
          </w:tcPr>
          <w:p w14:paraId="693B2C1A">
            <w:pPr>
              <w:spacing w:line="360" w:lineRule="auto"/>
              <w:jc w:val="center"/>
              <w:rPr>
                <w:rFonts w:ascii="宋体" w:hAnsi="宋体" w:cs="宋体"/>
                <w:color w:val="auto"/>
                <w:sz w:val="24"/>
                <w:szCs w:val="24"/>
                <w:highlight w:val="none"/>
              </w:rPr>
            </w:pPr>
          </w:p>
        </w:tc>
        <w:tc>
          <w:tcPr>
            <w:tcW w:w="1422" w:type="dxa"/>
            <w:noWrap/>
          </w:tcPr>
          <w:p w14:paraId="75918F98">
            <w:pPr>
              <w:spacing w:line="360" w:lineRule="auto"/>
              <w:jc w:val="center"/>
              <w:rPr>
                <w:rFonts w:ascii="宋体" w:hAnsi="宋体" w:cs="宋体"/>
                <w:color w:val="auto"/>
                <w:sz w:val="24"/>
                <w:szCs w:val="24"/>
                <w:highlight w:val="none"/>
              </w:rPr>
            </w:pPr>
          </w:p>
        </w:tc>
        <w:tc>
          <w:tcPr>
            <w:tcW w:w="5925" w:type="dxa"/>
            <w:noWrap/>
          </w:tcPr>
          <w:p w14:paraId="6D798C46">
            <w:pPr>
              <w:spacing w:line="360" w:lineRule="auto"/>
              <w:rPr>
                <w:rFonts w:ascii="宋体" w:hAnsi="宋体" w:cs="宋体"/>
                <w:bCs/>
                <w:color w:val="auto"/>
                <w:sz w:val="24"/>
                <w:szCs w:val="24"/>
                <w:highlight w:val="none"/>
              </w:rPr>
            </w:pPr>
            <w:r>
              <w:rPr>
                <w:rFonts w:hint="eastAsia" w:ascii="宋体" w:hAnsi="宋体" w:cs="宋体"/>
                <w:b/>
                <w:bCs/>
                <w:color w:val="auto"/>
                <w:sz w:val="24"/>
                <w:szCs w:val="24"/>
                <w:highlight w:val="none"/>
              </w:rPr>
              <w:t>*</w:t>
            </w:r>
            <w:r>
              <w:rPr>
                <w:rFonts w:hint="eastAsia" w:ascii="宋体" w:hAnsi="宋体" w:cs="宋体"/>
                <w:b/>
                <w:color w:val="auto"/>
                <w:sz w:val="24"/>
                <w:szCs w:val="24"/>
                <w:highlight w:val="none"/>
              </w:rPr>
              <w:t>4、投标人的投标方案与报价只能有一个，采购单位不接受有选择性的报价。</w:t>
            </w:r>
          </w:p>
        </w:tc>
      </w:tr>
      <w:tr w14:paraId="673A9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6070935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53</w:t>
            </w:r>
          </w:p>
        </w:tc>
        <w:tc>
          <w:tcPr>
            <w:tcW w:w="696" w:type="dxa"/>
            <w:noWrap/>
          </w:tcPr>
          <w:p w14:paraId="109B2B52">
            <w:pPr>
              <w:spacing w:line="360" w:lineRule="auto"/>
              <w:jc w:val="center"/>
              <w:rPr>
                <w:rFonts w:ascii="宋体" w:hAnsi="宋体" w:cs="宋体"/>
                <w:color w:val="auto"/>
                <w:sz w:val="24"/>
                <w:szCs w:val="24"/>
                <w:highlight w:val="none"/>
              </w:rPr>
            </w:pPr>
          </w:p>
        </w:tc>
        <w:tc>
          <w:tcPr>
            <w:tcW w:w="1422" w:type="dxa"/>
            <w:noWrap/>
          </w:tcPr>
          <w:p w14:paraId="6E9230C8">
            <w:pPr>
              <w:spacing w:line="360" w:lineRule="auto"/>
              <w:jc w:val="center"/>
              <w:rPr>
                <w:rFonts w:ascii="宋体" w:hAnsi="宋体" w:cs="宋体"/>
                <w:color w:val="auto"/>
                <w:sz w:val="24"/>
                <w:szCs w:val="24"/>
                <w:highlight w:val="none"/>
              </w:rPr>
            </w:pPr>
          </w:p>
        </w:tc>
        <w:tc>
          <w:tcPr>
            <w:tcW w:w="5925" w:type="dxa"/>
            <w:noWrap/>
          </w:tcPr>
          <w:p w14:paraId="26D19BFC">
            <w:pPr>
              <w:spacing w:line="360" w:lineRule="auto"/>
              <w:rPr>
                <w:rFonts w:ascii="宋体" w:hAnsi="宋体" w:cs="宋体"/>
                <w:bCs/>
                <w:color w:val="auto"/>
                <w:sz w:val="24"/>
                <w:szCs w:val="24"/>
                <w:highlight w:val="none"/>
              </w:rPr>
            </w:pPr>
            <w:r>
              <w:rPr>
                <w:rFonts w:hint="eastAsia" w:ascii="宋体" w:hAnsi="宋体" w:cs="宋体"/>
                <w:b/>
                <w:bCs/>
                <w:color w:val="auto"/>
                <w:sz w:val="24"/>
                <w:szCs w:val="24"/>
                <w:highlight w:val="none"/>
              </w:rPr>
              <w:t>*</w:t>
            </w:r>
            <w:r>
              <w:rPr>
                <w:rFonts w:hint="eastAsia" w:ascii="宋体" w:hAnsi="宋体" w:cs="宋体"/>
                <w:b/>
                <w:color w:val="auto"/>
                <w:sz w:val="24"/>
                <w:szCs w:val="24"/>
                <w:highlight w:val="none"/>
              </w:rPr>
              <w:t>5、一般情况下，中标供应商应将货物送至采购单位仓库（福建省内指定地点）集中仓储，再根据采购单位指令从仓库提货后进行二次配送至最终用户。特殊情况下，采购单位应将货物直接送至最终用户。中标供应商应具体按照《定货单》要求执行。直送最终用户的，中标供应商应承担相应的运输费用；送仓库后再送至最终用户的，中标供应商除承担运送至采购单位仓库的费用，还应同时承担从采购单位仓库运送至最终用户的二次配送费用（仅包括采购单位仓库所在地行政区域的二次配送费用，例如从厦门仓库到厦门区域范围内的最终用户）。送至仓库后再送至最终用户的，除非《定货单》另有要求，中标供应商在接到采购单位《定货单》之日起</w:t>
            </w:r>
            <w:r>
              <w:rPr>
                <w:rFonts w:ascii="宋体" w:hAnsi="宋体" w:cs="宋体"/>
                <w:b/>
                <w:color w:val="auto"/>
                <w:sz w:val="24"/>
                <w:szCs w:val="24"/>
                <w:highlight w:val="none"/>
              </w:rPr>
              <w:t>25</w:t>
            </w:r>
            <w:r>
              <w:rPr>
                <w:rFonts w:hint="eastAsia" w:ascii="宋体" w:hAnsi="宋体" w:cs="宋体"/>
                <w:b/>
                <w:color w:val="auto"/>
                <w:sz w:val="24"/>
                <w:szCs w:val="24"/>
                <w:highlight w:val="none"/>
              </w:rPr>
              <w:t>个</w:t>
            </w:r>
            <w:r>
              <w:rPr>
                <w:rFonts w:ascii="宋体" w:hAnsi="宋体" w:cs="宋体"/>
                <w:b/>
                <w:color w:val="auto"/>
                <w:sz w:val="24"/>
                <w:szCs w:val="24"/>
                <w:highlight w:val="none"/>
              </w:rPr>
              <w:t>日历</w:t>
            </w:r>
            <w:r>
              <w:rPr>
                <w:rFonts w:hint="eastAsia" w:ascii="宋体" w:hAnsi="宋体" w:cs="宋体"/>
                <w:b/>
                <w:color w:val="auto"/>
                <w:sz w:val="24"/>
                <w:szCs w:val="24"/>
                <w:highlight w:val="none"/>
              </w:rPr>
              <w:t>日内货交采购单位仓库，并于接到采购单位通知后，厦门市岛内24小时、岛外48小时，从采购单位仓库运送至最终用户。中标供应商从采购单位仓库中提货后，货物毁损、灭失的风险转移至中标供应商。若中标供应商未按约定的时间将货物送至最终用户的，采购单位将代为进行二次配送，但中标供应商应按如下费用标准向采购单位支付相应费用：按照实际订单分批入库，二次配送费用为9元/箱，仓储操作费</w:t>
            </w:r>
            <w:r>
              <w:rPr>
                <w:rFonts w:hint="eastAsia" w:ascii="宋体" w:hAnsi="宋体" w:cs="宋体"/>
                <w:b/>
                <w:color w:val="auto"/>
                <w:sz w:val="24"/>
                <w:szCs w:val="24"/>
                <w:highlight w:val="none"/>
                <w:lang w:val="en-US" w:eastAsia="zh-CN"/>
              </w:rPr>
              <w:t>6</w:t>
            </w:r>
            <w:r>
              <w:rPr>
                <w:rFonts w:hint="eastAsia" w:ascii="宋体" w:hAnsi="宋体" w:cs="宋体"/>
                <w:b/>
                <w:color w:val="auto"/>
                <w:sz w:val="24"/>
                <w:szCs w:val="24"/>
                <w:highlight w:val="none"/>
              </w:rPr>
              <w:t>元/箱。上述费用采购单位可在履约保证金或应付货款中直接扣除。中标供应商最迟在采购单位发出《定货单》之日起10个工作日内向采购单位支付二次配送费和</w:t>
            </w:r>
            <w:r>
              <w:rPr>
                <w:rFonts w:ascii="宋体" w:hAnsi="宋体" w:cs="宋体"/>
                <w:b/>
                <w:color w:val="auto"/>
                <w:sz w:val="24"/>
                <w:szCs w:val="24"/>
                <w:highlight w:val="none"/>
              </w:rPr>
              <w:t>仓储操作费</w:t>
            </w:r>
            <w:r>
              <w:rPr>
                <w:rFonts w:hint="eastAsia" w:ascii="宋体" w:hAnsi="宋体" w:cs="宋体"/>
                <w:b/>
                <w:color w:val="auto"/>
                <w:sz w:val="24"/>
                <w:szCs w:val="24"/>
                <w:highlight w:val="none"/>
              </w:rPr>
              <w:t>。</w:t>
            </w:r>
          </w:p>
        </w:tc>
      </w:tr>
      <w:tr w14:paraId="1990A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2C714A7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54</w:t>
            </w:r>
          </w:p>
        </w:tc>
        <w:tc>
          <w:tcPr>
            <w:tcW w:w="696" w:type="dxa"/>
            <w:noWrap/>
          </w:tcPr>
          <w:p w14:paraId="5291F355">
            <w:pPr>
              <w:spacing w:line="360" w:lineRule="auto"/>
              <w:jc w:val="center"/>
              <w:rPr>
                <w:rFonts w:ascii="宋体" w:hAnsi="宋体" w:cs="宋体"/>
                <w:color w:val="auto"/>
                <w:sz w:val="24"/>
                <w:szCs w:val="24"/>
                <w:highlight w:val="none"/>
              </w:rPr>
            </w:pPr>
          </w:p>
        </w:tc>
        <w:tc>
          <w:tcPr>
            <w:tcW w:w="1422" w:type="dxa"/>
            <w:noWrap/>
          </w:tcPr>
          <w:p w14:paraId="14706288">
            <w:pPr>
              <w:spacing w:line="360" w:lineRule="auto"/>
              <w:jc w:val="center"/>
              <w:rPr>
                <w:rFonts w:ascii="宋体" w:hAnsi="宋体" w:cs="宋体"/>
                <w:color w:val="auto"/>
                <w:sz w:val="24"/>
                <w:szCs w:val="24"/>
                <w:highlight w:val="none"/>
              </w:rPr>
            </w:pPr>
          </w:p>
        </w:tc>
        <w:tc>
          <w:tcPr>
            <w:tcW w:w="5925" w:type="dxa"/>
            <w:noWrap/>
          </w:tcPr>
          <w:p w14:paraId="3FC301B7">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五、付款方式</w:t>
            </w:r>
          </w:p>
          <w:p w14:paraId="40C6AA3B">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*1、交货方式：合同签订后分批供货，按批次支付货款。</w:t>
            </w:r>
          </w:p>
        </w:tc>
      </w:tr>
      <w:tr w14:paraId="59497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6298963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55</w:t>
            </w:r>
          </w:p>
        </w:tc>
        <w:tc>
          <w:tcPr>
            <w:tcW w:w="696" w:type="dxa"/>
            <w:noWrap/>
          </w:tcPr>
          <w:p w14:paraId="3202C8E6">
            <w:pPr>
              <w:spacing w:line="360" w:lineRule="auto"/>
              <w:jc w:val="center"/>
              <w:rPr>
                <w:rFonts w:ascii="宋体" w:hAnsi="宋体" w:cs="宋体"/>
                <w:color w:val="auto"/>
                <w:sz w:val="24"/>
                <w:szCs w:val="24"/>
                <w:highlight w:val="none"/>
              </w:rPr>
            </w:pPr>
          </w:p>
        </w:tc>
        <w:tc>
          <w:tcPr>
            <w:tcW w:w="1422" w:type="dxa"/>
            <w:noWrap/>
          </w:tcPr>
          <w:p w14:paraId="5679658B">
            <w:pPr>
              <w:spacing w:line="360" w:lineRule="auto"/>
              <w:jc w:val="center"/>
              <w:rPr>
                <w:rFonts w:ascii="宋体" w:hAnsi="宋体" w:cs="宋体"/>
                <w:color w:val="auto"/>
                <w:sz w:val="24"/>
                <w:szCs w:val="24"/>
                <w:highlight w:val="none"/>
              </w:rPr>
            </w:pPr>
          </w:p>
        </w:tc>
        <w:tc>
          <w:tcPr>
            <w:tcW w:w="5925" w:type="dxa"/>
            <w:noWrap/>
          </w:tcPr>
          <w:p w14:paraId="1E53A6CE">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*2、货交采购单位仓库的，经采购单位</w:t>
            </w:r>
            <w:r>
              <w:rPr>
                <w:rFonts w:hint="default" w:ascii="宋体" w:hAnsi="宋体" w:cs="宋体"/>
                <w:b/>
                <w:color w:val="auto"/>
                <w:sz w:val="24"/>
                <w:szCs w:val="24"/>
                <w:highlight w:val="none"/>
              </w:rPr>
              <w:t>签收</w:t>
            </w:r>
            <w:r>
              <w:rPr>
                <w:rFonts w:hint="eastAsia" w:ascii="宋体" w:hAnsi="宋体" w:cs="宋体"/>
                <w:b/>
                <w:color w:val="auto"/>
                <w:sz w:val="24"/>
                <w:szCs w:val="24"/>
                <w:highlight w:val="none"/>
              </w:rPr>
              <w:t>后，采购单位凭下列单证和文件在30个日历日内向中标供应商支付该批次货款金额100%的6个月承兑期限的银行承兑汇票（银行范围仅限下述银行：中国银行、中国农业银行 、中国工商银行、中国建设银行、中信银行、光大银行、华夏银行、广东发展银行、深圳发展银行、招商银行、上海浦东发展银行、兴业银行、民生银行和平安银行）：</w:t>
            </w:r>
          </w:p>
          <w:p w14:paraId="54842CDF">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a.金额为100%的该批次货款的一般纳税人增值税专用发票；</w:t>
            </w:r>
          </w:p>
          <w:p w14:paraId="73D2F6D8">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b.中标供应商已缴纳该批货物的中标服务费的证明材料和二次配送费和</w:t>
            </w:r>
            <w:r>
              <w:rPr>
                <w:rFonts w:ascii="宋体" w:hAnsi="宋体" w:cs="宋体"/>
                <w:b/>
                <w:color w:val="auto"/>
                <w:sz w:val="24"/>
                <w:szCs w:val="24"/>
                <w:highlight w:val="none"/>
              </w:rPr>
              <w:t>仓储操作费</w:t>
            </w:r>
            <w:r>
              <w:rPr>
                <w:rFonts w:hint="eastAsia" w:ascii="宋体" w:hAnsi="宋体" w:cs="宋体"/>
                <w:b/>
                <w:color w:val="auto"/>
                <w:sz w:val="24"/>
                <w:szCs w:val="24"/>
                <w:highlight w:val="none"/>
              </w:rPr>
              <w:t>的证明材料；</w:t>
            </w:r>
          </w:p>
          <w:p w14:paraId="120CCD45">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c.采购单位已收讫的该批次货物的《货物收货单》。</w:t>
            </w:r>
          </w:p>
        </w:tc>
      </w:tr>
      <w:tr w14:paraId="0B80F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5A4365F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56</w:t>
            </w:r>
          </w:p>
        </w:tc>
        <w:tc>
          <w:tcPr>
            <w:tcW w:w="696" w:type="dxa"/>
            <w:noWrap/>
          </w:tcPr>
          <w:p w14:paraId="19547ACE">
            <w:pPr>
              <w:spacing w:line="360" w:lineRule="auto"/>
              <w:jc w:val="center"/>
              <w:rPr>
                <w:rFonts w:ascii="宋体" w:hAnsi="宋体" w:cs="宋体"/>
                <w:color w:val="auto"/>
                <w:sz w:val="24"/>
                <w:szCs w:val="24"/>
                <w:highlight w:val="none"/>
              </w:rPr>
            </w:pPr>
          </w:p>
        </w:tc>
        <w:tc>
          <w:tcPr>
            <w:tcW w:w="1422" w:type="dxa"/>
            <w:noWrap/>
          </w:tcPr>
          <w:p w14:paraId="3E612688">
            <w:pPr>
              <w:spacing w:line="360" w:lineRule="auto"/>
              <w:jc w:val="center"/>
              <w:rPr>
                <w:rFonts w:ascii="宋体" w:hAnsi="宋体" w:cs="宋体"/>
                <w:color w:val="auto"/>
                <w:sz w:val="24"/>
                <w:szCs w:val="24"/>
                <w:highlight w:val="none"/>
              </w:rPr>
            </w:pPr>
          </w:p>
        </w:tc>
        <w:tc>
          <w:tcPr>
            <w:tcW w:w="5925" w:type="dxa"/>
            <w:noWrap/>
          </w:tcPr>
          <w:p w14:paraId="2381FCF4">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*3、上述银行承兑汇票的贴现利息及相关贴现手续费用由中标供应商承担，中标供应商收到汇票即视为采购单位已支付货款。</w:t>
            </w:r>
          </w:p>
        </w:tc>
      </w:tr>
      <w:tr w14:paraId="17CEC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034FDCE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57</w:t>
            </w:r>
          </w:p>
        </w:tc>
        <w:tc>
          <w:tcPr>
            <w:tcW w:w="696" w:type="dxa"/>
            <w:noWrap/>
          </w:tcPr>
          <w:p w14:paraId="0478A87A">
            <w:pPr>
              <w:spacing w:line="360" w:lineRule="auto"/>
              <w:jc w:val="center"/>
              <w:rPr>
                <w:rFonts w:ascii="宋体" w:hAnsi="宋体" w:cs="宋体"/>
                <w:color w:val="auto"/>
                <w:sz w:val="24"/>
                <w:szCs w:val="24"/>
                <w:highlight w:val="none"/>
              </w:rPr>
            </w:pPr>
          </w:p>
        </w:tc>
        <w:tc>
          <w:tcPr>
            <w:tcW w:w="1422" w:type="dxa"/>
            <w:noWrap/>
          </w:tcPr>
          <w:p w14:paraId="5938EC36">
            <w:pPr>
              <w:spacing w:line="360" w:lineRule="auto"/>
              <w:jc w:val="center"/>
              <w:rPr>
                <w:rFonts w:ascii="宋体" w:hAnsi="宋体" w:cs="宋体"/>
                <w:color w:val="auto"/>
                <w:sz w:val="24"/>
                <w:szCs w:val="24"/>
                <w:highlight w:val="none"/>
              </w:rPr>
            </w:pPr>
          </w:p>
        </w:tc>
        <w:tc>
          <w:tcPr>
            <w:tcW w:w="5925" w:type="dxa"/>
            <w:noWrap/>
          </w:tcPr>
          <w:p w14:paraId="571CA795">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*4、总报价为送至采购单位指定地点的完税人民币价格；采购单位付款时，中标供应商必须提供一般纳税人增值税专用发票。否则，采购单位有权拒绝支付相应款项。</w:t>
            </w:r>
          </w:p>
          <w:p w14:paraId="3F99A688">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备注：投标人可提出比以上内容更有利于采购单位的付款方式。</w:t>
            </w:r>
          </w:p>
        </w:tc>
      </w:tr>
      <w:tr w14:paraId="2C36C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22AFA6C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58</w:t>
            </w:r>
          </w:p>
        </w:tc>
        <w:tc>
          <w:tcPr>
            <w:tcW w:w="696" w:type="dxa"/>
            <w:noWrap/>
          </w:tcPr>
          <w:p w14:paraId="0E7498E1">
            <w:pPr>
              <w:spacing w:line="360" w:lineRule="auto"/>
              <w:jc w:val="center"/>
              <w:rPr>
                <w:rFonts w:ascii="宋体" w:hAnsi="宋体" w:cs="宋体"/>
                <w:color w:val="auto"/>
                <w:sz w:val="24"/>
                <w:szCs w:val="24"/>
                <w:highlight w:val="none"/>
              </w:rPr>
            </w:pPr>
          </w:p>
        </w:tc>
        <w:tc>
          <w:tcPr>
            <w:tcW w:w="1422" w:type="dxa"/>
            <w:noWrap/>
          </w:tcPr>
          <w:p w14:paraId="30139105">
            <w:pPr>
              <w:spacing w:line="360" w:lineRule="auto"/>
              <w:jc w:val="center"/>
              <w:rPr>
                <w:rFonts w:ascii="宋体" w:hAnsi="宋体" w:cs="宋体"/>
                <w:color w:val="auto"/>
                <w:sz w:val="24"/>
                <w:szCs w:val="24"/>
                <w:highlight w:val="none"/>
              </w:rPr>
            </w:pPr>
          </w:p>
        </w:tc>
        <w:tc>
          <w:tcPr>
            <w:tcW w:w="5925" w:type="dxa"/>
            <w:noWrap/>
          </w:tcPr>
          <w:p w14:paraId="05EA8B92">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六、其他要求及说明</w:t>
            </w:r>
          </w:p>
          <w:p w14:paraId="08E77229">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*1、供货期：一年。若合同到期之日下一期采购合同尚未生效，本合同自动顺延至下一期新的合同生效之日止。</w:t>
            </w:r>
          </w:p>
        </w:tc>
      </w:tr>
      <w:tr w14:paraId="717D7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74E1B99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59</w:t>
            </w:r>
          </w:p>
        </w:tc>
        <w:tc>
          <w:tcPr>
            <w:tcW w:w="696" w:type="dxa"/>
            <w:noWrap/>
          </w:tcPr>
          <w:p w14:paraId="245EB544">
            <w:pPr>
              <w:spacing w:line="360" w:lineRule="auto"/>
              <w:jc w:val="center"/>
              <w:rPr>
                <w:rFonts w:ascii="宋体" w:hAnsi="宋体" w:cs="宋体"/>
                <w:color w:val="auto"/>
                <w:sz w:val="24"/>
                <w:szCs w:val="24"/>
                <w:highlight w:val="none"/>
              </w:rPr>
            </w:pPr>
          </w:p>
        </w:tc>
        <w:tc>
          <w:tcPr>
            <w:tcW w:w="1422" w:type="dxa"/>
            <w:noWrap/>
          </w:tcPr>
          <w:p w14:paraId="4EB250BE">
            <w:pPr>
              <w:spacing w:line="360" w:lineRule="auto"/>
              <w:jc w:val="center"/>
              <w:rPr>
                <w:rFonts w:ascii="宋体" w:hAnsi="宋体" w:cs="宋体"/>
                <w:color w:val="auto"/>
                <w:sz w:val="24"/>
                <w:szCs w:val="24"/>
                <w:highlight w:val="none"/>
              </w:rPr>
            </w:pPr>
          </w:p>
        </w:tc>
        <w:tc>
          <w:tcPr>
            <w:tcW w:w="5925" w:type="dxa"/>
            <w:noWrap/>
          </w:tcPr>
          <w:p w14:paraId="68BBF433">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*2、投标人需对交货期做出承诺，并提供</w:t>
            </w:r>
            <w:r>
              <w:rPr>
                <w:rFonts w:hint="eastAsia" w:ascii="宋体" w:hAnsi="宋体" w:cs="宋体"/>
                <w:b/>
                <w:color w:val="auto"/>
                <w:sz w:val="24"/>
                <w:szCs w:val="24"/>
                <w:highlight w:val="none"/>
                <w:lang w:val="en-US" w:eastAsia="zh-CN"/>
              </w:rPr>
              <w:t>书面</w:t>
            </w:r>
            <w:r>
              <w:rPr>
                <w:rFonts w:hint="eastAsia" w:ascii="宋体" w:hAnsi="宋体" w:cs="宋体"/>
                <w:b/>
                <w:color w:val="auto"/>
                <w:sz w:val="24"/>
                <w:szCs w:val="24"/>
                <w:highlight w:val="none"/>
              </w:rPr>
              <w:t>承诺函。其中承诺的交货期不得超过25个日历日。</w:t>
            </w:r>
          </w:p>
        </w:tc>
      </w:tr>
      <w:tr w14:paraId="57D2B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5A600D9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60</w:t>
            </w:r>
          </w:p>
        </w:tc>
        <w:tc>
          <w:tcPr>
            <w:tcW w:w="696" w:type="dxa"/>
            <w:noWrap/>
          </w:tcPr>
          <w:p w14:paraId="74C9E1FD">
            <w:pPr>
              <w:spacing w:line="360" w:lineRule="auto"/>
              <w:jc w:val="center"/>
              <w:rPr>
                <w:rFonts w:ascii="宋体" w:hAnsi="宋体" w:cs="宋体"/>
                <w:color w:val="auto"/>
                <w:sz w:val="24"/>
                <w:szCs w:val="24"/>
                <w:highlight w:val="none"/>
              </w:rPr>
            </w:pPr>
          </w:p>
        </w:tc>
        <w:tc>
          <w:tcPr>
            <w:tcW w:w="1422" w:type="dxa"/>
            <w:noWrap/>
          </w:tcPr>
          <w:p w14:paraId="327EB53D">
            <w:pPr>
              <w:spacing w:line="360" w:lineRule="auto"/>
              <w:jc w:val="center"/>
              <w:rPr>
                <w:rFonts w:ascii="宋体" w:hAnsi="宋体" w:cs="宋体"/>
                <w:color w:val="auto"/>
                <w:sz w:val="24"/>
                <w:szCs w:val="24"/>
                <w:highlight w:val="none"/>
              </w:rPr>
            </w:pPr>
          </w:p>
        </w:tc>
        <w:tc>
          <w:tcPr>
            <w:tcW w:w="5925" w:type="dxa"/>
            <w:noWrap/>
          </w:tcPr>
          <w:p w14:paraId="7A97D856">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4、投标人必须在投标文件中提供书面承诺函：一旦中标，承诺在合同签订之日起7个日历日内向采购单位交纳履约保证金（100万元整），履约保证金形式可为转账支票或电汇凭证（不收取现金、现金支票）。履约保证金在合同签订生效后15个月后的15个工作日内一次性无息返还（扣除相应费用）。逾期未缴交的，采购单位有权取消其中标资格并上报政府采购监督管理部门。</w:t>
            </w:r>
          </w:p>
        </w:tc>
      </w:tr>
      <w:tr w14:paraId="799DE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7BA907B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61</w:t>
            </w:r>
          </w:p>
        </w:tc>
        <w:tc>
          <w:tcPr>
            <w:tcW w:w="696" w:type="dxa"/>
            <w:noWrap/>
          </w:tcPr>
          <w:p w14:paraId="352F38DE">
            <w:pPr>
              <w:spacing w:line="360" w:lineRule="auto"/>
              <w:jc w:val="center"/>
              <w:rPr>
                <w:rFonts w:ascii="宋体" w:hAnsi="宋体" w:cs="宋体"/>
                <w:color w:val="auto"/>
                <w:sz w:val="24"/>
                <w:szCs w:val="24"/>
                <w:highlight w:val="none"/>
              </w:rPr>
            </w:pPr>
          </w:p>
        </w:tc>
        <w:tc>
          <w:tcPr>
            <w:tcW w:w="1422" w:type="dxa"/>
            <w:noWrap/>
          </w:tcPr>
          <w:p w14:paraId="78CA1EF4">
            <w:pPr>
              <w:spacing w:line="360" w:lineRule="auto"/>
              <w:jc w:val="center"/>
              <w:rPr>
                <w:rFonts w:ascii="宋体" w:hAnsi="宋体" w:cs="宋体"/>
                <w:color w:val="auto"/>
                <w:sz w:val="24"/>
                <w:szCs w:val="24"/>
                <w:highlight w:val="none"/>
              </w:rPr>
            </w:pPr>
          </w:p>
        </w:tc>
        <w:tc>
          <w:tcPr>
            <w:tcW w:w="5925" w:type="dxa"/>
            <w:noWrap/>
          </w:tcPr>
          <w:p w14:paraId="2569EAF7">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*8、投标人必须在投标文件中提供书面承诺函：如果</w:t>
            </w:r>
            <w:r>
              <w:rPr>
                <w:rFonts w:hint="eastAsia" w:ascii="宋体" w:hAnsi="宋体" w:cs="宋体"/>
                <w:b/>
                <w:bCs/>
                <w:color w:val="auto"/>
                <w:sz w:val="24"/>
                <w:szCs w:val="24"/>
                <w:highlight w:val="none"/>
              </w:rPr>
              <w:t>中标</w:t>
            </w:r>
            <w:r>
              <w:rPr>
                <w:rFonts w:hint="eastAsia" w:ascii="宋体" w:hAnsi="宋体" w:cs="宋体"/>
                <w:b/>
                <w:color w:val="auto"/>
                <w:sz w:val="24"/>
                <w:szCs w:val="24"/>
                <w:highlight w:val="none"/>
              </w:rPr>
              <w:t>，采购单位有权按照投标人投标文件中所提供的市级以上国家质量检测机构出具的产品质量检验报告的内容来作为产品入库的验收标准，如果无法达到投标文件中的检验报告中的数值，采购单位有权要求退货，同时有权单方面终止合同，并没收投标人的履约保证金。</w:t>
            </w:r>
          </w:p>
        </w:tc>
      </w:tr>
      <w:tr w14:paraId="5EF8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3228B8F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62</w:t>
            </w:r>
          </w:p>
        </w:tc>
        <w:tc>
          <w:tcPr>
            <w:tcW w:w="696" w:type="dxa"/>
            <w:noWrap/>
          </w:tcPr>
          <w:p w14:paraId="1ED5E11D">
            <w:pPr>
              <w:spacing w:line="360" w:lineRule="auto"/>
              <w:jc w:val="center"/>
              <w:rPr>
                <w:rFonts w:ascii="宋体" w:hAnsi="宋体" w:cs="宋体"/>
                <w:color w:val="auto"/>
                <w:sz w:val="24"/>
                <w:szCs w:val="24"/>
                <w:highlight w:val="none"/>
              </w:rPr>
            </w:pPr>
          </w:p>
        </w:tc>
        <w:tc>
          <w:tcPr>
            <w:tcW w:w="1422" w:type="dxa"/>
            <w:noWrap/>
          </w:tcPr>
          <w:p w14:paraId="051CE1F9">
            <w:pPr>
              <w:spacing w:line="360" w:lineRule="auto"/>
              <w:jc w:val="center"/>
              <w:rPr>
                <w:rFonts w:ascii="宋体" w:hAnsi="宋体" w:cs="宋体"/>
                <w:color w:val="auto"/>
                <w:sz w:val="24"/>
                <w:szCs w:val="24"/>
                <w:highlight w:val="none"/>
              </w:rPr>
            </w:pPr>
          </w:p>
        </w:tc>
        <w:tc>
          <w:tcPr>
            <w:tcW w:w="5925" w:type="dxa"/>
            <w:noWrap/>
          </w:tcPr>
          <w:p w14:paraId="44508E17">
            <w:pPr>
              <w:spacing w:line="360" w:lineRule="auto"/>
              <w:rPr>
                <w:rFonts w:hint="eastAsia" w:ascii="宋体" w:hAnsi="宋体"/>
                <w:b/>
                <w:bCs/>
                <w:color w:val="auto"/>
                <w:sz w:val="24"/>
                <w:szCs w:val="24"/>
                <w:highlight w:val="none"/>
              </w:rPr>
            </w:pPr>
            <w:r>
              <w:rPr>
                <w:rFonts w:hint="eastAsia" w:ascii="宋体" w:hAnsi="宋体" w:cs="宋体"/>
                <w:b/>
                <w:color w:val="auto"/>
                <w:sz w:val="24"/>
                <w:szCs w:val="24"/>
                <w:highlight w:val="none"/>
              </w:rPr>
              <w:t>*9、投标人必须在投标文件中提供书面承诺函：如获</w:t>
            </w:r>
            <w:r>
              <w:rPr>
                <w:rFonts w:hint="eastAsia" w:ascii="宋体" w:hAnsi="宋体" w:cs="宋体"/>
                <w:b/>
                <w:bCs/>
                <w:color w:val="auto"/>
                <w:sz w:val="24"/>
                <w:szCs w:val="24"/>
                <w:highlight w:val="none"/>
              </w:rPr>
              <w:t>中标</w:t>
            </w:r>
            <w:r>
              <w:rPr>
                <w:rFonts w:hint="eastAsia" w:ascii="宋体" w:hAnsi="宋体" w:cs="宋体"/>
                <w:b/>
                <w:color w:val="auto"/>
                <w:sz w:val="24"/>
                <w:szCs w:val="24"/>
                <w:highlight w:val="none"/>
              </w:rPr>
              <w:t>将配合采购单位及产品检验检测机构进行投标产品的检验检测，产品检验检测产生的一切相关费用由中标供应商承担。</w:t>
            </w:r>
          </w:p>
        </w:tc>
      </w:tr>
      <w:tr w14:paraId="5B896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5C0A720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63</w:t>
            </w:r>
          </w:p>
        </w:tc>
        <w:tc>
          <w:tcPr>
            <w:tcW w:w="696" w:type="dxa"/>
            <w:noWrap/>
          </w:tcPr>
          <w:p w14:paraId="40CD9271">
            <w:pPr>
              <w:spacing w:line="360" w:lineRule="auto"/>
              <w:jc w:val="center"/>
              <w:rPr>
                <w:rFonts w:ascii="宋体" w:hAnsi="宋体" w:cs="宋体"/>
                <w:color w:val="auto"/>
                <w:sz w:val="24"/>
                <w:szCs w:val="24"/>
                <w:highlight w:val="none"/>
              </w:rPr>
            </w:pPr>
          </w:p>
        </w:tc>
        <w:tc>
          <w:tcPr>
            <w:tcW w:w="1422" w:type="dxa"/>
            <w:noWrap/>
          </w:tcPr>
          <w:p w14:paraId="2A254D19">
            <w:pPr>
              <w:spacing w:line="360" w:lineRule="auto"/>
              <w:jc w:val="center"/>
              <w:rPr>
                <w:rFonts w:ascii="宋体" w:hAnsi="宋体" w:cs="宋体"/>
                <w:color w:val="auto"/>
                <w:sz w:val="24"/>
                <w:szCs w:val="24"/>
                <w:highlight w:val="none"/>
              </w:rPr>
            </w:pPr>
          </w:p>
        </w:tc>
        <w:tc>
          <w:tcPr>
            <w:tcW w:w="5925" w:type="dxa"/>
            <w:noWrap/>
          </w:tcPr>
          <w:p w14:paraId="09A0D215">
            <w:pPr>
              <w:spacing w:line="360" w:lineRule="auto"/>
              <w:rPr>
                <w:rFonts w:hint="eastAsia" w:ascii="宋体" w:hAnsi="宋体"/>
                <w:b/>
                <w:bCs/>
                <w:color w:val="auto"/>
                <w:sz w:val="24"/>
                <w:szCs w:val="24"/>
                <w:highlight w:val="none"/>
              </w:rPr>
            </w:pPr>
            <w:r>
              <w:rPr>
                <w:rFonts w:hint="eastAsia" w:ascii="宋体" w:hAnsi="宋体" w:cs="宋体"/>
                <w:b/>
                <w:color w:val="auto"/>
                <w:sz w:val="24"/>
                <w:szCs w:val="24"/>
                <w:highlight w:val="none"/>
              </w:rPr>
              <w:t>*10、投标人必须在投标文件中提供书面承诺函：中标供应商不按采购合同履行的，采购单位有权与排位在中标供应商之后第一位的中标候选供应商签订采购合同，以此类推。并且，作为中标供应商之后第一位的中标候选供应商同意与采购单位在</w:t>
            </w:r>
            <w:r>
              <w:rPr>
                <w:rFonts w:hint="eastAsia" w:ascii="宋体" w:hAnsi="宋体" w:cs="宋体"/>
                <w:b/>
                <w:bCs/>
                <w:color w:val="auto"/>
                <w:sz w:val="24"/>
                <w:szCs w:val="24"/>
                <w:highlight w:val="none"/>
              </w:rPr>
              <w:t>中标</w:t>
            </w:r>
            <w:r>
              <w:rPr>
                <w:rFonts w:hint="eastAsia" w:ascii="宋体" w:hAnsi="宋体" w:cs="宋体"/>
                <w:b/>
                <w:color w:val="auto"/>
                <w:sz w:val="24"/>
                <w:szCs w:val="24"/>
                <w:highlight w:val="none"/>
              </w:rPr>
              <w:t>结果公示期结束后直接按其报价签订采购合同。</w:t>
            </w:r>
          </w:p>
        </w:tc>
      </w:tr>
      <w:tr w14:paraId="58F3F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2E6A232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64</w:t>
            </w:r>
          </w:p>
        </w:tc>
        <w:tc>
          <w:tcPr>
            <w:tcW w:w="696" w:type="dxa"/>
            <w:noWrap/>
          </w:tcPr>
          <w:p w14:paraId="476D66D6">
            <w:pPr>
              <w:spacing w:line="360" w:lineRule="auto"/>
              <w:jc w:val="center"/>
              <w:rPr>
                <w:rFonts w:ascii="宋体" w:hAnsi="宋体" w:cs="宋体"/>
                <w:color w:val="auto"/>
                <w:sz w:val="24"/>
                <w:szCs w:val="24"/>
                <w:highlight w:val="none"/>
              </w:rPr>
            </w:pPr>
          </w:p>
        </w:tc>
        <w:tc>
          <w:tcPr>
            <w:tcW w:w="1422" w:type="dxa"/>
            <w:noWrap/>
          </w:tcPr>
          <w:p w14:paraId="7152576C">
            <w:pPr>
              <w:spacing w:line="360" w:lineRule="auto"/>
              <w:jc w:val="center"/>
              <w:rPr>
                <w:rFonts w:ascii="宋体" w:hAnsi="宋体" w:cs="宋体"/>
                <w:color w:val="auto"/>
                <w:sz w:val="24"/>
                <w:szCs w:val="24"/>
                <w:highlight w:val="none"/>
              </w:rPr>
            </w:pPr>
          </w:p>
        </w:tc>
        <w:tc>
          <w:tcPr>
            <w:tcW w:w="5925" w:type="dxa"/>
            <w:noWrap/>
          </w:tcPr>
          <w:p w14:paraId="5CF117FE">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11、投标人必须在投标文件中提供书面承诺函：如果中标，在履行合同期间，如果出现以下任一情况，采购单位有权单方解除合同，中标供应商应支付相当于履约保证金金额的违约金。同时，对中标供应商下述情况在厦门市政府采购网、厦门招投标网进行公示，并在三年内取消中标供应商进入大宗政府招标采购项目的投标报价：</w:t>
            </w:r>
          </w:p>
          <w:p w14:paraId="34FC33A1">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①违反法律法规、行业规范要求被有关部门查处的；</w:t>
            </w:r>
          </w:p>
          <w:p w14:paraId="79758054">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②提供假冒伪劣产品的；</w:t>
            </w:r>
          </w:p>
          <w:p w14:paraId="3D28EE1C">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③通过给回扣或变相给回扣的方式招揽业务的；</w:t>
            </w:r>
          </w:p>
          <w:p w14:paraId="6836AE4D">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④因产品质量或服务问题被有效投诉达三次以上的；</w:t>
            </w:r>
          </w:p>
          <w:p w14:paraId="2D1D15A2">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⑤向有关部门、采购单位、最终使用方提供虚假信息或资料等情况的；</w:t>
            </w:r>
          </w:p>
          <w:p w14:paraId="787E1446">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⑥出现重大客户投诉事件（如政府采购管理部门督办事件、新闻媒体公开报道、采购业主书面发函投诉以及其他对采购单位产生严重负面影响的事件）；</w:t>
            </w:r>
          </w:p>
          <w:p w14:paraId="6C5737E6">
            <w:pPr>
              <w:spacing w:line="360" w:lineRule="auto"/>
              <w:rPr>
                <w:rFonts w:hint="eastAsia" w:ascii="宋体" w:hAnsi="宋体"/>
                <w:b/>
                <w:bCs/>
                <w:color w:val="auto"/>
                <w:sz w:val="24"/>
                <w:szCs w:val="24"/>
                <w:highlight w:val="none"/>
              </w:rPr>
            </w:pPr>
            <w:r>
              <w:rPr>
                <w:rFonts w:hint="eastAsia" w:ascii="宋体" w:hAnsi="宋体" w:cs="宋体"/>
                <w:b/>
                <w:color w:val="auto"/>
                <w:sz w:val="24"/>
                <w:szCs w:val="24"/>
                <w:highlight w:val="none"/>
              </w:rPr>
              <w:t>⑦报修率超过3%。报修率=保修期内产品质量报修有效箱次/已销售箱数*100%（已销售箱数超过100箱之后开始计算报修率）。</w:t>
            </w:r>
          </w:p>
        </w:tc>
      </w:tr>
      <w:tr w14:paraId="41E58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13B71C0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65</w:t>
            </w:r>
          </w:p>
        </w:tc>
        <w:tc>
          <w:tcPr>
            <w:tcW w:w="696" w:type="dxa"/>
            <w:noWrap/>
          </w:tcPr>
          <w:p w14:paraId="7489481E">
            <w:pPr>
              <w:spacing w:line="360" w:lineRule="auto"/>
              <w:jc w:val="center"/>
              <w:rPr>
                <w:rFonts w:ascii="宋体" w:hAnsi="宋体" w:cs="宋体"/>
                <w:color w:val="auto"/>
                <w:sz w:val="24"/>
                <w:szCs w:val="24"/>
                <w:highlight w:val="none"/>
              </w:rPr>
            </w:pPr>
          </w:p>
        </w:tc>
        <w:tc>
          <w:tcPr>
            <w:tcW w:w="1422" w:type="dxa"/>
            <w:noWrap/>
          </w:tcPr>
          <w:p w14:paraId="198B2F60">
            <w:pPr>
              <w:spacing w:line="360" w:lineRule="auto"/>
              <w:jc w:val="center"/>
              <w:rPr>
                <w:rFonts w:ascii="宋体" w:hAnsi="宋体" w:cs="宋体"/>
                <w:color w:val="auto"/>
                <w:sz w:val="24"/>
                <w:szCs w:val="24"/>
                <w:highlight w:val="none"/>
              </w:rPr>
            </w:pPr>
          </w:p>
        </w:tc>
        <w:tc>
          <w:tcPr>
            <w:tcW w:w="5925" w:type="dxa"/>
            <w:noWrap/>
          </w:tcPr>
          <w:p w14:paraId="64CE87DA">
            <w:pPr>
              <w:spacing w:line="360" w:lineRule="auto"/>
              <w:rPr>
                <w:rFonts w:hint="eastAsia" w:ascii="宋体" w:hAnsi="宋体"/>
                <w:b/>
                <w:bCs/>
                <w:color w:val="auto"/>
                <w:sz w:val="24"/>
                <w:szCs w:val="24"/>
                <w:highlight w:val="none"/>
              </w:rPr>
            </w:pPr>
            <w:r>
              <w:rPr>
                <w:rFonts w:hint="eastAsia" w:ascii="宋体" w:hAnsi="宋体" w:cs="宋体"/>
                <w:b/>
                <w:color w:val="auto"/>
                <w:sz w:val="24"/>
                <w:szCs w:val="24"/>
                <w:highlight w:val="none"/>
              </w:rPr>
              <w:t>*12、投标人必须在投标文件中提供书面承诺函：同意在供货期间，遇合同型号价格下调，或遇纸浆期货的自然月度结算参考价格低于投标当月纸浆月度结算参考价格（xxxx元/吨）的10%，或供货价格未能达到比其它同类销售渠道、主流网站（京东、苏宁易购、国美、天猫）及政府采购网上超市（福建省、深圳市、浙江省、广东省、南京市）等的常规销售价格上的最低价至少低5%的，卖方应及时配合买方确认价格调整，且最终调整后的价格不得高于合同约定的价格（即投标价格）（以上纸浆期货月度结算参考价格参考上海期货交易所数据）。</w:t>
            </w:r>
          </w:p>
        </w:tc>
      </w:tr>
      <w:tr w14:paraId="1D821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4F6BD25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66</w:t>
            </w:r>
          </w:p>
        </w:tc>
        <w:tc>
          <w:tcPr>
            <w:tcW w:w="696" w:type="dxa"/>
            <w:noWrap/>
          </w:tcPr>
          <w:p w14:paraId="4ED989D1">
            <w:pPr>
              <w:spacing w:line="360" w:lineRule="auto"/>
              <w:jc w:val="center"/>
              <w:rPr>
                <w:rFonts w:ascii="宋体" w:hAnsi="宋体" w:cs="宋体"/>
                <w:color w:val="auto"/>
                <w:sz w:val="24"/>
                <w:szCs w:val="24"/>
                <w:highlight w:val="none"/>
              </w:rPr>
            </w:pPr>
          </w:p>
        </w:tc>
        <w:tc>
          <w:tcPr>
            <w:tcW w:w="1422" w:type="dxa"/>
            <w:noWrap/>
          </w:tcPr>
          <w:p w14:paraId="71216667">
            <w:pPr>
              <w:spacing w:line="360" w:lineRule="auto"/>
              <w:jc w:val="center"/>
              <w:rPr>
                <w:rFonts w:ascii="宋体" w:hAnsi="宋体" w:cs="宋体"/>
                <w:color w:val="auto"/>
                <w:sz w:val="24"/>
                <w:szCs w:val="24"/>
                <w:highlight w:val="none"/>
              </w:rPr>
            </w:pPr>
          </w:p>
        </w:tc>
        <w:tc>
          <w:tcPr>
            <w:tcW w:w="5925" w:type="dxa"/>
            <w:noWrap/>
          </w:tcPr>
          <w:p w14:paraId="3E3B4AA8">
            <w:pPr>
              <w:spacing w:line="360" w:lineRule="auto"/>
              <w:rPr>
                <w:rFonts w:hint="eastAsia" w:ascii="宋体" w:hAnsi="宋体"/>
                <w:b/>
                <w:bCs/>
                <w:color w:val="auto"/>
                <w:sz w:val="24"/>
                <w:szCs w:val="24"/>
                <w:highlight w:val="none"/>
              </w:rPr>
            </w:pPr>
            <w:r>
              <w:rPr>
                <w:rFonts w:hint="eastAsia" w:ascii="宋体" w:hAnsi="宋体" w:cs="宋体"/>
                <w:b/>
                <w:color w:val="auto"/>
                <w:sz w:val="24"/>
                <w:szCs w:val="24"/>
                <w:highlight w:val="none"/>
              </w:rPr>
              <w:t>*13、投标人必须在投标文件中提供书面承诺函：若</w:t>
            </w:r>
            <w:r>
              <w:rPr>
                <w:rFonts w:hint="eastAsia" w:ascii="宋体" w:hAnsi="宋体" w:cs="宋体"/>
                <w:b/>
                <w:bCs/>
                <w:color w:val="auto"/>
                <w:sz w:val="24"/>
                <w:szCs w:val="24"/>
                <w:highlight w:val="none"/>
              </w:rPr>
              <w:t>中标</w:t>
            </w:r>
            <w:r>
              <w:rPr>
                <w:rFonts w:hint="eastAsia" w:ascii="宋体" w:hAnsi="宋体" w:cs="宋体"/>
                <w:b/>
                <w:color w:val="auto"/>
                <w:sz w:val="24"/>
                <w:szCs w:val="24"/>
                <w:highlight w:val="none"/>
              </w:rPr>
              <w:t>将无条件参与采购单位举办的壹年两次的政府大宗产品推介会，并且免费提供相应的中标产品作为样品展示，否则视为违约，投标人应按</w:t>
            </w:r>
            <w:r>
              <w:rPr>
                <w:rFonts w:hint="eastAsia" w:ascii="宋体" w:hAnsi="宋体" w:cs="宋体"/>
                <w:b/>
                <w:bCs/>
                <w:color w:val="auto"/>
                <w:sz w:val="24"/>
                <w:szCs w:val="24"/>
                <w:highlight w:val="none"/>
              </w:rPr>
              <w:t>中标</w:t>
            </w:r>
            <w:r>
              <w:rPr>
                <w:rFonts w:hint="eastAsia" w:ascii="宋体" w:hAnsi="宋体" w:cs="宋体"/>
                <w:b/>
                <w:color w:val="auto"/>
                <w:sz w:val="24"/>
                <w:szCs w:val="24"/>
                <w:highlight w:val="none"/>
              </w:rPr>
              <w:t>产品的中标单价向采购单位支付违约金，若投标人未向采购单位支付，则采购单位有权直接从履约保证金款项中直接给予扣除。</w:t>
            </w:r>
          </w:p>
        </w:tc>
      </w:tr>
      <w:tr w14:paraId="072C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1DA54BF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67</w:t>
            </w:r>
          </w:p>
        </w:tc>
        <w:tc>
          <w:tcPr>
            <w:tcW w:w="696" w:type="dxa"/>
            <w:noWrap/>
          </w:tcPr>
          <w:p w14:paraId="68DDE3CA">
            <w:pPr>
              <w:spacing w:line="360" w:lineRule="auto"/>
              <w:jc w:val="center"/>
              <w:rPr>
                <w:rFonts w:ascii="宋体" w:hAnsi="宋体" w:cs="宋体"/>
                <w:color w:val="auto"/>
                <w:sz w:val="24"/>
                <w:szCs w:val="24"/>
                <w:highlight w:val="none"/>
              </w:rPr>
            </w:pPr>
          </w:p>
        </w:tc>
        <w:tc>
          <w:tcPr>
            <w:tcW w:w="1422" w:type="dxa"/>
            <w:noWrap/>
          </w:tcPr>
          <w:p w14:paraId="7B6575B7">
            <w:pPr>
              <w:spacing w:line="360" w:lineRule="auto"/>
              <w:jc w:val="center"/>
              <w:rPr>
                <w:rFonts w:ascii="宋体" w:hAnsi="宋体" w:cs="宋体"/>
                <w:color w:val="auto"/>
                <w:sz w:val="24"/>
                <w:szCs w:val="24"/>
                <w:highlight w:val="none"/>
              </w:rPr>
            </w:pPr>
          </w:p>
        </w:tc>
        <w:tc>
          <w:tcPr>
            <w:tcW w:w="5925" w:type="dxa"/>
            <w:noWrap/>
          </w:tcPr>
          <w:p w14:paraId="67BE4F6F">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14、投标人必须在投标文件中提供书面承诺函：如果中标，验收时（包括初验和最终验收），投标人必须派代表参加并确认验收结果，否则视为投标人对验收意见无异议。如该批次产品在最终验收时，出现开箱破损或者故障，无法进行最终验收的，投标人承诺无条件给予更换并保证最终验收的顺畅进行。若投标人不同意更换或者配合，采购单位有权直接于中标供应商的履约保证金中扣除该批次产品及安装的等额费用。该条款可能造成的成本费用包含在投标人的产品报价中。</w:t>
            </w:r>
          </w:p>
        </w:tc>
      </w:tr>
      <w:tr w14:paraId="2771F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14F4140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68</w:t>
            </w:r>
          </w:p>
        </w:tc>
        <w:tc>
          <w:tcPr>
            <w:tcW w:w="696" w:type="dxa"/>
            <w:noWrap/>
          </w:tcPr>
          <w:p w14:paraId="7943822A">
            <w:pPr>
              <w:spacing w:line="360" w:lineRule="auto"/>
              <w:jc w:val="center"/>
              <w:rPr>
                <w:rFonts w:ascii="宋体" w:hAnsi="宋体" w:cs="宋体"/>
                <w:color w:val="auto"/>
                <w:sz w:val="24"/>
                <w:szCs w:val="24"/>
                <w:highlight w:val="none"/>
              </w:rPr>
            </w:pPr>
          </w:p>
        </w:tc>
        <w:tc>
          <w:tcPr>
            <w:tcW w:w="1422" w:type="dxa"/>
            <w:noWrap/>
          </w:tcPr>
          <w:p w14:paraId="63A5FAC4">
            <w:pPr>
              <w:spacing w:line="360" w:lineRule="auto"/>
              <w:jc w:val="center"/>
              <w:rPr>
                <w:rFonts w:ascii="宋体" w:hAnsi="宋体" w:cs="宋体"/>
                <w:color w:val="auto"/>
                <w:sz w:val="24"/>
                <w:szCs w:val="24"/>
                <w:highlight w:val="none"/>
              </w:rPr>
            </w:pPr>
          </w:p>
        </w:tc>
        <w:tc>
          <w:tcPr>
            <w:tcW w:w="5925" w:type="dxa"/>
            <w:noWrap/>
          </w:tcPr>
          <w:p w14:paraId="7BC6DA1B">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15、投标人必须在投标文件中提供书面承诺函：如果中标，因投标人产品给采购单位造成的客诉，若投标人在接到采购单位通知后3个日历日内无法解决客诉，采购单位有权自行解决客诉，并直接于投标人的履约保证金中扣除解决客诉所产生的费用。该条款可能造成的成本费用包含在投标人的产品报价中。</w:t>
            </w:r>
          </w:p>
        </w:tc>
      </w:tr>
      <w:tr w14:paraId="7B921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5DEB3B1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69</w:t>
            </w:r>
          </w:p>
        </w:tc>
        <w:tc>
          <w:tcPr>
            <w:tcW w:w="696" w:type="dxa"/>
            <w:noWrap/>
          </w:tcPr>
          <w:p w14:paraId="0F8EB878">
            <w:pPr>
              <w:spacing w:line="360" w:lineRule="auto"/>
              <w:jc w:val="center"/>
              <w:rPr>
                <w:rFonts w:ascii="宋体" w:hAnsi="宋体" w:cs="宋体"/>
                <w:color w:val="auto"/>
                <w:sz w:val="24"/>
                <w:szCs w:val="24"/>
                <w:highlight w:val="none"/>
              </w:rPr>
            </w:pPr>
          </w:p>
        </w:tc>
        <w:tc>
          <w:tcPr>
            <w:tcW w:w="1422" w:type="dxa"/>
            <w:noWrap/>
          </w:tcPr>
          <w:p w14:paraId="0D896A7F">
            <w:pPr>
              <w:spacing w:line="360" w:lineRule="auto"/>
              <w:jc w:val="center"/>
              <w:rPr>
                <w:rFonts w:ascii="宋体" w:hAnsi="宋体" w:cs="宋体"/>
                <w:color w:val="auto"/>
                <w:sz w:val="24"/>
                <w:szCs w:val="24"/>
                <w:highlight w:val="none"/>
              </w:rPr>
            </w:pPr>
          </w:p>
        </w:tc>
        <w:tc>
          <w:tcPr>
            <w:tcW w:w="5925" w:type="dxa"/>
            <w:noWrap/>
          </w:tcPr>
          <w:p w14:paraId="333DA811">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*16、投标人必须在投标文件中提供书面承诺函：</w:t>
            </w:r>
            <w:r>
              <w:rPr>
                <w:rFonts w:hint="eastAsia" w:ascii="宋体" w:hAnsi="宋体" w:cs="宋体"/>
                <w:b/>
                <w:color w:val="auto"/>
                <w:kern w:val="2"/>
                <w:sz w:val="24"/>
                <w:szCs w:val="24"/>
                <w:highlight w:val="none"/>
              </w:rPr>
              <w:t>若中标，将确保任何产品型号在供货期内能够满足采购单位的需求；若在供货期内投标人有任何产品型号或配件升级变更或者停产，应至少提前一个月书面通知采购单位相关信息（包括其升级产品型号、部件及详细配置方案），经采购单位书面同意后方可按升级后的产品（或配件）供货，价格按中标单价执行，交货时间按原投标承诺的时间执行，同时，在采购单位同意之前，</w:t>
            </w:r>
            <w:r>
              <w:rPr>
                <w:rFonts w:hint="eastAsia" w:ascii="宋体" w:hAnsi="宋体" w:cs="宋体"/>
                <w:b/>
                <w:color w:val="auto"/>
                <w:sz w:val="24"/>
                <w:szCs w:val="24"/>
                <w:highlight w:val="none"/>
              </w:rPr>
              <w:t>投标人</w:t>
            </w:r>
            <w:r>
              <w:rPr>
                <w:rFonts w:hint="eastAsia" w:ascii="宋体" w:hAnsi="宋体" w:cs="宋体"/>
                <w:b/>
                <w:color w:val="auto"/>
                <w:kern w:val="2"/>
                <w:sz w:val="24"/>
                <w:szCs w:val="24"/>
                <w:highlight w:val="none"/>
              </w:rPr>
              <w:t>仍应按原承诺《定货单》的要求供货。否则，按逾期交货处理。若在合同期内投标人有任何产品型号或配件停产且无法提供符合采购单位要求的升级型号或配件则视为严重违约，投标人应按每款型号20000元向采购单位缴纳违约金。采购单位有权单方面解除中标合同，直接没收履约保证金并且有权与</w:t>
            </w:r>
            <w:r>
              <w:rPr>
                <w:rFonts w:hint="eastAsia" w:ascii="宋体" w:hAnsi="宋体" w:cs="宋体"/>
                <w:b/>
                <w:color w:val="auto"/>
                <w:sz w:val="24"/>
                <w:szCs w:val="24"/>
                <w:highlight w:val="none"/>
              </w:rPr>
              <w:t>投标人</w:t>
            </w:r>
            <w:r>
              <w:rPr>
                <w:rFonts w:hint="eastAsia" w:ascii="宋体" w:hAnsi="宋体" w:cs="宋体"/>
                <w:b/>
                <w:color w:val="auto"/>
                <w:kern w:val="2"/>
                <w:sz w:val="24"/>
                <w:szCs w:val="24"/>
                <w:highlight w:val="none"/>
              </w:rPr>
              <w:t>之后第一位的中标候选供应商签订合同。</w:t>
            </w:r>
          </w:p>
        </w:tc>
      </w:tr>
      <w:tr w14:paraId="0931A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23218E8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70</w:t>
            </w:r>
          </w:p>
        </w:tc>
        <w:tc>
          <w:tcPr>
            <w:tcW w:w="696" w:type="dxa"/>
            <w:noWrap/>
          </w:tcPr>
          <w:p w14:paraId="6C85CEB6">
            <w:pPr>
              <w:spacing w:line="360" w:lineRule="auto"/>
              <w:jc w:val="center"/>
              <w:rPr>
                <w:rFonts w:ascii="宋体" w:hAnsi="宋体" w:cs="宋体"/>
                <w:color w:val="auto"/>
                <w:sz w:val="24"/>
                <w:szCs w:val="24"/>
                <w:highlight w:val="none"/>
              </w:rPr>
            </w:pPr>
          </w:p>
        </w:tc>
        <w:tc>
          <w:tcPr>
            <w:tcW w:w="1422" w:type="dxa"/>
            <w:noWrap/>
          </w:tcPr>
          <w:p w14:paraId="575309A8">
            <w:pPr>
              <w:spacing w:line="360" w:lineRule="auto"/>
              <w:jc w:val="center"/>
              <w:rPr>
                <w:rFonts w:ascii="宋体" w:hAnsi="宋体" w:cs="宋体"/>
                <w:color w:val="auto"/>
                <w:sz w:val="24"/>
                <w:szCs w:val="24"/>
                <w:highlight w:val="none"/>
              </w:rPr>
            </w:pPr>
          </w:p>
        </w:tc>
        <w:tc>
          <w:tcPr>
            <w:tcW w:w="5925" w:type="dxa"/>
            <w:noWrap/>
          </w:tcPr>
          <w:p w14:paraId="22697CD1">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17、投标人必须在投标文件中提供书面承诺函：承诺在7月-9月，11月-12月几个教育系统用户领用高峰期，将提前做好库存，在高峰期出现供货不及时的情况将双倍考核；情节严重（订单供货及时率低于90%，客户原因除外）直接扣除保证金。（注：订单供货及时率=按期供货订单数/总订单数*100%）</w:t>
            </w:r>
          </w:p>
        </w:tc>
      </w:tr>
      <w:tr w14:paraId="3F7E9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tcPr>
          <w:p w14:paraId="300F15D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71</w:t>
            </w:r>
          </w:p>
        </w:tc>
        <w:tc>
          <w:tcPr>
            <w:tcW w:w="696" w:type="dxa"/>
            <w:noWrap/>
          </w:tcPr>
          <w:p w14:paraId="55A2507B">
            <w:pPr>
              <w:spacing w:line="360" w:lineRule="auto"/>
              <w:jc w:val="center"/>
              <w:rPr>
                <w:rFonts w:ascii="宋体" w:hAnsi="宋体" w:cs="宋体"/>
                <w:color w:val="auto"/>
                <w:sz w:val="24"/>
                <w:szCs w:val="24"/>
                <w:highlight w:val="none"/>
              </w:rPr>
            </w:pPr>
          </w:p>
        </w:tc>
        <w:tc>
          <w:tcPr>
            <w:tcW w:w="1422" w:type="dxa"/>
            <w:noWrap/>
          </w:tcPr>
          <w:p w14:paraId="425DEB85">
            <w:pPr>
              <w:spacing w:line="360" w:lineRule="auto"/>
              <w:jc w:val="center"/>
              <w:rPr>
                <w:rFonts w:ascii="宋体" w:hAnsi="宋体" w:cs="宋体"/>
                <w:color w:val="auto"/>
                <w:sz w:val="24"/>
                <w:szCs w:val="24"/>
                <w:highlight w:val="none"/>
              </w:rPr>
            </w:pPr>
          </w:p>
        </w:tc>
        <w:tc>
          <w:tcPr>
            <w:tcW w:w="5925" w:type="dxa"/>
            <w:noWrap/>
          </w:tcPr>
          <w:p w14:paraId="4AA02FD4">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18、投标人必须在投标文件中提供书面承诺函：承诺同意本项目采购的产品按照销售对象及销售区域的不同而分别与采购单位签订合同，即签订一份适用于厦门市政府机关事业单位、一份适用于福建省内其他终端用户采购合同。两份合同的总数量和总金额为本次招标采购的总数量和总金额。</w:t>
            </w:r>
          </w:p>
        </w:tc>
      </w:tr>
    </w:tbl>
    <w:p w14:paraId="54535AEE">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备注：由于编排顺序混乱而导致投标文件被误读或漏读，该投标人的投标可能被视为无效投标或承担不利的评标结果。</w:t>
      </w:r>
    </w:p>
    <w:p w14:paraId="2ACFE27F">
      <w:pPr>
        <w:spacing w:line="360" w:lineRule="auto"/>
        <w:rPr>
          <w:rFonts w:hint="eastAsia" w:ascii="宋体" w:hAnsi="宋体" w:cs="宋体"/>
          <w:bCs/>
          <w:color w:val="auto"/>
          <w:sz w:val="24"/>
          <w:szCs w:val="24"/>
          <w:highlight w:val="none"/>
        </w:rPr>
      </w:pPr>
    </w:p>
    <w:p w14:paraId="718E493D">
      <w:pPr>
        <w:spacing w:line="360" w:lineRule="auto"/>
        <w:rPr>
          <w:rFonts w:hint="eastAsia" w:ascii="宋体" w:hAnsi="宋体" w:cs="宋体"/>
          <w:bCs/>
          <w:color w:val="auto"/>
          <w:sz w:val="24"/>
          <w:szCs w:val="24"/>
          <w:highlight w:val="none"/>
        </w:rPr>
      </w:pPr>
    </w:p>
    <w:p w14:paraId="75754C23">
      <w:pPr>
        <w:spacing w:line="360" w:lineRule="auto"/>
        <w:rPr>
          <w:rFonts w:hint="eastAsia" w:ascii="宋体" w:hAnsi="宋体" w:cs="宋体"/>
          <w:bCs/>
          <w:color w:val="auto"/>
          <w:sz w:val="24"/>
          <w:szCs w:val="24"/>
          <w:highlight w:val="none"/>
        </w:rPr>
      </w:pPr>
    </w:p>
    <w:p w14:paraId="362CCB26">
      <w:pPr>
        <w:spacing w:line="360" w:lineRule="auto"/>
        <w:ind w:firstLine="640" w:firstLineChars="200"/>
        <w:rPr>
          <w:rFonts w:hint="eastAsia" w:ascii="宋体" w:hAnsi="宋体" w:cs="宋体"/>
          <w:color w:val="auto"/>
          <w:sz w:val="32"/>
          <w:szCs w:val="32"/>
          <w:highlight w:val="none"/>
        </w:rPr>
      </w:pPr>
    </w:p>
    <w:p w14:paraId="06A98F1C">
      <w:pPr>
        <w:spacing w:line="360" w:lineRule="auto"/>
        <w:ind w:firstLine="640" w:firstLineChars="200"/>
        <w:rPr>
          <w:rFonts w:ascii="宋体" w:hAnsi="宋体" w:cs="宋体"/>
          <w:b/>
          <w:color w:val="auto"/>
          <w:sz w:val="32"/>
          <w:szCs w:val="32"/>
          <w:highlight w:val="none"/>
          <w:u w:val="single"/>
        </w:rPr>
      </w:pPr>
      <w:r>
        <w:rPr>
          <w:rFonts w:hint="eastAsia" w:ascii="宋体" w:hAnsi="宋体" w:cs="宋体"/>
          <w:color w:val="auto"/>
          <w:sz w:val="32"/>
          <w:szCs w:val="32"/>
          <w:highlight w:val="none"/>
        </w:rPr>
        <w:t>投标人须知前附表3：评标方法、评标标准、定标原则</w:t>
      </w:r>
    </w:p>
    <w:tbl>
      <w:tblPr>
        <w:tblStyle w:val="1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1EB91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tcPr>
          <w:p w14:paraId="451AE079">
            <w:pPr>
              <w:pStyle w:val="3"/>
              <w:numPr>
                <w:ilvl w:val="0"/>
                <w:numId w:val="1"/>
              </w:numPr>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评标方法：</w:t>
            </w:r>
          </w:p>
          <w:p w14:paraId="4ED3F2D7">
            <w:pPr>
              <w:pStyle w:val="3"/>
              <w:snapToGrid w:val="0"/>
              <w:spacing w:line="360" w:lineRule="auto"/>
              <w:ind w:left="480" w:firstLine="0"/>
              <w:rPr>
                <w:rFonts w:ascii="宋体" w:hAnsi="宋体" w:cs="宋体"/>
                <w:color w:val="auto"/>
                <w:sz w:val="24"/>
                <w:szCs w:val="24"/>
                <w:highlight w:val="none"/>
              </w:rPr>
            </w:pP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 xml:space="preserve">综合评分法  □ 最低评标价法  </w:t>
            </w:r>
          </w:p>
        </w:tc>
      </w:tr>
      <w:tr w14:paraId="75649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tcPr>
          <w:p w14:paraId="2930CE7B">
            <w:pPr>
              <w:pStyle w:val="3"/>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二、评标标准：</w:t>
            </w:r>
          </w:p>
          <w:p w14:paraId="77D3246F">
            <w:pPr>
              <w:pStyle w:val="3"/>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（一）具体的评标标准、权重。</w:t>
            </w:r>
          </w:p>
          <w:p w14:paraId="3B6505D3">
            <w:pPr>
              <w:pStyle w:val="3"/>
              <w:snapToGrid w:val="0"/>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详见附件</w:t>
            </w:r>
          </w:p>
          <w:p w14:paraId="75A65DDC">
            <w:pPr>
              <w:pStyle w:val="3"/>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（二）推荐中标候选供应商名单。</w:t>
            </w:r>
          </w:p>
          <w:p w14:paraId="3111E9D5">
            <w:pPr>
              <w:pStyle w:val="3"/>
              <w:snapToGrid w:val="0"/>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1、中标候选供应商数量：3个。</w:t>
            </w:r>
          </w:p>
          <w:p w14:paraId="739C18FF">
            <w:pPr>
              <w:pStyle w:val="3"/>
              <w:snapToGrid w:val="0"/>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2F4C5D8D">
            <w:pPr>
              <w:pStyle w:val="3"/>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 xml:space="preserve">    □采用最低评标价法的，按投标报价由低到高顺序排列。投标报价相同的，按技术指标优劣顺序排列。</w:t>
            </w:r>
          </w:p>
          <w:p w14:paraId="5974D542">
            <w:pPr>
              <w:pStyle w:val="3"/>
              <w:snapToGrid w:val="0"/>
              <w:spacing w:line="360" w:lineRule="auto"/>
              <w:ind w:firstLine="0"/>
              <w:rPr>
                <w:rFonts w:ascii="宋体" w:hAnsi="宋体" w:cs="宋体"/>
                <w:color w:val="auto"/>
                <w:sz w:val="24"/>
                <w:szCs w:val="24"/>
                <w:highlight w:val="none"/>
              </w:rPr>
            </w:pP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051B0DF3">
            <w:pPr>
              <w:pStyle w:val="3"/>
              <w:snapToGrid w:val="0"/>
              <w:spacing w:line="360" w:lineRule="auto"/>
              <w:ind w:firstLineChars="175"/>
              <w:rPr>
                <w:rFonts w:ascii="宋体" w:hAnsi="宋体" w:cs="宋体"/>
                <w:color w:val="auto"/>
                <w:sz w:val="24"/>
                <w:szCs w:val="24"/>
                <w:highlight w:val="none"/>
              </w:rPr>
            </w:pPr>
            <w:r>
              <w:rPr>
                <w:rFonts w:hint="eastAsia" w:ascii="宋体" w:hAnsi="宋体" w:cs="宋体"/>
                <w:color w:val="auto"/>
                <w:sz w:val="24"/>
                <w:szCs w:val="24"/>
                <w:highlight w:val="none"/>
              </w:rPr>
              <w:t>3、综合评分法特别无效投标认定</w:t>
            </w:r>
          </w:p>
          <w:p w14:paraId="3F940A8D">
            <w:pPr>
              <w:pStyle w:val="3"/>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4AD1FAF8">
            <w:pPr>
              <w:pStyle w:val="7"/>
              <w:spacing w:after="0" w:line="360" w:lineRule="auto"/>
              <w:ind w:left="0"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4、关于同一品牌产品投标的相关规定</w:t>
            </w:r>
          </w:p>
          <w:p w14:paraId="0D77F6A0">
            <w:pPr>
              <w:pStyle w:val="7"/>
              <w:spacing w:after="0" w:line="360" w:lineRule="auto"/>
              <w:ind w:left="0"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如果有多家投标人以同一品牌的产品参加投标，只能视为一家。</w:t>
            </w:r>
          </w:p>
          <w:p w14:paraId="289E4A58">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采用</w:t>
            </w:r>
            <w:r>
              <w:rPr>
                <w:color w:val="auto"/>
                <w:highlight w:val="none"/>
              </w:rPr>
              <w:fldChar w:fldCharType="begin"/>
            </w:r>
            <w:r>
              <w:rPr>
                <w:color w:val="auto"/>
                <w:highlight w:val="none"/>
              </w:rPr>
              <w:instrText xml:space="preserve"> HYPERLINK "http://lilun.caigou2003.com/recijiedu/2365668.html" \t "_blank" </w:instrText>
            </w:r>
            <w:r>
              <w:rPr>
                <w:color w:val="auto"/>
                <w:highlight w:val="none"/>
              </w:rPr>
              <w:fldChar w:fldCharType="separate"/>
            </w:r>
            <w:r>
              <w:rPr>
                <w:rFonts w:hint="eastAsia" w:ascii="宋体" w:hAnsi="宋体" w:cs="宋体"/>
                <w:color w:val="auto"/>
                <w:sz w:val="24"/>
                <w:szCs w:val="24"/>
                <w:highlight w:val="none"/>
              </w:rPr>
              <w:t>最低评标价法</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的采购项目，提供相同品牌产品的不同投标人参加同一合同项下投标的，以其中通过资格审查、符合性审查且报价最低的参加评标；报价相同的，由采购单位委托</w:t>
            </w:r>
            <w:r>
              <w:rPr>
                <w:color w:val="auto"/>
                <w:highlight w:val="none"/>
              </w:rPr>
              <w:fldChar w:fldCharType="begin"/>
            </w:r>
            <w:r>
              <w:rPr>
                <w:color w:val="auto"/>
                <w:highlight w:val="none"/>
              </w:rPr>
              <w:instrText xml:space="preserve"> HYPERLINK "http://lilun.caigou2003.com/recijiedu/2539165.html" \t "_blank" </w:instrText>
            </w:r>
            <w:r>
              <w:rPr>
                <w:color w:val="auto"/>
                <w:highlight w:val="none"/>
              </w:rPr>
              <w:fldChar w:fldCharType="separate"/>
            </w:r>
            <w:r>
              <w:rPr>
                <w:rFonts w:hint="eastAsia" w:ascii="宋体" w:hAnsi="宋体" w:cs="宋体"/>
                <w:color w:val="auto"/>
                <w:sz w:val="24"/>
                <w:szCs w:val="24"/>
                <w:highlight w:val="none"/>
              </w:rPr>
              <w:t>评标委员会</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按照招标文件规定的方式确定一个参加评标的投标人，招标文件未规定的采取随机抽取方式确定，其他投标无效。</w:t>
            </w:r>
          </w:p>
          <w:p w14:paraId="092C5988">
            <w:pPr>
              <w:spacing w:line="360" w:lineRule="auto"/>
              <w:ind w:firstLine="324"/>
              <w:rPr>
                <w:rFonts w:ascii="宋体" w:hAnsi="宋体" w:cs="宋体"/>
                <w:color w:val="auto"/>
                <w:sz w:val="24"/>
                <w:szCs w:val="24"/>
                <w:highlight w:val="none"/>
              </w:rPr>
            </w:pPr>
            <w:r>
              <w:rPr>
                <w:rFonts w:hint="eastAsia" w:ascii="宋体" w:hAnsi="宋体" w:cs="宋体"/>
                <w:color w:val="auto"/>
                <w:sz w:val="24"/>
                <w:szCs w:val="24"/>
                <w:highlight w:val="none"/>
              </w:rPr>
              <w:t>使用</w:t>
            </w:r>
            <w:r>
              <w:rPr>
                <w:color w:val="auto"/>
                <w:highlight w:val="none"/>
              </w:rPr>
              <w:fldChar w:fldCharType="begin"/>
            </w:r>
            <w:r>
              <w:rPr>
                <w:color w:val="auto"/>
                <w:highlight w:val="none"/>
              </w:rPr>
              <w:instrText xml:space="preserve"> HYPERLINK "http://lilun.caigou2003.com/recijiedu/2365667.html" \t "_blank" </w:instrText>
            </w:r>
            <w:r>
              <w:rPr>
                <w:color w:val="auto"/>
                <w:highlight w:val="none"/>
              </w:rPr>
              <w:fldChar w:fldCharType="separate"/>
            </w:r>
            <w:r>
              <w:rPr>
                <w:rFonts w:hint="eastAsia" w:ascii="宋体" w:hAnsi="宋体" w:cs="宋体"/>
                <w:color w:val="auto"/>
                <w:sz w:val="24"/>
                <w:szCs w:val="24"/>
                <w:highlight w:val="none"/>
              </w:rPr>
              <w:t>综合评分法</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采购单位委托评标委员会按照招标文件规定的方式确定一个投标人获得中标供应商推荐资格，招标文件未规定的采取随机抽取方式确定，其他同品牌投标人不作为中标候选人。</w:t>
            </w:r>
          </w:p>
          <w:p w14:paraId="6EBD79AF">
            <w:pPr>
              <w:pStyle w:val="3"/>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非单一产品采购项目，采购单位应当根据采购项目技术构成、产品价格比重等合理确定核心产品，并在招标文件中载明。多家投标人提供的核心产品品牌相同的，按前两款规定处理。</w:t>
            </w:r>
          </w:p>
        </w:tc>
      </w:tr>
      <w:tr w14:paraId="75AF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tcPr>
          <w:p w14:paraId="39784230">
            <w:pPr>
              <w:pStyle w:val="3"/>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三、定标原则（确定中标供应商数量：1个）：</w:t>
            </w:r>
          </w:p>
          <w:p w14:paraId="2B021FFF">
            <w:pPr>
              <w:pStyle w:val="3"/>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□采购单位委托招标代理机构招标，在收到评标报告后五个工作日内，按照评标报告中推荐的中标候选供应商顺序确定中标供应商。</w:t>
            </w:r>
          </w:p>
          <w:p w14:paraId="7CF75E90">
            <w:pPr>
              <w:pStyle w:val="3"/>
              <w:snapToGrid w:val="0"/>
              <w:spacing w:line="360" w:lineRule="auto"/>
              <w:ind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采购单位委托招标代理机构招标，授权评标委员会直接确定中标供应商。</w:t>
            </w:r>
          </w:p>
          <w:p w14:paraId="4E68CA9E">
            <w:pPr>
              <w:pStyle w:val="3"/>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采购单位自行组织招标，在评标结束后五个工作日内确定中标供应商。</w:t>
            </w:r>
          </w:p>
        </w:tc>
      </w:tr>
    </w:tbl>
    <w:p w14:paraId="53311FAA">
      <w:pPr>
        <w:pStyle w:val="3"/>
        <w:snapToGrid w:val="0"/>
        <w:spacing w:line="360" w:lineRule="auto"/>
        <w:ind w:firstLine="0"/>
        <w:rPr>
          <w:rFonts w:ascii="宋体" w:hAnsi="宋体" w:cs="宋体"/>
          <w:b/>
          <w:color w:val="auto"/>
          <w:sz w:val="24"/>
          <w:szCs w:val="24"/>
          <w:highlight w:val="none"/>
          <w:u w:val="single"/>
        </w:rPr>
      </w:pPr>
      <w:r>
        <w:rPr>
          <w:rFonts w:hint="eastAsia" w:ascii="宋体" w:hAnsi="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3B912EAD">
      <w:pPr>
        <w:tabs>
          <w:tab w:val="left" w:pos="-1080"/>
          <w:tab w:val="left" w:pos="180"/>
          <w:tab w:val="left" w:pos="1080"/>
        </w:tabs>
        <w:spacing w:line="360" w:lineRule="auto"/>
        <w:rPr>
          <w:rFonts w:ascii="宋体" w:hAnsi="宋体" w:cs="宋体"/>
          <w:b/>
          <w:color w:val="auto"/>
          <w:sz w:val="24"/>
          <w:szCs w:val="24"/>
          <w:highlight w:val="none"/>
        </w:rPr>
      </w:pPr>
    </w:p>
    <w:p w14:paraId="52BA706B">
      <w:pPr>
        <w:tabs>
          <w:tab w:val="left" w:pos="-1080"/>
          <w:tab w:val="left" w:pos="180"/>
          <w:tab w:val="left" w:pos="1080"/>
        </w:tabs>
        <w:spacing w:line="360" w:lineRule="auto"/>
        <w:rPr>
          <w:rFonts w:ascii="宋体" w:hAnsi="宋体" w:cs="宋体"/>
          <w:b/>
          <w:color w:val="auto"/>
          <w:sz w:val="32"/>
          <w:szCs w:val="32"/>
          <w:highlight w:val="none"/>
        </w:rPr>
      </w:pPr>
      <w:r>
        <w:rPr>
          <w:rFonts w:hint="eastAsia" w:ascii="宋体" w:hAnsi="宋体" w:cs="宋体"/>
          <w:b/>
          <w:color w:val="auto"/>
          <w:sz w:val="32"/>
          <w:szCs w:val="32"/>
          <w:highlight w:val="none"/>
        </w:rPr>
        <w:t>附件：评标标准、权重</w:t>
      </w:r>
    </w:p>
    <w:tbl>
      <w:tblPr>
        <w:tblStyle w:val="12"/>
        <w:tblW w:w="8624" w:type="dxa"/>
        <w:tblInd w:w="0" w:type="dxa"/>
        <w:tblLayout w:type="fixed"/>
        <w:tblCellMar>
          <w:top w:w="0" w:type="dxa"/>
          <w:left w:w="108" w:type="dxa"/>
          <w:bottom w:w="0" w:type="dxa"/>
          <w:right w:w="108" w:type="dxa"/>
        </w:tblCellMar>
      </w:tblPr>
      <w:tblGrid>
        <w:gridCol w:w="732"/>
        <w:gridCol w:w="6948"/>
        <w:gridCol w:w="944"/>
      </w:tblGrid>
      <w:tr w14:paraId="7EAEB55D">
        <w:tblPrEx>
          <w:tblCellMar>
            <w:top w:w="0" w:type="dxa"/>
            <w:left w:w="108" w:type="dxa"/>
            <w:bottom w:w="0" w:type="dxa"/>
            <w:right w:w="108" w:type="dxa"/>
          </w:tblCellMar>
        </w:tblPrEx>
        <w:trPr>
          <w:trHeight w:val="300" w:hRule="atLeast"/>
        </w:trPr>
        <w:tc>
          <w:tcPr>
            <w:tcW w:w="732" w:type="dxa"/>
            <w:tcBorders>
              <w:top w:val="single" w:color="auto" w:sz="4" w:space="0"/>
              <w:left w:val="single" w:color="auto" w:sz="4" w:space="0"/>
              <w:bottom w:val="single" w:color="auto" w:sz="4" w:space="0"/>
              <w:right w:val="single" w:color="auto" w:sz="4" w:space="0"/>
            </w:tcBorders>
            <w:shd w:val="clear" w:color="000000" w:fill="FFFFFF"/>
            <w:vAlign w:val="center"/>
          </w:tcPr>
          <w:p w14:paraId="58F187D1">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cs="宋体" w:asciiTheme="minorEastAsia" w:hAnsiTheme="minorEastAsia" w:eastAsiaTheme="minorEastAsia"/>
                <w:color w:val="auto"/>
                <w:sz w:val="24"/>
                <w:szCs w:val="24"/>
                <w:highlight w:val="none"/>
              </w:rPr>
              <w:t>（一）技术评分(F1)：按</w:t>
            </w:r>
            <w:r>
              <w:rPr>
                <w:rFonts w:hint="eastAsia" w:cs="宋体" w:asciiTheme="minorEastAsia" w:hAnsiTheme="minorEastAsia" w:eastAsiaTheme="minorEastAsia"/>
                <w:color w:val="auto"/>
                <w:sz w:val="24"/>
                <w:szCs w:val="24"/>
                <w:highlight w:val="none"/>
                <w:u w:val="single"/>
              </w:rPr>
              <w:t>55</w:t>
            </w:r>
            <w:r>
              <w:rPr>
                <w:rFonts w:hint="eastAsia" w:cs="宋体" w:asciiTheme="minorEastAsia" w:hAnsiTheme="minorEastAsia" w:eastAsiaTheme="minorEastAsia"/>
                <w:color w:val="auto"/>
                <w:sz w:val="24"/>
                <w:szCs w:val="24"/>
                <w:highlight w:val="none"/>
              </w:rPr>
              <w:t>分评分法，技术评分考虑下列因素：</w:t>
            </w:r>
            <w:r>
              <w:rPr>
                <w:rFonts w:hint="eastAsia" w:ascii="宋体" w:hAnsi="宋体" w:eastAsia="宋体" w:cs="宋体"/>
                <w:color w:val="auto"/>
                <w:kern w:val="0"/>
                <w:sz w:val="24"/>
                <w:szCs w:val="24"/>
                <w:highlight w:val="none"/>
              </w:rPr>
              <w:t>序号</w:t>
            </w:r>
          </w:p>
        </w:tc>
        <w:tc>
          <w:tcPr>
            <w:tcW w:w="6948" w:type="dxa"/>
            <w:tcBorders>
              <w:top w:val="single" w:color="auto" w:sz="4" w:space="0"/>
              <w:left w:val="single" w:color="auto" w:sz="4" w:space="0"/>
              <w:bottom w:val="single" w:color="auto" w:sz="4" w:space="0"/>
              <w:right w:val="single" w:color="auto" w:sz="4" w:space="0"/>
            </w:tcBorders>
            <w:shd w:val="clear" w:color="000000" w:fill="FFFFFF"/>
            <w:vAlign w:val="center"/>
          </w:tcPr>
          <w:p w14:paraId="66713DF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评分界定</w:t>
            </w:r>
          </w:p>
        </w:tc>
        <w:tc>
          <w:tcPr>
            <w:tcW w:w="944" w:type="dxa"/>
            <w:tcBorders>
              <w:top w:val="single" w:color="auto" w:sz="4" w:space="0"/>
              <w:left w:val="single" w:color="auto" w:sz="4" w:space="0"/>
              <w:bottom w:val="single" w:color="auto" w:sz="4" w:space="0"/>
              <w:right w:val="single" w:color="auto" w:sz="4" w:space="0"/>
            </w:tcBorders>
            <w:shd w:val="clear" w:color="000000" w:fill="FFFFFF"/>
            <w:vAlign w:val="center"/>
          </w:tcPr>
          <w:p w14:paraId="49B8301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满分值（分）</w:t>
            </w:r>
          </w:p>
        </w:tc>
      </w:tr>
      <w:tr w14:paraId="1E7AA0B4">
        <w:tblPrEx>
          <w:tblCellMar>
            <w:top w:w="0" w:type="dxa"/>
            <w:left w:w="108" w:type="dxa"/>
            <w:bottom w:w="0" w:type="dxa"/>
            <w:right w:w="108" w:type="dxa"/>
          </w:tblCellMar>
        </w:tblPrEx>
        <w:trPr>
          <w:trHeight w:val="118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14:paraId="59924C6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6948" w:type="dxa"/>
            <w:tcBorders>
              <w:top w:val="single" w:color="auto" w:sz="4" w:space="0"/>
              <w:left w:val="single" w:color="auto" w:sz="8" w:space="0"/>
              <w:bottom w:val="single" w:color="auto" w:sz="8" w:space="0"/>
              <w:right w:val="single" w:color="auto" w:sz="8" w:space="0"/>
            </w:tcBorders>
            <w:shd w:val="clear" w:color="auto" w:fill="auto"/>
            <w:vAlign w:val="center"/>
          </w:tcPr>
          <w:p w14:paraId="7ABDBA6C">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定量：根据投标文件中投标产品的检验报告进行评分。投标产品中70克复印纸按照国标GB-T24988-2020优等品要求，克重正负偏差不得大于4%。满足此标准的前提下，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定量≥71g/㎡的得3分，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67.2 g/㎡＜定量＜71 g/㎡的得1.5分，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14:paraId="0CF0633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1EB17C37">
        <w:tblPrEx>
          <w:tblCellMar>
            <w:top w:w="0" w:type="dxa"/>
            <w:left w:w="108" w:type="dxa"/>
            <w:bottom w:w="0" w:type="dxa"/>
            <w:right w:w="108" w:type="dxa"/>
          </w:tblCellMar>
        </w:tblPrEx>
        <w:trPr>
          <w:trHeight w:val="1200"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559FC0C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6948" w:type="dxa"/>
            <w:tcBorders>
              <w:top w:val="nil"/>
              <w:left w:val="single" w:color="auto" w:sz="8" w:space="0"/>
              <w:bottom w:val="single" w:color="auto" w:sz="8" w:space="0"/>
              <w:right w:val="single" w:color="auto" w:sz="8" w:space="0"/>
            </w:tcBorders>
            <w:shd w:val="clear" w:color="auto" w:fill="auto"/>
            <w:vAlign w:val="center"/>
          </w:tcPr>
          <w:p w14:paraId="1C40D11F">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定量：根据投标文件中投标产品的检验报告进行评分。投标产品中80克复印纸按照国标GB-T24988-2020优等品要求，克重正负偏差不得大于4%。满足此标准的前提下，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定量≥81g/㎡的得3分，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76.8g/㎡＜定量＜81g/㎡的得1.5分，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nil"/>
              <w:left w:val="single" w:color="auto" w:sz="4" w:space="0"/>
              <w:bottom w:val="single" w:color="auto" w:sz="4" w:space="0"/>
              <w:right w:val="single" w:color="auto" w:sz="4" w:space="0"/>
            </w:tcBorders>
            <w:shd w:val="clear" w:color="auto" w:fill="auto"/>
            <w:vAlign w:val="center"/>
          </w:tcPr>
          <w:p w14:paraId="44A088A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0D85CBD7">
        <w:tblPrEx>
          <w:tblCellMar>
            <w:top w:w="0" w:type="dxa"/>
            <w:left w:w="108" w:type="dxa"/>
            <w:bottom w:w="0" w:type="dxa"/>
            <w:right w:w="108" w:type="dxa"/>
          </w:tblCellMar>
        </w:tblPrEx>
        <w:trPr>
          <w:trHeight w:val="990"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7B7CAD9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948" w:type="dxa"/>
            <w:tcBorders>
              <w:top w:val="nil"/>
              <w:left w:val="single" w:color="auto" w:sz="8" w:space="0"/>
              <w:bottom w:val="single" w:color="auto" w:sz="8" w:space="0"/>
              <w:right w:val="single" w:color="auto" w:sz="8" w:space="0"/>
            </w:tcBorders>
            <w:shd w:val="clear" w:color="auto" w:fill="auto"/>
            <w:vAlign w:val="center"/>
          </w:tcPr>
          <w:p w14:paraId="7B525535">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厚度：根据投标文件中投标产品的检验报告进行评分。投标产品中70克复印纸按照国标GB-T24988-2020优等品要求，厚度需大于等于92微米。满足此标准的前提下，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厚度≥101微米的得3分，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92＜厚度＜101微米的得1.5分，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nil"/>
              <w:left w:val="single" w:color="auto" w:sz="4" w:space="0"/>
              <w:bottom w:val="single" w:color="auto" w:sz="4" w:space="0"/>
              <w:right w:val="single" w:color="auto" w:sz="4" w:space="0"/>
            </w:tcBorders>
            <w:shd w:val="clear" w:color="auto" w:fill="auto"/>
            <w:vAlign w:val="center"/>
          </w:tcPr>
          <w:p w14:paraId="4CF40FE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65FCA91B">
        <w:tblPrEx>
          <w:tblCellMar>
            <w:top w:w="0" w:type="dxa"/>
            <w:left w:w="108" w:type="dxa"/>
            <w:bottom w:w="0" w:type="dxa"/>
            <w:right w:w="108" w:type="dxa"/>
          </w:tblCellMar>
        </w:tblPrEx>
        <w:trPr>
          <w:trHeight w:val="1170"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0B6640A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6948" w:type="dxa"/>
            <w:tcBorders>
              <w:top w:val="nil"/>
              <w:left w:val="single" w:color="auto" w:sz="8" w:space="0"/>
              <w:bottom w:val="single" w:color="auto" w:sz="8" w:space="0"/>
              <w:right w:val="single" w:color="auto" w:sz="8" w:space="0"/>
            </w:tcBorders>
            <w:shd w:val="clear" w:color="auto" w:fill="auto"/>
            <w:vAlign w:val="center"/>
          </w:tcPr>
          <w:p w14:paraId="59AD45CA">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厚度：根据投标文件中投标产品的检验报告进行评分。投标产品中80克复印纸按照国标GB-T24988-2020优等品要求，厚度需大于等于103微米。满足此标准的前提下，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厚度≥104微米的得3分，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103＜厚度＜104微米的得1.5分，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nil"/>
              <w:left w:val="single" w:color="auto" w:sz="4" w:space="0"/>
              <w:bottom w:val="single" w:color="auto" w:sz="4" w:space="0"/>
              <w:right w:val="single" w:color="auto" w:sz="4" w:space="0"/>
            </w:tcBorders>
            <w:shd w:val="clear" w:color="auto" w:fill="auto"/>
            <w:vAlign w:val="center"/>
          </w:tcPr>
          <w:p w14:paraId="5C47062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2D7DC496">
        <w:tblPrEx>
          <w:tblCellMar>
            <w:top w:w="0" w:type="dxa"/>
            <w:left w:w="108" w:type="dxa"/>
            <w:bottom w:w="0" w:type="dxa"/>
            <w:right w:w="108" w:type="dxa"/>
          </w:tblCellMar>
        </w:tblPrEx>
        <w:trPr>
          <w:trHeight w:val="1290"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1985799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6948" w:type="dxa"/>
            <w:tcBorders>
              <w:top w:val="nil"/>
              <w:left w:val="single" w:color="auto" w:sz="8" w:space="0"/>
              <w:bottom w:val="single" w:color="auto" w:sz="8" w:space="0"/>
              <w:right w:val="single" w:color="auto" w:sz="8" w:space="0"/>
            </w:tcBorders>
            <w:shd w:val="clear" w:color="auto" w:fill="auto"/>
            <w:vAlign w:val="center"/>
          </w:tcPr>
          <w:p w14:paraId="26EBFFB2">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纵向挺度：根据投标文件中投标产品的检验报告进行评分。投标产品中70克复印纸按照国标GB-T24988-2020优等品要求，使用弯曲法，纵向挺度大于等于75MN。满足此标准的前提下，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纵向挺度≥98MN的得3分，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75MN＜纵向挺度＜98MN 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nil"/>
              <w:left w:val="single" w:color="auto" w:sz="4" w:space="0"/>
              <w:bottom w:val="single" w:color="auto" w:sz="4" w:space="0"/>
              <w:right w:val="single" w:color="auto" w:sz="4" w:space="0"/>
            </w:tcBorders>
            <w:shd w:val="clear" w:color="auto" w:fill="auto"/>
            <w:vAlign w:val="center"/>
          </w:tcPr>
          <w:p w14:paraId="17F6DDE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5D98E762">
        <w:tblPrEx>
          <w:tblCellMar>
            <w:top w:w="0" w:type="dxa"/>
            <w:left w:w="108" w:type="dxa"/>
            <w:bottom w:w="0" w:type="dxa"/>
            <w:right w:w="108" w:type="dxa"/>
          </w:tblCellMar>
        </w:tblPrEx>
        <w:trPr>
          <w:trHeight w:val="1290"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56A3FDE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6948" w:type="dxa"/>
            <w:tcBorders>
              <w:top w:val="nil"/>
              <w:left w:val="single" w:color="auto" w:sz="8" w:space="0"/>
              <w:bottom w:val="single" w:color="auto" w:sz="8" w:space="0"/>
              <w:right w:val="single" w:color="auto" w:sz="8" w:space="0"/>
            </w:tcBorders>
            <w:shd w:val="clear" w:color="auto" w:fill="auto"/>
            <w:vAlign w:val="center"/>
          </w:tcPr>
          <w:p w14:paraId="1FD6E10D">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纵向挺度：根据投标文件中投标产品的检验报告进行评分。投标产品中80克复印纸按照国标GB-T24988-2020优等品要求，使用弯曲法，纵向挺度大于等于100MN。满足此标准的前提下，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纵向挺度≥110MN的得3分，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100MN＜纵向挺度＜110MN 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nil"/>
              <w:left w:val="single" w:color="auto" w:sz="4" w:space="0"/>
              <w:bottom w:val="single" w:color="auto" w:sz="4" w:space="0"/>
              <w:right w:val="single" w:color="auto" w:sz="4" w:space="0"/>
            </w:tcBorders>
            <w:shd w:val="clear" w:color="auto" w:fill="auto"/>
            <w:vAlign w:val="center"/>
          </w:tcPr>
          <w:p w14:paraId="42B0B53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2516063D">
        <w:tblPrEx>
          <w:tblCellMar>
            <w:top w:w="0" w:type="dxa"/>
            <w:left w:w="108" w:type="dxa"/>
            <w:bottom w:w="0" w:type="dxa"/>
            <w:right w:w="108" w:type="dxa"/>
          </w:tblCellMar>
        </w:tblPrEx>
        <w:trPr>
          <w:trHeight w:val="1290"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261DFCE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6948" w:type="dxa"/>
            <w:tcBorders>
              <w:top w:val="nil"/>
              <w:left w:val="single" w:color="auto" w:sz="8" w:space="0"/>
              <w:bottom w:val="single" w:color="auto" w:sz="8" w:space="0"/>
              <w:right w:val="single" w:color="auto" w:sz="8" w:space="0"/>
            </w:tcBorders>
            <w:shd w:val="clear" w:color="auto" w:fill="auto"/>
            <w:vAlign w:val="center"/>
          </w:tcPr>
          <w:p w14:paraId="6069F615">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横向挺度：根据投标文件中投标产品的检验报告进行评分。投标产品中70克复印纸按照国标GB-T24988-2020优等品要求，使用弯曲法，横向挺度大于等于32MN。满足此标准的前提下，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横向挺度≥36MN的得3分，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32MN＜横向挺度＜36MN 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nil"/>
              <w:left w:val="single" w:color="auto" w:sz="4" w:space="0"/>
              <w:bottom w:val="single" w:color="auto" w:sz="4" w:space="0"/>
              <w:right w:val="single" w:color="auto" w:sz="4" w:space="0"/>
            </w:tcBorders>
            <w:shd w:val="clear" w:color="auto" w:fill="auto"/>
            <w:vAlign w:val="center"/>
          </w:tcPr>
          <w:p w14:paraId="4EFB83B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348206FE">
        <w:tblPrEx>
          <w:tblCellMar>
            <w:top w:w="0" w:type="dxa"/>
            <w:left w:w="108" w:type="dxa"/>
            <w:bottom w:w="0" w:type="dxa"/>
            <w:right w:w="108" w:type="dxa"/>
          </w:tblCellMar>
        </w:tblPrEx>
        <w:trPr>
          <w:trHeight w:val="1290"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7E70C26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6948" w:type="dxa"/>
            <w:tcBorders>
              <w:top w:val="nil"/>
              <w:left w:val="single" w:color="auto" w:sz="8" w:space="0"/>
              <w:bottom w:val="single" w:color="auto" w:sz="8" w:space="0"/>
              <w:right w:val="single" w:color="auto" w:sz="8" w:space="0"/>
            </w:tcBorders>
            <w:shd w:val="clear" w:color="auto" w:fill="auto"/>
            <w:vAlign w:val="center"/>
          </w:tcPr>
          <w:p w14:paraId="6C42630F">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横向挺度：根据投标文件中投标产品的检验报告进行评分。投标产品中80克复印纸按照国标GB-T24988-2020优等品要求，使用弯曲法，横向挺度大于等于42MN，横向挺度大于等于42MN。满足此标准的前提下，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横向挺度≥49MN的得3分，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42MN＜横向挺度＜49MN的得1.5分，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nil"/>
              <w:left w:val="single" w:color="auto" w:sz="4" w:space="0"/>
              <w:bottom w:val="single" w:color="auto" w:sz="4" w:space="0"/>
              <w:right w:val="single" w:color="auto" w:sz="4" w:space="0"/>
            </w:tcBorders>
            <w:shd w:val="clear" w:color="auto" w:fill="auto"/>
            <w:vAlign w:val="center"/>
          </w:tcPr>
          <w:p w14:paraId="3DF7F37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03B64DBD">
        <w:tblPrEx>
          <w:tblCellMar>
            <w:top w:w="0" w:type="dxa"/>
            <w:left w:w="108" w:type="dxa"/>
            <w:bottom w:w="0" w:type="dxa"/>
            <w:right w:w="108" w:type="dxa"/>
          </w:tblCellMar>
        </w:tblPrEx>
        <w:trPr>
          <w:trHeight w:val="835"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645518F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6948" w:type="dxa"/>
            <w:tcBorders>
              <w:top w:val="nil"/>
              <w:left w:val="single" w:color="auto" w:sz="8" w:space="0"/>
              <w:bottom w:val="single" w:color="auto" w:sz="8" w:space="0"/>
              <w:right w:val="single" w:color="auto" w:sz="8" w:space="0"/>
            </w:tcBorders>
            <w:shd w:val="clear" w:color="auto" w:fill="auto"/>
            <w:vAlign w:val="center"/>
          </w:tcPr>
          <w:p w14:paraId="079C37A6">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平滑度：根据投标文件中投标产品的检验报告进行评分。投标产品中70克复印纸按照国标GB-T24988-2020优等品要求，平滑度≥18s（正反面均）。满足此标准的前提下，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平滑度（正反面最低值）≥23s的得3分，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18s＜平滑度＜23s的得1.5分，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nil"/>
              <w:left w:val="single" w:color="auto" w:sz="4" w:space="0"/>
              <w:bottom w:val="single" w:color="auto" w:sz="4" w:space="0"/>
              <w:right w:val="single" w:color="auto" w:sz="4" w:space="0"/>
            </w:tcBorders>
            <w:shd w:val="clear" w:color="auto" w:fill="auto"/>
            <w:vAlign w:val="center"/>
          </w:tcPr>
          <w:p w14:paraId="5A0E452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762639C8">
        <w:tblPrEx>
          <w:tblCellMar>
            <w:top w:w="0" w:type="dxa"/>
            <w:left w:w="108" w:type="dxa"/>
            <w:bottom w:w="0" w:type="dxa"/>
            <w:right w:w="108" w:type="dxa"/>
          </w:tblCellMar>
        </w:tblPrEx>
        <w:trPr>
          <w:trHeight w:val="1245"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482262C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6948" w:type="dxa"/>
            <w:tcBorders>
              <w:top w:val="nil"/>
              <w:left w:val="single" w:color="auto" w:sz="8" w:space="0"/>
              <w:bottom w:val="single" w:color="auto" w:sz="8" w:space="0"/>
              <w:right w:val="single" w:color="auto" w:sz="8" w:space="0"/>
            </w:tcBorders>
            <w:shd w:val="clear" w:color="auto" w:fill="auto"/>
            <w:vAlign w:val="center"/>
          </w:tcPr>
          <w:p w14:paraId="2C40BCB5">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平滑度：根据投标文件中投标产品的检验报告进行评分。投标产品中80克复印纸按照国标GB-T24988-2020优等品要求，平滑度≥18s（正反面均）。满足此标准的前提下，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平滑度（正反面最低值）≥23s的得3分，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18s＜平滑度＜23s的得1.5分，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nil"/>
              <w:left w:val="single" w:color="auto" w:sz="4" w:space="0"/>
              <w:bottom w:val="single" w:color="auto" w:sz="4" w:space="0"/>
              <w:right w:val="single" w:color="auto" w:sz="4" w:space="0"/>
            </w:tcBorders>
            <w:shd w:val="clear" w:color="auto" w:fill="auto"/>
            <w:vAlign w:val="center"/>
          </w:tcPr>
          <w:p w14:paraId="656D39A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50A92829">
        <w:tblPrEx>
          <w:tblCellMar>
            <w:top w:w="0" w:type="dxa"/>
            <w:left w:w="108" w:type="dxa"/>
            <w:bottom w:w="0" w:type="dxa"/>
            <w:right w:w="108" w:type="dxa"/>
          </w:tblCellMar>
        </w:tblPrEx>
        <w:trPr>
          <w:trHeight w:val="1095"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4987341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6948" w:type="dxa"/>
            <w:tcBorders>
              <w:top w:val="nil"/>
              <w:left w:val="single" w:color="auto" w:sz="8" w:space="0"/>
              <w:bottom w:val="single" w:color="auto" w:sz="8" w:space="0"/>
              <w:right w:val="single" w:color="auto" w:sz="8" w:space="0"/>
            </w:tcBorders>
            <w:shd w:val="clear" w:color="auto" w:fill="auto"/>
            <w:vAlign w:val="center"/>
          </w:tcPr>
          <w:p w14:paraId="65A4632F">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不透明度：根据投标文件中投标产品的检验报告进行评分。投标产品中70克复印纸按照国标GB-T24988-2020优等品要求，不透明度≥91%。满足此标准的前提下，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不透明度≥93%的得3分，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91%＜不透明度＜93%的得1.5分，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nil"/>
              <w:left w:val="single" w:color="auto" w:sz="4" w:space="0"/>
              <w:bottom w:val="single" w:color="auto" w:sz="4" w:space="0"/>
              <w:right w:val="single" w:color="auto" w:sz="4" w:space="0"/>
            </w:tcBorders>
            <w:shd w:val="clear" w:color="auto" w:fill="auto"/>
            <w:vAlign w:val="center"/>
          </w:tcPr>
          <w:p w14:paraId="145505F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07251D76">
        <w:tblPrEx>
          <w:tblCellMar>
            <w:top w:w="0" w:type="dxa"/>
            <w:left w:w="108" w:type="dxa"/>
            <w:bottom w:w="0" w:type="dxa"/>
            <w:right w:w="108" w:type="dxa"/>
          </w:tblCellMar>
        </w:tblPrEx>
        <w:trPr>
          <w:trHeight w:val="1095"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04D3A36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6948" w:type="dxa"/>
            <w:tcBorders>
              <w:top w:val="nil"/>
              <w:left w:val="single" w:color="auto" w:sz="8" w:space="0"/>
              <w:bottom w:val="single" w:color="auto" w:sz="8" w:space="0"/>
              <w:right w:val="single" w:color="auto" w:sz="8" w:space="0"/>
            </w:tcBorders>
            <w:shd w:val="clear" w:color="auto" w:fill="auto"/>
            <w:vAlign w:val="center"/>
          </w:tcPr>
          <w:p w14:paraId="2B022716">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不透明度：根据投标文件中投标产品的检验报告进行评分。投标产品中80克复印纸按照国标GB-T24988-2020优等品要求，不透明度≥93%。满足此标准的前提下，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不透明度≥94%的得3分，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93%＜不透明度＜94%的得1.5分，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其余得0分。(得分可并列）</w:t>
            </w:r>
          </w:p>
        </w:tc>
        <w:tc>
          <w:tcPr>
            <w:tcW w:w="944" w:type="dxa"/>
            <w:tcBorders>
              <w:top w:val="nil"/>
              <w:left w:val="single" w:color="auto" w:sz="4" w:space="0"/>
              <w:bottom w:val="single" w:color="auto" w:sz="4" w:space="0"/>
              <w:right w:val="single" w:color="auto" w:sz="4" w:space="0"/>
            </w:tcBorders>
            <w:shd w:val="clear" w:color="auto" w:fill="auto"/>
            <w:vAlign w:val="center"/>
          </w:tcPr>
          <w:p w14:paraId="35C144E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16DAD7AB">
        <w:tblPrEx>
          <w:tblCellMar>
            <w:top w:w="0" w:type="dxa"/>
            <w:left w:w="108" w:type="dxa"/>
            <w:bottom w:w="0" w:type="dxa"/>
            <w:right w:w="108" w:type="dxa"/>
          </w:tblCellMar>
        </w:tblPrEx>
        <w:trPr>
          <w:trHeight w:val="1140"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3F81030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6948" w:type="dxa"/>
            <w:tcBorders>
              <w:top w:val="nil"/>
              <w:left w:val="single" w:color="auto" w:sz="8" w:space="0"/>
              <w:bottom w:val="single" w:color="auto" w:sz="8" w:space="0"/>
              <w:right w:val="single" w:color="auto" w:sz="8" w:space="0"/>
            </w:tcBorders>
            <w:shd w:val="clear" w:color="auto" w:fill="auto"/>
            <w:vAlign w:val="center"/>
          </w:tcPr>
          <w:p w14:paraId="127EC565">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可勃值：根据投标文件中投标产品的检验报告进行评分。投标产品中70克复印纸按照国标GB-T24988-2020优等品要求可勃值≤35.0g/㎡。满足此标准的前提下，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可勃值（两面中最低值）≤25g/㎡的得3分，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25g/㎡＜可勃值（两面中最低值）＜35g/㎡得1.5分，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w:t>
            </w:r>
          </w:p>
        </w:tc>
        <w:tc>
          <w:tcPr>
            <w:tcW w:w="944" w:type="dxa"/>
            <w:tcBorders>
              <w:top w:val="nil"/>
              <w:left w:val="single" w:color="auto" w:sz="4" w:space="0"/>
              <w:bottom w:val="single" w:color="auto" w:sz="4" w:space="0"/>
              <w:right w:val="single" w:color="auto" w:sz="4" w:space="0"/>
            </w:tcBorders>
            <w:shd w:val="clear" w:color="auto" w:fill="auto"/>
            <w:vAlign w:val="center"/>
          </w:tcPr>
          <w:p w14:paraId="69A0DA4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6A3BB4D6">
        <w:tblPrEx>
          <w:tblCellMar>
            <w:top w:w="0" w:type="dxa"/>
            <w:left w:w="108" w:type="dxa"/>
            <w:bottom w:w="0" w:type="dxa"/>
            <w:right w:w="108" w:type="dxa"/>
          </w:tblCellMar>
        </w:tblPrEx>
        <w:trPr>
          <w:trHeight w:val="1140"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5358F9A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6948" w:type="dxa"/>
            <w:tcBorders>
              <w:top w:val="nil"/>
              <w:left w:val="single" w:color="auto" w:sz="8" w:space="0"/>
              <w:bottom w:val="single" w:color="auto" w:sz="8" w:space="0"/>
              <w:right w:val="single" w:color="auto" w:sz="8" w:space="0"/>
            </w:tcBorders>
            <w:shd w:val="clear" w:color="auto" w:fill="auto"/>
            <w:vAlign w:val="center"/>
          </w:tcPr>
          <w:p w14:paraId="4ED417FB">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可勃值：根据投标文件中投标产品的检验报告进行评分。投标产品中80克复印纸按照国标GB-T24988-2020优等品要求可勃值≤45.0g/㎡。满足此标准的前提下，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可勃值（两面中最低值）≤28g/㎡的得3分，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28g/㎡＜可勃值（两面中最低值）＜45g/㎡得1.5分，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w:t>
            </w:r>
          </w:p>
        </w:tc>
        <w:tc>
          <w:tcPr>
            <w:tcW w:w="944" w:type="dxa"/>
            <w:tcBorders>
              <w:top w:val="nil"/>
              <w:left w:val="single" w:color="auto" w:sz="4" w:space="0"/>
              <w:bottom w:val="single" w:color="auto" w:sz="4" w:space="0"/>
              <w:right w:val="single" w:color="auto" w:sz="4" w:space="0"/>
            </w:tcBorders>
            <w:shd w:val="clear" w:color="auto" w:fill="auto"/>
            <w:vAlign w:val="center"/>
          </w:tcPr>
          <w:p w14:paraId="2BBEC46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0B537E84">
        <w:tblPrEx>
          <w:tblCellMar>
            <w:top w:w="0" w:type="dxa"/>
            <w:left w:w="108" w:type="dxa"/>
            <w:bottom w:w="0" w:type="dxa"/>
            <w:right w:w="108" w:type="dxa"/>
          </w:tblCellMar>
        </w:tblPrEx>
        <w:trPr>
          <w:trHeight w:val="1095"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6B3B25D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6948" w:type="dxa"/>
            <w:tcBorders>
              <w:top w:val="nil"/>
              <w:left w:val="single" w:color="auto" w:sz="8" w:space="0"/>
              <w:bottom w:val="single" w:color="auto" w:sz="8" w:space="0"/>
              <w:right w:val="single" w:color="auto" w:sz="8" w:space="0"/>
            </w:tcBorders>
            <w:shd w:val="clear" w:color="auto" w:fill="auto"/>
            <w:vAlign w:val="center"/>
          </w:tcPr>
          <w:p w14:paraId="3B004664">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尘埃度：根据投标文件中投标产品的检验报告进行评分。投标产品中70克复印纸按照国标GB-T24988-2020优等品要求尘埃度（0.3mm²~1.5mm²）≤16个/㎡。满足此标准的前提下，检测结果无尘埃的得3分，其余得0分。</w:t>
            </w:r>
          </w:p>
        </w:tc>
        <w:tc>
          <w:tcPr>
            <w:tcW w:w="944" w:type="dxa"/>
            <w:tcBorders>
              <w:top w:val="nil"/>
              <w:left w:val="single" w:color="auto" w:sz="4" w:space="0"/>
              <w:bottom w:val="single" w:color="auto" w:sz="4" w:space="0"/>
              <w:right w:val="single" w:color="auto" w:sz="4" w:space="0"/>
            </w:tcBorders>
            <w:shd w:val="clear" w:color="auto" w:fill="auto"/>
            <w:vAlign w:val="center"/>
          </w:tcPr>
          <w:p w14:paraId="501D701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18E9C6DB">
        <w:tblPrEx>
          <w:tblCellMar>
            <w:top w:w="0" w:type="dxa"/>
            <w:left w:w="108" w:type="dxa"/>
            <w:bottom w:w="0" w:type="dxa"/>
            <w:right w:w="108" w:type="dxa"/>
          </w:tblCellMar>
        </w:tblPrEx>
        <w:trPr>
          <w:trHeight w:val="1095"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2F348F3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6948" w:type="dxa"/>
            <w:tcBorders>
              <w:top w:val="nil"/>
              <w:left w:val="single" w:color="auto" w:sz="8" w:space="0"/>
              <w:bottom w:val="single" w:color="auto" w:sz="8" w:space="0"/>
              <w:right w:val="single" w:color="auto" w:sz="8" w:space="0"/>
            </w:tcBorders>
            <w:shd w:val="clear" w:color="auto" w:fill="auto"/>
            <w:vAlign w:val="center"/>
          </w:tcPr>
          <w:p w14:paraId="0376672A">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尘埃度：满分3分，根据投标文件中投标产品的检验报告进行评分。投标产品中80克复印纸按照国标GB-T24988-2020优等品要求尘埃度（0.3mm²~1.5mm²）≤16个/㎡。满足此标准的前提下，检测结果无尘埃的得3分，其余得0分。</w:t>
            </w:r>
          </w:p>
        </w:tc>
        <w:tc>
          <w:tcPr>
            <w:tcW w:w="944" w:type="dxa"/>
            <w:tcBorders>
              <w:top w:val="nil"/>
              <w:left w:val="single" w:color="auto" w:sz="4" w:space="0"/>
              <w:bottom w:val="single" w:color="auto" w:sz="4" w:space="0"/>
              <w:right w:val="single" w:color="auto" w:sz="4" w:space="0"/>
            </w:tcBorders>
            <w:shd w:val="clear" w:color="auto" w:fill="auto"/>
            <w:vAlign w:val="center"/>
          </w:tcPr>
          <w:p w14:paraId="2F8CAA8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7C8336C9">
        <w:tblPrEx>
          <w:tblCellMar>
            <w:top w:w="0" w:type="dxa"/>
            <w:left w:w="108" w:type="dxa"/>
            <w:bottom w:w="0" w:type="dxa"/>
            <w:right w:w="108" w:type="dxa"/>
          </w:tblCellMar>
        </w:tblPrEx>
        <w:trPr>
          <w:trHeight w:val="1170"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19A7E35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6948" w:type="dxa"/>
            <w:tcBorders>
              <w:top w:val="nil"/>
              <w:left w:val="single" w:color="auto" w:sz="8" w:space="0"/>
              <w:bottom w:val="single" w:color="auto" w:sz="8" w:space="0"/>
              <w:right w:val="single" w:color="auto" w:sz="8" w:space="0"/>
            </w:tcBorders>
            <w:shd w:val="clear" w:color="auto" w:fill="auto"/>
            <w:vAlign w:val="center"/>
          </w:tcPr>
          <w:p w14:paraId="108E9CAD">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交货水分：根据投标文件中投标产品的检验报告进行评分。投标产品中70克复印纸按照国标GB-T24988-2020优等品要求交货水分3.5%-7.0%。满足此标准的前提下，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4.2%≤交货水分≤6.5%的得2分，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3.5%＜交货水分＜4.2%或者6.5%＜交货水分＜7%的得0.5分，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w:t>
            </w:r>
          </w:p>
        </w:tc>
        <w:tc>
          <w:tcPr>
            <w:tcW w:w="944" w:type="dxa"/>
            <w:tcBorders>
              <w:top w:val="nil"/>
              <w:left w:val="single" w:color="auto" w:sz="4" w:space="0"/>
              <w:bottom w:val="single" w:color="auto" w:sz="4" w:space="0"/>
              <w:right w:val="single" w:color="auto" w:sz="4" w:space="0"/>
            </w:tcBorders>
            <w:shd w:val="clear" w:color="auto" w:fill="auto"/>
            <w:vAlign w:val="center"/>
          </w:tcPr>
          <w:p w14:paraId="069E0D1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r>
      <w:tr w14:paraId="6206199E">
        <w:tblPrEx>
          <w:tblCellMar>
            <w:top w:w="0" w:type="dxa"/>
            <w:left w:w="108" w:type="dxa"/>
            <w:bottom w:w="0" w:type="dxa"/>
            <w:right w:w="108" w:type="dxa"/>
          </w:tblCellMar>
        </w:tblPrEx>
        <w:trPr>
          <w:trHeight w:val="1230"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6F5B2BC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6948" w:type="dxa"/>
            <w:tcBorders>
              <w:top w:val="nil"/>
              <w:left w:val="single" w:color="auto" w:sz="8" w:space="0"/>
              <w:bottom w:val="single" w:color="auto" w:sz="8" w:space="0"/>
              <w:right w:val="single" w:color="auto" w:sz="8" w:space="0"/>
            </w:tcBorders>
            <w:shd w:val="clear" w:color="auto" w:fill="auto"/>
            <w:vAlign w:val="center"/>
          </w:tcPr>
          <w:p w14:paraId="35D26DBE">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交货水分：根据投标文件中投标产品的检验报告进行评分。投标产品中80克复印纸按照国标GB-T24988-2020优等品要求交货水分3.5%-7.0%。满足此标准的前提下，</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4.2%≤交货水分≤6.5%的得2分，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3.5%＜交货水分＜4.2%或者6.5%＜交货水分＜7%的得0.5分，</w:t>
            </w:r>
            <w:r>
              <w:rPr>
                <w:rFonts w:hint="default"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其余得0分。</w:t>
            </w:r>
          </w:p>
        </w:tc>
        <w:tc>
          <w:tcPr>
            <w:tcW w:w="944" w:type="dxa"/>
            <w:tcBorders>
              <w:top w:val="nil"/>
              <w:left w:val="single" w:color="auto" w:sz="4" w:space="0"/>
              <w:bottom w:val="single" w:color="auto" w:sz="4" w:space="0"/>
              <w:right w:val="single" w:color="auto" w:sz="4" w:space="0"/>
            </w:tcBorders>
            <w:shd w:val="clear" w:color="auto" w:fill="auto"/>
            <w:vAlign w:val="center"/>
          </w:tcPr>
          <w:p w14:paraId="273883C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r>
      <w:tr w14:paraId="613E26F1">
        <w:tblPrEx>
          <w:tblCellMar>
            <w:top w:w="0" w:type="dxa"/>
            <w:left w:w="108" w:type="dxa"/>
            <w:bottom w:w="0" w:type="dxa"/>
            <w:right w:w="108" w:type="dxa"/>
          </w:tblCellMar>
        </w:tblPrEx>
        <w:trPr>
          <w:trHeight w:val="895" w:hRule="atLeast"/>
        </w:trPr>
        <w:tc>
          <w:tcPr>
            <w:tcW w:w="732" w:type="dxa"/>
            <w:tcBorders>
              <w:top w:val="nil"/>
              <w:left w:val="single" w:color="auto" w:sz="4" w:space="0"/>
              <w:bottom w:val="single" w:color="auto" w:sz="4" w:space="0"/>
              <w:right w:val="single" w:color="auto" w:sz="4" w:space="0"/>
            </w:tcBorders>
            <w:shd w:val="clear" w:color="auto" w:fill="auto"/>
            <w:vAlign w:val="center"/>
          </w:tcPr>
          <w:p w14:paraId="1869FEE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6948" w:type="dxa"/>
            <w:tcBorders>
              <w:top w:val="nil"/>
              <w:left w:val="single" w:color="auto" w:sz="8" w:space="0"/>
              <w:bottom w:val="single" w:color="auto" w:sz="8" w:space="0"/>
              <w:right w:val="single" w:color="auto" w:sz="8" w:space="0"/>
            </w:tcBorders>
            <w:shd w:val="clear" w:color="auto" w:fill="auto"/>
            <w:vAlign w:val="center"/>
          </w:tcPr>
          <w:p w14:paraId="6A8408DF">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生产能力：投标人提供的投标品牌的国内制造商（制造商以《中国环境标志产品认证证书》上的生产者（制造商）为准）及关联企业拥有2条及以上原纸机生产线的（不含租赁的原纸机生产线），投标人得3分，拥有1条原纸机生产线的（不含租赁的原纸机生产线），投标人得2分，拥有租赁的原纸机生产线的，投标人得0.5分，其余得0分。（必须提供生产线的照片、声明函，若属于租赁的原纸机生产线的还需提供租赁合同证明材料，否则不得分）</w:t>
            </w:r>
          </w:p>
        </w:tc>
        <w:tc>
          <w:tcPr>
            <w:tcW w:w="944" w:type="dxa"/>
            <w:tcBorders>
              <w:top w:val="nil"/>
              <w:left w:val="single" w:color="auto" w:sz="4" w:space="0"/>
              <w:bottom w:val="single" w:color="auto" w:sz="4" w:space="0"/>
              <w:right w:val="single" w:color="auto" w:sz="4" w:space="0"/>
            </w:tcBorders>
            <w:shd w:val="clear" w:color="auto" w:fill="auto"/>
            <w:vAlign w:val="center"/>
          </w:tcPr>
          <w:p w14:paraId="2C86A55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bl>
    <w:p w14:paraId="69296371">
      <w:pPr>
        <w:tabs>
          <w:tab w:val="left" w:pos="-1080"/>
          <w:tab w:val="left" w:pos="180"/>
          <w:tab w:val="left" w:pos="1080"/>
        </w:tabs>
        <w:spacing w:line="360" w:lineRule="auto"/>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（二）商务评分(F2)：按15分评分法，商务评分考虑下列因素：</w:t>
      </w:r>
    </w:p>
    <w:tbl>
      <w:tblPr>
        <w:tblStyle w:val="12"/>
        <w:tblW w:w="0" w:type="auto"/>
        <w:tblInd w:w="0" w:type="dxa"/>
        <w:tblLayout w:type="fixed"/>
        <w:tblCellMar>
          <w:top w:w="0" w:type="dxa"/>
          <w:left w:w="108" w:type="dxa"/>
          <w:bottom w:w="0" w:type="dxa"/>
          <w:right w:w="108" w:type="dxa"/>
        </w:tblCellMar>
      </w:tblPr>
      <w:tblGrid>
        <w:gridCol w:w="883"/>
        <w:gridCol w:w="6838"/>
        <w:gridCol w:w="898"/>
      </w:tblGrid>
      <w:tr w14:paraId="64FB7E70">
        <w:tblPrEx>
          <w:tblCellMar>
            <w:top w:w="0" w:type="dxa"/>
            <w:left w:w="108" w:type="dxa"/>
            <w:bottom w:w="0" w:type="dxa"/>
            <w:right w:w="108" w:type="dxa"/>
          </w:tblCellMar>
        </w:tblPrEx>
        <w:trPr>
          <w:trHeight w:val="300" w:hRule="atLeast"/>
        </w:trPr>
        <w:tc>
          <w:tcPr>
            <w:tcW w:w="883" w:type="dxa"/>
            <w:tcBorders>
              <w:top w:val="single" w:color="auto" w:sz="4" w:space="0"/>
              <w:left w:val="single" w:color="auto" w:sz="4" w:space="0"/>
              <w:bottom w:val="single" w:color="auto" w:sz="4" w:space="0"/>
              <w:right w:val="single" w:color="auto" w:sz="4" w:space="0"/>
            </w:tcBorders>
            <w:shd w:val="clear" w:color="000000" w:fill="FFFFFF"/>
            <w:vAlign w:val="center"/>
          </w:tcPr>
          <w:p w14:paraId="3D087208">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shd w:val="clear" w:color="000000" w:fill="FFFFFF"/>
            <w:vAlign w:val="center"/>
          </w:tcPr>
          <w:p w14:paraId="21EB6B4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评分界定</w:t>
            </w:r>
          </w:p>
        </w:tc>
        <w:tc>
          <w:tcPr>
            <w:tcW w:w="898" w:type="dxa"/>
            <w:tcBorders>
              <w:top w:val="single" w:color="auto" w:sz="4" w:space="0"/>
              <w:left w:val="single" w:color="auto" w:sz="4" w:space="0"/>
              <w:bottom w:val="single" w:color="auto" w:sz="4" w:space="0"/>
              <w:right w:val="single" w:color="auto" w:sz="4" w:space="0"/>
            </w:tcBorders>
            <w:shd w:val="clear" w:color="000000" w:fill="FFFFFF"/>
            <w:vAlign w:val="center"/>
          </w:tcPr>
          <w:p w14:paraId="61612F7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满分值（分）</w:t>
            </w:r>
          </w:p>
        </w:tc>
      </w:tr>
      <w:tr w14:paraId="7A118AE4">
        <w:tblPrEx>
          <w:tblCellMar>
            <w:top w:w="0" w:type="dxa"/>
            <w:left w:w="108" w:type="dxa"/>
            <w:bottom w:w="0" w:type="dxa"/>
            <w:right w:w="108" w:type="dxa"/>
          </w:tblCellMar>
        </w:tblPrEx>
        <w:trPr>
          <w:trHeight w:val="1475" w:hRule="atLeast"/>
        </w:trPr>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14:paraId="2880DB3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6838" w:type="dxa"/>
            <w:tcBorders>
              <w:top w:val="single" w:color="auto" w:sz="4" w:space="0"/>
              <w:left w:val="single" w:color="auto" w:sz="8" w:space="0"/>
              <w:bottom w:val="single" w:color="auto" w:sz="8" w:space="0"/>
              <w:right w:val="single" w:color="auto" w:sz="8" w:space="0"/>
            </w:tcBorders>
            <w:shd w:val="clear" w:color="auto" w:fill="auto"/>
            <w:vAlign w:val="center"/>
          </w:tcPr>
          <w:p w14:paraId="47072163">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根据投标人是否为投标产品的制造商、制造商的关联企业、联合体或代理商进行评分。投标人为投标全部产品（品目号1-1至1-</w:t>
            </w:r>
            <w:r>
              <w:rPr>
                <w:rFonts w:hint="default" w:ascii="宋体" w:hAnsi="宋体" w:cs="宋体"/>
                <w:color w:val="auto"/>
                <w:kern w:val="0"/>
                <w:sz w:val="24"/>
                <w:szCs w:val="24"/>
                <w:highlight w:val="none"/>
              </w:rPr>
              <w:t>12</w:t>
            </w:r>
            <w:r>
              <w:rPr>
                <w:rFonts w:hint="eastAsia" w:ascii="宋体" w:hAnsi="宋体" w:eastAsia="宋体" w:cs="宋体"/>
                <w:color w:val="auto"/>
                <w:kern w:val="0"/>
                <w:sz w:val="24"/>
                <w:szCs w:val="24"/>
                <w:highlight w:val="none"/>
              </w:rPr>
              <w:t>）的制造商或制造商的关联企业或联合体投标的得3分，其余情况得0分。(得分可并列）备注：联合体投标的，联合体一方必须是投标产品的制造商或制造商的关联企业，凡属制造商的关联企业，其关联关系应符合《企业会计准则第36号—关联方披露（2006）》（财会[2006]3号）中“关联方关系”的要求，投标人应在投标文件中按后附格式提供《关联企业证明》扫描件。</w:t>
            </w: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14:paraId="3BBB270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3A3B74E4">
        <w:tblPrEx>
          <w:tblCellMar>
            <w:top w:w="0" w:type="dxa"/>
            <w:left w:w="108" w:type="dxa"/>
            <w:bottom w:w="0" w:type="dxa"/>
            <w:right w:w="108" w:type="dxa"/>
          </w:tblCellMar>
        </w:tblPrEx>
        <w:trPr>
          <w:trHeight w:val="1845" w:hRule="atLeast"/>
        </w:trPr>
        <w:tc>
          <w:tcPr>
            <w:tcW w:w="883" w:type="dxa"/>
            <w:tcBorders>
              <w:top w:val="nil"/>
              <w:left w:val="single" w:color="auto" w:sz="4" w:space="0"/>
              <w:bottom w:val="single" w:color="auto" w:sz="4" w:space="0"/>
              <w:right w:val="single" w:color="auto" w:sz="4" w:space="0"/>
            </w:tcBorders>
            <w:shd w:val="clear" w:color="auto" w:fill="auto"/>
            <w:vAlign w:val="center"/>
          </w:tcPr>
          <w:p w14:paraId="6F53D77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6838" w:type="dxa"/>
            <w:tcBorders>
              <w:top w:val="nil"/>
              <w:left w:val="single" w:color="auto" w:sz="8" w:space="0"/>
              <w:bottom w:val="single" w:color="auto" w:sz="8" w:space="0"/>
              <w:right w:val="single" w:color="auto" w:sz="8" w:space="0"/>
            </w:tcBorders>
            <w:shd w:val="clear" w:color="auto" w:fill="auto"/>
            <w:vAlign w:val="center"/>
          </w:tcPr>
          <w:p w14:paraId="2DE3E982">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投标人所投产品的制造商（制造商以《中国环境标志产品认证证书》上的生产者（制造商）为准）或制造商关联企业是否获得由国家工业和信息化部、国家水利部、国家发展改革委、国家市场监管总局公布的《2024年重点用水企业、园区水效领跑者名单》中“以商品浆为原料生产印刷书写纸”该类下的名单进行评分，获得该名单的得3分，没有获得的得0分。（需提供名单附件并能在相关网站核实查询到，否则不得分）</w:t>
            </w:r>
          </w:p>
        </w:tc>
        <w:tc>
          <w:tcPr>
            <w:tcW w:w="898" w:type="dxa"/>
            <w:tcBorders>
              <w:top w:val="nil"/>
              <w:left w:val="single" w:color="auto" w:sz="4" w:space="0"/>
              <w:bottom w:val="single" w:color="auto" w:sz="4" w:space="0"/>
              <w:right w:val="single" w:color="auto" w:sz="4" w:space="0"/>
            </w:tcBorders>
            <w:shd w:val="clear" w:color="auto" w:fill="auto"/>
            <w:vAlign w:val="center"/>
          </w:tcPr>
          <w:p w14:paraId="05943FD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5FC7EC35">
        <w:tblPrEx>
          <w:tblCellMar>
            <w:top w:w="0" w:type="dxa"/>
            <w:left w:w="108" w:type="dxa"/>
            <w:bottom w:w="0" w:type="dxa"/>
            <w:right w:w="108" w:type="dxa"/>
          </w:tblCellMar>
        </w:tblPrEx>
        <w:trPr>
          <w:trHeight w:val="5579" w:hRule="atLeast"/>
        </w:trPr>
        <w:tc>
          <w:tcPr>
            <w:tcW w:w="883" w:type="dxa"/>
            <w:tcBorders>
              <w:top w:val="nil"/>
              <w:left w:val="single" w:color="auto" w:sz="4" w:space="0"/>
              <w:bottom w:val="single" w:color="auto" w:sz="4" w:space="0"/>
              <w:right w:val="single" w:color="auto" w:sz="4" w:space="0"/>
            </w:tcBorders>
            <w:shd w:val="clear" w:color="auto" w:fill="auto"/>
            <w:vAlign w:val="center"/>
          </w:tcPr>
          <w:p w14:paraId="0740E8C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838" w:type="dxa"/>
            <w:tcBorders>
              <w:top w:val="nil"/>
              <w:left w:val="single" w:color="auto" w:sz="8" w:space="0"/>
              <w:bottom w:val="single" w:color="auto" w:sz="8" w:space="0"/>
              <w:right w:val="single" w:color="auto" w:sz="8" w:space="0"/>
            </w:tcBorders>
            <w:shd w:val="clear" w:color="auto" w:fill="auto"/>
            <w:vAlign w:val="center"/>
          </w:tcPr>
          <w:p w14:paraId="0EE223FC">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投标人在响应标书中约定的“初验合格后30个日历日内支付6个月承兑期限的银行承兑汇票”基础上，本项目依照以下不同的付款方式，给予相应的评分标准：</w:t>
            </w:r>
          </w:p>
          <w:p w14:paraId="5C2F7E93">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初验合格后120个日历日支付6个月承兑期限的银行承兑汇票，得0.5分，</w:t>
            </w:r>
          </w:p>
          <w:p w14:paraId="7EF4EE53">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初验合格后90个日历日支付6个月承兑期限的银行承兑汇票，得0.3分，</w:t>
            </w:r>
          </w:p>
          <w:p w14:paraId="6A06D060">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初验合格后60个日历日支付6个月承兑期限的银行承兑汇票，得0.2分，</w:t>
            </w:r>
          </w:p>
          <w:p w14:paraId="57AD5F59">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其余得0分。（投标人需提供书面承诺函并加盖投标人公章，否则不得分，若投标人为联合体投标的，联合体中的其中一方盖章即可。）</w:t>
            </w:r>
          </w:p>
        </w:tc>
        <w:tc>
          <w:tcPr>
            <w:tcW w:w="898" w:type="dxa"/>
            <w:tcBorders>
              <w:top w:val="nil"/>
              <w:left w:val="single" w:color="auto" w:sz="4" w:space="0"/>
              <w:bottom w:val="single" w:color="auto" w:sz="4" w:space="0"/>
              <w:right w:val="single" w:color="auto" w:sz="4" w:space="0"/>
            </w:tcBorders>
            <w:shd w:val="clear" w:color="auto" w:fill="auto"/>
            <w:vAlign w:val="center"/>
          </w:tcPr>
          <w:p w14:paraId="3FED1FB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w:t>
            </w:r>
          </w:p>
        </w:tc>
      </w:tr>
      <w:tr w14:paraId="42F7A247">
        <w:tblPrEx>
          <w:tblCellMar>
            <w:top w:w="0" w:type="dxa"/>
            <w:left w:w="108" w:type="dxa"/>
            <w:bottom w:w="0" w:type="dxa"/>
            <w:right w:w="108" w:type="dxa"/>
          </w:tblCellMar>
        </w:tblPrEx>
        <w:trPr>
          <w:trHeight w:val="1395" w:hRule="atLeast"/>
        </w:trPr>
        <w:tc>
          <w:tcPr>
            <w:tcW w:w="883" w:type="dxa"/>
            <w:tcBorders>
              <w:top w:val="nil"/>
              <w:left w:val="single" w:color="auto" w:sz="4" w:space="0"/>
              <w:bottom w:val="single" w:color="auto" w:sz="4" w:space="0"/>
              <w:right w:val="single" w:color="auto" w:sz="4" w:space="0"/>
            </w:tcBorders>
            <w:shd w:val="clear" w:color="auto" w:fill="auto"/>
            <w:vAlign w:val="center"/>
          </w:tcPr>
          <w:p w14:paraId="5130DDF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6838" w:type="dxa"/>
            <w:tcBorders>
              <w:top w:val="nil"/>
              <w:left w:val="single" w:color="auto" w:sz="8" w:space="0"/>
              <w:bottom w:val="single" w:color="auto" w:sz="8" w:space="0"/>
              <w:right w:val="single" w:color="auto" w:sz="8" w:space="0"/>
            </w:tcBorders>
            <w:shd w:val="clear" w:color="auto" w:fill="auto"/>
            <w:vAlign w:val="center"/>
          </w:tcPr>
          <w:p w14:paraId="11C25487">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投标人所投产品的制造商（制造商以《中国环境标志产品认证证书》上的生产者（制造商）为准）或制造商关联企业是否获得PEFC/CFCC认证或者FSC认证进行评分，获得PEFC/CFCC认证或者FSC认证的，投标人得2.5分，其余得0分。（要求提供PEFC/CFCC或者FSC证书，否则不得分）</w:t>
            </w:r>
          </w:p>
        </w:tc>
        <w:tc>
          <w:tcPr>
            <w:tcW w:w="898" w:type="dxa"/>
            <w:tcBorders>
              <w:top w:val="nil"/>
              <w:left w:val="single" w:color="auto" w:sz="4" w:space="0"/>
              <w:bottom w:val="single" w:color="auto" w:sz="4" w:space="0"/>
              <w:right w:val="single" w:color="auto" w:sz="4" w:space="0"/>
            </w:tcBorders>
            <w:shd w:val="clear" w:color="auto" w:fill="auto"/>
            <w:vAlign w:val="center"/>
          </w:tcPr>
          <w:p w14:paraId="04C8008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w:t>
            </w:r>
          </w:p>
        </w:tc>
      </w:tr>
      <w:tr w14:paraId="32211333">
        <w:tblPrEx>
          <w:tblCellMar>
            <w:top w:w="0" w:type="dxa"/>
            <w:left w:w="108" w:type="dxa"/>
            <w:bottom w:w="0" w:type="dxa"/>
            <w:right w:w="108" w:type="dxa"/>
          </w:tblCellMar>
        </w:tblPrEx>
        <w:trPr>
          <w:trHeight w:val="1545" w:hRule="atLeast"/>
        </w:trPr>
        <w:tc>
          <w:tcPr>
            <w:tcW w:w="883" w:type="dxa"/>
            <w:tcBorders>
              <w:top w:val="nil"/>
              <w:left w:val="single" w:color="auto" w:sz="4" w:space="0"/>
              <w:bottom w:val="single" w:color="auto" w:sz="4" w:space="0"/>
              <w:right w:val="single" w:color="auto" w:sz="4" w:space="0"/>
            </w:tcBorders>
            <w:shd w:val="clear" w:color="auto" w:fill="auto"/>
            <w:vAlign w:val="center"/>
          </w:tcPr>
          <w:p w14:paraId="79AF1FE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6838" w:type="dxa"/>
            <w:tcBorders>
              <w:top w:val="nil"/>
              <w:left w:val="single" w:color="auto" w:sz="8" w:space="0"/>
              <w:bottom w:val="single" w:color="auto" w:sz="8" w:space="0"/>
              <w:right w:val="single" w:color="auto" w:sz="8" w:space="0"/>
            </w:tcBorders>
            <w:shd w:val="clear" w:color="auto" w:fill="auto"/>
            <w:vAlign w:val="center"/>
          </w:tcPr>
          <w:p w14:paraId="7B71CABA">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人提供的投标品牌的国内制造商（制造商以《中国环境标志产品认证证书》上的生产者（制造商）为准）所属集团属于林浆纸一体化企业的投标人得3分；非林浆纸一体化企业的得0分。（需提供关联林业公司、关联浆纸公司、关联造纸公司的营业执照并盖章，营业执照上有明确林业、造浆、造纸的经营范围，并提供制造商各个关联公司盖章的关联声明函，否则不得分。）</w:t>
            </w:r>
          </w:p>
        </w:tc>
        <w:tc>
          <w:tcPr>
            <w:tcW w:w="898" w:type="dxa"/>
            <w:tcBorders>
              <w:top w:val="nil"/>
              <w:left w:val="single" w:color="auto" w:sz="4" w:space="0"/>
              <w:bottom w:val="single" w:color="auto" w:sz="4" w:space="0"/>
              <w:right w:val="single" w:color="auto" w:sz="4" w:space="0"/>
            </w:tcBorders>
            <w:shd w:val="clear" w:color="auto" w:fill="auto"/>
            <w:vAlign w:val="center"/>
          </w:tcPr>
          <w:p w14:paraId="22ED145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r w14:paraId="2951D917">
        <w:tblPrEx>
          <w:tblCellMar>
            <w:top w:w="0" w:type="dxa"/>
            <w:left w:w="108" w:type="dxa"/>
            <w:bottom w:w="0" w:type="dxa"/>
            <w:right w:w="108" w:type="dxa"/>
          </w:tblCellMar>
        </w:tblPrEx>
        <w:trPr>
          <w:trHeight w:val="1830" w:hRule="atLeast"/>
        </w:trPr>
        <w:tc>
          <w:tcPr>
            <w:tcW w:w="883" w:type="dxa"/>
            <w:tcBorders>
              <w:top w:val="nil"/>
              <w:left w:val="single" w:color="auto" w:sz="4" w:space="0"/>
              <w:bottom w:val="single" w:color="auto" w:sz="4" w:space="0"/>
              <w:right w:val="single" w:color="auto" w:sz="4" w:space="0"/>
            </w:tcBorders>
            <w:shd w:val="clear" w:color="auto" w:fill="auto"/>
            <w:vAlign w:val="center"/>
          </w:tcPr>
          <w:p w14:paraId="630C9E8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6838" w:type="dxa"/>
            <w:tcBorders>
              <w:top w:val="nil"/>
              <w:left w:val="single" w:color="auto" w:sz="8" w:space="0"/>
              <w:bottom w:val="single" w:color="auto" w:sz="8" w:space="0"/>
              <w:right w:val="single" w:color="auto" w:sz="8" w:space="0"/>
            </w:tcBorders>
            <w:shd w:val="clear" w:color="auto" w:fill="auto"/>
            <w:vAlign w:val="center"/>
          </w:tcPr>
          <w:p w14:paraId="63A98196">
            <w:pPr>
              <w:keepNext w:val="0"/>
              <w:keepLines w:val="0"/>
              <w:widowControl/>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根据投标产品制造商（制造商以《中国环境标志产品认证证书》上的生产者（制造商）为准）、制造商关联企业是否获得国家工业和信息化部确定的绿色工厂数量进行评分。制造商或制造商关联企业每获得</w:t>
            </w:r>
            <w:r>
              <w:rPr>
                <w:rFonts w:hint="eastAsia" w:ascii="宋体" w:hAnsi="宋体" w:eastAsia="宋体" w:cs="宋体"/>
                <w:b/>
                <w:bCs/>
                <w:color w:val="auto"/>
                <w:kern w:val="0"/>
                <w:sz w:val="24"/>
                <w:szCs w:val="24"/>
                <w:highlight w:val="none"/>
              </w:rPr>
              <w:t>1个</w:t>
            </w:r>
            <w:r>
              <w:rPr>
                <w:rFonts w:hint="eastAsia" w:ascii="宋体" w:hAnsi="宋体" w:eastAsia="宋体" w:cs="宋体"/>
                <w:color w:val="auto"/>
                <w:kern w:val="0"/>
                <w:sz w:val="24"/>
                <w:szCs w:val="24"/>
                <w:highlight w:val="none"/>
              </w:rPr>
              <w:t>国家级绿色工厂的，投标人</w:t>
            </w:r>
            <w:r>
              <w:rPr>
                <w:rFonts w:hint="eastAsia" w:ascii="宋体" w:hAnsi="宋体" w:eastAsia="宋体" w:cs="宋体"/>
                <w:b/>
                <w:bCs/>
                <w:color w:val="auto"/>
                <w:kern w:val="0"/>
                <w:sz w:val="24"/>
                <w:szCs w:val="24"/>
                <w:highlight w:val="none"/>
              </w:rPr>
              <w:t>得0.5分</w:t>
            </w:r>
            <w:r>
              <w:rPr>
                <w:rFonts w:hint="eastAsia" w:ascii="宋体" w:hAnsi="宋体" w:eastAsia="宋体" w:cs="宋体"/>
                <w:color w:val="auto"/>
                <w:kern w:val="0"/>
                <w:sz w:val="24"/>
                <w:szCs w:val="24"/>
                <w:highlight w:val="none"/>
              </w:rPr>
              <w:t>，总分不超过3分。（需提供关联制造商及其关联企业的营业执照盖章及绿色工厂名单附件，并能在相关网站核实查询到，否则不得分）</w:t>
            </w:r>
          </w:p>
        </w:tc>
        <w:tc>
          <w:tcPr>
            <w:tcW w:w="898" w:type="dxa"/>
            <w:tcBorders>
              <w:top w:val="nil"/>
              <w:left w:val="single" w:color="auto" w:sz="4" w:space="0"/>
              <w:bottom w:val="single" w:color="auto" w:sz="4" w:space="0"/>
              <w:right w:val="single" w:color="auto" w:sz="4" w:space="0"/>
            </w:tcBorders>
            <w:shd w:val="clear" w:color="auto" w:fill="auto"/>
            <w:vAlign w:val="center"/>
          </w:tcPr>
          <w:p w14:paraId="67D24BE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r>
    </w:tbl>
    <w:p w14:paraId="46131B7D">
      <w:pPr>
        <w:tabs>
          <w:tab w:val="left" w:pos="-1080"/>
          <w:tab w:val="left" w:pos="180"/>
          <w:tab w:val="left" w:pos="1080"/>
        </w:tabs>
        <w:spacing w:line="360" w:lineRule="auto"/>
        <w:rPr>
          <w:rFonts w:cs="宋体" w:asciiTheme="minorEastAsia" w:hAnsiTheme="minorEastAsia" w:eastAsiaTheme="minorEastAsia"/>
          <w:color w:val="auto"/>
          <w:sz w:val="24"/>
          <w:szCs w:val="24"/>
          <w:highlight w:val="none"/>
        </w:rPr>
      </w:pPr>
    </w:p>
    <w:p w14:paraId="6E675C48">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（三）价格评分(F3)：按30分评分法，评标委员会对各有效标投标报价进行审核确定评标价，并将最低有效标的评标价设为基准价，定其价格得分为30分。按公式：价格得分＝30</w:t>
      </w:r>
      <w:r>
        <w:rPr>
          <w:rFonts w:hint="eastAsia" w:ascii="宋体" w:hAnsi="宋体" w:cs="宋体"/>
          <w:color w:val="auto"/>
          <w:sz w:val="24"/>
          <w:szCs w:val="24"/>
          <w:highlight w:val="none"/>
        </w:rPr>
        <w:sym w:font="Symbol" w:char="00B4"/>
      </w:r>
      <w:r>
        <w:rPr>
          <w:rFonts w:hint="eastAsia" w:ascii="宋体" w:hAnsi="宋体" w:cs="宋体"/>
          <w:color w:val="auto"/>
          <w:sz w:val="24"/>
          <w:szCs w:val="24"/>
          <w:highlight w:val="none"/>
        </w:rPr>
        <w:t xml:space="preserve"> （基准价/各个通过审核的有效投标人的评标价）计算，由此算出各个通过审核的有效投标人的价格得分。</w:t>
      </w:r>
    </w:p>
    <w:p w14:paraId="01761826">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1、“小型和微型企业产品”的评分政策：投标人提供的货物既有中型企业制造，也有小微企业制造的，不享受办法规定的小微企业扶持政策。</w:t>
      </w:r>
    </w:p>
    <w:p w14:paraId="543B0B06">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对其提供的小型或微型企业产品的投标报价给予15%的扣除，扣除后的价格作为该投标人的评标价参与价格评分。</w:t>
      </w:r>
    </w:p>
    <w:p w14:paraId="10364639">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6%的扣除，用扣除后的价格参加评审。</w:t>
      </w:r>
    </w:p>
    <w:p w14:paraId="4B601FE4">
      <w:pPr>
        <w:pStyle w:val="11"/>
        <w:numPr>
          <w:ilvl w:val="255"/>
          <w:numId w:val="0"/>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17FDCCBB">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2、节能、环境标志产品价格扣除：</w:t>
      </w:r>
    </w:p>
    <w:p w14:paraId="6A6D2200">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1F2A4036">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具体要求如下：</w:t>
      </w:r>
    </w:p>
    <w:p w14:paraId="466E284C">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采购的产品属于《节能产品政府采购品目清单》范围内的产品或《环境标志产品政府采购品目清单》范围内的产品，且供应商提供的产品已取得节能（强制采购节能产品的除外）、环境标志产品认证证书（处于有效期内）。</w:t>
      </w:r>
      <w:bookmarkStart w:id="19" w:name="_GoBack"/>
      <w:bookmarkEnd w:id="19"/>
    </w:p>
    <w:p w14:paraId="69665AD6">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人应分别明确节能或环境标志产品的名称、数量、分项报价、总报价，并提供认证证书扫描件，否则不予价格扣除。若节能产品、环境标志产品认证证书不能反映产品具体信息的，须提供认证证书附件。此外，若投标人对节能或环境标志产品的报价明显高于其他同类产品的报价，投标人应按评标委员会要求作出说明并提供相关证明材料，不能合理说明或不能提供相关证明材料的，不予价格扣除。</w:t>
      </w:r>
    </w:p>
    <w:p w14:paraId="714897B1">
      <w:pPr>
        <w:widowControl/>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若节能、环境标志产品仅是构成投标产品的部件、组件或零件，则该投标产品不享受鼓励优惠政策。属于政府强制采购的节能产品不享受价格扣除优惠。若投标产品既属于节能产品又属于环境标志产品，分别计算价格扣除优惠。</w:t>
      </w:r>
    </w:p>
    <w:p w14:paraId="5271AA23">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（四）综合得分= F1+ F2 + F3 。</w:t>
      </w:r>
    </w:p>
    <w:p w14:paraId="19094D2C">
      <w:pPr>
        <w:pStyle w:val="6"/>
        <w:spacing w:line="360" w:lineRule="auto"/>
        <w:ind w:firstLine="840"/>
        <w:rPr>
          <w:rFonts w:hAnsi="宋体" w:cs="宋体"/>
          <w:bCs/>
          <w:color w:val="auto"/>
          <w:sz w:val="24"/>
          <w:szCs w:val="24"/>
          <w:highlight w:val="none"/>
        </w:rPr>
      </w:pPr>
      <w:r>
        <w:rPr>
          <w:rFonts w:hint="eastAsia" w:hAnsi="宋体" w:cs="宋体"/>
          <w:bCs/>
          <w:color w:val="auto"/>
          <w:sz w:val="24"/>
          <w:szCs w:val="24"/>
          <w:highlight w:val="none"/>
        </w:rPr>
        <w:t>备注：1、技术商务评分中涉及排名情况的评分由评标委员会根据各投标人投标文件的响应情况进行综合评议得出排名。</w:t>
      </w:r>
    </w:p>
    <w:p w14:paraId="0206189E">
      <w:pPr>
        <w:pStyle w:val="6"/>
        <w:spacing w:line="360" w:lineRule="auto"/>
        <w:ind w:firstLine="720" w:firstLineChars="300"/>
        <w:rPr>
          <w:rFonts w:hAnsi="宋体" w:cs="宋体"/>
          <w:color w:val="auto"/>
          <w:sz w:val="24"/>
          <w:szCs w:val="24"/>
          <w:highlight w:val="none"/>
        </w:rPr>
      </w:pPr>
      <w:r>
        <w:rPr>
          <w:rFonts w:hint="eastAsia" w:hAnsi="宋体" w:cs="宋体"/>
          <w:color w:val="auto"/>
          <w:sz w:val="24"/>
          <w:szCs w:val="24"/>
          <w:highlight w:val="none"/>
        </w:rPr>
        <w:t>2、业绩作为评分条件的，投标人须提供该业绩项目的中标（成交）公告（提供相关网站中标（成交）公告的下载网页的扫描件及其网址）、中标（成交）通知书扫描件、采购合同文本扫描件，以及能够证明该业绩项目已经采购单位验收合格的相关证明文件扫描件，原件备查；如未按招标文件要求提供该项业绩完整资料的，评标委员会对该项业绩将不予采信。</w:t>
      </w:r>
    </w:p>
    <w:p w14:paraId="31476496">
      <w:pPr>
        <w:spacing w:line="360" w:lineRule="auto"/>
        <w:ind w:firstLine="1600" w:firstLineChars="500"/>
        <w:rPr>
          <w:rFonts w:ascii="宋体" w:hAnsi="宋体" w:cs="宋体"/>
          <w:color w:val="auto"/>
          <w:sz w:val="32"/>
          <w:szCs w:val="32"/>
          <w:highlight w:val="none"/>
        </w:rPr>
      </w:pPr>
    </w:p>
    <w:p w14:paraId="3F97861A">
      <w:pPr>
        <w:spacing w:line="360" w:lineRule="auto"/>
        <w:ind w:firstLine="1600" w:firstLineChars="500"/>
        <w:rPr>
          <w:rFonts w:ascii="宋体" w:hAnsi="宋体" w:cs="宋体"/>
          <w:color w:val="auto"/>
          <w:sz w:val="32"/>
          <w:szCs w:val="32"/>
          <w:highlight w:val="none"/>
        </w:rPr>
      </w:pPr>
    </w:p>
    <w:p w14:paraId="1B16FEB4">
      <w:pPr>
        <w:spacing w:line="360" w:lineRule="auto"/>
        <w:ind w:firstLine="1600" w:firstLineChars="500"/>
        <w:rPr>
          <w:rFonts w:ascii="宋体" w:hAnsi="宋体" w:cs="宋体"/>
          <w:color w:val="auto"/>
          <w:sz w:val="32"/>
          <w:szCs w:val="32"/>
          <w:highlight w:val="none"/>
        </w:rPr>
      </w:pPr>
    </w:p>
    <w:p w14:paraId="6558523D">
      <w:pPr>
        <w:spacing w:line="360" w:lineRule="auto"/>
        <w:ind w:firstLine="1600" w:firstLineChars="500"/>
        <w:rPr>
          <w:rFonts w:ascii="宋体" w:hAnsi="宋体" w:cs="宋体"/>
          <w:color w:val="auto"/>
          <w:sz w:val="32"/>
          <w:szCs w:val="32"/>
          <w:highlight w:val="none"/>
        </w:rPr>
      </w:pPr>
    </w:p>
    <w:p w14:paraId="7F13BA1A">
      <w:pPr>
        <w:spacing w:line="360" w:lineRule="auto"/>
        <w:ind w:firstLine="1600" w:firstLineChars="500"/>
        <w:rPr>
          <w:rFonts w:ascii="宋体" w:hAnsi="宋体" w:cs="宋体"/>
          <w:color w:val="auto"/>
          <w:sz w:val="32"/>
          <w:szCs w:val="32"/>
          <w:highlight w:val="none"/>
        </w:rPr>
      </w:pPr>
    </w:p>
    <w:p w14:paraId="67E1460A">
      <w:pPr>
        <w:spacing w:line="360" w:lineRule="auto"/>
        <w:ind w:firstLine="1600" w:firstLineChars="500"/>
        <w:rPr>
          <w:rFonts w:ascii="宋体" w:hAnsi="宋体" w:cs="宋体"/>
          <w:color w:val="auto"/>
          <w:sz w:val="32"/>
          <w:szCs w:val="32"/>
          <w:highlight w:val="none"/>
        </w:rPr>
      </w:pPr>
    </w:p>
    <w:p w14:paraId="024419DE">
      <w:pPr>
        <w:spacing w:line="360" w:lineRule="auto"/>
        <w:rPr>
          <w:rFonts w:ascii="宋体" w:hAnsi="宋体" w:cs="宋体"/>
          <w:color w:val="auto"/>
          <w:sz w:val="32"/>
          <w:szCs w:val="32"/>
          <w:highlight w:val="none"/>
        </w:rPr>
      </w:pPr>
    </w:p>
    <w:p w14:paraId="4E781119">
      <w:pPr>
        <w:spacing w:line="360" w:lineRule="auto"/>
        <w:ind w:firstLine="1600" w:firstLineChars="500"/>
        <w:rPr>
          <w:rFonts w:ascii="宋体" w:hAnsi="宋体" w:cs="宋体"/>
          <w:color w:val="auto"/>
          <w:sz w:val="32"/>
          <w:szCs w:val="32"/>
          <w:highlight w:val="none"/>
        </w:rPr>
      </w:pPr>
    </w:p>
    <w:p w14:paraId="766E6FF7">
      <w:pPr>
        <w:spacing w:line="360" w:lineRule="auto"/>
        <w:ind w:firstLine="1600" w:firstLineChars="500"/>
        <w:rPr>
          <w:rFonts w:hint="eastAsia" w:ascii="宋体" w:hAnsi="宋体" w:cs="宋体"/>
          <w:color w:val="auto"/>
          <w:sz w:val="32"/>
          <w:szCs w:val="32"/>
          <w:highlight w:val="none"/>
        </w:rPr>
      </w:pPr>
    </w:p>
    <w:p w14:paraId="177F6752">
      <w:pPr>
        <w:spacing w:line="360" w:lineRule="auto"/>
        <w:ind w:firstLine="1600" w:firstLineChars="500"/>
        <w:rPr>
          <w:rFonts w:ascii="宋体" w:hAnsi="宋体" w:cs="宋体"/>
          <w:color w:val="auto"/>
          <w:sz w:val="32"/>
          <w:szCs w:val="32"/>
          <w:highlight w:val="none"/>
        </w:rPr>
      </w:pPr>
      <w:r>
        <w:rPr>
          <w:rFonts w:hint="eastAsia" w:ascii="宋体" w:hAnsi="宋体" w:cs="宋体"/>
          <w:color w:val="auto"/>
          <w:sz w:val="32"/>
          <w:szCs w:val="32"/>
          <w:highlight w:val="none"/>
        </w:rPr>
        <w:t>投标人须知前附表4：中小企业优惠办法</w:t>
      </w:r>
    </w:p>
    <w:tbl>
      <w:tblPr>
        <w:tblStyle w:val="12"/>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063"/>
      </w:tblGrid>
      <w:tr w14:paraId="5640B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ign w:val="center"/>
          </w:tcPr>
          <w:p w14:paraId="306574B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序号</w:t>
            </w:r>
          </w:p>
        </w:tc>
        <w:tc>
          <w:tcPr>
            <w:tcW w:w="1677" w:type="dxa"/>
            <w:noWrap/>
            <w:vAlign w:val="center"/>
          </w:tcPr>
          <w:p w14:paraId="3E6E3FD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项目</w:t>
            </w:r>
          </w:p>
        </w:tc>
        <w:tc>
          <w:tcPr>
            <w:tcW w:w="6063" w:type="dxa"/>
            <w:noWrap/>
            <w:vAlign w:val="center"/>
          </w:tcPr>
          <w:p w14:paraId="4EC2316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具体内容</w:t>
            </w:r>
          </w:p>
        </w:tc>
      </w:tr>
      <w:tr w14:paraId="0051D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ign w:val="center"/>
          </w:tcPr>
          <w:p w14:paraId="2AE033D3">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1</w:t>
            </w:r>
          </w:p>
        </w:tc>
        <w:tc>
          <w:tcPr>
            <w:tcW w:w="1677" w:type="dxa"/>
            <w:noWrap/>
            <w:vAlign w:val="center"/>
          </w:tcPr>
          <w:p w14:paraId="0459410B">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本项目是否属于预留份额专门面向中小企业采购活动：</w:t>
            </w:r>
          </w:p>
        </w:tc>
        <w:tc>
          <w:tcPr>
            <w:tcW w:w="6063" w:type="dxa"/>
            <w:noWrap/>
            <w:vAlign w:val="center"/>
          </w:tcPr>
          <w:p w14:paraId="6A8E490C">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否</w:t>
            </w:r>
          </w:p>
        </w:tc>
      </w:tr>
      <w:tr w14:paraId="1945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ign w:val="center"/>
          </w:tcPr>
          <w:p w14:paraId="49153A4E">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2</w:t>
            </w:r>
          </w:p>
        </w:tc>
        <w:tc>
          <w:tcPr>
            <w:tcW w:w="1677" w:type="dxa"/>
            <w:noWrap/>
            <w:vAlign w:val="center"/>
          </w:tcPr>
          <w:p w14:paraId="3215DAEB">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中小企业的认定标准</w:t>
            </w:r>
          </w:p>
        </w:tc>
        <w:tc>
          <w:tcPr>
            <w:tcW w:w="6063" w:type="dxa"/>
            <w:noWrap/>
          </w:tcPr>
          <w:p w14:paraId="436D84B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中小企业参加政府采购活动，应当出具《中小企业声明函》，否则不得享受相关中小企业扶持政策。</w:t>
            </w:r>
          </w:p>
          <w:p w14:paraId="0BDCA7D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须满足以下条件，才能认定为中小企业</w:t>
            </w:r>
            <w:r>
              <w:rPr>
                <w:rFonts w:hint="eastAsia" w:ascii="宋体" w:hAnsi="宋体" w:cs="宋体"/>
                <w:b/>
                <w:color w:val="auto"/>
                <w:sz w:val="24"/>
                <w:szCs w:val="24"/>
                <w:highlight w:val="none"/>
              </w:rPr>
              <w:t>（含中型、小型、微型企业，下同）</w:t>
            </w:r>
            <w:r>
              <w:rPr>
                <w:rFonts w:hint="eastAsia" w:ascii="宋体" w:hAnsi="宋体" w:cs="宋体"/>
                <w:color w:val="auto"/>
                <w:sz w:val="24"/>
                <w:szCs w:val="24"/>
                <w:highlight w:val="none"/>
              </w:rPr>
              <w:t>：</w:t>
            </w:r>
          </w:p>
          <w:p w14:paraId="1E3A938D">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5A8A7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atLeast"/>
          <w:jc w:val="center"/>
        </w:trPr>
        <w:tc>
          <w:tcPr>
            <w:tcW w:w="900" w:type="dxa"/>
            <w:noWrap/>
            <w:vAlign w:val="center"/>
          </w:tcPr>
          <w:p w14:paraId="63B951CF">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3</w:t>
            </w:r>
          </w:p>
        </w:tc>
        <w:tc>
          <w:tcPr>
            <w:tcW w:w="1677" w:type="dxa"/>
            <w:noWrap/>
            <w:vAlign w:val="center"/>
          </w:tcPr>
          <w:p w14:paraId="68366AEC">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优惠办法：</w:t>
            </w:r>
          </w:p>
        </w:tc>
        <w:tc>
          <w:tcPr>
            <w:tcW w:w="6063" w:type="dxa"/>
            <w:tcBorders>
              <w:bottom w:val="single" w:color="auto" w:sz="4" w:space="0"/>
            </w:tcBorders>
            <w:noWrap/>
          </w:tcPr>
          <w:p w14:paraId="22CECA2D">
            <w:pPr>
              <w:spacing w:line="360" w:lineRule="auto"/>
              <w:ind w:left="-65" w:leftChars="-31" w:firstLine="12" w:firstLineChars="5"/>
              <w:rPr>
                <w:rFonts w:ascii="宋体" w:hAnsi="宋体" w:cs="宋体"/>
                <w:b/>
                <w:color w:val="auto"/>
                <w:sz w:val="24"/>
                <w:szCs w:val="24"/>
                <w:highlight w:val="none"/>
              </w:rPr>
            </w:pPr>
            <w:r>
              <w:rPr>
                <w:rFonts w:hint="eastAsia" w:ascii="宋体" w:hAnsi="宋体" w:cs="宋体"/>
                <w:b/>
                <w:color w:val="auto"/>
                <w:spacing w:val="-4"/>
                <w:sz w:val="24"/>
                <w:szCs w:val="24"/>
                <w:highlight w:val="none"/>
              </w:rPr>
              <w:t>投标产品为</w:t>
            </w:r>
            <w:r>
              <w:rPr>
                <w:rFonts w:hint="eastAsia" w:ascii="宋体" w:hAnsi="宋体" w:cs="宋体"/>
                <w:b/>
                <w:color w:val="auto"/>
                <w:sz w:val="24"/>
                <w:szCs w:val="24"/>
                <w:highlight w:val="none"/>
              </w:rPr>
              <w:t>中小企业（含中型、小型、微型企业，下同）生产：</w:t>
            </w:r>
          </w:p>
          <w:p w14:paraId="0C7AD100">
            <w:pPr>
              <w:spacing w:line="360" w:lineRule="auto"/>
              <w:ind w:left="411"/>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①投标保证金：全免</w:t>
            </w:r>
          </w:p>
          <w:p w14:paraId="7B2B31D5">
            <w:pPr>
              <w:spacing w:line="360" w:lineRule="auto"/>
              <w:ind w:left="-65" w:leftChars="-31" w:firstLine="475" w:firstLineChars="205"/>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②履约保证金：按约定比例的50%支付（如果有的话）</w:t>
            </w:r>
          </w:p>
          <w:p w14:paraId="4BBC47B5">
            <w:pPr>
              <w:spacing w:line="360" w:lineRule="auto"/>
              <w:ind w:left="-65" w:leftChars="-31" w:firstLine="475" w:firstLineChars="205"/>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③代理服务费：按招标文件规定的收费标准下调10%</w:t>
            </w:r>
          </w:p>
          <w:p w14:paraId="492953F8">
            <w:pPr>
              <w:spacing w:line="360" w:lineRule="auto"/>
              <w:ind w:left="-65" w:leftChars="-31" w:firstLine="12" w:firstLineChars="5"/>
              <w:rPr>
                <w:rFonts w:ascii="宋体" w:hAnsi="宋体" w:cs="宋体"/>
                <w:b/>
                <w:color w:val="auto"/>
                <w:spacing w:val="-4"/>
                <w:sz w:val="24"/>
                <w:szCs w:val="24"/>
                <w:highlight w:val="none"/>
              </w:rPr>
            </w:pPr>
          </w:p>
          <w:p w14:paraId="3A25670D">
            <w:pPr>
              <w:spacing w:line="360" w:lineRule="auto"/>
              <w:ind w:left="-65" w:leftChars="-31" w:firstLine="12" w:firstLineChars="5"/>
              <w:rPr>
                <w:rFonts w:ascii="宋体" w:hAnsi="宋体" w:cs="宋体"/>
                <w:b/>
                <w:color w:val="auto"/>
                <w:spacing w:val="-4"/>
                <w:sz w:val="24"/>
                <w:szCs w:val="24"/>
                <w:highlight w:val="none"/>
              </w:rPr>
            </w:pPr>
            <w:r>
              <w:rPr>
                <w:rFonts w:hint="eastAsia" w:ascii="宋体" w:hAnsi="宋体" w:cs="宋体"/>
                <w:b/>
                <w:color w:val="auto"/>
                <w:spacing w:val="-4"/>
                <w:sz w:val="24"/>
                <w:szCs w:val="24"/>
                <w:highlight w:val="none"/>
              </w:rPr>
              <w:t>投标产品为</w:t>
            </w:r>
            <w:r>
              <w:rPr>
                <w:rFonts w:hint="eastAsia" w:ascii="宋体" w:hAnsi="宋体" w:cs="宋体"/>
                <w:b/>
                <w:color w:val="auto"/>
                <w:sz w:val="24"/>
                <w:szCs w:val="24"/>
                <w:highlight w:val="none"/>
              </w:rPr>
              <w:t>小型企业或微型企业生产</w:t>
            </w:r>
            <w:r>
              <w:rPr>
                <w:rFonts w:hint="eastAsia" w:ascii="宋体" w:hAnsi="宋体" w:cs="宋体"/>
                <w:b/>
                <w:color w:val="auto"/>
                <w:spacing w:val="-4"/>
                <w:sz w:val="24"/>
                <w:szCs w:val="24"/>
                <w:highlight w:val="none"/>
              </w:rPr>
              <w:t>：</w:t>
            </w:r>
          </w:p>
          <w:p w14:paraId="790C9707">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投标人提供的货物既有中型企业制造，也有小微企业制造的，不享受办法规定的小微企业扶持政策。</w:t>
            </w:r>
          </w:p>
          <w:p w14:paraId="14A48E32">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对其提供的小型或微型企业产品的投标报价给予15%的扣除，扣除后的价格作为该投标人的评标价参与价格评分。</w:t>
            </w:r>
          </w:p>
          <w:p w14:paraId="5BCD9B85">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6%的扣除，用扣除后的价格参加评审。</w:t>
            </w:r>
          </w:p>
          <w:p w14:paraId="1D3CD61D">
            <w:pPr>
              <w:pStyle w:val="11"/>
              <w:numPr>
                <w:ilvl w:val="255"/>
                <w:numId w:val="0"/>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2246E191">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若本项目属于预留份额专门面向中小企业采购活动，不再执行价格评审优惠的扶持政策。</w:t>
            </w:r>
          </w:p>
        </w:tc>
      </w:tr>
      <w:tr w14:paraId="6015D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74CB4919">
            <w:pPr>
              <w:widowControl/>
              <w:spacing w:line="360" w:lineRule="auto"/>
              <w:jc w:val="center"/>
              <w:rPr>
                <w:rFonts w:ascii="宋体" w:hAnsi="宋体" w:cs="宋体"/>
                <w:b/>
                <w:dstrike/>
                <w:color w:val="auto"/>
                <w:sz w:val="24"/>
                <w:szCs w:val="24"/>
                <w:highlight w:val="none"/>
              </w:rPr>
            </w:pPr>
            <w:r>
              <w:rPr>
                <w:rFonts w:hint="eastAsia" w:ascii="宋体" w:hAnsi="宋体" w:cs="宋体"/>
                <w:b/>
                <w:color w:val="auto"/>
                <w:sz w:val="24"/>
                <w:szCs w:val="24"/>
                <w:highlight w:val="none"/>
              </w:rPr>
              <w:t>4</w:t>
            </w:r>
          </w:p>
        </w:tc>
        <w:tc>
          <w:tcPr>
            <w:tcW w:w="1677" w:type="dxa"/>
            <w:noWrap/>
            <w:vAlign w:val="center"/>
          </w:tcPr>
          <w:p w14:paraId="0991CC69">
            <w:pPr>
              <w:pStyle w:val="10"/>
              <w:spacing w:before="0" w:beforeAutospacing="0" w:after="0" w:afterAutospacing="0" w:line="360" w:lineRule="auto"/>
              <w:rPr>
                <w:color w:val="auto"/>
                <w:highlight w:val="none"/>
              </w:rPr>
            </w:pPr>
            <w:r>
              <w:rPr>
                <w:rFonts w:hint="eastAsia"/>
                <w:color w:val="auto"/>
                <w:highlight w:val="none"/>
              </w:rPr>
              <w:t>本项目对应的中小企业划分标准所属</w:t>
            </w:r>
            <w:r>
              <w:rPr>
                <w:rFonts w:hint="eastAsia"/>
                <w:color w:val="auto"/>
                <w:highlight w:val="none"/>
                <w:u w:val="single"/>
              </w:rPr>
              <w:t>工业行业。</w:t>
            </w:r>
          </w:p>
        </w:tc>
        <w:tc>
          <w:tcPr>
            <w:tcW w:w="6063" w:type="dxa"/>
            <w:tcBorders>
              <w:bottom w:val="single" w:color="auto" w:sz="4" w:space="0"/>
            </w:tcBorders>
            <w:noWrap/>
          </w:tcPr>
          <w:p w14:paraId="6CB20DDC">
            <w:pPr>
              <w:spacing w:line="360" w:lineRule="auto"/>
              <w:rPr>
                <w:rFonts w:ascii="宋体" w:hAnsi="宋体" w:cs="宋体"/>
                <w:dstrike/>
                <w:color w:val="auto"/>
                <w:sz w:val="24"/>
                <w:szCs w:val="24"/>
                <w:highlight w:val="none"/>
                <w:u w:val="single"/>
              </w:rPr>
            </w:pPr>
            <w:r>
              <w:rPr>
                <w:rFonts w:hint="eastAsia" w:ascii="宋体" w:hAnsi="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租赁和商务服务业和其他未列明行业等十六类。</w:t>
            </w:r>
          </w:p>
        </w:tc>
      </w:tr>
      <w:tr w14:paraId="01682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79A272F3">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5</w:t>
            </w:r>
          </w:p>
        </w:tc>
        <w:tc>
          <w:tcPr>
            <w:tcW w:w="1677" w:type="dxa"/>
            <w:noWrap/>
            <w:vAlign w:val="center"/>
          </w:tcPr>
          <w:p w14:paraId="647DBB75">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相关风险</w:t>
            </w:r>
          </w:p>
        </w:tc>
        <w:tc>
          <w:tcPr>
            <w:tcW w:w="6063" w:type="dxa"/>
            <w:tcBorders>
              <w:bottom w:val="single" w:color="auto" w:sz="4" w:space="0"/>
            </w:tcBorders>
            <w:noWrap/>
          </w:tcPr>
          <w:p w14:paraId="2B9B1CD0">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一、经评标委员会评审，存在下列任一情况的，投标人将不被视为中小企业：</w:t>
            </w:r>
          </w:p>
          <w:p w14:paraId="31F3638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1.投标人不符合“工信部联企业[2011]300号”规定的中小企业标准的；</w:t>
            </w:r>
          </w:p>
          <w:p w14:paraId="4DC7987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2.投标货物全部或部分为使用大型企业注册商标的货物的；</w:t>
            </w:r>
          </w:p>
          <w:p w14:paraId="4C0AE3B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3.投标文件中标明的中小企业产品的制造商不符合“工信部联企业[2011]300号”规定的中小企业标准的；</w:t>
            </w:r>
          </w:p>
          <w:p w14:paraId="54EC22CA">
            <w:pPr>
              <w:spacing w:line="360" w:lineRule="auto"/>
              <w:ind w:firstLine="482" w:firstLineChars="200"/>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二、提供虚假声明后果：</w:t>
            </w:r>
          </w:p>
          <w:p w14:paraId="0DE1B920">
            <w:pPr>
              <w:widowControl/>
              <w:spacing w:line="360" w:lineRule="auto"/>
              <w:rPr>
                <w:rFonts w:ascii="宋体" w:hAnsi="宋体" w:cs="宋体"/>
                <w:b/>
                <w:i/>
                <w:color w:val="auto"/>
                <w:kern w:val="0"/>
                <w:sz w:val="24"/>
                <w:szCs w:val="24"/>
                <w:highlight w:val="none"/>
                <w:u w:val="single"/>
              </w:rPr>
            </w:pPr>
            <w:r>
              <w:rPr>
                <w:rFonts w:hint="eastAsia" w:ascii="宋体" w:hAnsi="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单位、招标代理机构将有关情况上报政府采购监管部门，由监管部门按有关规定对其进行相应处罚。采购单位、招标代理机构</w:t>
            </w:r>
            <w:r>
              <w:rPr>
                <w:rFonts w:hint="eastAsia" w:ascii="宋体" w:hAnsi="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0F717F5F">
      <w:pPr>
        <w:spacing w:line="360" w:lineRule="auto"/>
        <w:ind w:firstLine="482" w:firstLineChars="200"/>
        <w:rPr>
          <w:rFonts w:ascii="宋体" w:hAnsi="宋体" w:cs="宋体"/>
          <w:b/>
          <w:bCs/>
          <w:color w:val="auto"/>
          <w:sz w:val="24"/>
          <w:szCs w:val="24"/>
          <w:highlight w:val="none"/>
        </w:rPr>
        <w:sectPr>
          <w:headerReference r:id="rId3" w:type="default"/>
          <w:footerReference r:id="rId4" w:type="default"/>
          <w:pgSz w:w="11907" w:h="16840"/>
          <w:pgMar w:top="1440" w:right="1752" w:bottom="1290" w:left="1752" w:header="851" w:footer="992" w:gutter="0"/>
          <w:pgNumType w:start="1"/>
          <w:cols w:space="720" w:num="1"/>
          <w:docGrid w:linePitch="323" w:charSpace="-2"/>
        </w:sectPr>
      </w:pPr>
    </w:p>
    <w:p w14:paraId="0C0003E0">
      <w:pPr>
        <w:pStyle w:val="3"/>
        <w:snapToGrid w:val="0"/>
        <w:spacing w:line="360" w:lineRule="auto"/>
        <w:ind w:firstLine="0"/>
        <w:jc w:val="center"/>
        <w:rPr>
          <w:rFonts w:ascii="宋体" w:hAnsi="宋体" w:cs="宋体"/>
          <w:b/>
          <w:bCs/>
          <w:color w:val="auto"/>
          <w:sz w:val="32"/>
          <w:szCs w:val="32"/>
          <w:highlight w:val="none"/>
        </w:rPr>
      </w:pPr>
      <w:r>
        <w:rPr>
          <w:rFonts w:hint="eastAsia" w:ascii="宋体" w:hAnsi="宋体" w:cs="宋体"/>
          <w:b/>
          <w:color w:val="auto"/>
          <w:sz w:val="32"/>
          <w:szCs w:val="32"/>
          <w:highlight w:val="none"/>
        </w:rPr>
        <w:t xml:space="preserve">第三章  </w:t>
      </w:r>
      <w:r>
        <w:rPr>
          <w:rFonts w:hint="eastAsia" w:ascii="宋体" w:hAnsi="宋体" w:cs="宋体"/>
          <w:b/>
          <w:bCs/>
          <w:color w:val="auto"/>
          <w:sz w:val="32"/>
          <w:szCs w:val="32"/>
          <w:highlight w:val="none"/>
        </w:rPr>
        <w:t>招标内容及要求</w:t>
      </w:r>
    </w:p>
    <w:p w14:paraId="640B6154">
      <w:pPr>
        <w:pStyle w:val="7"/>
        <w:spacing w:after="0" w:line="360" w:lineRule="auto"/>
        <w:ind w:left="181" w:leftChars="86" w:right="-334" w:rightChars="-159"/>
        <w:rPr>
          <w:rFonts w:ascii="宋体" w:hAnsi="宋体" w:cs="宋体"/>
          <w:b/>
          <w:bCs/>
          <w:color w:val="auto"/>
          <w:sz w:val="24"/>
          <w:szCs w:val="24"/>
          <w:highlight w:val="none"/>
        </w:rPr>
      </w:pPr>
      <w:r>
        <w:rPr>
          <w:rFonts w:hint="eastAsia" w:ascii="宋体" w:hAnsi="宋体" w:cs="宋体"/>
          <w:b/>
          <w:bCs/>
          <w:color w:val="auto"/>
          <w:sz w:val="24"/>
          <w:szCs w:val="24"/>
          <w:highlight w:val="none"/>
        </w:rPr>
        <w:t>提示说明：</w:t>
      </w:r>
    </w:p>
    <w:p w14:paraId="37DABCB8">
      <w:pPr>
        <w:pStyle w:val="7"/>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cs="宋体"/>
          <w:b/>
          <w:color w:val="auto"/>
          <w:sz w:val="24"/>
          <w:szCs w:val="24"/>
          <w:highlight w:val="none"/>
        </w:rPr>
        <w:t>投标人应对招标文件中的“*”号条款进行逐条响应，否则评标委员会对其投标做出不利评审，投标人必须自行承担责任。</w:t>
      </w:r>
    </w:p>
    <w:p w14:paraId="6B6B2068">
      <w:pPr>
        <w:pStyle w:val="7"/>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0F505FC2">
      <w:pPr>
        <w:pStyle w:val="7"/>
        <w:spacing w:after="0" w:line="360" w:lineRule="auto"/>
        <w:ind w:left="0" w:right="-334" w:rightChars="-159"/>
        <w:rPr>
          <w:rFonts w:ascii="宋体" w:hAnsi="宋体" w:cs="宋体"/>
          <w:b/>
          <w:bCs/>
          <w:color w:val="auto"/>
          <w:sz w:val="24"/>
          <w:szCs w:val="24"/>
          <w:highlight w:val="none"/>
        </w:rPr>
      </w:pPr>
      <w:r>
        <w:rPr>
          <w:rFonts w:hint="eastAsia" w:ascii="宋体" w:hAnsi="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4F38263C">
      <w:pPr>
        <w:pStyle w:val="7"/>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（4）经评标委员会认定要求澄清的证明文件必须在规定的时间内提供，否则其将不具有中标供应商的资格。</w:t>
      </w:r>
    </w:p>
    <w:p w14:paraId="2707857C">
      <w:pPr>
        <w:pStyle w:val="7"/>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（5）本项目实行网上发售招标文件的方式，招标文件的正式文本以厦门招投标网上下载的内容为准。</w:t>
      </w:r>
    </w:p>
    <w:p w14:paraId="2D322A6D">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（6）资格性证明文件请单独成册。</w:t>
      </w:r>
    </w:p>
    <w:p w14:paraId="49B03F36">
      <w:pPr>
        <w:tabs>
          <w:tab w:val="left" w:pos="5130"/>
        </w:tabs>
        <w:spacing w:line="360" w:lineRule="auto"/>
        <w:ind w:firstLine="480" w:firstLineChars="200"/>
        <w:rPr>
          <w:rFonts w:ascii="宋体" w:hAnsi="宋体" w:cs="宋体"/>
          <w:color w:val="auto"/>
          <w:sz w:val="24"/>
          <w:szCs w:val="24"/>
          <w:highlight w:val="none"/>
        </w:rPr>
      </w:pPr>
    </w:p>
    <w:p w14:paraId="1019289F">
      <w:pPr>
        <w:tabs>
          <w:tab w:val="left" w:pos="5130"/>
        </w:tabs>
        <w:spacing w:line="360" w:lineRule="auto"/>
        <w:ind w:firstLine="480" w:firstLineChars="200"/>
        <w:rPr>
          <w:rFonts w:ascii="宋体" w:hAnsi="宋体" w:cs="宋体"/>
          <w:color w:val="auto"/>
          <w:sz w:val="24"/>
          <w:szCs w:val="24"/>
          <w:highlight w:val="none"/>
        </w:rPr>
      </w:pPr>
    </w:p>
    <w:p w14:paraId="35CE23B5">
      <w:pPr>
        <w:tabs>
          <w:tab w:val="left" w:pos="5130"/>
        </w:tabs>
        <w:spacing w:line="360" w:lineRule="auto"/>
        <w:ind w:firstLine="480" w:firstLineChars="200"/>
        <w:rPr>
          <w:rFonts w:ascii="宋体" w:hAnsi="宋体" w:cs="宋体"/>
          <w:color w:val="auto"/>
          <w:sz w:val="24"/>
          <w:szCs w:val="24"/>
          <w:highlight w:val="none"/>
        </w:rPr>
      </w:pPr>
    </w:p>
    <w:p w14:paraId="753DA07F">
      <w:pPr>
        <w:tabs>
          <w:tab w:val="left" w:pos="5130"/>
        </w:tabs>
        <w:spacing w:line="360" w:lineRule="auto"/>
        <w:ind w:firstLine="480" w:firstLineChars="200"/>
        <w:rPr>
          <w:rFonts w:ascii="宋体" w:hAnsi="宋体" w:cs="宋体"/>
          <w:color w:val="auto"/>
          <w:sz w:val="24"/>
          <w:szCs w:val="24"/>
          <w:highlight w:val="none"/>
        </w:rPr>
      </w:pPr>
    </w:p>
    <w:p w14:paraId="5A7755D7">
      <w:pPr>
        <w:tabs>
          <w:tab w:val="left" w:pos="5130"/>
        </w:tabs>
        <w:spacing w:line="360" w:lineRule="auto"/>
        <w:ind w:firstLine="480" w:firstLineChars="200"/>
        <w:rPr>
          <w:rFonts w:ascii="宋体" w:hAnsi="宋体" w:cs="宋体"/>
          <w:color w:val="auto"/>
          <w:sz w:val="24"/>
          <w:szCs w:val="24"/>
          <w:highlight w:val="none"/>
        </w:rPr>
      </w:pPr>
    </w:p>
    <w:p w14:paraId="14699908">
      <w:pPr>
        <w:tabs>
          <w:tab w:val="left" w:pos="5130"/>
        </w:tabs>
        <w:spacing w:line="360" w:lineRule="auto"/>
        <w:ind w:firstLine="480" w:firstLineChars="200"/>
        <w:rPr>
          <w:rFonts w:ascii="宋体" w:hAnsi="宋体" w:cs="宋体"/>
          <w:color w:val="auto"/>
          <w:sz w:val="24"/>
          <w:szCs w:val="24"/>
          <w:highlight w:val="none"/>
        </w:rPr>
      </w:pPr>
    </w:p>
    <w:p w14:paraId="761A1C82">
      <w:pPr>
        <w:tabs>
          <w:tab w:val="left" w:pos="5130"/>
        </w:tabs>
        <w:spacing w:line="360" w:lineRule="auto"/>
        <w:ind w:firstLine="480" w:firstLineChars="200"/>
        <w:rPr>
          <w:rFonts w:ascii="宋体" w:hAnsi="宋体" w:cs="宋体"/>
          <w:color w:val="auto"/>
          <w:sz w:val="24"/>
          <w:szCs w:val="24"/>
          <w:highlight w:val="none"/>
        </w:rPr>
      </w:pPr>
    </w:p>
    <w:p w14:paraId="0A97E5DC">
      <w:pPr>
        <w:tabs>
          <w:tab w:val="left" w:pos="5130"/>
        </w:tabs>
        <w:spacing w:line="360" w:lineRule="auto"/>
        <w:ind w:firstLine="480" w:firstLineChars="200"/>
        <w:rPr>
          <w:rFonts w:ascii="宋体" w:hAnsi="宋体" w:cs="宋体"/>
          <w:color w:val="auto"/>
          <w:sz w:val="24"/>
          <w:szCs w:val="24"/>
          <w:highlight w:val="none"/>
        </w:rPr>
      </w:pPr>
    </w:p>
    <w:p w14:paraId="2B30FBD6">
      <w:pPr>
        <w:tabs>
          <w:tab w:val="left" w:pos="5130"/>
        </w:tabs>
        <w:spacing w:line="360" w:lineRule="auto"/>
        <w:ind w:firstLine="480" w:firstLineChars="200"/>
        <w:rPr>
          <w:rFonts w:ascii="宋体" w:hAnsi="宋体" w:cs="宋体"/>
          <w:color w:val="auto"/>
          <w:sz w:val="24"/>
          <w:szCs w:val="24"/>
          <w:highlight w:val="none"/>
        </w:rPr>
      </w:pPr>
    </w:p>
    <w:p w14:paraId="4CA28C78">
      <w:pPr>
        <w:tabs>
          <w:tab w:val="left" w:pos="5130"/>
        </w:tabs>
        <w:spacing w:line="360" w:lineRule="auto"/>
        <w:ind w:firstLine="480" w:firstLineChars="200"/>
        <w:rPr>
          <w:rFonts w:ascii="宋体" w:hAnsi="宋体" w:cs="宋体"/>
          <w:color w:val="auto"/>
          <w:sz w:val="24"/>
          <w:szCs w:val="24"/>
          <w:highlight w:val="none"/>
        </w:rPr>
      </w:pPr>
    </w:p>
    <w:p w14:paraId="3CC76A64">
      <w:pPr>
        <w:tabs>
          <w:tab w:val="left" w:pos="5130"/>
        </w:tabs>
        <w:spacing w:line="360" w:lineRule="auto"/>
        <w:ind w:firstLine="480" w:firstLineChars="200"/>
        <w:rPr>
          <w:rFonts w:ascii="宋体" w:hAnsi="宋体" w:cs="宋体"/>
          <w:color w:val="auto"/>
          <w:sz w:val="24"/>
          <w:szCs w:val="24"/>
          <w:highlight w:val="none"/>
        </w:rPr>
      </w:pPr>
    </w:p>
    <w:p w14:paraId="41CC63A3">
      <w:pPr>
        <w:tabs>
          <w:tab w:val="left" w:pos="5130"/>
        </w:tabs>
        <w:spacing w:line="360" w:lineRule="auto"/>
        <w:ind w:firstLine="480" w:firstLineChars="200"/>
        <w:rPr>
          <w:rFonts w:ascii="宋体" w:hAnsi="宋体" w:cs="宋体"/>
          <w:color w:val="auto"/>
          <w:sz w:val="24"/>
          <w:szCs w:val="24"/>
          <w:highlight w:val="none"/>
        </w:rPr>
      </w:pPr>
    </w:p>
    <w:p w14:paraId="69965E6A">
      <w:pPr>
        <w:tabs>
          <w:tab w:val="left" w:pos="5130"/>
        </w:tabs>
        <w:spacing w:line="360" w:lineRule="auto"/>
        <w:ind w:firstLine="480" w:firstLineChars="200"/>
        <w:rPr>
          <w:rFonts w:ascii="宋体" w:hAnsi="宋体" w:cs="宋体"/>
          <w:color w:val="auto"/>
          <w:sz w:val="24"/>
          <w:szCs w:val="24"/>
          <w:highlight w:val="none"/>
        </w:rPr>
      </w:pPr>
    </w:p>
    <w:p w14:paraId="5BBE9338">
      <w:pPr>
        <w:tabs>
          <w:tab w:val="left" w:pos="5130"/>
        </w:tabs>
        <w:spacing w:line="360" w:lineRule="auto"/>
        <w:ind w:firstLine="480" w:firstLineChars="200"/>
        <w:rPr>
          <w:rFonts w:ascii="宋体" w:hAnsi="宋体" w:cs="宋体"/>
          <w:color w:val="auto"/>
          <w:sz w:val="24"/>
          <w:szCs w:val="24"/>
          <w:highlight w:val="none"/>
        </w:rPr>
      </w:pPr>
    </w:p>
    <w:p w14:paraId="7E0707B6">
      <w:pPr>
        <w:tabs>
          <w:tab w:val="left" w:pos="5130"/>
        </w:tabs>
        <w:spacing w:line="360" w:lineRule="auto"/>
        <w:ind w:firstLine="480" w:firstLineChars="200"/>
        <w:rPr>
          <w:rFonts w:ascii="宋体" w:hAnsi="宋体" w:cs="宋体"/>
          <w:color w:val="auto"/>
          <w:sz w:val="24"/>
          <w:szCs w:val="24"/>
          <w:highlight w:val="none"/>
        </w:rPr>
      </w:pPr>
    </w:p>
    <w:p w14:paraId="2485888E">
      <w:pPr>
        <w:tabs>
          <w:tab w:val="left" w:pos="5130"/>
        </w:tabs>
        <w:spacing w:line="360" w:lineRule="auto"/>
        <w:ind w:firstLine="480" w:firstLineChars="200"/>
        <w:rPr>
          <w:rFonts w:ascii="宋体" w:hAnsi="宋体" w:cs="宋体"/>
          <w:color w:val="auto"/>
          <w:sz w:val="24"/>
          <w:szCs w:val="24"/>
          <w:highlight w:val="none"/>
        </w:rPr>
      </w:pPr>
    </w:p>
    <w:p w14:paraId="0612298E">
      <w:pPr>
        <w:tabs>
          <w:tab w:val="left" w:pos="5130"/>
        </w:tabs>
        <w:spacing w:line="360" w:lineRule="auto"/>
        <w:ind w:firstLine="480" w:firstLineChars="200"/>
        <w:rPr>
          <w:rFonts w:ascii="宋体" w:hAnsi="宋体" w:cs="宋体"/>
          <w:color w:val="auto"/>
          <w:sz w:val="24"/>
          <w:szCs w:val="24"/>
          <w:highlight w:val="none"/>
        </w:rPr>
      </w:pPr>
    </w:p>
    <w:p w14:paraId="770D9C42">
      <w:pPr>
        <w:tabs>
          <w:tab w:val="left" w:pos="5130"/>
        </w:tabs>
        <w:spacing w:line="360" w:lineRule="auto"/>
        <w:ind w:firstLine="480" w:firstLineChars="200"/>
        <w:rPr>
          <w:rFonts w:ascii="宋体" w:hAnsi="宋体" w:cs="宋体"/>
          <w:color w:val="auto"/>
          <w:sz w:val="24"/>
          <w:szCs w:val="24"/>
          <w:highlight w:val="none"/>
        </w:rPr>
      </w:pPr>
    </w:p>
    <w:p w14:paraId="5CF22465">
      <w:pPr>
        <w:tabs>
          <w:tab w:val="left" w:pos="5130"/>
        </w:tabs>
        <w:spacing w:line="360" w:lineRule="auto"/>
        <w:rPr>
          <w:rFonts w:ascii="宋体" w:hAnsi="宋体"/>
          <w:color w:val="auto"/>
          <w:sz w:val="24"/>
          <w:szCs w:val="24"/>
          <w:highlight w:val="none"/>
        </w:rPr>
      </w:pPr>
      <w:r>
        <w:rPr>
          <w:rFonts w:hint="eastAsia" w:ascii="宋体" w:hAnsi="宋体" w:cs="Courier New"/>
          <w:b/>
          <w:color w:val="auto"/>
          <w:sz w:val="24"/>
          <w:szCs w:val="24"/>
          <w:highlight w:val="none"/>
        </w:rPr>
        <w:t>一、招标要求</w:t>
      </w:r>
    </w:p>
    <w:p w14:paraId="0F48F13E">
      <w:pPr>
        <w:tabs>
          <w:tab w:val="left" w:pos="5130"/>
        </w:tabs>
        <w:spacing w:line="360" w:lineRule="auto"/>
        <w:ind w:firstLine="482" w:firstLineChars="200"/>
        <w:rPr>
          <w:rFonts w:ascii="宋体" w:hAnsi="宋体" w:cs="宋体"/>
          <w:color w:val="auto"/>
          <w:sz w:val="24"/>
          <w:szCs w:val="24"/>
          <w:highlight w:val="none"/>
        </w:rPr>
      </w:pPr>
      <w:r>
        <w:rPr>
          <w:rFonts w:hint="eastAsia" w:ascii="宋体" w:hAnsi="宋体"/>
          <w:b/>
          <w:color w:val="auto"/>
          <w:sz w:val="24"/>
          <w:szCs w:val="24"/>
          <w:highlight w:val="none"/>
        </w:rPr>
        <w:t>（一）采购货物一览表</w:t>
      </w:r>
    </w:p>
    <w:tbl>
      <w:tblPr>
        <w:tblStyle w:val="12"/>
        <w:tblW w:w="8980" w:type="dxa"/>
        <w:tblInd w:w="98" w:type="dxa"/>
        <w:tblLayout w:type="autofit"/>
        <w:tblCellMar>
          <w:top w:w="0" w:type="dxa"/>
          <w:left w:w="108" w:type="dxa"/>
          <w:bottom w:w="0" w:type="dxa"/>
          <w:right w:w="108" w:type="dxa"/>
        </w:tblCellMar>
      </w:tblPr>
      <w:tblGrid>
        <w:gridCol w:w="990"/>
        <w:gridCol w:w="1279"/>
        <w:gridCol w:w="2544"/>
        <w:gridCol w:w="990"/>
        <w:gridCol w:w="1279"/>
        <w:gridCol w:w="1898"/>
      </w:tblGrid>
      <w:tr w14:paraId="1FB15C84">
        <w:tblPrEx>
          <w:tblCellMar>
            <w:top w:w="0" w:type="dxa"/>
            <w:left w:w="108" w:type="dxa"/>
            <w:bottom w:w="0" w:type="dxa"/>
            <w:right w:w="108" w:type="dxa"/>
          </w:tblCellMar>
        </w:tblPrEx>
        <w:trPr>
          <w:trHeight w:val="45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93719">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序号</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9F5FC">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产品名称</w:t>
            </w:r>
          </w:p>
        </w:tc>
        <w:tc>
          <w:tcPr>
            <w:tcW w:w="2544" w:type="dxa"/>
            <w:tcBorders>
              <w:top w:val="single" w:color="000000" w:sz="4" w:space="0"/>
              <w:left w:val="single" w:color="000000" w:sz="4" w:space="0"/>
              <w:bottom w:val="nil"/>
              <w:right w:val="single" w:color="000000" w:sz="4" w:space="0"/>
            </w:tcBorders>
            <w:shd w:val="clear" w:color="auto" w:fill="auto"/>
            <w:vAlign w:val="center"/>
          </w:tcPr>
          <w:p w14:paraId="308C1DFC">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本期招标配置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3F33">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数量</w:t>
            </w:r>
            <w:r>
              <w:rPr>
                <w:rFonts w:hint="default" w:ascii="宋体" w:hAnsi="宋体" w:cs="宋体"/>
                <w:color w:val="auto"/>
                <w:kern w:val="0"/>
                <w:sz w:val="24"/>
                <w:szCs w:val="24"/>
                <w:highlight w:val="none"/>
                <w:lang w:bidi="ar"/>
              </w:rPr>
              <w:t>（箱）</w:t>
            </w:r>
          </w:p>
        </w:tc>
        <w:tc>
          <w:tcPr>
            <w:tcW w:w="1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C4451">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本期限价</w:t>
            </w:r>
            <w:r>
              <w:rPr>
                <w:rFonts w:hint="default" w:ascii="宋体" w:hAnsi="宋体" w:cs="宋体"/>
                <w:color w:val="auto"/>
                <w:kern w:val="0"/>
                <w:sz w:val="24"/>
                <w:szCs w:val="24"/>
                <w:highlight w:val="none"/>
                <w:lang w:bidi="ar"/>
              </w:rPr>
              <w:t>（元/箱）</w:t>
            </w:r>
          </w:p>
        </w:tc>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E4E28">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合计</w:t>
            </w:r>
            <w:r>
              <w:rPr>
                <w:rFonts w:hint="default" w:ascii="宋体" w:hAnsi="宋体" w:cs="宋体"/>
                <w:color w:val="auto"/>
                <w:kern w:val="0"/>
                <w:sz w:val="24"/>
                <w:szCs w:val="24"/>
                <w:highlight w:val="none"/>
                <w:lang w:bidi="ar"/>
              </w:rPr>
              <w:t>（元）</w:t>
            </w:r>
          </w:p>
        </w:tc>
      </w:tr>
      <w:tr w14:paraId="1718C710">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05D1F">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D2640">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44CD">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A3-70g  5包/箱</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24960C">
            <w:pPr>
              <w:keepNext w:val="0"/>
              <w:keepLines w:val="0"/>
              <w:widowControl/>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11986</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675BD">
            <w:pPr>
              <w:keepNext w:val="0"/>
              <w:keepLines w:val="0"/>
              <w:widowControl/>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default" w:asciiTheme="minorEastAsia" w:hAnsiTheme="minorEastAsia"/>
                <w:color w:val="auto"/>
                <w:szCs w:val="21"/>
                <w:highlight w:val="none"/>
              </w:rPr>
              <w:t xml:space="preserve">181.18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37192">
            <w:pPr>
              <w:keepNext w:val="0"/>
              <w:keepLines w:val="0"/>
              <w:widowControl/>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 xml:space="preserve">2,171,623.48 </w:t>
            </w:r>
          </w:p>
        </w:tc>
      </w:tr>
      <w:tr w14:paraId="0BE7797D">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2D1C0">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F9A86">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E15C7">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A3-80g 5包/箱</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6AFA1D">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9126</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3A09E">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default" w:asciiTheme="minorEastAsia" w:hAnsiTheme="minorEastAsia"/>
                <w:color w:val="auto"/>
                <w:szCs w:val="21"/>
                <w:highlight w:val="none"/>
              </w:rPr>
              <w:t xml:space="preserve">207.09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8FA1E">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 xml:space="preserve">1,889,903.34 </w:t>
            </w:r>
          </w:p>
        </w:tc>
      </w:tr>
      <w:tr w14:paraId="5A149BB7">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31C9D">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AD1DA">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B705F">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A4-70g 10包/箱</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9FB20">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56000</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06600">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default" w:asciiTheme="minorEastAsia" w:hAnsiTheme="minorEastAsia"/>
                <w:color w:val="auto"/>
                <w:szCs w:val="21"/>
                <w:highlight w:val="none"/>
              </w:rPr>
              <w:t xml:space="preserve">181.18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86450">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 xml:space="preserve">10,146,080.00 </w:t>
            </w:r>
          </w:p>
        </w:tc>
      </w:tr>
      <w:tr w14:paraId="11CD81AF">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C1ADF">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55C39">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A0107">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A4-80g 10包/箱</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6B3670">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53400</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96C34">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default" w:asciiTheme="minorEastAsia" w:hAnsiTheme="minorEastAsia"/>
                <w:color w:val="auto"/>
                <w:szCs w:val="21"/>
                <w:highlight w:val="none"/>
              </w:rPr>
              <w:t xml:space="preserve">207.09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7B59B">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 xml:space="preserve">11,058,606.00 </w:t>
            </w:r>
          </w:p>
        </w:tc>
      </w:tr>
      <w:tr w14:paraId="4007C66E">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4A3E8">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E56BB">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E2E25">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8K-70g 4包/箱</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8831F1">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104182</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0B395">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default" w:asciiTheme="minorEastAsia" w:hAnsiTheme="minorEastAsia"/>
                <w:color w:val="auto"/>
                <w:szCs w:val="21"/>
                <w:highlight w:val="none"/>
              </w:rPr>
              <w:t xml:space="preserve">122.36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70641">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 xml:space="preserve">12,747,709.52 </w:t>
            </w:r>
          </w:p>
        </w:tc>
      </w:tr>
      <w:tr w14:paraId="20E31A25">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6FB83">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E695B">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74C8C">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8K-80g 4包/箱</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E44C00">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8164</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770EC">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default" w:asciiTheme="minorEastAsia" w:hAnsiTheme="minorEastAsia"/>
                <w:color w:val="auto"/>
                <w:szCs w:val="21"/>
                <w:highlight w:val="none"/>
              </w:rPr>
              <w:t xml:space="preserve">139.85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DFB6F">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 xml:space="preserve">1,141,735.40 </w:t>
            </w:r>
          </w:p>
        </w:tc>
      </w:tr>
      <w:tr w14:paraId="4E198284">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E141">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E4CA9">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87DB4">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16K-70g 8包/箱</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EA36F4">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3692</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C73D7">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default" w:asciiTheme="minorEastAsia" w:hAnsiTheme="minorEastAsia"/>
                <w:color w:val="auto"/>
                <w:szCs w:val="21"/>
                <w:highlight w:val="none"/>
              </w:rPr>
              <w:t xml:space="preserve">122.36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967BF">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 xml:space="preserve">451,753.12 </w:t>
            </w:r>
          </w:p>
        </w:tc>
      </w:tr>
      <w:tr w14:paraId="10E9F506">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34ACF">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0F399">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7BDE1">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16K-80g 8包/箱</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5D0020">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390</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C30E2">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default" w:asciiTheme="minorEastAsia" w:hAnsiTheme="minorEastAsia"/>
                <w:color w:val="auto"/>
                <w:szCs w:val="21"/>
                <w:highlight w:val="none"/>
              </w:rPr>
              <w:t xml:space="preserve">139.85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BE96C">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 xml:space="preserve">54,541.50 </w:t>
            </w:r>
          </w:p>
        </w:tc>
      </w:tr>
      <w:tr w14:paraId="3E0DE388">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55F0F">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3D67B">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85B91">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B4-70g 4包/箱</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7F822A">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286</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F2924">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default" w:asciiTheme="minorEastAsia" w:hAnsiTheme="minorEastAsia"/>
                <w:color w:val="auto"/>
                <w:szCs w:val="21"/>
                <w:highlight w:val="none"/>
              </w:rPr>
              <w:t xml:space="preserve">108.71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2BCBC">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 xml:space="preserve">31,091.06 </w:t>
            </w:r>
          </w:p>
        </w:tc>
      </w:tr>
      <w:tr w14:paraId="7C82BBD4">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FECFA">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CC62C">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8E7F4">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A5-70g 20包/箱</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AD671E">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1482</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32CBE">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default" w:asciiTheme="minorEastAsia" w:hAnsiTheme="minorEastAsia"/>
                <w:color w:val="auto"/>
                <w:szCs w:val="21"/>
                <w:highlight w:val="none"/>
              </w:rPr>
              <w:t xml:space="preserve">180.59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21B56">
            <w:pPr>
              <w:keepNext w:val="0"/>
              <w:keepLines w:val="0"/>
              <w:suppressLineNumbers w:val="0"/>
              <w:spacing w:before="0" w:beforeAutospacing="0" w:after="0" w:afterAutospacing="0"/>
              <w:ind w:left="0" w:leftChars="0" w:right="0" w:rightChars="0"/>
              <w:jc w:val="center"/>
              <w:rPr>
                <w:rFonts w:hint="default" w:ascii="宋体" w:hAnsi="宋体" w:cs="宋体"/>
                <w:color w:val="auto"/>
                <w:sz w:val="24"/>
                <w:szCs w:val="24"/>
                <w:highlight w:val="none"/>
              </w:rPr>
            </w:pPr>
            <w:r>
              <w:rPr>
                <w:rFonts w:hint="eastAsia" w:asciiTheme="minorEastAsia" w:hAnsiTheme="minorEastAsia"/>
                <w:color w:val="auto"/>
                <w:szCs w:val="21"/>
                <w:highlight w:val="none"/>
              </w:rPr>
              <w:t xml:space="preserve">267,634.38 </w:t>
            </w:r>
          </w:p>
        </w:tc>
      </w:tr>
      <w:tr w14:paraId="3EAF112F">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A83D7">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eastAsia="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val="en-US" w:eastAsia="zh-CN" w:bidi="ar"/>
              </w:rPr>
              <w:t>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65E62">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cs="宋体"/>
                <w:color w:val="auto"/>
                <w:kern w:val="0"/>
                <w:sz w:val="24"/>
                <w:szCs w:val="24"/>
                <w:highlight w:val="none"/>
                <w:lang w:bidi="ar"/>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25DA9">
            <w:pPr>
              <w:keepNext w:val="0"/>
              <w:keepLines w:val="0"/>
              <w:suppressLineNumbers w:val="0"/>
              <w:spacing w:before="0" w:beforeAutospacing="0" w:after="0" w:afterAutospacing="0"/>
              <w:ind w:left="0" w:leftChars="0" w:right="0" w:rightChars="0"/>
              <w:jc w:val="center"/>
              <w:rPr>
                <w:rFonts w:hint="eastAsia" w:ascii="宋体" w:hAnsi="宋体" w:cs="宋体"/>
                <w:color w:val="auto"/>
                <w:kern w:val="0"/>
                <w:sz w:val="24"/>
                <w:szCs w:val="24"/>
                <w:highlight w:val="none"/>
                <w:lang w:bidi="ar"/>
              </w:rPr>
            </w:pPr>
            <w:r>
              <w:rPr>
                <w:rFonts w:hint="eastAsia" w:asciiTheme="minorEastAsia" w:hAnsiTheme="minorEastAsia"/>
                <w:color w:val="auto"/>
                <w:szCs w:val="21"/>
                <w:highlight w:val="none"/>
              </w:rPr>
              <w:t>A4-70g 10包/箱</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C720FA">
            <w:pPr>
              <w:keepNext w:val="0"/>
              <w:keepLines w:val="0"/>
              <w:suppressLineNumbers w:val="0"/>
              <w:spacing w:before="0" w:beforeAutospacing="0" w:after="0" w:afterAutospacing="0"/>
              <w:ind w:left="0" w:leftChars="0" w:right="0" w:rightChars="0"/>
              <w:jc w:val="center"/>
              <w:rPr>
                <w:rFonts w:hint="eastAsia" w:ascii="宋体" w:hAnsi="宋体" w:cs="宋体"/>
                <w:color w:val="auto"/>
                <w:kern w:val="0"/>
                <w:sz w:val="24"/>
                <w:szCs w:val="24"/>
                <w:highlight w:val="none"/>
                <w:lang w:bidi="ar"/>
              </w:rPr>
            </w:pPr>
            <w:r>
              <w:rPr>
                <w:rFonts w:hint="eastAsia" w:asciiTheme="minorEastAsia" w:hAnsiTheme="minorEastAsia"/>
                <w:color w:val="auto"/>
                <w:szCs w:val="21"/>
                <w:highlight w:val="none"/>
              </w:rPr>
              <w:t>10000</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17767">
            <w:pPr>
              <w:keepNext w:val="0"/>
              <w:keepLines w:val="0"/>
              <w:suppressLineNumbers w:val="0"/>
              <w:spacing w:before="0" w:beforeAutospacing="0" w:after="0" w:afterAutospacing="0"/>
              <w:ind w:left="0" w:leftChars="0" w:right="0" w:rightChars="0"/>
              <w:jc w:val="center"/>
              <w:rPr>
                <w:rFonts w:hint="eastAsia" w:ascii="宋体" w:hAnsi="宋体" w:cs="宋体"/>
                <w:color w:val="auto"/>
                <w:kern w:val="0"/>
                <w:sz w:val="24"/>
                <w:szCs w:val="24"/>
                <w:highlight w:val="none"/>
                <w:lang w:bidi="ar"/>
              </w:rPr>
            </w:pPr>
            <w:r>
              <w:rPr>
                <w:rFonts w:hint="default" w:asciiTheme="minorEastAsia" w:hAnsiTheme="minorEastAsia"/>
                <w:color w:val="auto"/>
                <w:szCs w:val="21"/>
                <w:highlight w:val="none"/>
              </w:rPr>
              <w:t xml:space="preserve">130.00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CF703">
            <w:pPr>
              <w:keepNext w:val="0"/>
              <w:keepLines w:val="0"/>
              <w:suppressLineNumbers w:val="0"/>
              <w:spacing w:before="0" w:beforeAutospacing="0" w:after="0" w:afterAutospacing="0"/>
              <w:ind w:left="0" w:leftChars="0" w:right="0" w:rightChars="0"/>
              <w:jc w:val="center"/>
              <w:rPr>
                <w:rFonts w:hint="eastAsia" w:ascii="宋体" w:hAnsi="宋体" w:cs="宋体"/>
                <w:color w:val="auto"/>
                <w:kern w:val="0"/>
                <w:sz w:val="24"/>
                <w:szCs w:val="24"/>
                <w:highlight w:val="none"/>
                <w:lang w:bidi="ar"/>
              </w:rPr>
            </w:pPr>
            <w:r>
              <w:rPr>
                <w:rFonts w:hint="eastAsia" w:asciiTheme="minorEastAsia" w:hAnsiTheme="minorEastAsia"/>
                <w:color w:val="auto"/>
                <w:szCs w:val="21"/>
                <w:highlight w:val="none"/>
              </w:rPr>
              <w:t xml:space="preserve">1,300,000.00 </w:t>
            </w:r>
          </w:p>
        </w:tc>
      </w:tr>
      <w:tr w14:paraId="4B986E34">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72E09">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eastAsia="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2A5C4">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cs="宋体"/>
                <w:color w:val="auto"/>
                <w:kern w:val="0"/>
                <w:sz w:val="24"/>
                <w:szCs w:val="24"/>
                <w:highlight w:val="none"/>
                <w:lang w:bidi="ar"/>
              </w:rPr>
            </w:pPr>
            <w:r>
              <w:rPr>
                <w:rFonts w:hint="eastAsia" w:ascii="宋体" w:hAnsi="宋体" w:cs="宋体"/>
                <w:color w:val="auto"/>
                <w:kern w:val="0"/>
                <w:sz w:val="24"/>
                <w:szCs w:val="24"/>
                <w:highlight w:val="none"/>
                <w:lang w:bidi="ar"/>
              </w:rPr>
              <w:t>复印纸</w:t>
            </w:r>
          </w:p>
        </w:tc>
        <w:tc>
          <w:tcPr>
            <w:tcW w:w="25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35106">
            <w:pPr>
              <w:keepNext w:val="0"/>
              <w:keepLines w:val="0"/>
              <w:suppressLineNumbers w:val="0"/>
              <w:spacing w:before="0" w:beforeAutospacing="0" w:after="0" w:afterAutospacing="0"/>
              <w:ind w:left="0" w:leftChars="0" w:right="0" w:rightChars="0"/>
              <w:jc w:val="center"/>
              <w:rPr>
                <w:rFonts w:hint="eastAsia" w:ascii="宋体" w:hAnsi="宋体" w:cs="宋体"/>
                <w:color w:val="auto"/>
                <w:kern w:val="0"/>
                <w:sz w:val="24"/>
                <w:szCs w:val="24"/>
                <w:highlight w:val="none"/>
                <w:lang w:bidi="ar"/>
              </w:rPr>
            </w:pPr>
            <w:r>
              <w:rPr>
                <w:rFonts w:hint="eastAsia" w:asciiTheme="minorEastAsia" w:hAnsiTheme="minorEastAsia"/>
                <w:color w:val="auto"/>
                <w:szCs w:val="21"/>
                <w:highlight w:val="none"/>
              </w:rPr>
              <w:t>A4-80g 10包/箱</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36BD7B">
            <w:pPr>
              <w:keepNext w:val="0"/>
              <w:keepLines w:val="0"/>
              <w:suppressLineNumbers w:val="0"/>
              <w:spacing w:before="0" w:beforeAutospacing="0" w:after="0" w:afterAutospacing="0"/>
              <w:ind w:left="0" w:leftChars="0" w:right="0" w:rightChars="0"/>
              <w:jc w:val="center"/>
              <w:rPr>
                <w:rFonts w:hint="eastAsia" w:ascii="宋体" w:hAnsi="宋体" w:cs="宋体"/>
                <w:color w:val="auto"/>
                <w:kern w:val="0"/>
                <w:sz w:val="24"/>
                <w:szCs w:val="24"/>
                <w:highlight w:val="none"/>
                <w:lang w:bidi="ar"/>
              </w:rPr>
            </w:pPr>
            <w:r>
              <w:rPr>
                <w:rFonts w:hint="eastAsia" w:asciiTheme="minorEastAsia" w:hAnsiTheme="minorEastAsia"/>
                <w:color w:val="auto"/>
                <w:szCs w:val="21"/>
                <w:highlight w:val="none"/>
              </w:rPr>
              <w:t>5000</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83B5A">
            <w:pPr>
              <w:keepNext w:val="0"/>
              <w:keepLines w:val="0"/>
              <w:suppressLineNumbers w:val="0"/>
              <w:spacing w:before="0" w:beforeAutospacing="0" w:after="0" w:afterAutospacing="0"/>
              <w:ind w:left="0" w:leftChars="0" w:right="0" w:rightChars="0"/>
              <w:jc w:val="center"/>
              <w:rPr>
                <w:rFonts w:hint="eastAsia" w:ascii="宋体" w:hAnsi="宋体" w:cs="宋体"/>
                <w:color w:val="auto"/>
                <w:kern w:val="0"/>
                <w:sz w:val="24"/>
                <w:szCs w:val="24"/>
                <w:highlight w:val="none"/>
                <w:lang w:bidi="ar"/>
              </w:rPr>
            </w:pPr>
            <w:r>
              <w:rPr>
                <w:rFonts w:hint="default" w:asciiTheme="minorEastAsia" w:hAnsiTheme="minorEastAsia"/>
                <w:color w:val="auto"/>
                <w:szCs w:val="21"/>
                <w:highlight w:val="none"/>
              </w:rPr>
              <w:t xml:space="preserve">148.50 </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AEF6F">
            <w:pPr>
              <w:keepNext w:val="0"/>
              <w:keepLines w:val="0"/>
              <w:suppressLineNumbers w:val="0"/>
              <w:spacing w:before="0" w:beforeAutospacing="0" w:after="0" w:afterAutospacing="0"/>
              <w:ind w:left="0" w:leftChars="0" w:right="0" w:rightChars="0"/>
              <w:jc w:val="center"/>
              <w:rPr>
                <w:rFonts w:hint="eastAsia" w:ascii="宋体" w:hAnsi="宋体" w:cs="宋体"/>
                <w:color w:val="auto"/>
                <w:kern w:val="0"/>
                <w:sz w:val="24"/>
                <w:szCs w:val="24"/>
                <w:highlight w:val="none"/>
                <w:lang w:bidi="ar"/>
              </w:rPr>
            </w:pPr>
            <w:r>
              <w:rPr>
                <w:rFonts w:hint="eastAsia" w:asciiTheme="minorEastAsia" w:hAnsiTheme="minorEastAsia"/>
                <w:color w:val="auto"/>
                <w:szCs w:val="21"/>
                <w:highlight w:val="none"/>
              </w:rPr>
              <w:t xml:space="preserve">742,500.00 </w:t>
            </w:r>
          </w:p>
        </w:tc>
      </w:tr>
      <w:tr w14:paraId="45A844CC">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89408">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4F700">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6AFF9">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cs="宋体"/>
                <w:color w:val="auto"/>
                <w:sz w:val="24"/>
                <w:szCs w:val="24"/>
                <w:highlight w:val="none"/>
              </w:rPr>
            </w:pPr>
            <w:r>
              <w:rPr>
                <w:rFonts w:hint="eastAsia" w:ascii="宋体" w:hAnsi="宋体" w:cs="宋体"/>
                <w:color w:val="auto"/>
                <w:kern w:val="0"/>
                <w:sz w:val="24"/>
                <w:szCs w:val="24"/>
                <w:highlight w:val="none"/>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540C3">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cs="宋体"/>
                <w:color w:val="auto"/>
                <w:kern w:val="0"/>
                <w:sz w:val="24"/>
                <w:szCs w:val="24"/>
                <w:highlight w:val="none"/>
                <w:lang w:bidi="ar"/>
              </w:rPr>
            </w:pPr>
            <w:r>
              <w:rPr>
                <w:rFonts w:hint="eastAsia" w:ascii="宋体" w:hAnsi="宋体" w:cs="宋体"/>
                <w:b w:val="0"/>
                <w:bCs w:val="0"/>
                <w:color w:val="auto"/>
                <w:kern w:val="0"/>
                <w:sz w:val="24"/>
                <w:szCs w:val="24"/>
                <w:highlight w:val="none"/>
                <w:lang w:bidi="ar"/>
              </w:rPr>
              <w:t>263708</w:t>
            </w:r>
          </w:p>
        </w:tc>
        <w:tc>
          <w:tcPr>
            <w:tcW w:w="1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ADD58">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cs="宋体"/>
                <w:color w:val="auto"/>
                <w:kern w:val="0"/>
                <w:sz w:val="24"/>
                <w:szCs w:val="24"/>
                <w:highlight w:val="none"/>
                <w:lang w:bidi="ar"/>
              </w:rPr>
            </w:pP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BB60C">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cs="宋体"/>
                <w:color w:val="auto"/>
                <w:kern w:val="0"/>
                <w:sz w:val="24"/>
                <w:szCs w:val="24"/>
                <w:highlight w:val="none"/>
                <w:lang w:bidi="ar"/>
              </w:rPr>
            </w:pPr>
            <w:r>
              <w:rPr>
                <w:rFonts w:hint="eastAsia" w:ascii="宋体" w:hAnsi="宋体" w:cs="宋体"/>
                <w:b w:val="0"/>
                <w:bCs w:val="0"/>
                <w:color w:val="auto"/>
                <w:kern w:val="0"/>
                <w:sz w:val="24"/>
                <w:szCs w:val="24"/>
                <w:highlight w:val="none"/>
                <w:lang w:bidi="ar"/>
              </w:rPr>
              <w:t>42003177.8</w:t>
            </w:r>
          </w:p>
        </w:tc>
      </w:tr>
    </w:tbl>
    <w:p w14:paraId="3F3E2B87">
      <w:pPr>
        <w:pStyle w:val="6"/>
        <w:tabs>
          <w:tab w:val="left" w:pos="8360"/>
        </w:tabs>
        <w:spacing w:line="360" w:lineRule="auto"/>
        <w:ind w:firstLine="482" w:firstLineChars="200"/>
        <w:jc w:val="left"/>
        <w:rPr>
          <w:rFonts w:hAnsi="宋体"/>
          <w:b/>
          <w:color w:val="auto"/>
          <w:sz w:val="24"/>
          <w:szCs w:val="24"/>
          <w:highlight w:val="none"/>
        </w:rPr>
      </w:pPr>
      <w:r>
        <w:rPr>
          <w:rFonts w:hint="eastAsia" w:hAnsi="宋体"/>
          <w:b/>
          <w:color w:val="auto"/>
          <w:sz w:val="24"/>
          <w:szCs w:val="24"/>
          <w:highlight w:val="none"/>
        </w:rPr>
        <w:t>注：</w:t>
      </w:r>
    </w:p>
    <w:p w14:paraId="5D58AD37">
      <w:pPr>
        <w:pStyle w:val="6"/>
        <w:tabs>
          <w:tab w:val="left" w:pos="8360"/>
        </w:tabs>
        <w:spacing w:line="360" w:lineRule="auto"/>
        <w:ind w:firstLine="482" w:firstLineChars="200"/>
        <w:jc w:val="left"/>
        <w:rPr>
          <w:rFonts w:hAnsi="宋体"/>
          <w:b/>
          <w:color w:val="auto"/>
          <w:sz w:val="24"/>
          <w:szCs w:val="24"/>
          <w:highlight w:val="none"/>
        </w:rPr>
      </w:pPr>
      <w:r>
        <w:rPr>
          <w:rFonts w:hint="eastAsia" w:hAnsi="宋体"/>
          <w:b/>
          <w:color w:val="auto"/>
          <w:sz w:val="24"/>
          <w:szCs w:val="24"/>
          <w:highlight w:val="none"/>
        </w:rPr>
        <w:t>*1、本项目只有一个合同包，</w:t>
      </w:r>
      <w:r>
        <w:rPr>
          <w:rFonts w:hint="eastAsia" w:hAnsi="宋体" w:cs="宋体"/>
          <w:b/>
          <w:color w:val="auto"/>
          <w:sz w:val="24"/>
          <w:szCs w:val="24"/>
          <w:highlight w:val="none"/>
        </w:rPr>
        <w:t>投标人</w:t>
      </w:r>
      <w:r>
        <w:rPr>
          <w:rFonts w:hint="eastAsia" w:hAnsi="宋体"/>
          <w:b/>
          <w:color w:val="auto"/>
          <w:sz w:val="24"/>
          <w:szCs w:val="24"/>
          <w:highlight w:val="none"/>
        </w:rPr>
        <w:t>必须对合同包内所有品目号进行报价。否则将作无效投标处理。</w:t>
      </w:r>
    </w:p>
    <w:p w14:paraId="47FD5002">
      <w:pPr>
        <w:pStyle w:val="6"/>
        <w:tabs>
          <w:tab w:val="left" w:pos="8360"/>
        </w:tabs>
        <w:spacing w:line="360" w:lineRule="auto"/>
        <w:ind w:firstLine="482" w:firstLineChars="200"/>
        <w:jc w:val="left"/>
        <w:rPr>
          <w:rFonts w:hAnsi="宋体"/>
          <w:b/>
          <w:color w:val="auto"/>
          <w:sz w:val="24"/>
          <w:szCs w:val="24"/>
          <w:highlight w:val="none"/>
        </w:rPr>
      </w:pPr>
      <w:r>
        <w:rPr>
          <w:rFonts w:hint="eastAsia" w:hAnsi="宋体"/>
          <w:b/>
          <w:color w:val="auto"/>
          <w:sz w:val="24"/>
          <w:szCs w:val="24"/>
          <w:highlight w:val="none"/>
        </w:rPr>
        <w:t>*2、针对采购货物一览表所有货物，</w:t>
      </w:r>
      <w:r>
        <w:rPr>
          <w:rFonts w:hint="eastAsia" w:ascii="宋体" w:hAnsi="宋体" w:eastAsia="宋体" w:cs="Times New Roman"/>
          <w:b/>
          <w:color w:val="auto"/>
          <w:sz w:val="24"/>
          <w:szCs w:val="24"/>
          <w:highlight w:val="none"/>
        </w:rPr>
        <w:t>品目号1-1至1-10</w:t>
      </w:r>
      <w:r>
        <w:rPr>
          <w:rFonts w:hint="eastAsia" w:hAnsi="宋体" w:cs="Times New Roman"/>
          <w:b/>
          <w:color w:val="auto"/>
          <w:sz w:val="24"/>
          <w:szCs w:val="24"/>
          <w:highlight w:val="none"/>
        </w:rPr>
        <w:t>投标人</w:t>
      </w:r>
      <w:r>
        <w:rPr>
          <w:rFonts w:hint="eastAsia" w:hAnsi="宋体"/>
          <w:b/>
          <w:color w:val="auto"/>
          <w:sz w:val="24"/>
          <w:szCs w:val="24"/>
          <w:highlight w:val="none"/>
        </w:rPr>
        <w:t>投标产品需为同一个品牌产品</w:t>
      </w:r>
      <w:r>
        <w:rPr>
          <w:rFonts w:hint="eastAsia" w:ascii="宋体" w:hAnsi="宋体" w:eastAsia="宋体" w:cs="Times New Roman"/>
          <w:b/>
          <w:color w:val="auto"/>
          <w:sz w:val="24"/>
          <w:szCs w:val="24"/>
          <w:highlight w:val="none"/>
        </w:rPr>
        <w:t>，品目号1-11和1-12</w:t>
      </w:r>
      <w:r>
        <w:rPr>
          <w:rFonts w:hint="eastAsia" w:hAnsi="宋体" w:cs="Times New Roman"/>
          <w:b/>
          <w:color w:val="auto"/>
          <w:sz w:val="24"/>
          <w:szCs w:val="24"/>
          <w:highlight w:val="none"/>
        </w:rPr>
        <w:t>投标人</w:t>
      </w:r>
      <w:r>
        <w:rPr>
          <w:rFonts w:hint="eastAsia" w:hAnsi="宋体"/>
          <w:b/>
          <w:color w:val="auto"/>
          <w:sz w:val="24"/>
          <w:szCs w:val="24"/>
          <w:highlight w:val="none"/>
        </w:rPr>
        <w:t>投标产品需为同一个品牌产品，否则将作无效投标处理。</w:t>
      </w:r>
    </w:p>
    <w:p w14:paraId="74DF6459">
      <w:pPr>
        <w:pStyle w:val="6"/>
        <w:tabs>
          <w:tab w:val="left" w:pos="8360"/>
        </w:tabs>
        <w:spacing w:line="360" w:lineRule="auto"/>
        <w:ind w:firstLine="482" w:firstLineChars="200"/>
        <w:jc w:val="left"/>
        <w:rPr>
          <w:rFonts w:hAnsi="宋体"/>
          <w:b/>
          <w:color w:val="auto"/>
          <w:sz w:val="24"/>
          <w:szCs w:val="24"/>
          <w:highlight w:val="none"/>
        </w:rPr>
      </w:pPr>
      <w:r>
        <w:rPr>
          <w:rFonts w:hint="eastAsia" w:hAnsi="宋体"/>
          <w:b/>
          <w:color w:val="auto"/>
          <w:sz w:val="24"/>
          <w:szCs w:val="24"/>
          <w:highlight w:val="none"/>
        </w:rPr>
        <w:t>*3、</w:t>
      </w:r>
      <w:r>
        <w:rPr>
          <w:rFonts w:hint="eastAsia" w:hAnsi="宋体" w:cs="宋体"/>
          <w:b/>
          <w:color w:val="auto"/>
          <w:sz w:val="24"/>
          <w:szCs w:val="24"/>
          <w:highlight w:val="none"/>
        </w:rPr>
        <w:t>投标人</w:t>
      </w:r>
      <w:r>
        <w:rPr>
          <w:rFonts w:hint="eastAsia" w:hAnsi="宋体"/>
          <w:b/>
          <w:color w:val="auto"/>
          <w:sz w:val="24"/>
          <w:szCs w:val="24"/>
          <w:highlight w:val="none"/>
        </w:rPr>
        <w:t>须在</w:t>
      </w:r>
      <w:r>
        <w:rPr>
          <w:rFonts w:hint="eastAsia" w:hAnsi="宋体" w:cs="宋体"/>
          <w:b/>
          <w:color w:val="auto"/>
          <w:sz w:val="24"/>
          <w:szCs w:val="24"/>
          <w:highlight w:val="none"/>
        </w:rPr>
        <w:t>投标文件</w:t>
      </w:r>
      <w:r>
        <w:rPr>
          <w:rFonts w:hint="eastAsia" w:hAnsi="宋体"/>
          <w:b/>
          <w:color w:val="auto"/>
          <w:sz w:val="24"/>
          <w:szCs w:val="24"/>
          <w:highlight w:val="none"/>
        </w:rPr>
        <w:t>中提供书面承诺函：采购单位可调整各规格产品的实际供货数量。采购单位有权向厦门市政府机关事业单位和福建省内其他终端用户(合称为“使用单位”)进行供货，所需费用已包含在总报价中。</w:t>
      </w:r>
    </w:p>
    <w:p w14:paraId="3E918607">
      <w:pPr>
        <w:tabs>
          <w:tab w:val="left" w:pos="5130"/>
        </w:tabs>
        <w:spacing w:line="360" w:lineRule="auto"/>
        <w:ind w:firstLine="482" w:firstLineChars="200"/>
        <w:rPr>
          <w:rFonts w:ascii="宋体" w:hAnsi="宋体"/>
          <w:color w:val="auto"/>
          <w:sz w:val="24"/>
          <w:szCs w:val="24"/>
          <w:highlight w:val="none"/>
        </w:rPr>
      </w:pPr>
      <w:r>
        <w:rPr>
          <w:rFonts w:hint="eastAsia" w:ascii="宋体" w:hAnsi="宋体" w:cs="宋体"/>
          <w:b/>
          <w:color w:val="auto"/>
          <w:sz w:val="24"/>
          <w:szCs w:val="24"/>
          <w:highlight w:val="none"/>
        </w:rPr>
        <w:t>*4、投标产品</w:t>
      </w:r>
      <w:r>
        <w:rPr>
          <w:rFonts w:hint="eastAsia" w:ascii="宋体" w:hAnsi="宋体"/>
          <w:b/>
          <w:color w:val="auto"/>
          <w:sz w:val="24"/>
          <w:szCs w:val="24"/>
          <w:highlight w:val="none"/>
        </w:rPr>
        <w:t>的包装规格(指每箱的包数)可与上表中的包装规格(指每箱的包数)不同，但各</w:t>
      </w:r>
      <w:r>
        <w:rPr>
          <w:rFonts w:hint="eastAsia" w:ascii="宋体" w:hAnsi="宋体" w:cs="宋体"/>
          <w:b/>
          <w:color w:val="auto"/>
          <w:sz w:val="24"/>
          <w:szCs w:val="24"/>
          <w:highlight w:val="none"/>
        </w:rPr>
        <w:t>投标人</w:t>
      </w:r>
      <w:r>
        <w:rPr>
          <w:rFonts w:hint="eastAsia" w:ascii="宋体" w:hAnsi="宋体"/>
          <w:b/>
          <w:color w:val="auto"/>
          <w:sz w:val="24"/>
          <w:szCs w:val="24"/>
          <w:highlight w:val="none"/>
        </w:rPr>
        <w:t>须统一按上表中的标准包装规格报价。</w:t>
      </w:r>
    </w:p>
    <w:p w14:paraId="6F206712">
      <w:pPr>
        <w:spacing w:line="360" w:lineRule="auto"/>
        <w:ind w:firstLine="482" w:firstLineChars="200"/>
        <w:rPr>
          <w:rFonts w:ascii="宋体" w:hAnsi="宋体" w:cs="宋体"/>
          <w:b/>
          <w:color w:val="auto"/>
          <w:sz w:val="24"/>
          <w:szCs w:val="24"/>
          <w:highlight w:val="none"/>
        </w:rPr>
      </w:pPr>
    </w:p>
    <w:p w14:paraId="12F1D68E">
      <w:pPr>
        <w:numPr>
          <w:ilvl w:val="0"/>
          <w:numId w:val="2"/>
        </w:num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主要参数及要求</w:t>
      </w:r>
    </w:p>
    <w:p w14:paraId="680AE141">
      <w:pPr>
        <w:pStyle w:val="18"/>
        <w:spacing w:line="360" w:lineRule="auto"/>
        <w:ind w:firstLine="640"/>
        <w:rPr>
          <w:rFonts w:hint="eastAsia" w:ascii="仿宋" w:hAnsi="仿宋" w:eastAsia="仿宋" w:cs="宋体"/>
          <w:color w:val="auto"/>
          <w:sz w:val="32"/>
          <w:szCs w:val="32"/>
          <w:highlight w:val="none"/>
        </w:rPr>
      </w:pPr>
      <w:r>
        <w:rPr>
          <w:rFonts w:hint="default" w:ascii="仿宋" w:hAnsi="仿宋" w:eastAsia="仿宋" w:cs="宋体"/>
          <w:color w:val="auto"/>
          <w:sz w:val="32"/>
          <w:szCs w:val="32"/>
          <w:highlight w:val="none"/>
        </w:rPr>
        <w:t>1-1</w:t>
      </w:r>
      <w:r>
        <w:rPr>
          <w:rFonts w:hint="eastAsia" w:ascii="仿宋" w:hAnsi="仿宋" w:eastAsia="仿宋" w:cs="宋体"/>
          <w:color w:val="auto"/>
          <w:sz w:val="32"/>
          <w:szCs w:val="32"/>
          <w:highlight w:val="none"/>
        </w:rPr>
        <w:t>至</w:t>
      </w:r>
      <w:r>
        <w:rPr>
          <w:rFonts w:hint="default" w:ascii="仿宋" w:hAnsi="仿宋" w:eastAsia="仿宋" w:cs="宋体"/>
          <w:color w:val="auto"/>
          <w:sz w:val="32"/>
          <w:szCs w:val="32"/>
          <w:highlight w:val="none"/>
        </w:rPr>
        <w:t>1-1</w:t>
      </w:r>
      <w:r>
        <w:rPr>
          <w:rFonts w:hint="eastAsia" w:ascii="仿宋" w:hAnsi="仿宋" w:eastAsia="仿宋" w:cs="宋体"/>
          <w:color w:val="auto"/>
          <w:sz w:val="32"/>
          <w:szCs w:val="32"/>
          <w:highlight w:val="none"/>
          <w:lang w:val="en-US" w:eastAsia="zh-CN"/>
        </w:rPr>
        <w:t>0</w:t>
      </w:r>
      <w:r>
        <w:rPr>
          <w:rFonts w:hint="eastAsia" w:ascii="仿宋" w:hAnsi="仿宋" w:eastAsia="仿宋" w:cs="宋体"/>
          <w:color w:val="auto"/>
          <w:sz w:val="32"/>
          <w:szCs w:val="32"/>
          <w:highlight w:val="none"/>
        </w:rPr>
        <w:t>招标参数要求：</w:t>
      </w:r>
    </w:p>
    <w:tbl>
      <w:tblPr>
        <w:tblStyle w:val="12"/>
        <w:tblW w:w="7650" w:type="dxa"/>
        <w:jc w:val="center"/>
        <w:tblLayout w:type="autofit"/>
        <w:tblCellMar>
          <w:top w:w="0" w:type="dxa"/>
          <w:left w:w="108" w:type="dxa"/>
          <w:bottom w:w="0" w:type="dxa"/>
          <w:right w:w="108" w:type="dxa"/>
        </w:tblCellMar>
      </w:tblPr>
      <w:tblGrid>
        <w:gridCol w:w="2230"/>
        <w:gridCol w:w="888"/>
        <w:gridCol w:w="1547"/>
        <w:gridCol w:w="874"/>
        <w:gridCol w:w="1302"/>
        <w:gridCol w:w="1276"/>
      </w:tblGrid>
      <w:tr w14:paraId="261FE379">
        <w:tblPrEx>
          <w:tblCellMar>
            <w:top w:w="0" w:type="dxa"/>
            <w:left w:w="108" w:type="dxa"/>
            <w:bottom w:w="0" w:type="dxa"/>
            <w:right w:w="108" w:type="dxa"/>
          </w:tblCellMar>
        </w:tblPrEx>
        <w:trPr>
          <w:trHeight w:val="285" w:hRule="atLeast"/>
          <w:jc w:val="center"/>
        </w:trPr>
        <w:tc>
          <w:tcPr>
            <w:tcW w:w="765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367298BF">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国家优等品标准（检测标准GB/T 24988-2020）</w:t>
            </w:r>
          </w:p>
        </w:tc>
      </w:tr>
      <w:tr w14:paraId="2DA51D5A">
        <w:tblPrEx>
          <w:tblCellMar>
            <w:top w:w="0" w:type="dxa"/>
            <w:left w:w="108" w:type="dxa"/>
            <w:bottom w:w="0" w:type="dxa"/>
            <w:right w:w="108" w:type="dxa"/>
          </w:tblCellMar>
        </w:tblPrEx>
        <w:trPr>
          <w:trHeight w:val="300" w:hRule="atLeast"/>
          <w:jc w:val="center"/>
        </w:trPr>
        <w:tc>
          <w:tcPr>
            <w:tcW w:w="4198" w:type="dxa"/>
            <w:gridSpan w:val="3"/>
            <w:vMerge w:val="restart"/>
            <w:tcBorders>
              <w:top w:val="nil"/>
              <w:left w:val="single" w:color="auto" w:sz="8" w:space="0"/>
              <w:bottom w:val="single" w:color="000000" w:sz="8" w:space="0"/>
              <w:right w:val="single" w:color="000000" w:sz="8" w:space="0"/>
            </w:tcBorders>
            <w:shd w:val="clear" w:color="auto" w:fill="auto"/>
            <w:vAlign w:val="center"/>
          </w:tcPr>
          <w:p w14:paraId="27A961EC">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指标名称</w:t>
            </w:r>
          </w:p>
        </w:tc>
        <w:tc>
          <w:tcPr>
            <w:tcW w:w="874" w:type="dxa"/>
            <w:vMerge w:val="restart"/>
            <w:tcBorders>
              <w:top w:val="nil"/>
              <w:left w:val="single" w:color="auto" w:sz="8" w:space="0"/>
              <w:bottom w:val="single" w:color="000000" w:sz="8" w:space="0"/>
              <w:right w:val="single" w:color="auto" w:sz="8" w:space="0"/>
            </w:tcBorders>
            <w:shd w:val="clear" w:color="auto" w:fill="auto"/>
            <w:vAlign w:val="center"/>
          </w:tcPr>
          <w:p w14:paraId="39B37C57">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单位</w:t>
            </w:r>
          </w:p>
        </w:tc>
        <w:tc>
          <w:tcPr>
            <w:tcW w:w="2578" w:type="dxa"/>
            <w:gridSpan w:val="2"/>
            <w:tcBorders>
              <w:top w:val="nil"/>
              <w:left w:val="nil"/>
              <w:bottom w:val="single" w:color="auto" w:sz="8" w:space="0"/>
              <w:right w:val="single" w:color="000000" w:sz="8" w:space="0"/>
            </w:tcBorders>
            <w:shd w:val="clear" w:color="auto" w:fill="auto"/>
            <w:vAlign w:val="center"/>
          </w:tcPr>
          <w:p w14:paraId="412D5857">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规定</w:t>
            </w:r>
          </w:p>
        </w:tc>
      </w:tr>
      <w:tr w14:paraId="6D6626AD">
        <w:tblPrEx>
          <w:tblCellMar>
            <w:top w:w="0" w:type="dxa"/>
            <w:left w:w="108" w:type="dxa"/>
            <w:bottom w:w="0" w:type="dxa"/>
            <w:right w:w="108" w:type="dxa"/>
          </w:tblCellMar>
        </w:tblPrEx>
        <w:trPr>
          <w:trHeight w:val="90" w:hRule="atLeast"/>
          <w:jc w:val="center"/>
        </w:trPr>
        <w:tc>
          <w:tcPr>
            <w:tcW w:w="4198" w:type="dxa"/>
            <w:gridSpan w:val="3"/>
            <w:vMerge w:val="continue"/>
            <w:tcBorders>
              <w:top w:val="nil"/>
              <w:left w:val="single" w:color="auto" w:sz="8" w:space="0"/>
              <w:bottom w:val="single" w:color="000000" w:sz="8" w:space="0"/>
              <w:right w:val="single" w:color="000000" w:sz="8" w:space="0"/>
            </w:tcBorders>
            <w:vAlign w:val="center"/>
          </w:tcPr>
          <w:p w14:paraId="3EDE69FE">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874" w:type="dxa"/>
            <w:vMerge w:val="continue"/>
            <w:tcBorders>
              <w:top w:val="nil"/>
              <w:left w:val="single" w:color="auto" w:sz="8" w:space="0"/>
              <w:bottom w:val="single" w:color="000000" w:sz="8" w:space="0"/>
              <w:right w:val="single" w:color="auto" w:sz="8" w:space="0"/>
            </w:tcBorders>
            <w:vAlign w:val="center"/>
          </w:tcPr>
          <w:p w14:paraId="07AFEDD6">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2578" w:type="dxa"/>
            <w:gridSpan w:val="2"/>
            <w:tcBorders>
              <w:top w:val="single" w:color="auto" w:sz="8" w:space="0"/>
              <w:left w:val="nil"/>
              <w:bottom w:val="single" w:color="auto" w:sz="8" w:space="0"/>
              <w:right w:val="single" w:color="000000" w:sz="8" w:space="0"/>
            </w:tcBorders>
            <w:shd w:val="clear" w:color="auto" w:fill="auto"/>
            <w:vAlign w:val="center"/>
          </w:tcPr>
          <w:p w14:paraId="5DB59FA1">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优等品</w:t>
            </w:r>
          </w:p>
        </w:tc>
      </w:tr>
      <w:tr w14:paraId="4EAD79A0">
        <w:tblPrEx>
          <w:tblCellMar>
            <w:top w:w="0" w:type="dxa"/>
            <w:left w:w="108" w:type="dxa"/>
            <w:bottom w:w="0" w:type="dxa"/>
            <w:right w:w="108" w:type="dxa"/>
          </w:tblCellMar>
        </w:tblPrEx>
        <w:trPr>
          <w:trHeight w:val="300" w:hRule="atLeast"/>
          <w:jc w:val="center"/>
        </w:trPr>
        <w:tc>
          <w:tcPr>
            <w:tcW w:w="4198"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72B75112">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定量</w:t>
            </w:r>
          </w:p>
        </w:tc>
        <w:tc>
          <w:tcPr>
            <w:tcW w:w="874" w:type="dxa"/>
            <w:tcBorders>
              <w:top w:val="nil"/>
              <w:left w:val="nil"/>
              <w:bottom w:val="single" w:color="auto" w:sz="8" w:space="0"/>
              <w:right w:val="single" w:color="auto" w:sz="8" w:space="0"/>
            </w:tcBorders>
            <w:shd w:val="clear" w:color="auto" w:fill="auto"/>
            <w:vAlign w:val="center"/>
          </w:tcPr>
          <w:p w14:paraId="34EB96F5">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g/m²</w:t>
            </w:r>
          </w:p>
        </w:tc>
        <w:tc>
          <w:tcPr>
            <w:tcW w:w="1302" w:type="dxa"/>
            <w:tcBorders>
              <w:top w:val="nil"/>
              <w:left w:val="nil"/>
              <w:bottom w:val="single" w:color="auto" w:sz="8" w:space="0"/>
              <w:right w:val="single" w:color="auto" w:sz="8" w:space="0"/>
            </w:tcBorders>
            <w:shd w:val="clear" w:color="auto" w:fill="auto"/>
            <w:vAlign w:val="center"/>
          </w:tcPr>
          <w:p w14:paraId="099B69AA">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70</w:t>
            </w:r>
          </w:p>
        </w:tc>
        <w:tc>
          <w:tcPr>
            <w:tcW w:w="1276" w:type="dxa"/>
            <w:tcBorders>
              <w:top w:val="nil"/>
              <w:left w:val="nil"/>
              <w:bottom w:val="single" w:color="auto" w:sz="8" w:space="0"/>
              <w:right w:val="single" w:color="auto" w:sz="8" w:space="0"/>
            </w:tcBorders>
            <w:shd w:val="clear" w:color="auto" w:fill="auto"/>
            <w:vAlign w:val="center"/>
          </w:tcPr>
          <w:p w14:paraId="39487C8B">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80</w:t>
            </w:r>
          </w:p>
        </w:tc>
      </w:tr>
      <w:tr w14:paraId="389F584C">
        <w:tblPrEx>
          <w:tblCellMar>
            <w:top w:w="0" w:type="dxa"/>
            <w:left w:w="108" w:type="dxa"/>
            <w:bottom w:w="0" w:type="dxa"/>
            <w:right w:w="108" w:type="dxa"/>
          </w:tblCellMar>
        </w:tblPrEx>
        <w:trPr>
          <w:trHeight w:val="300" w:hRule="atLeast"/>
          <w:jc w:val="center"/>
        </w:trPr>
        <w:tc>
          <w:tcPr>
            <w:tcW w:w="4198"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19779167">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定量偏差</w:t>
            </w:r>
          </w:p>
        </w:tc>
        <w:tc>
          <w:tcPr>
            <w:tcW w:w="874" w:type="dxa"/>
            <w:tcBorders>
              <w:top w:val="nil"/>
              <w:left w:val="nil"/>
              <w:bottom w:val="single" w:color="auto" w:sz="8" w:space="0"/>
              <w:right w:val="single" w:color="auto" w:sz="8" w:space="0"/>
            </w:tcBorders>
            <w:shd w:val="clear" w:color="auto" w:fill="auto"/>
            <w:vAlign w:val="center"/>
          </w:tcPr>
          <w:p w14:paraId="205D3A18">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w:t>
            </w:r>
          </w:p>
        </w:tc>
        <w:tc>
          <w:tcPr>
            <w:tcW w:w="2578" w:type="dxa"/>
            <w:gridSpan w:val="2"/>
            <w:tcBorders>
              <w:top w:val="single" w:color="auto" w:sz="8" w:space="0"/>
              <w:left w:val="nil"/>
              <w:bottom w:val="single" w:color="auto" w:sz="8" w:space="0"/>
              <w:right w:val="single" w:color="000000" w:sz="8" w:space="0"/>
            </w:tcBorders>
            <w:shd w:val="clear" w:color="auto" w:fill="auto"/>
            <w:vAlign w:val="center"/>
          </w:tcPr>
          <w:p w14:paraId="54594956">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±4</w:t>
            </w:r>
          </w:p>
        </w:tc>
      </w:tr>
      <w:tr w14:paraId="38CD9AB0">
        <w:tblPrEx>
          <w:tblCellMar>
            <w:top w:w="0" w:type="dxa"/>
            <w:left w:w="108" w:type="dxa"/>
            <w:bottom w:w="0" w:type="dxa"/>
            <w:right w:w="108" w:type="dxa"/>
          </w:tblCellMar>
        </w:tblPrEx>
        <w:trPr>
          <w:trHeight w:val="315" w:hRule="atLeast"/>
          <w:jc w:val="center"/>
        </w:trPr>
        <w:tc>
          <w:tcPr>
            <w:tcW w:w="4198"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472BFCC5">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厚度≥</w:t>
            </w:r>
          </w:p>
        </w:tc>
        <w:tc>
          <w:tcPr>
            <w:tcW w:w="874" w:type="dxa"/>
            <w:tcBorders>
              <w:top w:val="nil"/>
              <w:left w:val="nil"/>
              <w:bottom w:val="single" w:color="auto" w:sz="8" w:space="0"/>
              <w:right w:val="single" w:color="auto" w:sz="8" w:space="0"/>
            </w:tcBorders>
            <w:shd w:val="clear" w:color="auto" w:fill="auto"/>
            <w:vAlign w:val="center"/>
          </w:tcPr>
          <w:p w14:paraId="3893588D">
            <w:pPr>
              <w:keepNext w:val="0"/>
              <w:keepLines w:val="0"/>
              <w:widowControl/>
              <w:suppressLineNumbers w:val="0"/>
              <w:spacing w:before="0" w:beforeAutospacing="0" w:after="0" w:afterAutospacing="0"/>
              <w:ind w:left="0" w:right="0"/>
              <w:rPr>
                <w:rFonts w:hint="default" w:ascii="Calibri" w:hAnsi="Calibri" w:eastAsia="宋体" w:cs="Calibri"/>
                <w:b/>
                <w:bCs/>
                <w:color w:val="auto"/>
                <w:kern w:val="0"/>
                <w:sz w:val="22"/>
                <w:highlight w:val="none"/>
              </w:rPr>
            </w:pPr>
            <w:r>
              <w:rPr>
                <w:rFonts w:hint="default" w:ascii="Calibri" w:hAnsi="Calibri" w:eastAsia="宋体" w:cs="Calibri"/>
                <w:b/>
                <w:bCs/>
                <w:color w:val="auto"/>
                <w:kern w:val="0"/>
                <w:sz w:val="22"/>
                <w:highlight w:val="none"/>
              </w:rPr>
              <w:t>μ</w:t>
            </w:r>
            <w:r>
              <w:rPr>
                <w:rFonts w:hint="eastAsia" w:ascii="宋体" w:hAnsi="宋体" w:eastAsia="宋体" w:cs="Calibri"/>
                <w:b/>
                <w:bCs/>
                <w:color w:val="auto"/>
                <w:kern w:val="0"/>
                <w:sz w:val="22"/>
                <w:highlight w:val="none"/>
              </w:rPr>
              <w:t>m</w:t>
            </w:r>
          </w:p>
        </w:tc>
        <w:tc>
          <w:tcPr>
            <w:tcW w:w="1302" w:type="dxa"/>
            <w:tcBorders>
              <w:top w:val="nil"/>
              <w:left w:val="nil"/>
              <w:bottom w:val="single" w:color="auto" w:sz="8" w:space="0"/>
              <w:right w:val="single" w:color="auto" w:sz="8" w:space="0"/>
            </w:tcBorders>
            <w:shd w:val="clear" w:color="auto" w:fill="auto"/>
            <w:vAlign w:val="center"/>
          </w:tcPr>
          <w:p w14:paraId="0B75FED8">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92</w:t>
            </w:r>
          </w:p>
        </w:tc>
        <w:tc>
          <w:tcPr>
            <w:tcW w:w="1276" w:type="dxa"/>
            <w:tcBorders>
              <w:top w:val="nil"/>
              <w:left w:val="nil"/>
              <w:bottom w:val="single" w:color="auto" w:sz="8" w:space="0"/>
              <w:right w:val="single" w:color="auto" w:sz="8" w:space="0"/>
            </w:tcBorders>
            <w:shd w:val="clear" w:color="auto" w:fill="auto"/>
            <w:vAlign w:val="center"/>
          </w:tcPr>
          <w:p w14:paraId="515771BF">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103</w:t>
            </w:r>
          </w:p>
        </w:tc>
      </w:tr>
      <w:tr w14:paraId="72C9F491">
        <w:tblPrEx>
          <w:tblCellMar>
            <w:top w:w="0" w:type="dxa"/>
            <w:left w:w="108" w:type="dxa"/>
            <w:bottom w:w="0" w:type="dxa"/>
            <w:right w:w="108" w:type="dxa"/>
          </w:tblCellMar>
        </w:tblPrEx>
        <w:trPr>
          <w:trHeight w:val="300" w:hRule="atLeast"/>
          <w:jc w:val="center"/>
        </w:trPr>
        <w:tc>
          <w:tcPr>
            <w:tcW w:w="2230" w:type="dxa"/>
            <w:vMerge w:val="restart"/>
            <w:tcBorders>
              <w:top w:val="nil"/>
              <w:left w:val="single" w:color="auto" w:sz="8" w:space="0"/>
              <w:bottom w:val="single" w:color="000000" w:sz="8" w:space="0"/>
              <w:right w:val="single" w:color="auto" w:sz="8" w:space="0"/>
            </w:tcBorders>
            <w:shd w:val="clear" w:color="auto" w:fill="auto"/>
            <w:vAlign w:val="center"/>
          </w:tcPr>
          <w:p w14:paraId="4D9264CB">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挺度</w:t>
            </w:r>
          </w:p>
        </w:tc>
        <w:tc>
          <w:tcPr>
            <w:tcW w:w="888" w:type="dxa"/>
            <w:vMerge w:val="restart"/>
            <w:tcBorders>
              <w:top w:val="nil"/>
              <w:left w:val="single" w:color="auto" w:sz="8" w:space="0"/>
              <w:bottom w:val="single" w:color="000000" w:sz="8" w:space="0"/>
              <w:right w:val="single" w:color="auto" w:sz="8" w:space="0"/>
            </w:tcBorders>
            <w:shd w:val="clear" w:color="auto" w:fill="auto"/>
            <w:vAlign w:val="center"/>
          </w:tcPr>
          <w:p w14:paraId="04E53110">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恒速弯曲法</w:t>
            </w:r>
          </w:p>
        </w:tc>
        <w:tc>
          <w:tcPr>
            <w:tcW w:w="1080" w:type="dxa"/>
            <w:tcBorders>
              <w:top w:val="nil"/>
              <w:left w:val="nil"/>
              <w:bottom w:val="single" w:color="auto" w:sz="8" w:space="0"/>
              <w:right w:val="single" w:color="auto" w:sz="8" w:space="0"/>
            </w:tcBorders>
            <w:shd w:val="clear" w:color="auto" w:fill="auto"/>
            <w:vAlign w:val="center"/>
          </w:tcPr>
          <w:p w14:paraId="2ECC60EC">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纵向≥</w:t>
            </w:r>
          </w:p>
        </w:tc>
        <w:tc>
          <w:tcPr>
            <w:tcW w:w="874" w:type="dxa"/>
            <w:vMerge w:val="restart"/>
            <w:tcBorders>
              <w:top w:val="nil"/>
              <w:left w:val="single" w:color="auto" w:sz="8" w:space="0"/>
              <w:bottom w:val="single" w:color="000000" w:sz="8" w:space="0"/>
              <w:right w:val="single" w:color="auto" w:sz="8" w:space="0"/>
            </w:tcBorders>
            <w:shd w:val="clear" w:color="auto" w:fill="auto"/>
            <w:vAlign w:val="center"/>
          </w:tcPr>
          <w:p w14:paraId="2ED96AE9">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mN</w:t>
            </w:r>
          </w:p>
        </w:tc>
        <w:tc>
          <w:tcPr>
            <w:tcW w:w="1302" w:type="dxa"/>
            <w:tcBorders>
              <w:top w:val="nil"/>
              <w:left w:val="nil"/>
              <w:bottom w:val="single" w:color="auto" w:sz="8" w:space="0"/>
              <w:right w:val="single" w:color="auto" w:sz="8" w:space="0"/>
            </w:tcBorders>
            <w:shd w:val="clear" w:color="auto" w:fill="auto"/>
            <w:vAlign w:val="center"/>
          </w:tcPr>
          <w:p w14:paraId="011F7D3A">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75</w:t>
            </w:r>
          </w:p>
        </w:tc>
        <w:tc>
          <w:tcPr>
            <w:tcW w:w="1276" w:type="dxa"/>
            <w:tcBorders>
              <w:top w:val="nil"/>
              <w:left w:val="nil"/>
              <w:bottom w:val="single" w:color="auto" w:sz="8" w:space="0"/>
              <w:right w:val="single" w:color="auto" w:sz="8" w:space="0"/>
            </w:tcBorders>
            <w:shd w:val="clear" w:color="auto" w:fill="auto"/>
            <w:vAlign w:val="center"/>
          </w:tcPr>
          <w:p w14:paraId="6165557A">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100</w:t>
            </w:r>
          </w:p>
        </w:tc>
      </w:tr>
      <w:tr w14:paraId="794072AB">
        <w:tblPrEx>
          <w:tblCellMar>
            <w:top w:w="0" w:type="dxa"/>
            <w:left w:w="108" w:type="dxa"/>
            <w:bottom w:w="0" w:type="dxa"/>
            <w:right w:w="108" w:type="dxa"/>
          </w:tblCellMar>
        </w:tblPrEx>
        <w:trPr>
          <w:trHeight w:val="300" w:hRule="atLeast"/>
          <w:jc w:val="center"/>
        </w:trPr>
        <w:tc>
          <w:tcPr>
            <w:tcW w:w="2230" w:type="dxa"/>
            <w:vMerge w:val="continue"/>
            <w:tcBorders>
              <w:top w:val="nil"/>
              <w:left w:val="single" w:color="auto" w:sz="8" w:space="0"/>
              <w:bottom w:val="single" w:color="000000" w:sz="8" w:space="0"/>
              <w:right w:val="single" w:color="auto" w:sz="8" w:space="0"/>
            </w:tcBorders>
            <w:vAlign w:val="center"/>
          </w:tcPr>
          <w:p w14:paraId="16EA059B">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888" w:type="dxa"/>
            <w:vMerge w:val="continue"/>
            <w:tcBorders>
              <w:top w:val="nil"/>
              <w:left w:val="single" w:color="auto" w:sz="8" w:space="0"/>
              <w:bottom w:val="single" w:color="000000" w:sz="8" w:space="0"/>
              <w:right w:val="single" w:color="auto" w:sz="8" w:space="0"/>
            </w:tcBorders>
            <w:vAlign w:val="center"/>
          </w:tcPr>
          <w:p w14:paraId="2A8E58A0">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1080" w:type="dxa"/>
            <w:tcBorders>
              <w:top w:val="nil"/>
              <w:left w:val="nil"/>
              <w:bottom w:val="single" w:color="auto" w:sz="8" w:space="0"/>
              <w:right w:val="single" w:color="auto" w:sz="8" w:space="0"/>
            </w:tcBorders>
            <w:shd w:val="clear" w:color="auto" w:fill="auto"/>
            <w:vAlign w:val="center"/>
          </w:tcPr>
          <w:p w14:paraId="0DAEB2B7">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横向≥</w:t>
            </w:r>
          </w:p>
        </w:tc>
        <w:tc>
          <w:tcPr>
            <w:tcW w:w="874" w:type="dxa"/>
            <w:vMerge w:val="continue"/>
            <w:tcBorders>
              <w:top w:val="nil"/>
              <w:left w:val="single" w:color="auto" w:sz="8" w:space="0"/>
              <w:bottom w:val="single" w:color="000000" w:sz="8" w:space="0"/>
              <w:right w:val="single" w:color="auto" w:sz="8" w:space="0"/>
            </w:tcBorders>
            <w:vAlign w:val="center"/>
          </w:tcPr>
          <w:p w14:paraId="7B4ADAEA">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1302" w:type="dxa"/>
            <w:tcBorders>
              <w:top w:val="nil"/>
              <w:left w:val="nil"/>
              <w:bottom w:val="single" w:color="auto" w:sz="8" w:space="0"/>
              <w:right w:val="single" w:color="auto" w:sz="8" w:space="0"/>
            </w:tcBorders>
            <w:shd w:val="clear" w:color="auto" w:fill="auto"/>
            <w:vAlign w:val="center"/>
          </w:tcPr>
          <w:p w14:paraId="2423DCE4">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32</w:t>
            </w:r>
          </w:p>
        </w:tc>
        <w:tc>
          <w:tcPr>
            <w:tcW w:w="1276" w:type="dxa"/>
            <w:tcBorders>
              <w:top w:val="nil"/>
              <w:left w:val="nil"/>
              <w:bottom w:val="single" w:color="auto" w:sz="8" w:space="0"/>
              <w:right w:val="single" w:color="auto" w:sz="8" w:space="0"/>
            </w:tcBorders>
            <w:shd w:val="clear" w:color="auto" w:fill="auto"/>
            <w:vAlign w:val="center"/>
          </w:tcPr>
          <w:p w14:paraId="4C3E51E1">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42</w:t>
            </w:r>
          </w:p>
        </w:tc>
      </w:tr>
      <w:tr w14:paraId="69C6C6EB">
        <w:tblPrEx>
          <w:tblCellMar>
            <w:top w:w="0" w:type="dxa"/>
            <w:left w:w="108" w:type="dxa"/>
            <w:bottom w:w="0" w:type="dxa"/>
            <w:right w:w="108" w:type="dxa"/>
          </w:tblCellMar>
        </w:tblPrEx>
        <w:trPr>
          <w:trHeight w:val="300" w:hRule="atLeast"/>
          <w:jc w:val="center"/>
        </w:trPr>
        <w:tc>
          <w:tcPr>
            <w:tcW w:w="4198"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28B9E234">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平滑度（两面均）≥</w:t>
            </w:r>
          </w:p>
        </w:tc>
        <w:tc>
          <w:tcPr>
            <w:tcW w:w="874" w:type="dxa"/>
            <w:tcBorders>
              <w:top w:val="nil"/>
              <w:left w:val="nil"/>
              <w:bottom w:val="single" w:color="auto" w:sz="8" w:space="0"/>
              <w:right w:val="single" w:color="auto" w:sz="8" w:space="0"/>
            </w:tcBorders>
            <w:shd w:val="clear" w:color="auto" w:fill="auto"/>
            <w:vAlign w:val="center"/>
          </w:tcPr>
          <w:p w14:paraId="09B61FF4">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s</w:t>
            </w:r>
          </w:p>
        </w:tc>
        <w:tc>
          <w:tcPr>
            <w:tcW w:w="2578" w:type="dxa"/>
            <w:gridSpan w:val="2"/>
            <w:tcBorders>
              <w:top w:val="single" w:color="auto" w:sz="8" w:space="0"/>
              <w:left w:val="nil"/>
              <w:bottom w:val="single" w:color="auto" w:sz="8" w:space="0"/>
              <w:right w:val="single" w:color="000000" w:sz="8" w:space="0"/>
            </w:tcBorders>
            <w:shd w:val="clear" w:color="auto" w:fill="auto"/>
            <w:vAlign w:val="center"/>
          </w:tcPr>
          <w:p w14:paraId="6BE56B1A">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18</w:t>
            </w:r>
          </w:p>
        </w:tc>
      </w:tr>
      <w:tr w14:paraId="234FD5A7">
        <w:tblPrEx>
          <w:tblCellMar>
            <w:top w:w="0" w:type="dxa"/>
            <w:left w:w="108" w:type="dxa"/>
            <w:bottom w:w="0" w:type="dxa"/>
            <w:right w:w="108" w:type="dxa"/>
          </w:tblCellMar>
        </w:tblPrEx>
        <w:trPr>
          <w:trHeight w:val="300" w:hRule="atLeast"/>
          <w:jc w:val="center"/>
        </w:trPr>
        <w:tc>
          <w:tcPr>
            <w:tcW w:w="4198"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34F64C95">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不透明度≥</w:t>
            </w:r>
          </w:p>
        </w:tc>
        <w:tc>
          <w:tcPr>
            <w:tcW w:w="874" w:type="dxa"/>
            <w:tcBorders>
              <w:top w:val="nil"/>
              <w:left w:val="nil"/>
              <w:bottom w:val="single" w:color="auto" w:sz="8" w:space="0"/>
              <w:right w:val="single" w:color="auto" w:sz="8" w:space="0"/>
            </w:tcBorders>
            <w:shd w:val="clear" w:color="auto" w:fill="auto"/>
            <w:vAlign w:val="center"/>
          </w:tcPr>
          <w:p w14:paraId="58C5A0E7">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w:t>
            </w:r>
          </w:p>
        </w:tc>
        <w:tc>
          <w:tcPr>
            <w:tcW w:w="1302" w:type="dxa"/>
            <w:tcBorders>
              <w:top w:val="nil"/>
              <w:left w:val="nil"/>
              <w:bottom w:val="single" w:color="auto" w:sz="8" w:space="0"/>
              <w:right w:val="single" w:color="auto" w:sz="4" w:space="0"/>
            </w:tcBorders>
            <w:shd w:val="clear" w:color="auto" w:fill="auto"/>
            <w:vAlign w:val="center"/>
          </w:tcPr>
          <w:p w14:paraId="55CF569E">
            <w:pPr>
              <w:keepNext w:val="0"/>
              <w:keepLines w:val="0"/>
              <w:widowControl/>
              <w:suppressLineNumbers w:val="0"/>
              <w:spacing w:before="0" w:beforeAutospacing="0" w:after="0" w:afterAutospacing="0"/>
              <w:ind w:left="0" w:right="0"/>
              <w:jc w:val="right"/>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91</w:t>
            </w:r>
          </w:p>
        </w:tc>
        <w:tc>
          <w:tcPr>
            <w:tcW w:w="1276" w:type="dxa"/>
            <w:tcBorders>
              <w:top w:val="nil"/>
              <w:left w:val="nil"/>
              <w:bottom w:val="single" w:color="auto" w:sz="8" w:space="0"/>
              <w:right w:val="single" w:color="auto" w:sz="8" w:space="0"/>
            </w:tcBorders>
            <w:shd w:val="clear" w:color="auto" w:fill="auto"/>
            <w:vAlign w:val="center"/>
          </w:tcPr>
          <w:p w14:paraId="72C383BF">
            <w:pPr>
              <w:keepNext w:val="0"/>
              <w:keepLines w:val="0"/>
              <w:widowControl/>
              <w:suppressLineNumbers w:val="0"/>
              <w:spacing w:before="0" w:beforeAutospacing="0" w:after="0" w:afterAutospacing="0"/>
              <w:ind w:left="0" w:right="0"/>
              <w:jc w:val="right"/>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93</w:t>
            </w:r>
          </w:p>
        </w:tc>
      </w:tr>
      <w:tr w14:paraId="5621F0F5">
        <w:tblPrEx>
          <w:tblCellMar>
            <w:top w:w="0" w:type="dxa"/>
            <w:left w:w="108" w:type="dxa"/>
            <w:bottom w:w="0" w:type="dxa"/>
            <w:right w:w="108" w:type="dxa"/>
          </w:tblCellMar>
        </w:tblPrEx>
        <w:trPr>
          <w:trHeight w:val="300" w:hRule="atLeast"/>
          <w:jc w:val="center"/>
        </w:trPr>
        <w:tc>
          <w:tcPr>
            <w:tcW w:w="4198"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4250F01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D65亮度 ≤</w:t>
            </w:r>
          </w:p>
        </w:tc>
        <w:tc>
          <w:tcPr>
            <w:tcW w:w="874" w:type="dxa"/>
            <w:tcBorders>
              <w:top w:val="nil"/>
              <w:left w:val="nil"/>
              <w:bottom w:val="single" w:color="auto" w:sz="8" w:space="0"/>
              <w:right w:val="single" w:color="auto" w:sz="8" w:space="0"/>
            </w:tcBorders>
            <w:shd w:val="clear" w:color="auto" w:fill="auto"/>
            <w:vAlign w:val="center"/>
          </w:tcPr>
          <w:p w14:paraId="0DAE62F1">
            <w:pPr>
              <w:keepNext w:val="0"/>
              <w:keepLines w:val="0"/>
              <w:widowControl/>
              <w:suppressLineNumbers w:val="0"/>
              <w:spacing w:before="0" w:beforeAutospacing="0" w:after="0" w:afterAutospacing="0"/>
              <w:ind w:left="0" w:right="0"/>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p>
        </w:tc>
        <w:tc>
          <w:tcPr>
            <w:tcW w:w="2578" w:type="dxa"/>
            <w:gridSpan w:val="2"/>
            <w:tcBorders>
              <w:top w:val="single" w:color="auto" w:sz="8" w:space="0"/>
              <w:left w:val="nil"/>
              <w:bottom w:val="single" w:color="auto" w:sz="8" w:space="0"/>
              <w:right w:val="single" w:color="000000" w:sz="8" w:space="0"/>
            </w:tcBorders>
            <w:shd w:val="clear" w:color="auto" w:fill="auto"/>
            <w:vAlign w:val="center"/>
          </w:tcPr>
          <w:p w14:paraId="17C7551A">
            <w:pPr>
              <w:keepNext w:val="0"/>
              <w:keepLines w:val="0"/>
              <w:widowControl/>
              <w:suppressLineNumbers w:val="0"/>
              <w:spacing w:before="0" w:beforeAutospacing="0" w:after="0" w:afterAutospacing="0"/>
              <w:ind w:left="0" w:right="0"/>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95</w:t>
            </w:r>
          </w:p>
        </w:tc>
      </w:tr>
      <w:tr w14:paraId="6CCC4B11">
        <w:tblPrEx>
          <w:tblCellMar>
            <w:top w:w="0" w:type="dxa"/>
            <w:left w:w="108" w:type="dxa"/>
            <w:bottom w:w="0" w:type="dxa"/>
            <w:right w:w="108" w:type="dxa"/>
          </w:tblCellMar>
        </w:tblPrEx>
        <w:trPr>
          <w:trHeight w:val="915" w:hRule="atLeast"/>
          <w:jc w:val="center"/>
        </w:trPr>
        <w:tc>
          <w:tcPr>
            <w:tcW w:w="3118" w:type="dxa"/>
            <w:gridSpan w:val="2"/>
            <w:vMerge w:val="restart"/>
            <w:tcBorders>
              <w:top w:val="single" w:color="auto" w:sz="8" w:space="0"/>
              <w:left w:val="single" w:color="auto" w:sz="8" w:space="0"/>
              <w:bottom w:val="single" w:color="000000" w:sz="8" w:space="0"/>
              <w:right w:val="single" w:color="000000" w:sz="8" w:space="0"/>
            </w:tcBorders>
            <w:shd w:val="clear" w:color="auto" w:fill="auto"/>
            <w:vAlign w:val="center"/>
          </w:tcPr>
          <w:p w14:paraId="33423427">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尘埃度</w:t>
            </w:r>
          </w:p>
        </w:tc>
        <w:tc>
          <w:tcPr>
            <w:tcW w:w="1080" w:type="dxa"/>
            <w:tcBorders>
              <w:top w:val="nil"/>
              <w:left w:val="nil"/>
              <w:bottom w:val="single" w:color="auto" w:sz="8" w:space="0"/>
              <w:right w:val="single" w:color="auto" w:sz="8" w:space="0"/>
            </w:tcBorders>
            <w:shd w:val="clear" w:color="auto" w:fill="auto"/>
            <w:vAlign w:val="center"/>
          </w:tcPr>
          <w:p w14:paraId="1BD79F99">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0.3mm</w:t>
            </w:r>
            <w:r>
              <w:rPr>
                <w:rFonts w:hint="eastAsia" w:ascii="宋体" w:hAnsi="宋体" w:eastAsia="宋体" w:cs="宋体"/>
                <w:b/>
                <w:bCs/>
                <w:color w:val="auto"/>
                <w:kern w:val="0"/>
                <w:sz w:val="22"/>
                <w:highlight w:val="none"/>
                <w:vertAlign w:val="superscript"/>
              </w:rPr>
              <w:t>2</w:t>
            </w:r>
            <w:r>
              <w:rPr>
                <w:rFonts w:hint="eastAsia" w:ascii="宋体" w:hAnsi="宋体" w:eastAsia="宋体" w:cs="宋体"/>
                <w:b/>
                <w:bCs/>
                <w:color w:val="auto"/>
                <w:kern w:val="0"/>
                <w:sz w:val="22"/>
                <w:highlight w:val="none"/>
              </w:rPr>
              <w:t>-1.5mm</w:t>
            </w:r>
            <w:r>
              <w:rPr>
                <w:rFonts w:hint="eastAsia" w:ascii="宋体" w:hAnsi="宋体" w:eastAsia="宋体" w:cs="宋体"/>
                <w:b/>
                <w:bCs/>
                <w:color w:val="auto"/>
                <w:kern w:val="0"/>
                <w:sz w:val="22"/>
                <w:highlight w:val="none"/>
                <w:vertAlign w:val="superscript"/>
              </w:rPr>
              <w:t>2</w:t>
            </w:r>
            <w:r>
              <w:rPr>
                <w:rFonts w:hint="eastAsia" w:ascii="宋体" w:hAnsi="宋体" w:eastAsia="宋体" w:cs="宋体"/>
                <w:b/>
                <w:bCs/>
                <w:color w:val="auto"/>
                <w:kern w:val="0"/>
                <w:sz w:val="22"/>
                <w:highlight w:val="none"/>
              </w:rPr>
              <w:t xml:space="preserve"> ≤</w:t>
            </w:r>
          </w:p>
        </w:tc>
        <w:tc>
          <w:tcPr>
            <w:tcW w:w="874" w:type="dxa"/>
            <w:vMerge w:val="restart"/>
            <w:tcBorders>
              <w:top w:val="nil"/>
              <w:left w:val="single" w:color="auto" w:sz="8" w:space="0"/>
              <w:bottom w:val="single" w:color="000000" w:sz="8" w:space="0"/>
              <w:right w:val="single" w:color="auto" w:sz="8" w:space="0"/>
            </w:tcBorders>
            <w:shd w:val="clear" w:color="auto" w:fill="auto"/>
            <w:vAlign w:val="center"/>
          </w:tcPr>
          <w:p w14:paraId="7ADB1628">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个/m</w:t>
            </w:r>
            <w:r>
              <w:rPr>
                <w:rFonts w:hint="eastAsia" w:ascii="宋体" w:hAnsi="宋体" w:eastAsia="宋体" w:cs="宋体"/>
                <w:b/>
                <w:bCs/>
                <w:color w:val="auto"/>
                <w:kern w:val="0"/>
                <w:sz w:val="22"/>
                <w:highlight w:val="none"/>
                <w:vertAlign w:val="superscript"/>
              </w:rPr>
              <w:t>2</w:t>
            </w:r>
          </w:p>
        </w:tc>
        <w:tc>
          <w:tcPr>
            <w:tcW w:w="2578" w:type="dxa"/>
            <w:gridSpan w:val="2"/>
            <w:tcBorders>
              <w:top w:val="single" w:color="auto" w:sz="8" w:space="0"/>
              <w:left w:val="nil"/>
              <w:bottom w:val="single" w:color="auto" w:sz="8" w:space="0"/>
              <w:right w:val="single" w:color="000000" w:sz="8" w:space="0"/>
            </w:tcBorders>
            <w:shd w:val="clear" w:color="auto" w:fill="auto"/>
            <w:vAlign w:val="center"/>
          </w:tcPr>
          <w:p w14:paraId="2A27CF97">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16</w:t>
            </w:r>
          </w:p>
        </w:tc>
      </w:tr>
      <w:tr w14:paraId="061D82A5">
        <w:tblPrEx>
          <w:tblCellMar>
            <w:top w:w="0" w:type="dxa"/>
            <w:left w:w="108" w:type="dxa"/>
            <w:bottom w:w="0" w:type="dxa"/>
            <w:right w:w="108" w:type="dxa"/>
          </w:tblCellMar>
        </w:tblPrEx>
        <w:trPr>
          <w:trHeight w:val="330" w:hRule="atLeast"/>
          <w:jc w:val="center"/>
        </w:trPr>
        <w:tc>
          <w:tcPr>
            <w:tcW w:w="3118" w:type="dxa"/>
            <w:gridSpan w:val="2"/>
            <w:vMerge w:val="continue"/>
            <w:tcBorders>
              <w:top w:val="single" w:color="auto" w:sz="8" w:space="0"/>
              <w:left w:val="single" w:color="auto" w:sz="8" w:space="0"/>
              <w:bottom w:val="single" w:color="000000" w:sz="8" w:space="0"/>
              <w:right w:val="single" w:color="000000" w:sz="8" w:space="0"/>
            </w:tcBorders>
            <w:vAlign w:val="center"/>
          </w:tcPr>
          <w:p w14:paraId="4BCAC2F3">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1080" w:type="dxa"/>
            <w:tcBorders>
              <w:top w:val="nil"/>
              <w:left w:val="nil"/>
              <w:bottom w:val="single" w:color="auto" w:sz="8" w:space="0"/>
              <w:right w:val="single" w:color="auto" w:sz="8" w:space="0"/>
            </w:tcBorders>
            <w:shd w:val="clear" w:color="auto" w:fill="auto"/>
            <w:vAlign w:val="center"/>
          </w:tcPr>
          <w:p w14:paraId="76121967">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＞1.5mm</w:t>
            </w:r>
            <w:r>
              <w:rPr>
                <w:rFonts w:hint="eastAsia" w:ascii="宋体" w:hAnsi="宋体" w:eastAsia="宋体" w:cs="宋体"/>
                <w:b/>
                <w:bCs/>
                <w:color w:val="auto"/>
                <w:kern w:val="0"/>
                <w:sz w:val="22"/>
                <w:highlight w:val="none"/>
                <w:vertAlign w:val="superscript"/>
              </w:rPr>
              <w:t>2</w:t>
            </w:r>
          </w:p>
        </w:tc>
        <w:tc>
          <w:tcPr>
            <w:tcW w:w="874" w:type="dxa"/>
            <w:vMerge w:val="continue"/>
            <w:tcBorders>
              <w:top w:val="nil"/>
              <w:left w:val="single" w:color="auto" w:sz="8" w:space="0"/>
              <w:bottom w:val="single" w:color="000000" w:sz="8" w:space="0"/>
              <w:right w:val="single" w:color="auto" w:sz="8" w:space="0"/>
            </w:tcBorders>
            <w:vAlign w:val="center"/>
          </w:tcPr>
          <w:p w14:paraId="45C6C73D">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2578" w:type="dxa"/>
            <w:gridSpan w:val="2"/>
            <w:tcBorders>
              <w:top w:val="single" w:color="auto" w:sz="8" w:space="0"/>
              <w:left w:val="nil"/>
              <w:bottom w:val="single" w:color="auto" w:sz="8" w:space="0"/>
              <w:right w:val="single" w:color="000000" w:sz="8" w:space="0"/>
            </w:tcBorders>
            <w:shd w:val="clear" w:color="auto" w:fill="auto"/>
            <w:vAlign w:val="center"/>
          </w:tcPr>
          <w:p w14:paraId="1C782AF5">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不应有</w:t>
            </w:r>
          </w:p>
        </w:tc>
      </w:tr>
      <w:tr w14:paraId="54566227">
        <w:tblPrEx>
          <w:tblCellMar>
            <w:top w:w="0" w:type="dxa"/>
            <w:left w:w="108" w:type="dxa"/>
            <w:bottom w:w="0" w:type="dxa"/>
            <w:right w:w="108" w:type="dxa"/>
          </w:tblCellMar>
        </w:tblPrEx>
        <w:trPr>
          <w:trHeight w:val="300" w:hRule="atLeast"/>
          <w:jc w:val="center"/>
        </w:trPr>
        <w:tc>
          <w:tcPr>
            <w:tcW w:w="4198"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74B281B4">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交货水分</w:t>
            </w:r>
          </w:p>
        </w:tc>
        <w:tc>
          <w:tcPr>
            <w:tcW w:w="874" w:type="dxa"/>
            <w:tcBorders>
              <w:top w:val="nil"/>
              <w:left w:val="nil"/>
              <w:bottom w:val="single" w:color="auto" w:sz="8" w:space="0"/>
              <w:right w:val="single" w:color="auto" w:sz="8" w:space="0"/>
            </w:tcBorders>
            <w:shd w:val="clear" w:color="auto" w:fill="auto"/>
            <w:vAlign w:val="center"/>
          </w:tcPr>
          <w:p w14:paraId="646FC01D">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w:t>
            </w:r>
          </w:p>
        </w:tc>
        <w:tc>
          <w:tcPr>
            <w:tcW w:w="2578" w:type="dxa"/>
            <w:gridSpan w:val="2"/>
            <w:tcBorders>
              <w:top w:val="single" w:color="auto" w:sz="8" w:space="0"/>
              <w:left w:val="nil"/>
              <w:bottom w:val="nil"/>
              <w:right w:val="single" w:color="000000" w:sz="8" w:space="0"/>
            </w:tcBorders>
            <w:shd w:val="clear" w:color="auto" w:fill="auto"/>
            <w:vAlign w:val="center"/>
          </w:tcPr>
          <w:p w14:paraId="1A4A48FE">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3.5-7.0</w:t>
            </w:r>
          </w:p>
        </w:tc>
      </w:tr>
      <w:tr w14:paraId="3813C1A2">
        <w:tblPrEx>
          <w:tblCellMar>
            <w:top w:w="0" w:type="dxa"/>
            <w:left w:w="108" w:type="dxa"/>
            <w:bottom w:w="0" w:type="dxa"/>
            <w:right w:w="108" w:type="dxa"/>
          </w:tblCellMar>
        </w:tblPrEx>
        <w:trPr>
          <w:trHeight w:val="300" w:hRule="atLeast"/>
          <w:jc w:val="center"/>
        </w:trPr>
        <w:tc>
          <w:tcPr>
            <w:tcW w:w="4198"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00FF6FA4">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可勃值（C0bb60)</w:t>
            </w:r>
          </w:p>
        </w:tc>
        <w:tc>
          <w:tcPr>
            <w:tcW w:w="874" w:type="dxa"/>
            <w:tcBorders>
              <w:top w:val="nil"/>
              <w:left w:val="nil"/>
              <w:bottom w:val="single" w:color="auto" w:sz="8" w:space="0"/>
              <w:right w:val="nil"/>
            </w:tcBorders>
            <w:shd w:val="clear" w:color="auto" w:fill="auto"/>
            <w:vAlign w:val="center"/>
          </w:tcPr>
          <w:p w14:paraId="536440A9">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g/m²</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4785860B">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≤35</w:t>
            </w:r>
          </w:p>
        </w:tc>
        <w:tc>
          <w:tcPr>
            <w:tcW w:w="1276" w:type="dxa"/>
            <w:tcBorders>
              <w:top w:val="single" w:color="auto" w:sz="4" w:space="0"/>
              <w:left w:val="nil"/>
              <w:bottom w:val="single" w:color="auto" w:sz="4" w:space="0"/>
              <w:right w:val="single" w:color="auto" w:sz="4" w:space="0"/>
            </w:tcBorders>
            <w:shd w:val="clear" w:color="auto" w:fill="auto"/>
            <w:vAlign w:val="center"/>
          </w:tcPr>
          <w:p w14:paraId="646F49B6">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≤45</w:t>
            </w:r>
          </w:p>
        </w:tc>
      </w:tr>
      <w:tr w14:paraId="65F6B6FE">
        <w:tblPrEx>
          <w:tblCellMar>
            <w:top w:w="0" w:type="dxa"/>
            <w:left w:w="108" w:type="dxa"/>
            <w:bottom w:w="0" w:type="dxa"/>
            <w:right w:w="108" w:type="dxa"/>
          </w:tblCellMar>
        </w:tblPrEx>
        <w:trPr>
          <w:trHeight w:val="300" w:hRule="atLeast"/>
          <w:jc w:val="center"/>
        </w:trPr>
        <w:tc>
          <w:tcPr>
            <w:tcW w:w="2230" w:type="dxa"/>
            <w:tcBorders>
              <w:top w:val="nil"/>
              <w:left w:val="single" w:color="auto" w:sz="8" w:space="0"/>
              <w:bottom w:val="single" w:color="auto" w:sz="8" w:space="0"/>
              <w:right w:val="single" w:color="auto" w:sz="8" w:space="0"/>
            </w:tcBorders>
            <w:shd w:val="clear" w:color="auto" w:fill="auto"/>
            <w:noWrap/>
            <w:vAlign w:val="center"/>
          </w:tcPr>
          <w:p w14:paraId="2C9C820F">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净含量偏差（短缺量）</w:t>
            </w:r>
          </w:p>
        </w:tc>
        <w:tc>
          <w:tcPr>
            <w:tcW w:w="888" w:type="dxa"/>
            <w:tcBorders>
              <w:top w:val="nil"/>
              <w:left w:val="nil"/>
              <w:bottom w:val="single" w:color="auto" w:sz="8" w:space="0"/>
              <w:right w:val="single" w:color="auto" w:sz="8" w:space="0"/>
            </w:tcBorders>
            <w:shd w:val="clear" w:color="auto" w:fill="auto"/>
            <w:noWrap/>
            <w:vAlign w:val="center"/>
          </w:tcPr>
          <w:p w14:paraId="344A4E1D">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1080" w:type="dxa"/>
            <w:tcBorders>
              <w:top w:val="nil"/>
              <w:left w:val="nil"/>
              <w:bottom w:val="single" w:color="auto" w:sz="8" w:space="0"/>
              <w:right w:val="single" w:color="auto" w:sz="8" w:space="0"/>
            </w:tcBorders>
            <w:shd w:val="clear" w:color="auto" w:fill="auto"/>
            <w:noWrap/>
            <w:vAlign w:val="center"/>
          </w:tcPr>
          <w:p w14:paraId="1702C9BB">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874" w:type="dxa"/>
            <w:tcBorders>
              <w:top w:val="nil"/>
              <w:left w:val="nil"/>
              <w:bottom w:val="single" w:color="auto" w:sz="8" w:space="0"/>
              <w:right w:val="single" w:color="auto" w:sz="8" w:space="0"/>
            </w:tcBorders>
            <w:shd w:val="clear" w:color="auto" w:fill="auto"/>
            <w:noWrap/>
            <w:vAlign w:val="center"/>
          </w:tcPr>
          <w:p w14:paraId="666A3A86">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张</w:t>
            </w:r>
          </w:p>
        </w:tc>
        <w:tc>
          <w:tcPr>
            <w:tcW w:w="2578" w:type="dxa"/>
            <w:gridSpan w:val="2"/>
            <w:tcBorders>
              <w:top w:val="nil"/>
              <w:left w:val="nil"/>
              <w:bottom w:val="single" w:color="auto" w:sz="8" w:space="0"/>
              <w:right w:val="single" w:color="000000" w:sz="8" w:space="0"/>
            </w:tcBorders>
            <w:shd w:val="clear" w:color="auto" w:fill="auto"/>
            <w:noWrap/>
            <w:vAlign w:val="center"/>
          </w:tcPr>
          <w:p w14:paraId="524A233D">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≤5</w:t>
            </w:r>
          </w:p>
        </w:tc>
      </w:tr>
    </w:tbl>
    <w:p w14:paraId="38E285CA">
      <w:pPr>
        <w:pStyle w:val="18"/>
        <w:spacing w:line="360" w:lineRule="auto"/>
        <w:ind w:firstLine="640"/>
        <w:rPr>
          <w:rFonts w:hint="eastAsia" w:ascii="仿宋" w:hAnsi="仿宋" w:eastAsia="仿宋" w:cs="宋体"/>
          <w:color w:val="auto"/>
          <w:sz w:val="32"/>
          <w:szCs w:val="32"/>
          <w:highlight w:val="none"/>
        </w:rPr>
      </w:pPr>
      <w:r>
        <w:rPr>
          <w:rFonts w:hint="default" w:ascii="仿宋" w:hAnsi="仿宋" w:eastAsia="仿宋" w:cs="宋体"/>
          <w:color w:val="auto"/>
          <w:sz w:val="32"/>
          <w:szCs w:val="32"/>
          <w:highlight w:val="none"/>
        </w:rPr>
        <w:t>1-11</w:t>
      </w:r>
      <w:r>
        <w:rPr>
          <w:rFonts w:hint="eastAsia" w:ascii="仿宋" w:hAnsi="仿宋" w:eastAsia="仿宋" w:cs="宋体"/>
          <w:color w:val="auto"/>
          <w:sz w:val="32"/>
          <w:szCs w:val="32"/>
          <w:highlight w:val="none"/>
        </w:rPr>
        <w:t>至</w:t>
      </w:r>
      <w:r>
        <w:rPr>
          <w:rFonts w:hint="default" w:ascii="仿宋" w:hAnsi="仿宋" w:eastAsia="仿宋" w:cs="宋体"/>
          <w:color w:val="auto"/>
          <w:sz w:val="32"/>
          <w:szCs w:val="32"/>
          <w:highlight w:val="none"/>
        </w:rPr>
        <w:t>1-12</w:t>
      </w:r>
      <w:r>
        <w:rPr>
          <w:rFonts w:hint="eastAsia" w:ascii="仿宋" w:hAnsi="仿宋" w:eastAsia="仿宋" w:cs="宋体"/>
          <w:color w:val="auto"/>
          <w:sz w:val="32"/>
          <w:szCs w:val="32"/>
          <w:highlight w:val="none"/>
        </w:rPr>
        <w:t>招标参数要求：</w:t>
      </w:r>
    </w:p>
    <w:tbl>
      <w:tblPr>
        <w:tblStyle w:val="12"/>
        <w:tblW w:w="7650" w:type="dxa"/>
        <w:jc w:val="center"/>
        <w:tblLayout w:type="autofit"/>
        <w:tblCellMar>
          <w:top w:w="0" w:type="dxa"/>
          <w:left w:w="108" w:type="dxa"/>
          <w:bottom w:w="0" w:type="dxa"/>
          <w:right w:w="108" w:type="dxa"/>
        </w:tblCellMar>
      </w:tblPr>
      <w:tblGrid>
        <w:gridCol w:w="2230"/>
        <w:gridCol w:w="933"/>
        <w:gridCol w:w="1547"/>
        <w:gridCol w:w="910"/>
        <w:gridCol w:w="1221"/>
        <w:gridCol w:w="1276"/>
      </w:tblGrid>
      <w:tr w14:paraId="31CAFF63">
        <w:tblPrEx>
          <w:tblCellMar>
            <w:top w:w="0" w:type="dxa"/>
            <w:left w:w="108" w:type="dxa"/>
            <w:bottom w:w="0" w:type="dxa"/>
            <w:right w:w="108" w:type="dxa"/>
          </w:tblCellMar>
        </w:tblPrEx>
        <w:trPr>
          <w:trHeight w:val="285" w:hRule="atLeast"/>
          <w:jc w:val="center"/>
        </w:trPr>
        <w:tc>
          <w:tcPr>
            <w:tcW w:w="765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63A5F12F">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国家合格品标准（检测标准GB/T 24988-2020）</w:t>
            </w:r>
          </w:p>
        </w:tc>
      </w:tr>
      <w:tr w14:paraId="36AA6EB2">
        <w:tblPrEx>
          <w:tblCellMar>
            <w:top w:w="0" w:type="dxa"/>
            <w:left w:w="108" w:type="dxa"/>
            <w:bottom w:w="0" w:type="dxa"/>
            <w:right w:w="108" w:type="dxa"/>
          </w:tblCellMar>
        </w:tblPrEx>
        <w:trPr>
          <w:trHeight w:val="300" w:hRule="atLeast"/>
          <w:jc w:val="center"/>
        </w:trPr>
        <w:tc>
          <w:tcPr>
            <w:tcW w:w="4243" w:type="dxa"/>
            <w:gridSpan w:val="3"/>
            <w:vMerge w:val="restart"/>
            <w:tcBorders>
              <w:top w:val="nil"/>
              <w:left w:val="single" w:color="auto" w:sz="8" w:space="0"/>
              <w:bottom w:val="single" w:color="000000" w:sz="8" w:space="0"/>
              <w:right w:val="single" w:color="000000" w:sz="8" w:space="0"/>
            </w:tcBorders>
            <w:shd w:val="clear" w:color="auto" w:fill="auto"/>
            <w:vAlign w:val="center"/>
          </w:tcPr>
          <w:p w14:paraId="69EED2C9">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指标名称</w:t>
            </w:r>
          </w:p>
        </w:tc>
        <w:tc>
          <w:tcPr>
            <w:tcW w:w="910" w:type="dxa"/>
            <w:vMerge w:val="restart"/>
            <w:tcBorders>
              <w:top w:val="nil"/>
              <w:left w:val="single" w:color="auto" w:sz="8" w:space="0"/>
              <w:bottom w:val="single" w:color="000000" w:sz="8" w:space="0"/>
              <w:right w:val="single" w:color="auto" w:sz="8" w:space="0"/>
            </w:tcBorders>
            <w:shd w:val="clear" w:color="auto" w:fill="auto"/>
            <w:vAlign w:val="center"/>
          </w:tcPr>
          <w:p w14:paraId="05FBE29D">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单位</w:t>
            </w:r>
          </w:p>
        </w:tc>
        <w:tc>
          <w:tcPr>
            <w:tcW w:w="2497" w:type="dxa"/>
            <w:gridSpan w:val="2"/>
            <w:tcBorders>
              <w:top w:val="nil"/>
              <w:left w:val="nil"/>
              <w:bottom w:val="single" w:color="auto" w:sz="8" w:space="0"/>
              <w:right w:val="single" w:color="000000" w:sz="8" w:space="0"/>
            </w:tcBorders>
            <w:shd w:val="clear" w:color="auto" w:fill="auto"/>
            <w:vAlign w:val="center"/>
          </w:tcPr>
          <w:p w14:paraId="0841BC3F">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规定</w:t>
            </w:r>
          </w:p>
        </w:tc>
      </w:tr>
      <w:tr w14:paraId="529302E0">
        <w:tblPrEx>
          <w:tblCellMar>
            <w:top w:w="0" w:type="dxa"/>
            <w:left w:w="108" w:type="dxa"/>
            <w:bottom w:w="0" w:type="dxa"/>
            <w:right w:w="108" w:type="dxa"/>
          </w:tblCellMar>
        </w:tblPrEx>
        <w:trPr>
          <w:trHeight w:val="300" w:hRule="atLeast"/>
          <w:jc w:val="center"/>
        </w:trPr>
        <w:tc>
          <w:tcPr>
            <w:tcW w:w="4243" w:type="dxa"/>
            <w:gridSpan w:val="3"/>
            <w:vMerge w:val="continue"/>
            <w:tcBorders>
              <w:top w:val="nil"/>
              <w:left w:val="single" w:color="auto" w:sz="8" w:space="0"/>
              <w:bottom w:val="single" w:color="000000" w:sz="8" w:space="0"/>
              <w:right w:val="single" w:color="000000" w:sz="8" w:space="0"/>
            </w:tcBorders>
            <w:vAlign w:val="center"/>
          </w:tcPr>
          <w:p w14:paraId="5FC23CB4">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910" w:type="dxa"/>
            <w:vMerge w:val="continue"/>
            <w:tcBorders>
              <w:top w:val="nil"/>
              <w:left w:val="single" w:color="auto" w:sz="8" w:space="0"/>
              <w:bottom w:val="single" w:color="000000" w:sz="8" w:space="0"/>
              <w:right w:val="single" w:color="auto" w:sz="8" w:space="0"/>
            </w:tcBorders>
            <w:vAlign w:val="center"/>
          </w:tcPr>
          <w:p w14:paraId="7FFF8CFA">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2497" w:type="dxa"/>
            <w:gridSpan w:val="2"/>
            <w:tcBorders>
              <w:top w:val="single" w:color="auto" w:sz="8" w:space="0"/>
              <w:left w:val="nil"/>
              <w:bottom w:val="single" w:color="auto" w:sz="8" w:space="0"/>
              <w:right w:val="single" w:color="000000" w:sz="8" w:space="0"/>
            </w:tcBorders>
            <w:shd w:val="clear" w:color="auto" w:fill="auto"/>
            <w:vAlign w:val="center"/>
          </w:tcPr>
          <w:p w14:paraId="7A4F285C">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合格品</w:t>
            </w:r>
          </w:p>
        </w:tc>
      </w:tr>
      <w:tr w14:paraId="176D5092">
        <w:tblPrEx>
          <w:tblCellMar>
            <w:top w:w="0" w:type="dxa"/>
            <w:left w:w="108" w:type="dxa"/>
            <w:bottom w:w="0" w:type="dxa"/>
            <w:right w:w="108" w:type="dxa"/>
          </w:tblCellMar>
        </w:tblPrEx>
        <w:trPr>
          <w:trHeight w:val="300" w:hRule="atLeast"/>
          <w:jc w:val="center"/>
        </w:trPr>
        <w:tc>
          <w:tcPr>
            <w:tcW w:w="4243"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11209852">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定量</w:t>
            </w:r>
          </w:p>
        </w:tc>
        <w:tc>
          <w:tcPr>
            <w:tcW w:w="910" w:type="dxa"/>
            <w:tcBorders>
              <w:top w:val="nil"/>
              <w:left w:val="nil"/>
              <w:bottom w:val="single" w:color="auto" w:sz="8" w:space="0"/>
              <w:right w:val="single" w:color="auto" w:sz="8" w:space="0"/>
            </w:tcBorders>
            <w:shd w:val="clear" w:color="auto" w:fill="auto"/>
            <w:vAlign w:val="center"/>
          </w:tcPr>
          <w:p w14:paraId="4EBF84EF">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g/m²</w:t>
            </w:r>
          </w:p>
        </w:tc>
        <w:tc>
          <w:tcPr>
            <w:tcW w:w="1221" w:type="dxa"/>
            <w:tcBorders>
              <w:top w:val="nil"/>
              <w:left w:val="nil"/>
              <w:bottom w:val="single" w:color="auto" w:sz="8" w:space="0"/>
              <w:right w:val="single" w:color="auto" w:sz="8" w:space="0"/>
            </w:tcBorders>
            <w:shd w:val="clear" w:color="auto" w:fill="auto"/>
            <w:vAlign w:val="center"/>
          </w:tcPr>
          <w:p w14:paraId="308E8CC2">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70</w:t>
            </w:r>
          </w:p>
        </w:tc>
        <w:tc>
          <w:tcPr>
            <w:tcW w:w="1276" w:type="dxa"/>
            <w:tcBorders>
              <w:top w:val="nil"/>
              <w:left w:val="nil"/>
              <w:bottom w:val="single" w:color="auto" w:sz="8" w:space="0"/>
              <w:right w:val="single" w:color="auto" w:sz="8" w:space="0"/>
            </w:tcBorders>
            <w:shd w:val="clear" w:color="auto" w:fill="auto"/>
            <w:vAlign w:val="center"/>
          </w:tcPr>
          <w:p w14:paraId="71CA31D2">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80</w:t>
            </w:r>
          </w:p>
        </w:tc>
      </w:tr>
      <w:tr w14:paraId="64AA24FE">
        <w:tblPrEx>
          <w:tblCellMar>
            <w:top w:w="0" w:type="dxa"/>
            <w:left w:w="108" w:type="dxa"/>
            <w:bottom w:w="0" w:type="dxa"/>
            <w:right w:w="108" w:type="dxa"/>
          </w:tblCellMar>
        </w:tblPrEx>
        <w:trPr>
          <w:trHeight w:val="300" w:hRule="atLeast"/>
          <w:jc w:val="center"/>
        </w:trPr>
        <w:tc>
          <w:tcPr>
            <w:tcW w:w="4243"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5257F5EB">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定量偏差</w:t>
            </w:r>
          </w:p>
        </w:tc>
        <w:tc>
          <w:tcPr>
            <w:tcW w:w="910" w:type="dxa"/>
            <w:tcBorders>
              <w:top w:val="nil"/>
              <w:left w:val="nil"/>
              <w:bottom w:val="single" w:color="auto" w:sz="8" w:space="0"/>
              <w:right w:val="single" w:color="auto" w:sz="8" w:space="0"/>
            </w:tcBorders>
            <w:shd w:val="clear" w:color="auto" w:fill="auto"/>
            <w:vAlign w:val="center"/>
          </w:tcPr>
          <w:p w14:paraId="342D29E0">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w:t>
            </w:r>
          </w:p>
        </w:tc>
        <w:tc>
          <w:tcPr>
            <w:tcW w:w="2497" w:type="dxa"/>
            <w:gridSpan w:val="2"/>
            <w:tcBorders>
              <w:top w:val="single" w:color="auto" w:sz="8" w:space="0"/>
              <w:left w:val="nil"/>
              <w:bottom w:val="single" w:color="auto" w:sz="8" w:space="0"/>
              <w:right w:val="single" w:color="000000" w:sz="8" w:space="0"/>
            </w:tcBorders>
            <w:shd w:val="clear" w:color="auto" w:fill="auto"/>
            <w:vAlign w:val="center"/>
          </w:tcPr>
          <w:p w14:paraId="48A7E1E4">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±4</w:t>
            </w:r>
          </w:p>
        </w:tc>
      </w:tr>
      <w:tr w14:paraId="18F2C972">
        <w:tblPrEx>
          <w:tblCellMar>
            <w:top w:w="0" w:type="dxa"/>
            <w:left w:w="108" w:type="dxa"/>
            <w:bottom w:w="0" w:type="dxa"/>
            <w:right w:w="108" w:type="dxa"/>
          </w:tblCellMar>
        </w:tblPrEx>
        <w:trPr>
          <w:trHeight w:val="315" w:hRule="atLeast"/>
          <w:jc w:val="center"/>
        </w:trPr>
        <w:tc>
          <w:tcPr>
            <w:tcW w:w="4243"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19C3E392">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厚度≥</w:t>
            </w:r>
          </w:p>
        </w:tc>
        <w:tc>
          <w:tcPr>
            <w:tcW w:w="910" w:type="dxa"/>
            <w:tcBorders>
              <w:top w:val="nil"/>
              <w:left w:val="nil"/>
              <w:bottom w:val="single" w:color="auto" w:sz="8" w:space="0"/>
              <w:right w:val="single" w:color="auto" w:sz="8" w:space="0"/>
            </w:tcBorders>
            <w:shd w:val="clear" w:color="auto" w:fill="auto"/>
            <w:vAlign w:val="center"/>
          </w:tcPr>
          <w:p w14:paraId="72344581">
            <w:pPr>
              <w:keepNext w:val="0"/>
              <w:keepLines w:val="0"/>
              <w:widowControl/>
              <w:suppressLineNumbers w:val="0"/>
              <w:spacing w:before="0" w:beforeAutospacing="0" w:after="0" w:afterAutospacing="0"/>
              <w:ind w:left="0" w:right="0"/>
              <w:rPr>
                <w:rFonts w:hint="default" w:ascii="Calibri" w:hAnsi="Calibri" w:eastAsia="宋体" w:cs="Calibri"/>
                <w:b/>
                <w:bCs/>
                <w:color w:val="auto"/>
                <w:kern w:val="0"/>
                <w:sz w:val="22"/>
                <w:highlight w:val="none"/>
              </w:rPr>
            </w:pPr>
            <w:r>
              <w:rPr>
                <w:rFonts w:hint="default" w:ascii="Calibri" w:hAnsi="Calibri" w:eastAsia="宋体" w:cs="Calibri"/>
                <w:b/>
                <w:bCs/>
                <w:color w:val="auto"/>
                <w:kern w:val="0"/>
                <w:sz w:val="22"/>
                <w:highlight w:val="none"/>
              </w:rPr>
              <w:t>μ</w:t>
            </w:r>
            <w:r>
              <w:rPr>
                <w:rFonts w:hint="eastAsia" w:ascii="宋体" w:hAnsi="宋体" w:eastAsia="宋体" w:cs="Calibri"/>
                <w:b/>
                <w:bCs/>
                <w:color w:val="auto"/>
                <w:kern w:val="0"/>
                <w:sz w:val="22"/>
                <w:highlight w:val="none"/>
              </w:rPr>
              <w:t>m</w:t>
            </w:r>
          </w:p>
        </w:tc>
        <w:tc>
          <w:tcPr>
            <w:tcW w:w="1221" w:type="dxa"/>
            <w:tcBorders>
              <w:top w:val="nil"/>
              <w:left w:val="nil"/>
              <w:bottom w:val="single" w:color="auto" w:sz="8" w:space="0"/>
              <w:right w:val="single" w:color="auto" w:sz="8" w:space="0"/>
            </w:tcBorders>
            <w:shd w:val="clear" w:color="auto" w:fill="auto"/>
            <w:vAlign w:val="center"/>
          </w:tcPr>
          <w:p w14:paraId="7FCE53BF">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88</w:t>
            </w:r>
          </w:p>
        </w:tc>
        <w:tc>
          <w:tcPr>
            <w:tcW w:w="1276" w:type="dxa"/>
            <w:tcBorders>
              <w:top w:val="nil"/>
              <w:left w:val="nil"/>
              <w:bottom w:val="single" w:color="auto" w:sz="8" w:space="0"/>
              <w:right w:val="single" w:color="auto" w:sz="8" w:space="0"/>
            </w:tcBorders>
            <w:shd w:val="clear" w:color="auto" w:fill="auto"/>
            <w:vAlign w:val="center"/>
          </w:tcPr>
          <w:p w14:paraId="13AF47B0">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98</w:t>
            </w:r>
          </w:p>
        </w:tc>
      </w:tr>
      <w:tr w14:paraId="2F3F720D">
        <w:tblPrEx>
          <w:tblCellMar>
            <w:top w:w="0" w:type="dxa"/>
            <w:left w:w="108" w:type="dxa"/>
            <w:bottom w:w="0" w:type="dxa"/>
            <w:right w:w="108" w:type="dxa"/>
          </w:tblCellMar>
        </w:tblPrEx>
        <w:trPr>
          <w:trHeight w:val="300" w:hRule="atLeast"/>
          <w:jc w:val="center"/>
        </w:trPr>
        <w:tc>
          <w:tcPr>
            <w:tcW w:w="2230" w:type="dxa"/>
            <w:vMerge w:val="restart"/>
            <w:tcBorders>
              <w:top w:val="nil"/>
              <w:left w:val="single" w:color="auto" w:sz="8" w:space="0"/>
              <w:bottom w:val="single" w:color="000000" w:sz="8" w:space="0"/>
              <w:right w:val="single" w:color="auto" w:sz="8" w:space="0"/>
            </w:tcBorders>
            <w:shd w:val="clear" w:color="auto" w:fill="auto"/>
            <w:vAlign w:val="center"/>
          </w:tcPr>
          <w:p w14:paraId="4669FEAD">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挺度</w:t>
            </w:r>
          </w:p>
        </w:tc>
        <w:tc>
          <w:tcPr>
            <w:tcW w:w="933" w:type="dxa"/>
            <w:vMerge w:val="restart"/>
            <w:tcBorders>
              <w:top w:val="nil"/>
              <w:left w:val="single" w:color="auto" w:sz="8" w:space="0"/>
              <w:bottom w:val="single" w:color="000000" w:sz="8" w:space="0"/>
              <w:right w:val="single" w:color="auto" w:sz="8" w:space="0"/>
            </w:tcBorders>
            <w:shd w:val="clear" w:color="auto" w:fill="auto"/>
            <w:vAlign w:val="center"/>
          </w:tcPr>
          <w:p w14:paraId="4C68F5BE">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恒速弯曲法</w:t>
            </w:r>
          </w:p>
        </w:tc>
        <w:tc>
          <w:tcPr>
            <w:tcW w:w="1080" w:type="dxa"/>
            <w:tcBorders>
              <w:top w:val="nil"/>
              <w:left w:val="nil"/>
              <w:bottom w:val="single" w:color="auto" w:sz="8" w:space="0"/>
              <w:right w:val="single" w:color="auto" w:sz="8" w:space="0"/>
            </w:tcBorders>
            <w:shd w:val="clear" w:color="auto" w:fill="auto"/>
            <w:vAlign w:val="center"/>
          </w:tcPr>
          <w:p w14:paraId="3562B8DD">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纵向≥</w:t>
            </w:r>
          </w:p>
        </w:tc>
        <w:tc>
          <w:tcPr>
            <w:tcW w:w="910" w:type="dxa"/>
            <w:vMerge w:val="restart"/>
            <w:tcBorders>
              <w:top w:val="nil"/>
              <w:left w:val="single" w:color="auto" w:sz="8" w:space="0"/>
              <w:bottom w:val="single" w:color="000000" w:sz="8" w:space="0"/>
              <w:right w:val="single" w:color="auto" w:sz="8" w:space="0"/>
            </w:tcBorders>
            <w:shd w:val="clear" w:color="auto" w:fill="auto"/>
            <w:vAlign w:val="center"/>
          </w:tcPr>
          <w:p w14:paraId="0F225DAB">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mN</w:t>
            </w:r>
          </w:p>
        </w:tc>
        <w:tc>
          <w:tcPr>
            <w:tcW w:w="1221" w:type="dxa"/>
            <w:tcBorders>
              <w:top w:val="nil"/>
              <w:left w:val="nil"/>
              <w:bottom w:val="single" w:color="auto" w:sz="8" w:space="0"/>
              <w:right w:val="single" w:color="auto" w:sz="8" w:space="0"/>
            </w:tcBorders>
            <w:shd w:val="clear" w:color="auto" w:fill="auto"/>
            <w:vAlign w:val="center"/>
          </w:tcPr>
          <w:p w14:paraId="0BB50CE8">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65</w:t>
            </w:r>
          </w:p>
        </w:tc>
        <w:tc>
          <w:tcPr>
            <w:tcW w:w="1276" w:type="dxa"/>
            <w:tcBorders>
              <w:top w:val="nil"/>
              <w:left w:val="nil"/>
              <w:bottom w:val="single" w:color="auto" w:sz="8" w:space="0"/>
              <w:right w:val="single" w:color="auto" w:sz="8" w:space="0"/>
            </w:tcBorders>
            <w:shd w:val="clear" w:color="auto" w:fill="auto"/>
            <w:vAlign w:val="center"/>
          </w:tcPr>
          <w:p w14:paraId="30A497BC">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80</w:t>
            </w:r>
          </w:p>
        </w:tc>
      </w:tr>
      <w:tr w14:paraId="5D1DA527">
        <w:tblPrEx>
          <w:tblCellMar>
            <w:top w:w="0" w:type="dxa"/>
            <w:left w:w="108" w:type="dxa"/>
            <w:bottom w:w="0" w:type="dxa"/>
            <w:right w:w="108" w:type="dxa"/>
          </w:tblCellMar>
        </w:tblPrEx>
        <w:trPr>
          <w:trHeight w:val="300" w:hRule="atLeast"/>
          <w:jc w:val="center"/>
        </w:trPr>
        <w:tc>
          <w:tcPr>
            <w:tcW w:w="2230" w:type="dxa"/>
            <w:vMerge w:val="continue"/>
            <w:tcBorders>
              <w:top w:val="nil"/>
              <w:left w:val="single" w:color="auto" w:sz="8" w:space="0"/>
              <w:bottom w:val="single" w:color="000000" w:sz="8" w:space="0"/>
              <w:right w:val="single" w:color="auto" w:sz="8" w:space="0"/>
            </w:tcBorders>
            <w:vAlign w:val="center"/>
          </w:tcPr>
          <w:p w14:paraId="6A899F81">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933" w:type="dxa"/>
            <w:vMerge w:val="continue"/>
            <w:tcBorders>
              <w:top w:val="nil"/>
              <w:left w:val="single" w:color="auto" w:sz="8" w:space="0"/>
              <w:bottom w:val="single" w:color="000000" w:sz="8" w:space="0"/>
              <w:right w:val="single" w:color="auto" w:sz="8" w:space="0"/>
            </w:tcBorders>
            <w:vAlign w:val="center"/>
          </w:tcPr>
          <w:p w14:paraId="3AC08D26">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1080" w:type="dxa"/>
            <w:tcBorders>
              <w:top w:val="nil"/>
              <w:left w:val="nil"/>
              <w:bottom w:val="single" w:color="auto" w:sz="8" w:space="0"/>
              <w:right w:val="single" w:color="auto" w:sz="8" w:space="0"/>
            </w:tcBorders>
            <w:shd w:val="clear" w:color="auto" w:fill="auto"/>
            <w:vAlign w:val="center"/>
          </w:tcPr>
          <w:p w14:paraId="227B05DB">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横向≥</w:t>
            </w:r>
          </w:p>
        </w:tc>
        <w:tc>
          <w:tcPr>
            <w:tcW w:w="910" w:type="dxa"/>
            <w:vMerge w:val="continue"/>
            <w:tcBorders>
              <w:top w:val="nil"/>
              <w:left w:val="single" w:color="auto" w:sz="8" w:space="0"/>
              <w:bottom w:val="single" w:color="000000" w:sz="8" w:space="0"/>
              <w:right w:val="single" w:color="auto" w:sz="8" w:space="0"/>
            </w:tcBorders>
            <w:vAlign w:val="center"/>
          </w:tcPr>
          <w:p w14:paraId="3AC3D5F4">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1221" w:type="dxa"/>
            <w:tcBorders>
              <w:top w:val="nil"/>
              <w:left w:val="nil"/>
              <w:bottom w:val="single" w:color="auto" w:sz="8" w:space="0"/>
              <w:right w:val="single" w:color="auto" w:sz="8" w:space="0"/>
            </w:tcBorders>
            <w:shd w:val="clear" w:color="auto" w:fill="auto"/>
            <w:vAlign w:val="center"/>
          </w:tcPr>
          <w:p w14:paraId="44657B8F">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26</w:t>
            </w:r>
          </w:p>
        </w:tc>
        <w:tc>
          <w:tcPr>
            <w:tcW w:w="1276" w:type="dxa"/>
            <w:tcBorders>
              <w:top w:val="nil"/>
              <w:left w:val="nil"/>
              <w:bottom w:val="single" w:color="auto" w:sz="8" w:space="0"/>
              <w:right w:val="single" w:color="auto" w:sz="8" w:space="0"/>
            </w:tcBorders>
            <w:shd w:val="clear" w:color="auto" w:fill="auto"/>
            <w:vAlign w:val="center"/>
          </w:tcPr>
          <w:p w14:paraId="48CB5165">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35</w:t>
            </w:r>
          </w:p>
        </w:tc>
      </w:tr>
      <w:tr w14:paraId="13AD014D">
        <w:tblPrEx>
          <w:tblCellMar>
            <w:top w:w="0" w:type="dxa"/>
            <w:left w:w="108" w:type="dxa"/>
            <w:bottom w:w="0" w:type="dxa"/>
            <w:right w:w="108" w:type="dxa"/>
          </w:tblCellMar>
        </w:tblPrEx>
        <w:trPr>
          <w:trHeight w:val="300" w:hRule="atLeast"/>
          <w:jc w:val="center"/>
        </w:trPr>
        <w:tc>
          <w:tcPr>
            <w:tcW w:w="4243"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3A121523">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平滑度（两面均）≥</w:t>
            </w:r>
          </w:p>
        </w:tc>
        <w:tc>
          <w:tcPr>
            <w:tcW w:w="910" w:type="dxa"/>
            <w:tcBorders>
              <w:top w:val="nil"/>
              <w:left w:val="nil"/>
              <w:bottom w:val="single" w:color="auto" w:sz="8" w:space="0"/>
              <w:right w:val="single" w:color="auto" w:sz="8" w:space="0"/>
            </w:tcBorders>
            <w:shd w:val="clear" w:color="auto" w:fill="auto"/>
            <w:vAlign w:val="center"/>
          </w:tcPr>
          <w:p w14:paraId="29D97744">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s</w:t>
            </w:r>
          </w:p>
        </w:tc>
        <w:tc>
          <w:tcPr>
            <w:tcW w:w="2497" w:type="dxa"/>
            <w:gridSpan w:val="2"/>
            <w:tcBorders>
              <w:top w:val="single" w:color="auto" w:sz="8" w:space="0"/>
              <w:left w:val="nil"/>
              <w:bottom w:val="single" w:color="auto" w:sz="8" w:space="0"/>
              <w:right w:val="single" w:color="000000" w:sz="8" w:space="0"/>
            </w:tcBorders>
            <w:shd w:val="clear" w:color="auto" w:fill="auto"/>
            <w:vAlign w:val="center"/>
          </w:tcPr>
          <w:p w14:paraId="0F2A0D4B">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15</w:t>
            </w:r>
          </w:p>
        </w:tc>
      </w:tr>
      <w:tr w14:paraId="395315CE">
        <w:tblPrEx>
          <w:tblCellMar>
            <w:top w:w="0" w:type="dxa"/>
            <w:left w:w="108" w:type="dxa"/>
            <w:bottom w:w="0" w:type="dxa"/>
            <w:right w:w="108" w:type="dxa"/>
          </w:tblCellMar>
        </w:tblPrEx>
        <w:trPr>
          <w:trHeight w:val="300" w:hRule="atLeast"/>
          <w:jc w:val="center"/>
        </w:trPr>
        <w:tc>
          <w:tcPr>
            <w:tcW w:w="4243"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74334AF1">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不透明度≥</w:t>
            </w:r>
          </w:p>
        </w:tc>
        <w:tc>
          <w:tcPr>
            <w:tcW w:w="910" w:type="dxa"/>
            <w:tcBorders>
              <w:top w:val="nil"/>
              <w:left w:val="nil"/>
              <w:bottom w:val="single" w:color="auto" w:sz="8" w:space="0"/>
              <w:right w:val="single" w:color="auto" w:sz="8" w:space="0"/>
            </w:tcBorders>
            <w:shd w:val="clear" w:color="auto" w:fill="auto"/>
            <w:vAlign w:val="center"/>
          </w:tcPr>
          <w:p w14:paraId="60F91015">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w:t>
            </w:r>
          </w:p>
        </w:tc>
        <w:tc>
          <w:tcPr>
            <w:tcW w:w="1221" w:type="dxa"/>
            <w:tcBorders>
              <w:top w:val="nil"/>
              <w:left w:val="nil"/>
              <w:bottom w:val="single" w:color="auto" w:sz="8" w:space="0"/>
              <w:right w:val="single" w:color="auto" w:sz="4" w:space="0"/>
            </w:tcBorders>
            <w:shd w:val="clear" w:color="auto" w:fill="auto"/>
            <w:vAlign w:val="center"/>
          </w:tcPr>
          <w:p w14:paraId="4D9CF416">
            <w:pPr>
              <w:keepNext w:val="0"/>
              <w:keepLines w:val="0"/>
              <w:widowControl/>
              <w:suppressLineNumbers w:val="0"/>
              <w:spacing w:before="0" w:beforeAutospacing="0" w:after="0" w:afterAutospacing="0"/>
              <w:ind w:left="0" w:right="0"/>
              <w:jc w:val="right"/>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86</w:t>
            </w:r>
          </w:p>
        </w:tc>
        <w:tc>
          <w:tcPr>
            <w:tcW w:w="1276" w:type="dxa"/>
            <w:tcBorders>
              <w:top w:val="nil"/>
              <w:left w:val="nil"/>
              <w:bottom w:val="single" w:color="auto" w:sz="8" w:space="0"/>
              <w:right w:val="single" w:color="auto" w:sz="8" w:space="0"/>
            </w:tcBorders>
            <w:shd w:val="clear" w:color="auto" w:fill="auto"/>
            <w:vAlign w:val="center"/>
          </w:tcPr>
          <w:p w14:paraId="111FE1A8">
            <w:pPr>
              <w:keepNext w:val="0"/>
              <w:keepLines w:val="0"/>
              <w:widowControl/>
              <w:suppressLineNumbers w:val="0"/>
              <w:spacing w:before="0" w:beforeAutospacing="0" w:after="0" w:afterAutospacing="0"/>
              <w:ind w:left="0" w:right="0"/>
              <w:jc w:val="right"/>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88</w:t>
            </w:r>
          </w:p>
        </w:tc>
      </w:tr>
      <w:tr w14:paraId="57E52D95">
        <w:tblPrEx>
          <w:tblCellMar>
            <w:top w:w="0" w:type="dxa"/>
            <w:left w:w="108" w:type="dxa"/>
            <w:bottom w:w="0" w:type="dxa"/>
            <w:right w:w="108" w:type="dxa"/>
          </w:tblCellMar>
        </w:tblPrEx>
        <w:trPr>
          <w:trHeight w:val="300" w:hRule="atLeast"/>
          <w:jc w:val="center"/>
        </w:trPr>
        <w:tc>
          <w:tcPr>
            <w:tcW w:w="4243"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5908284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D65亮度 ≤</w:t>
            </w:r>
          </w:p>
        </w:tc>
        <w:tc>
          <w:tcPr>
            <w:tcW w:w="910" w:type="dxa"/>
            <w:tcBorders>
              <w:top w:val="nil"/>
              <w:left w:val="nil"/>
              <w:bottom w:val="single" w:color="auto" w:sz="8" w:space="0"/>
              <w:right w:val="single" w:color="auto" w:sz="8" w:space="0"/>
            </w:tcBorders>
            <w:shd w:val="clear" w:color="auto" w:fill="auto"/>
            <w:vAlign w:val="center"/>
          </w:tcPr>
          <w:p w14:paraId="62145524">
            <w:pPr>
              <w:keepNext w:val="0"/>
              <w:keepLines w:val="0"/>
              <w:widowControl/>
              <w:suppressLineNumbers w:val="0"/>
              <w:spacing w:before="0" w:beforeAutospacing="0" w:after="0" w:afterAutospacing="0"/>
              <w:ind w:left="0" w:right="0"/>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p>
        </w:tc>
        <w:tc>
          <w:tcPr>
            <w:tcW w:w="2497" w:type="dxa"/>
            <w:gridSpan w:val="2"/>
            <w:tcBorders>
              <w:top w:val="single" w:color="auto" w:sz="8" w:space="0"/>
              <w:left w:val="nil"/>
              <w:bottom w:val="single" w:color="auto" w:sz="8" w:space="0"/>
              <w:right w:val="single" w:color="000000" w:sz="8" w:space="0"/>
            </w:tcBorders>
            <w:shd w:val="clear" w:color="auto" w:fill="auto"/>
            <w:vAlign w:val="center"/>
          </w:tcPr>
          <w:p w14:paraId="2557B50D">
            <w:pPr>
              <w:keepNext w:val="0"/>
              <w:keepLines w:val="0"/>
              <w:widowControl/>
              <w:suppressLineNumbers w:val="0"/>
              <w:spacing w:before="0" w:beforeAutospacing="0" w:after="0" w:afterAutospacing="0"/>
              <w:ind w:left="0" w:right="0"/>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95</w:t>
            </w:r>
          </w:p>
        </w:tc>
      </w:tr>
      <w:tr w14:paraId="6BF5ADCC">
        <w:tblPrEx>
          <w:tblCellMar>
            <w:top w:w="0" w:type="dxa"/>
            <w:left w:w="108" w:type="dxa"/>
            <w:bottom w:w="0" w:type="dxa"/>
            <w:right w:w="108" w:type="dxa"/>
          </w:tblCellMar>
        </w:tblPrEx>
        <w:trPr>
          <w:trHeight w:val="915" w:hRule="atLeast"/>
          <w:jc w:val="center"/>
        </w:trPr>
        <w:tc>
          <w:tcPr>
            <w:tcW w:w="3163" w:type="dxa"/>
            <w:gridSpan w:val="2"/>
            <w:vMerge w:val="restart"/>
            <w:tcBorders>
              <w:top w:val="single" w:color="auto" w:sz="8" w:space="0"/>
              <w:left w:val="single" w:color="auto" w:sz="8" w:space="0"/>
              <w:bottom w:val="single" w:color="000000" w:sz="8" w:space="0"/>
              <w:right w:val="single" w:color="000000" w:sz="8" w:space="0"/>
            </w:tcBorders>
            <w:shd w:val="clear" w:color="auto" w:fill="auto"/>
            <w:vAlign w:val="center"/>
          </w:tcPr>
          <w:p w14:paraId="5E21E10B">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尘埃度</w:t>
            </w:r>
          </w:p>
        </w:tc>
        <w:tc>
          <w:tcPr>
            <w:tcW w:w="1080" w:type="dxa"/>
            <w:tcBorders>
              <w:top w:val="nil"/>
              <w:left w:val="nil"/>
              <w:bottom w:val="single" w:color="auto" w:sz="8" w:space="0"/>
              <w:right w:val="single" w:color="auto" w:sz="8" w:space="0"/>
            </w:tcBorders>
            <w:shd w:val="clear" w:color="auto" w:fill="auto"/>
            <w:vAlign w:val="center"/>
          </w:tcPr>
          <w:p w14:paraId="48C78CD2">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0.3mm</w:t>
            </w:r>
            <w:r>
              <w:rPr>
                <w:rFonts w:hint="eastAsia" w:ascii="宋体" w:hAnsi="宋体" w:eastAsia="宋体" w:cs="宋体"/>
                <w:b/>
                <w:bCs/>
                <w:color w:val="auto"/>
                <w:kern w:val="0"/>
                <w:sz w:val="22"/>
                <w:highlight w:val="none"/>
                <w:vertAlign w:val="superscript"/>
              </w:rPr>
              <w:t>2</w:t>
            </w:r>
            <w:r>
              <w:rPr>
                <w:rFonts w:hint="eastAsia" w:ascii="宋体" w:hAnsi="宋体" w:eastAsia="宋体" w:cs="宋体"/>
                <w:b/>
                <w:bCs/>
                <w:color w:val="auto"/>
                <w:kern w:val="0"/>
                <w:sz w:val="22"/>
                <w:highlight w:val="none"/>
              </w:rPr>
              <w:t>-1.5mm</w:t>
            </w:r>
            <w:r>
              <w:rPr>
                <w:rFonts w:hint="eastAsia" w:ascii="宋体" w:hAnsi="宋体" w:eastAsia="宋体" w:cs="宋体"/>
                <w:b/>
                <w:bCs/>
                <w:color w:val="auto"/>
                <w:kern w:val="0"/>
                <w:sz w:val="22"/>
                <w:highlight w:val="none"/>
                <w:vertAlign w:val="superscript"/>
              </w:rPr>
              <w:t>2</w:t>
            </w:r>
            <w:r>
              <w:rPr>
                <w:rFonts w:hint="eastAsia" w:ascii="宋体" w:hAnsi="宋体" w:eastAsia="宋体" w:cs="宋体"/>
                <w:b/>
                <w:bCs/>
                <w:color w:val="auto"/>
                <w:kern w:val="0"/>
                <w:sz w:val="22"/>
                <w:highlight w:val="none"/>
              </w:rPr>
              <w:t xml:space="preserve"> ≤</w:t>
            </w:r>
          </w:p>
        </w:tc>
        <w:tc>
          <w:tcPr>
            <w:tcW w:w="910" w:type="dxa"/>
            <w:vMerge w:val="restart"/>
            <w:tcBorders>
              <w:top w:val="nil"/>
              <w:left w:val="single" w:color="auto" w:sz="8" w:space="0"/>
              <w:bottom w:val="single" w:color="000000" w:sz="8" w:space="0"/>
              <w:right w:val="single" w:color="auto" w:sz="8" w:space="0"/>
            </w:tcBorders>
            <w:shd w:val="clear" w:color="auto" w:fill="auto"/>
            <w:vAlign w:val="center"/>
          </w:tcPr>
          <w:p w14:paraId="171AE50A">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个/m</w:t>
            </w:r>
            <w:r>
              <w:rPr>
                <w:rFonts w:hint="eastAsia" w:ascii="宋体" w:hAnsi="宋体" w:eastAsia="宋体" w:cs="宋体"/>
                <w:b/>
                <w:bCs/>
                <w:color w:val="auto"/>
                <w:kern w:val="0"/>
                <w:sz w:val="22"/>
                <w:highlight w:val="none"/>
                <w:vertAlign w:val="superscript"/>
              </w:rPr>
              <w:t>2</w:t>
            </w:r>
          </w:p>
        </w:tc>
        <w:tc>
          <w:tcPr>
            <w:tcW w:w="2497" w:type="dxa"/>
            <w:gridSpan w:val="2"/>
            <w:tcBorders>
              <w:top w:val="single" w:color="auto" w:sz="8" w:space="0"/>
              <w:left w:val="nil"/>
              <w:bottom w:val="single" w:color="auto" w:sz="8" w:space="0"/>
              <w:right w:val="single" w:color="000000" w:sz="8" w:space="0"/>
            </w:tcBorders>
            <w:shd w:val="clear" w:color="auto" w:fill="auto"/>
            <w:vAlign w:val="center"/>
          </w:tcPr>
          <w:p w14:paraId="425377D0">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80</w:t>
            </w:r>
          </w:p>
        </w:tc>
      </w:tr>
      <w:tr w14:paraId="2D88A31F">
        <w:tblPrEx>
          <w:tblCellMar>
            <w:top w:w="0" w:type="dxa"/>
            <w:left w:w="108" w:type="dxa"/>
            <w:bottom w:w="0" w:type="dxa"/>
            <w:right w:w="108" w:type="dxa"/>
          </w:tblCellMar>
        </w:tblPrEx>
        <w:trPr>
          <w:trHeight w:val="330" w:hRule="atLeast"/>
          <w:jc w:val="center"/>
        </w:trPr>
        <w:tc>
          <w:tcPr>
            <w:tcW w:w="3163" w:type="dxa"/>
            <w:gridSpan w:val="2"/>
            <w:vMerge w:val="continue"/>
            <w:tcBorders>
              <w:top w:val="single" w:color="auto" w:sz="8" w:space="0"/>
              <w:left w:val="single" w:color="auto" w:sz="8" w:space="0"/>
              <w:bottom w:val="single" w:color="000000" w:sz="8" w:space="0"/>
              <w:right w:val="single" w:color="000000" w:sz="8" w:space="0"/>
            </w:tcBorders>
            <w:vAlign w:val="center"/>
          </w:tcPr>
          <w:p w14:paraId="281D94EC">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1080" w:type="dxa"/>
            <w:tcBorders>
              <w:top w:val="nil"/>
              <w:left w:val="nil"/>
              <w:bottom w:val="single" w:color="auto" w:sz="8" w:space="0"/>
              <w:right w:val="single" w:color="auto" w:sz="8" w:space="0"/>
            </w:tcBorders>
            <w:shd w:val="clear" w:color="auto" w:fill="auto"/>
            <w:vAlign w:val="center"/>
          </w:tcPr>
          <w:p w14:paraId="2E0E5238">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＞1.5mm</w:t>
            </w:r>
            <w:r>
              <w:rPr>
                <w:rFonts w:hint="eastAsia" w:ascii="宋体" w:hAnsi="宋体" w:eastAsia="宋体" w:cs="宋体"/>
                <w:b/>
                <w:bCs/>
                <w:color w:val="auto"/>
                <w:kern w:val="0"/>
                <w:sz w:val="22"/>
                <w:highlight w:val="none"/>
                <w:vertAlign w:val="superscript"/>
              </w:rPr>
              <w:t>2</w:t>
            </w:r>
          </w:p>
        </w:tc>
        <w:tc>
          <w:tcPr>
            <w:tcW w:w="910" w:type="dxa"/>
            <w:vMerge w:val="continue"/>
            <w:tcBorders>
              <w:top w:val="nil"/>
              <w:left w:val="single" w:color="auto" w:sz="8" w:space="0"/>
              <w:bottom w:val="single" w:color="000000" w:sz="8" w:space="0"/>
              <w:right w:val="single" w:color="auto" w:sz="8" w:space="0"/>
            </w:tcBorders>
            <w:vAlign w:val="center"/>
          </w:tcPr>
          <w:p w14:paraId="63D7202D">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p>
        </w:tc>
        <w:tc>
          <w:tcPr>
            <w:tcW w:w="2497" w:type="dxa"/>
            <w:gridSpan w:val="2"/>
            <w:tcBorders>
              <w:top w:val="single" w:color="auto" w:sz="8" w:space="0"/>
              <w:left w:val="nil"/>
              <w:bottom w:val="single" w:color="auto" w:sz="8" w:space="0"/>
              <w:right w:val="single" w:color="000000" w:sz="8" w:space="0"/>
            </w:tcBorders>
            <w:shd w:val="clear" w:color="auto" w:fill="auto"/>
            <w:vAlign w:val="center"/>
          </w:tcPr>
          <w:p w14:paraId="4D08D807">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不应有</w:t>
            </w:r>
          </w:p>
        </w:tc>
      </w:tr>
      <w:tr w14:paraId="2930A972">
        <w:tblPrEx>
          <w:tblCellMar>
            <w:top w:w="0" w:type="dxa"/>
            <w:left w:w="108" w:type="dxa"/>
            <w:bottom w:w="0" w:type="dxa"/>
            <w:right w:w="108" w:type="dxa"/>
          </w:tblCellMar>
        </w:tblPrEx>
        <w:trPr>
          <w:trHeight w:val="300" w:hRule="atLeast"/>
          <w:jc w:val="center"/>
        </w:trPr>
        <w:tc>
          <w:tcPr>
            <w:tcW w:w="4243"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73639D3B">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交货水分</w:t>
            </w:r>
          </w:p>
        </w:tc>
        <w:tc>
          <w:tcPr>
            <w:tcW w:w="910" w:type="dxa"/>
            <w:tcBorders>
              <w:top w:val="nil"/>
              <w:left w:val="nil"/>
              <w:bottom w:val="single" w:color="auto" w:sz="8" w:space="0"/>
              <w:right w:val="single" w:color="auto" w:sz="8" w:space="0"/>
            </w:tcBorders>
            <w:shd w:val="clear" w:color="auto" w:fill="auto"/>
            <w:vAlign w:val="center"/>
          </w:tcPr>
          <w:p w14:paraId="0822ED1E">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w:t>
            </w:r>
          </w:p>
        </w:tc>
        <w:tc>
          <w:tcPr>
            <w:tcW w:w="2497" w:type="dxa"/>
            <w:gridSpan w:val="2"/>
            <w:tcBorders>
              <w:top w:val="single" w:color="auto" w:sz="8" w:space="0"/>
              <w:left w:val="nil"/>
              <w:bottom w:val="nil"/>
              <w:right w:val="single" w:color="000000" w:sz="8" w:space="0"/>
            </w:tcBorders>
            <w:shd w:val="clear" w:color="auto" w:fill="auto"/>
            <w:vAlign w:val="center"/>
          </w:tcPr>
          <w:p w14:paraId="1AF51D40">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3.5-7.0</w:t>
            </w:r>
          </w:p>
        </w:tc>
      </w:tr>
      <w:tr w14:paraId="11AD8D06">
        <w:tblPrEx>
          <w:tblCellMar>
            <w:top w:w="0" w:type="dxa"/>
            <w:left w:w="108" w:type="dxa"/>
            <w:bottom w:w="0" w:type="dxa"/>
            <w:right w:w="108" w:type="dxa"/>
          </w:tblCellMar>
        </w:tblPrEx>
        <w:trPr>
          <w:trHeight w:val="300" w:hRule="atLeast"/>
          <w:jc w:val="center"/>
        </w:trPr>
        <w:tc>
          <w:tcPr>
            <w:tcW w:w="4243"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0B01F5B7">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可勃值（C0bb60)</w:t>
            </w:r>
          </w:p>
        </w:tc>
        <w:tc>
          <w:tcPr>
            <w:tcW w:w="910" w:type="dxa"/>
            <w:tcBorders>
              <w:top w:val="nil"/>
              <w:left w:val="nil"/>
              <w:bottom w:val="single" w:color="auto" w:sz="8" w:space="0"/>
              <w:right w:val="nil"/>
            </w:tcBorders>
            <w:shd w:val="clear" w:color="auto" w:fill="auto"/>
            <w:vAlign w:val="center"/>
          </w:tcPr>
          <w:p w14:paraId="073C424F">
            <w:pPr>
              <w:keepNext w:val="0"/>
              <w:keepLines w:val="0"/>
              <w:widowControl/>
              <w:suppressLineNumbers w:val="0"/>
              <w:spacing w:before="0" w:beforeAutospacing="0" w:after="0" w:afterAutospacing="0"/>
              <w:ind w:left="0" w:right="0"/>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g/m²</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14:paraId="03FFC8AC">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≤35</w:t>
            </w:r>
          </w:p>
        </w:tc>
        <w:tc>
          <w:tcPr>
            <w:tcW w:w="1276" w:type="dxa"/>
            <w:tcBorders>
              <w:top w:val="single" w:color="auto" w:sz="4" w:space="0"/>
              <w:left w:val="nil"/>
              <w:bottom w:val="single" w:color="auto" w:sz="4" w:space="0"/>
              <w:right w:val="single" w:color="auto" w:sz="4" w:space="0"/>
            </w:tcBorders>
            <w:shd w:val="clear" w:color="auto" w:fill="auto"/>
            <w:vAlign w:val="center"/>
          </w:tcPr>
          <w:p w14:paraId="3C078B33">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≤45</w:t>
            </w:r>
          </w:p>
        </w:tc>
      </w:tr>
      <w:tr w14:paraId="538D7257">
        <w:tblPrEx>
          <w:tblCellMar>
            <w:top w:w="0" w:type="dxa"/>
            <w:left w:w="108" w:type="dxa"/>
            <w:bottom w:w="0" w:type="dxa"/>
            <w:right w:w="108" w:type="dxa"/>
          </w:tblCellMar>
        </w:tblPrEx>
        <w:trPr>
          <w:trHeight w:val="300" w:hRule="atLeast"/>
          <w:jc w:val="center"/>
        </w:trPr>
        <w:tc>
          <w:tcPr>
            <w:tcW w:w="2230" w:type="dxa"/>
            <w:tcBorders>
              <w:top w:val="nil"/>
              <w:left w:val="single" w:color="auto" w:sz="8" w:space="0"/>
              <w:bottom w:val="single" w:color="auto" w:sz="8" w:space="0"/>
              <w:right w:val="single" w:color="auto" w:sz="8" w:space="0"/>
            </w:tcBorders>
            <w:shd w:val="clear" w:color="auto" w:fill="auto"/>
            <w:noWrap/>
            <w:vAlign w:val="center"/>
          </w:tcPr>
          <w:p w14:paraId="046D7EE4">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cs="宋体"/>
                <w:b/>
                <w:bCs/>
                <w:color w:val="auto"/>
                <w:kern w:val="0"/>
                <w:sz w:val="22"/>
                <w:highlight w:val="none"/>
                <w:lang w:val="en-US" w:eastAsia="zh-CN"/>
              </w:rPr>
              <w:t>*</w:t>
            </w:r>
            <w:r>
              <w:rPr>
                <w:rFonts w:hint="eastAsia" w:ascii="宋体" w:hAnsi="宋体" w:eastAsia="宋体" w:cs="宋体"/>
                <w:b/>
                <w:bCs/>
                <w:color w:val="auto"/>
                <w:kern w:val="0"/>
                <w:sz w:val="22"/>
                <w:highlight w:val="none"/>
              </w:rPr>
              <w:t>净含量偏差（短缺量）</w:t>
            </w:r>
          </w:p>
        </w:tc>
        <w:tc>
          <w:tcPr>
            <w:tcW w:w="933" w:type="dxa"/>
            <w:tcBorders>
              <w:top w:val="nil"/>
              <w:left w:val="nil"/>
              <w:bottom w:val="single" w:color="auto" w:sz="8" w:space="0"/>
              <w:right w:val="single" w:color="auto" w:sz="8" w:space="0"/>
            </w:tcBorders>
            <w:shd w:val="clear" w:color="auto" w:fill="auto"/>
            <w:noWrap/>
            <w:vAlign w:val="center"/>
          </w:tcPr>
          <w:p w14:paraId="65C15FAE">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1080" w:type="dxa"/>
            <w:tcBorders>
              <w:top w:val="nil"/>
              <w:left w:val="nil"/>
              <w:bottom w:val="single" w:color="auto" w:sz="8" w:space="0"/>
              <w:right w:val="single" w:color="auto" w:sz="8" w:space="0"/>
            </w:tcBorders>
            <w:shd w:val="clear" w:color="auto" w:fill="auto"/>
            <w:noWrap/>
            <w:vAlign w:val="center"/>
          </w:tcPr>
          <w:p w14:paraId="79075131">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910" w:type="dxa"/>
            <w:tcBorders>
              <w:top w:val="nil"/>
              <w:left w:val="nil"/>
              <w:bottom w:val="single" w:color="auto" w:sz="8" w:space="0"/>
              <w:right w:val="single" w:color="auto" w:sz="8" w:space="0"/>
            </w:tcBorders>
            <w:shd w:val="clear" w:color="auto" w:fill="auto"/>
            <w:noWrap/>
            <w:vAlign w:val="center"/>
          </w:tcPr>
          <w:p w14:paraId="00A6DFA8">
            <w:pPr>
              <w:keepNext w:val="0"/>
              <w:keepLines w:val="0"/>
              <w:widowControl/>
              <w:suppressLineNumbers w:val="0"/>
              <w:spacing w:before="0" w:beforeAutospacing="0" w:after="0" w:afterAutospacing="0"/>
              <w:ind w:left="0" w:right="0"/>
              <w:jc w:val="left"/>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张</w:t>
            </w:r>
          </w:p>
        </w:tc>
        <w:tc>
          <w:tcPr>
            <w:tcW w:w="2497" w:type="dxa"/>
            <w:gridSpan w:val="2"/>
            <w:tcBorders>
              <w:top w:val="nil"/>
              <w:left w:val="nil"/>
              <w:bottom w:val="single" w:color="auto" w:sz="8" w:space="0"/>
              <w:right w:val="single" w:color="000000" w:sz="8" w:space="0"/>
            </w:tcBorders>
            <w:shd w:val="clear" w:color="auto" w:fill="auto"/>
            <w:noWrap/>
            <w:vAlign w:val="center"/>
          </w:tcPr>
          <w:p w14:paraId="4C1EC049">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≤5</w:t>
            </w:r>
          </w:p>
        </w:tc>
      </w:tr>
    </w:tbl>
    <w:p w14:paraId="5F1EB9C4">
      <w:pPr>
        <w:tabs>
          <w:tab w:val="left" w:pos="5130"/>
        </w:tabs>
        <w:spacing w:line="360" w:lineRule="auto"/>
        <w:rPr>
          <w:rFonts w:ascii="宋体" w:hAnsi="宋体" w:cs="宋体"/>
          <w:color w:val="auto"/>
          <w:sz w:val="28"/>
          <w:szCs w:val="28"/>
          <w:highlight w:val="none"/>
        </w:rPr>
      </w:pPr>
    </w:p>
    <w:p w14:paraId="3E3B9D7E">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备注：</w:t>
      </w:r>
    </w:p>
    <w:p w14:paraId="02BE73B4">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*1、投标人必须在投标文件中提供复印纸A4-70g和A4-80g获得市级以上国家质量检测机构出具的产品质量检验报告，报告中的实测数据需达到上述要求，并加盖投标人公章。</w:t>
      </w:r>
    </w:p>
    <w:p w14:paraId="163A8E84">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*2、投标产品必须为全木浆产品，投标人对此应提供书面承诺函或提供相关检测证明。</w:t>
      </w:r>
    </w:p>
    <w:p w14:paraId="01FEAFA8">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*3、投标人应在投标文件中提供书面承诺函：承诺检测样纸与投标的纸张一致。</w:t>
      </w:r>
    </w:p>
    <w:p w14:paraId="44CEF9EB">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4、投标人须在递交投标文件时提供A4-70g和A4-80g两种规格复印纸样品各2包。中标供应商的样品将作为验收依据，在货物供货验收完毕后给予退还。样品需在报价截止时间前，送至厦门市湖里区云顶北路842号，厦门市政务服务中心4楼A区</w:t>
      </w:r>
      <w:r>
        <w:rPr>
          <w:rFonts w:ascii="宋体" w:hAnsi="宋体" w:cs="宋体"/>
          <w:b/>
          <w:color w:val="auto"/>
          <w:sz w:val="24"/>
          <w:szCs w:val="24"/>
          <w:highlight w:val="none"/>
        </w:rPr>
        <w:t>A440</w:t>
      </w:r>
      <w:r>
        <w:rPr>
          <w:rFonts w:hint="eastAsia" w:ascii="宋体" w:hAnsi="宋体" w:cs="宋体"/>
          <w:b/>
          <w:color w:val="auto"/>
          <w:sz w:val="24"/>
          <w:szCs w:val="24"/>
          <w:highlight w:val="none"/>
        </w:rPr>
        <w:t>样品间。</w:t>
      </w:r>
    </w:p>
    <w:p w14:paraId="45D37608">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*5、投标人必须提供书面承诺函：承诺提供的样纸与投标的纸张一致，承诺函需加盖单位公章。</w:t>
      </w:r>
    </w:p>
    <w:p w14:paraId="7538154F">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6、投标人本次投标产品的包装必须按行业通用标准包装，每500张为一包，用具有防潮性能的纸或其他材料包好、封牢。每包纸的外包装应标识明确（含批次号），以示识别。每箱内应放一张产品合格证。投标人对此必须提供书面承诺函。</w:t>
      </w:r>
    </w:p>
    <w:p w14:paraId="2706F851">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二、资格证明文件</w:t>
      </w:r>
    </w:p>
    <w:p w14:paraId="4D0FD138">
      <w:pPr>
        <w:tabs>
          <w:tab w:val="left" w:pos="5130"/>
        </w:tabs>
        <w:spacing w:line="360" w:lineRule="auto"/>
        <w:ind w:firstLine="482" w:firstLineChars="200"/>
        <w:rPr>
          <w:rFonts w:ascii="宋体" w:hAnsi="宋体" w:cs="宋体"/>
          <w:color w:val="auto"/>
          <w:sz w:val="24"/>
          <w:szCs w:val="24"/>
          <w:highlight w:val="none"/>
        </w:rPr>
      </w:pPr>
      <w:r>
        <w:rPr>
          <w:rFonts w:ascii="宋体" w:hAnsi="宋体" w:cs="宋体"/>
          <w:b/>
          <w:bCs/>
          <w:color w:val="auto"/>
          <w:sz w:val="24"/>
          <w:szCs w:val="24"/>
          <w:highlight w:val="none"/>
        </w:rPr>
        <w:t>*1、投标人应提供工商营业执照（副本）（加盖公章）的复印件，提供税务登记证及组织机构代码证复印件。投标人已提供加载有统一社会信用代码营业执照的，视为已提供税务登记证和组织机构代码证。</w:t>
      </w:r>
      <w:r>
        <w:rPr>
          <w:rFonts w:ascii="宋体" w:hAnsi="宋体" w:cs="宋体"/>
          <w:b/>
          <w:bCs/>
          <w:color w:val="auto"/>
          <w:sz w:val="24"/>
          <w:szCs w:val="24"/>
          <w:highlight w:val="none"/>
        </w:rPr>
        <w:br w:type="textWrapping"/>
      </w:r>
      <w:r>
        <w:rPr>
          <w:rFonts w:hint="eastAsia" w:ascii="宋体" w:hAnsi="宋体" w:cs="宋体"/>
          <w:b/>
          <w:bCs/>
          <w:color w:val="auto"/>
          <w:sz w:val="24"/>
          <w:szCs w:val="24"/>
          <w:highlight w:val="none"/>
        </w:rPr>
        <w:t xml:space="preserve">    *2、投标人全权代表若不是单位负责人，应提供单位授权书原件，并提供被授权代表身份证复印件</w:t>
      </w:r>
      <w:r>
        <w:rPr>
          <w:rFonts w:ascii="宋体" w:hAnsi="宋体" w:cs="宋体"/>
          <w:b/>
          <w:bCs/>
          <w:color w:val="auto"/>
          <w:sz w:val="24"/>
          <w:szCs w:val="24"/>
          <w:highlight w:val="none"/>
        </w:rPr>
        <w:t>。</w:t>
      </w:r>
    </w:p>
    <w:p w14:paraId="0CBF511A">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三、售后服务要求</w:t>
      </w:r>
    </w:p>
    <w:p w14:paraId="4A267585">
      <w:pPr>
        <w:spacing w:line="360" w:lineRule="auto"/>
        <w:ind w:firstLine="482" w:firstLineChars="200"/>
        <w:rPr>
          <w:rFonts w:ascii="宋体" w:hAnsi="宋体" w:cs="宋体"/>
          <w:b/>
          <w:color w:val="auto"/>
          <w:sz w:val="24"/>
          <w:szCs w:val="24"/>
          <w:highlight w:val="none"/>
        </w:rPr>
      </w:pPr>
      <w:r>
        <w:rPr>
          <w:rFonts w:ascii="宋体" w:hAnsi="宋体" w:cs="宋体"/>
          <w:b/>
          <w:color w:val="auto"/>
          <w:sz w:val="24"/>
          <w:szCs w:val="24"/>
          <w:highlight w:val="none"/>
        </w:rPr>
        <w:t>*1、投标人必须在投标文件中提供具体的售后服务承诺条款。</w:t>
      </w:r>
    </w:p>
    <w:p w14:paraId="15A05B91">
      <w:pPr>
        <w:spacing w:line="360" w:lineRule="auto"/>
        <w:ind w:firstLine="482" w:firstLineChars="200"/>
        <w:rPr>
          <w:rFonts w:ascii="宋体" w:hAnsi="宋体" w:cs="宋体"/>
          <w:b/>
          <w:color w:val="auto"/>
          <w:sz w:val="24"/>
          <w:szCs w:val="24"/>
          <w:highlight w:val="none"/>
        </w:rPr>
      </w:pPr>
      <w:r>
        <w:rPr>
          <w:rFonts w:ascii="宋体" w:hAnsi="宋体" w:cs="宋体"/>
          <w:b/>
          <w:color w:val="auto"/>
          <w:sz w:val="24"/>
          <w:szCs w:val="24"/>
          <w:highlight w:val="none"/>
        </w:rPr>
        <w:t>*2、本项目质量保证期：货物经客户验收合格后3个月。使用单位收到申购的复印纸后，3个月内发现质量问题，中标供应商应无条件给予更换或退货。</w:t>
      </w:r>
    </w:p>
    <w:p w14:paraId="7947088F">
      <w:pPr>
        <w:spacing w:line="360" w:lineRule="auto"/>
        <w:ind w:firstLine="482" w:firstLineChars="200"/>
        <w:rPr>
          <w:rFonts w:ascii="宋体" w:hAnsi="宋体" w:cs="宋体"/>
          <w:b/>
          <w:color w:val="auto"/>
          <w:sz w:val="24"/>
          <w:szCs w:val="24"/>
          <w:highlight w:val="none"/>
        </w:rPr>
      </w:pPr>
      <w:r>
        <w:rPr>
          <w:rFonts w:ascii="宋体" w:hAnsi="宋体" w:cs="宋体"/>
          <w:b/>
          <w:color w:val="auto"/>
          <w:sz w:val="24"/>
          <w:szCs w:val="24"/>
          <w:highlight w:val="none"/>
        </w:rPr>
        <w:t>*3、投标人须在投标文件中提供</w:t>
      </w:r>
      <w:r>
        <w:rPr>
          <w:rFonts w:hint="eastAsia" w:ascii="宋体" w:hAnsi="宋体" w:cs="宋体"/>
          <w:b/>
          <w:color w:val="auto"/>
          <w:sz w:val="24"/>
          <w:szCs w:val="24"/>
          <w:highlight w:val="none"/>
        </w:rPr>
        <w:t>书面承诺函：承诺接受《采购合同》中《服务考核细则》对其的考核并同意按考核情况处理。</w:t>
      </w:r>
    </w:p>
    <w:p w14:paraId="20383050">
      <w:pPr>
        <w:spacing w:line="360" w:lineRule="auto"/>
        <w:ind w:firstLine="482" w:firstLineChars="200"/>
        <w:rPr>
          <w:rFonts w:ascii="宋体" w:hAnsi="宋体" w:cs="宋体"/>
          <w:b/>
          <w:color w:val="auto"/>
          <w:sz w:val="24"/>
          <w:szCs w:val="24"/>
          <w:highlight w:val="none"/>
        </w:rPr>
      </w:pPr>
      <w:r>
        <w:rPr>
          <w:rFonts w:ascii="宋体" w:hAnsi="宋体" w:cs="宋体"/>
          <w:b/>
          <w:color w:val="auto"/>
          <w:sz w:val="24"/>
          <w:szCs w:val="24"/>
          <w:highlight w:val="none"/>
        </w:rPr>
        <w:t>*4、</w:t>
      </w:r>
      <w:r>
        <w:rPr>
          <w:rFonts w:hint="eastAsia" w:ascii="宋体" w:hAnsi="宋体"/>
          <w:b/>
          <w:color w:val="auto"/>
          <w:sz w:val="24"/>
          <w:szCs w:val="24"/>
          <w:highlight w:val="none"/>
        </w:rPr>
        <w:t>投标人同意共免费</w:t>
      </w:r>
      <w:r>
        <w:rPr>
          <w:rFonts w:hint="default" w:ascii="宋体" w:hAnsi="宋体"/>
          <w:b/>
          <w:color w:val="auto"/>
          <w:sz w:val="24"/>
          <w:szCs w:val="24"/>
          <w:highlight w:val="none"/>
        </w:rPr>
        <w:t>提供</w:t>
      </w:r>
      <w:r>
        <w:rPr>
          <w:rFonts w:hint="eastAsia" w:ascii="宋体" w:hAnsi="宋体"/>
          <w:b/>
          <w:color w:val="auto"/>
          <w:sz w:val="24"/>
          <w:szCs w:val="24"/>
          <w:highlight w:val="none"/>
        </w:rPr>
        <w:t>备用纸100箱，其中1-1、1-2、1-6、1-7备用纸各1</w:t>
      </w:r>
      <w:r>
        <w:rPr>
          <w:rFonts w:hint="eastAsia" w:ascii="宋体" w:hAnsi="宋体"/>
          <w:b/>
          <w:color w:val="auto"/>
          <w:sz w:val="24"/>
          <w:szCs w:val="24"/>
          <w:highlight w:val="none"/>
          <w:lang w:val="en-US" w:eastAsia="zh-CN"/>
        </w:rPr>
        <w:t>5</w:t>
      </w:r>
      <w:r>
        <w:rPr>
          <w:rFonts w:hint="eastAsia" w:ascii="宋体" w:hAnsi="宋体"/>
          <w:b/>
          <w:color w:val="auto"/>
          <w:sz w:val="24"/>
          <w:szCs w:val="24"/>
          <w:highlight w:val="none"/>
        </w:rPr>
        <w:t>箱，1-3、1-4备用纸各1</w:t>
      </w:r>
      <w:r>
        <w:rPr>
          <w:rFonts w:hint="eastAsia" w:ascii="宋体" w:hAnsi="宋体"/>
          <w:b/>
          <w:color w:val="auto"/>
          <w:sz w:val="24"/>
          <w:szCs w:val="24"/>
          <w:highlight w:val="none"/>
          <w:lang w:val="en-US" w:eastAsia="zh-CN"/>
        </w:rPr>
        <w:t>0</w:t>
      </w:r>
      <w:r>
        <w:rPr>
          <w:rFonts w:hint="eastAsia" w:ascii="宋体" w:hAnsi="宋体"/>
          <w:b/>
          <w:color w:val="auto"/>
          <w:sz w:val="24"/>
          <w:szCs w:val="24"/>
          <w:highlight w:val="none"/>
        </w:rPr>
        <w:t>箱，1-11、1-12备用纸各10箱。共免费</w:t>
      </w:r>
      <w:r>
        <w:rPr>
          <w:rFonts w:hint="default" w:ascii="宋体" w:hAnsi="宋体"/>
          <w:b/>
          <w:color w:val="auto"/>
          <w:sz w:val="24"/>
          <w:szCs w:val="24"/>
          <w:highlight w:val="none"/>
        </w:rPr>
        <w:t>提供</w:t>
      </w:r>
      <w:r>
        <w:rPr>
          <w:rFonts w:hint="eastAsia" w:ascii="宋体" w:hAnsi="宋体"/>
          <w:b/>
          <w:color w:val="auto"/>
          <w:sz w:val="24"/>
          <w:szCs w:val="24"/>
          <w:highlight w:val="none"/>
        </w:rPr>
        <w:t xml:space="preserve">试用及测试用纸1-3 </w:t>
      </w:r>
      <w:r>
        <w:rPr>
          <w:rFonts w:hint="eastAsia" w:ascii="宋体" w:hAnsi="宋体"/>
          <w:b/>
          <w:color w:val="auto"/>
          <w:sz w:val="24"/>
          <w:szCs w:val="24"/>
          <w:highlight w:val="none"/>
          <w:lang w:val="en-US" w:eastAsia="zh-CN"/>
        </w:rPr>
        <w:t xml:space="preserve"> </w:t>
      </w:r>
      <w:r>
        <w:rPr>
          <w:rFonts w:hint="eastAsia" w:ascii="宋体" w:hAnsi="宋体"/>
          <w:b/>
          <w:color w:val="auto"/>
          <w:sz w:val="24"/>
          <w:szCs w:val="24"/>
          <w:highlight w:val="none"/>
        </w:rPr>
        <w:t>200箱。且于中标后第一次供货时一并提供。备用纸、试用及测试纸归采购单位所有，由采购单位自行调配，合同期满后亦不予返还中标供应商。</w:t>
      </w:r>
    </w:p>
    <w:p w14:paraId="08F6A4FB">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5、投标人须在投标文件中提供书面承诺函：承诺如果中标，应有指定的专人、专线服务电话对产品提供优质的售后服务。售后服务电话应每周5*8工作小时响应。接到需求电话，1工作小时内电话响应，4工作小时内上门（或处理）(注:上门服务时间，主要根据采购单位、使用单位需求而定。假如使用单位需要第二天上门处理的，要根据使用单位时间上门。但是同样的，如果使用单位需要晚上19：30后上门，中标供应商也要根据使用单位的要求上门。) 。</w:t>
      </w:r>
    </w:p>
    <w:p w14:paraId="5A529C9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6、售后服务具体要求详见招标文件第四章采购合同。</w:t>
      </w:r>
    </w:p>
    <w:p w14:paraId="5ABD4BAE">
      <w:pPr>
        <w:spacing w:line="360" w:lineRule="auto"/>
        <w:ind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t>*7. 售后服务网点：投标人提供书面承诺函：承诺中标后可以提供厦门市的售后服务网点数量至少</w:t>
      </w:r>
      <w:r>
        <w:rPr>
          <w:rFonts w:ascii="宋体" w:hAnsi="宋体" w:cs="宋体"/>
          <w:b/>
          <w:color w:val="auto"/>
          <w:sz w:val="24"/>
          <w:szCs w:val="24"/>
          <w:highlight w:val="none"/>
        </w:rPr>
        <w:t>2个（含）且人员超过</w:t>
      </w:r>
      <w:r>
        <w:rPr>
          <w:rFonts w:hint="eastAsia" w:ascii="宋体" w:hAnsi="宋体" w:cs="宋体"/>
          <w:b/>
          <w:color w:val="auto"/>
          <w:sz w:val="24"/>
          <w:szCs w:val="24"/>
          <w:highlight w:val="none"/>
        </w:rPr>
        <w:t>1</w:t>
      </w:r>
      <w:r>
        <w:rPr>
          <w:rFonts w:ascii="宋体" w:hAnsi="宋体" w:cs="宋体"/>
          <w:b/>
          <w:color w:val="auto"/>
          <w:sz w:val="24"/>
          <w:szCs w:val="24"/>
          <w:highlight w:val="none"/>
        </w:rPr>
        <w:t>0个（含）。</w:t>
      </w:r>
    </w:p>
    <w:p w14:paraId="0834EBAD">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四、报价要求</w:t>
      </w:r>
    </w:p>
    <w:p w14:paraId="7593BC54">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*1、投标人报价不得超过本项目采购预算人民币42003177.8 元，且应按本项目各个品目号分别报价，各品目号报价不得超过其采购预算：品目号1-1人民币2171623.48元，品目号1-2人民币1889903.34 元，品目号1-3人民币10146080.00元，品目号1-4人民币11058606.00元，品目号1-5人民币12747709.52元，品目号1-6人民币1141735.40 元，品目号1-7人民币451753.12元，品目号1-8人民币54541.50 元，品目号1-9人民币31091.06 元，品目号1-10人民币267634.38元，品目号1-</w:t>
      </w:r>
      <w:r>
        <w:rPr>
          <w:rFonts w:hint="eastAsia" w:ascii="宋体" w:hAnsi="宋体" w:cs="宋体"/>
          <w:b/>
          <w:color w:val="auto"/>
          <w:sz w:val="24"/>
          <w:szCs w:val="24"/>
          <w:highlight w:val="none"/>
          <w:lang w:val="en-US" w:eastAsia="zh-CN"/>
        </w:rPr>
        <w:t>11</w:t>
      </w:r>
      <w:r>
        <w:rPr>
          <w:rFonts w:hint="eastAsia" w:ascii="宋体" w:hAnsi="宋体" w:cs="宋体"/>
          <w:b/>
          <w:color w:val="auto"/>
          <w:sz w:val="24"/>
          <w:szCs w:val="24"/>
          <w:highlight w:val="none"/>
        </w:rPr>
        <w:t>人民币1300000.00元，品目号1-1</w:t>
      </w:r>
      <w:r>
        <w:rPr>
          <w:rFonts w:hint="eastAsia" w:ascii="宋体" w:hAnsi="宋体" w:cs="宋体"/>
          <w:b/>
          <w:color w:val="auto"/>
          <w:sz w:val="24"/>
          <w:szCs w:val="24"/>
          <w:highlight w:val="none"/>
          <w:lang w:val="en-US" w:eastAsia="zh-CN"/>
        </w:rPr>
        <w:t>2</w:t>
      </w:r>
      <w:r>
        <w:rPr>
          <w:rFonts w:hint="eastAsia" w:ascii="宋体" w:hAnsi="宋体" w:cs="宋体"/>
          <w:b/>
          <w:color w:val="auto"/>
          <w:sz w:val="24"/>
          <w:szCs w:val="24"/>
          <w:highlight w:val="none"/>
        </w:rPr>
        <w:t xml:space="preserve">人民币742500.00元。  </w:t>
      </w:r>
    </w:p>
    <w:p w14:paraId="32C28790">
      <w:pPr>
        <w:pStyle w:val="7"/>
        <w:tabs>
          <w:tab w:val="left" w:pos="0"/>
        </w:tabs>
        <w:spacing w:line="360" w:lineRule="auto"/>
        <w:ind w:left="0"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2、投标人须以人民币报价且总报价含货物（复印纸）费、运至使用单位指定地点的运输费和伴随服务费、税费、验收等所有与完成本项目有关的一切费用（投标人可在分项报价表中详细列出报价，如果所列分项报价不含以上内容，则视为已含在报价总价中），本项目为交钥匙总包价。</w:t>
      </w:r>
    </w:p>
    <w:p w14:paraId="23154576">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*3、报价以人民币为货币单位，投标人必须列出招标货物一览表中各品目号货物的单价及总价。</w:t>
      </w:r>
    </w:p>
    <w:p w14:paraId="58D42D1F">
      <w:pPr>
        <w:spacing w:line="360" w:lineRule="auto"/>
        <w:ind w:firstLine="482" w:firstLineChars="200"/>
        <w:rPr>
          <w:rFonts w:ascii="宋体" w:hAnsi="宋体" w:cs="宋体"/>
          <w:b/>
          <w:color w:val="auto"/>
          <w:sz w:val="24"/>
          <w:szCs w:val="24"/>
          <w:highlight w:val="none"/>
        </w:rPr>
      </w:pPr>
      <w:r>
        <w:rPr>
          <w:rFonts w:hint="eastAsia" w:ascii="宋体" w:hAnsi="宋体" w:cs="宋体"/>
          <w:b/>
          <w:bCs/>
          <w:color w:val="auto"/>
          <w:sz w:val="24"/>
          <w:szCs w:val="24"/>
          <w:highlight w:val="none"/>
        </w:rPr>
        <w:t>*</w:t>
      </w:r>
      <w:r>
        <w:rPr>
          <w:rFonts w:hint="eastAsia" w:ascii="宋体" w:hAnsi="宋体" w:cs="宋体"/>
          <w:b/>
          <w:color w:val="auto"/>
          <w:sz w:val="24"/>
          <w:szCs w:val="24"/>
          <w:highlight w:val="none"/>
        </w:rPr>
        <w:t>4、投标人的投标方案与报价只能有一个，采购单位不接受有选择性的报价。</w:t>
      </w:r>
    </w:p>
    <w:p w14:paraId="2E0A13BF">
      <w:pPr>
        <w:spacing w:line="360" w:lineRule="auto"/>
        <w:ind w:firstLine="482" w:firstLineChars="200"/>
        <w:rPr>
          <w:rFonts w:ascii="宋体" w:hAnsi="宋体" w:cs="宋体"/>
          <w:b/>
          <w:color w:val="auto"/>
          <w:sz w:val="24"/>
          <w:szCs w:val="24"/>
          <w:highlight w:val="none"/>
        </w:rPr>
      </w:pPr>
      <w:r>
        <w:rPr>
          <w:rFonts w:hint="eastAsia" w:ascii="宋体" w:hAnsi="宋体" w:cs="宋体"/>
          <w:b/>
          <w:bCs/>
          <w:color w:val="auto"/>
          <w:sz w:val="24"/>
          <w:szCs w:val="24"/>
          <w:highlight w:val="none"/>
        </w:rPr>
        <w:t>*</w:t>
      </w:r>
      <w:r>
        <w:rPr>
          <w:rFonts w:hint="eastAsia" w:ascii="宋体" w:hAnsi="宋体" w:cs="宋体"/>
          <w:b/>
          <w:color w:val="auto"/>
          <w:sz w:val="24"/>
          <w:szCs w:val="24"/>
          <w:highlight w:val="none"/>
        </w:rPr>
        <w:t>5、一般情况下，中标供应商应将货物送至采购单位仓库（福建省内指定地点）集中仓储，再根据采购单位指令从仓库提货后进行二次配送至最终用户。特殊情况下，采购单位应将货物直接送至最终用户。中标供应商应具体按照《定货单》要求执行。直送最终用户的，中标供应商应承担相应的运输费用；送仓库后再送至最终用户的，中标供应商除承担运送至采购单位仓库的费用，还应同时承担从采购单位仓库运送至最终用户的二次配送费用（仅包括采购单位仓库所在地行政区域的二次配送费用，例如从厦门仓库到厦门区域范围内的最终用户）。送至仓库后再送至最终用户的，除非《定货单》另有要求，中标供应商在接到采购单位《定货单》之日起</w:t>
      </w:r>
      <w:r>
        <w:rPr>
          <w:rFonts w:ascii="宋体" w:hAnsi="宋体" w:cs="宋体"/>
          <w:b/>
          <w:color w:val="auto"/>
          <w:sz w:val="24"/>
          <w:szCs w:val="24"/>
          <w:highlight w:val="none"/>
        </w:rPr>
        <w:t>25</w:t>
      </w:r>
      <w:r>
        <w:rPr>
          <w:rFonts w:hint="eastAsia" w:ascii="宋体" w:hAnsi="宋体" w:cs="宋体"/>
          <w:b/>
          <w:color w:val="auto"/>
          <w:sz w:val="24"/>
          <w:szCs w:val="24"/>
          <w:highlight w:val="none"/>
        </w:rPr>
        <w:t>个</w:t>
      </w:r>
      <w:r>
        <w:rPr>
          <w:rFonts w:ascii="宋体" w:hAnsi="宋体" w:cs="宋体"/>
          <w:b/>
          <w:color w:val="auto"/>
          <w:sz w:val="24"/>
          <w:szCs w:val="24"/>
          <w:highlight w:val="none"/>
        </w:rPr>
        <w:t>日历</w:t>
      </w:r>
      <w:r>
        <w:rPr>
          <w:rFonts w:hint="eastAsia" w:ascii="宋体" w:hAnsi="宋体" w:cs="宋体"/>
          <w:b/>
          <w:color w:val="auto"/>
          <w:sz w:val="24"/>
          <w:szCs w:val="24"/>
          <w:highlight w:val="none"/>
        </w:rPr>
        <w:t>日内货交采购单位仓库，并于接到采购单位通知后，厦门市岛内24小时、岛外48小时，从采购单位仓库运送至最终用户。中标供应商从采购单位仓库中提货后，货物毁损、灭失的风险转移至中标供应商。若中标供应商未按约定的时间将货物送至最终用户的，采购单位将代为进行二次配送，但中标供应商应按如下费用标准向采购单位支付相应费用：</w:t>
      </w:r>
      <w:bookmarkStart w:id="0" w:name="_Hlk494308040"/>
      <w:r>
        <w:rPr>
          <w:rFonts w:hint="eastAsia" w:ascii="宋体" w:hAnsi="宋体" w:cs="宋体"/>
          <w:b/>
          <w:color w:val="auto"/>
          <w:sz w:val="24"/>
          <w:szCs w:val="24"/>
          <w:highlight w:val="none"/>
        </w:rPr>
        <w:t>按照实际订单分批入库，二次配送费用为9元/箱，仓储操作费</w:t>
      </w:r>
      <w:r>
        <w:rPr>
          <w:rFonts w:hint="eastAsia" w:ascii="宋体" w:hAnsi="宋体" w:cs="宋体"/>
          <w:b/>
          <w:color w:val="auto"/>
          <w:sz w:val="24"/>
          <w:szCs w:val="24"/>
          <w:highlight w:val="none"/>
          <w:lang w:val="en-US" w:eastAsia="zh-CN"/>
        </w:rPr>
        <w:t>6</w:t>
      </w:r>
      <w:r>
        <w:rPr>
          <w:rFonts w:hint="eastAsia" w:ascii="宋体" w:hAnsi="宋体" w:cs="宋体"/>
          <w:b/>
          <w:color w:val="auto"/>
          <w:sz w:val="24"/>
          <w:szCs w:val="24"/>
          <w:highlight w:val="none"/>
        </w:rPr>
        <w:t>元/箱。</w:t>
      </w:r>
      <w:bookmarkEnd w:id="0"/>
      <w:r>
        <w:rPr>
          <w:rFonts w:hint="eastAsia" w:ascii="宋体" w:hAnsi="宋体" w:cs="宋体"/>
          <w:b/>
          <w:color w:val="auto"/>
          <w:sz w:val="24"/>
          <w:szCs w:val="24"/>
          <w:highlight w:val="none"/>
        </w:rPr>
        <w:t>上述费用采购单位可在履约保证金或应付货款中直接扣除。中标供应商最迟在采购单位发出《定货单》之日起10个工作日内向采购单位支付二次配送费和</w:t>
      </w:r>
      <w:r>
        <w:rPr>
          <w:rFonts w:ascii="宋体" w:hAnsi="宋体" w:cs="宋体"/>
          <w:b/>
          <w:color w:val="auto"/>
          <w:sz w:val="24"/>
          <w:szCs w:val="24"/>
          <w:highlight w:val="none"/>
        </w:rPr>
        <w:t>仓储操作费</w:t>
      </w:r>
      <w:r>
        <w:rPr>
          <w:rFonts w:hint="eastAsia" w:ascii="宋体" w:hAnsi="宋体" w:cs="宋体"/>
          <w:b/>
          <w:color w:val="auto"/>
          <w:sz w:val="24"/>
          <w:szCs w:val="24"/>
          <w:highlight w:val="none"/>
        </w:rPr>
        <w:t>。</w:t>
      </w:r>
    </w:p>
    <w:p w14:paraId="6C86C45E">
      <w:pPr>
        <w:spacing w:line="360" w:lineRule="auto"/>
        <w:rPr>
          <w:rFonts w:ascii="宋体" w:hAnsi="宋体" w:cs="宋体"/>
          <w:b/>
          <w:color w:val="auto"/>
          <w:sz w:val="24"/>
          <w:szCs w:val="24"/>
          <w:highlight w:val="none"/>
        </w:rPr>
      </w:pPr>
    </w:p>
    <w:p w14:paraId="4B4591FA">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五、付款方式</w:t>
      </w:r>
    </w:p>
    <w:p w14:paraId="0B45595A">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投标人须对以下条款提供书面承诺函：</w:t>
      </w:r>
    </w:p>
    <w:p w14:paraId="01433194">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*1、交货方式：合同签订后分批供货，按批次支付货款。</w:t>
      </w:r>
    </w:p>
    <w:p w14:paraId="1E36A7AF">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*2、货交采购单位仓库的，经采购单位</w:t>
      </w:r>
      <w:r>
        <w:rPr>
          <w:rFonts w:hint="default" w:ascii="宋体" w:hAnsi="宋体" w:cs="宋体"/>
          <w:b/>
          <w:color w:val="auto"/>
          <w:sz w:val="24"/>
          <w:szCs w:val="24"/>
          <w:highlight w:val="none"/>
        </w:rPr>
        <w:t>签收</w:t>
      </w:r>
      <w:r>
        <w:rPr>
          <w:rFonts w:hint="eastAsia" w:ascii="宋体" w:hAnsi="宋体" w:cs="宋体"/>
          <w:b/>
          <w:color w:val="auto"/>
          <w:sz w:val="24"/>
          <w:szCs w:val="24"/>
          <w:highlight w:val="none"/>
        </w:rPr>
        <w:t>后，采购单位凭下列单证和文件在30个日历日内向中标供应商支付该批次货款金额100%的6个月承兑期限的银行承兑汇票（银行范围仅限下述银行：中国银行、中国农业银行 、中国工商银行、中国建设银行、中信银行、光大银行、华夏银行、广东发展银行、深圳发展银行、招商银行、上海浦东发展银行、兴业银行、民生银行和平安银行）：</w:t>
      </w:r>
    </w:p>
    <w:p w14:paraId="186E3C34">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a.金额为100%的该批次货款的一般纳税人增值税专用发票；</w:t>
      </w:r>
    </w:p>
    <w:p w14:paraId="3C5CE697">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b.中标供应商已缴纳该批货物的中标服务费的证明材料和二次配送费和</w:t>
      </w:r>
      <w:r>
        <w:rPr>
          <w:rFonts w:ascii="宋体" w:hAnsi="宋体" w:cs="宋体"/>
          <w:b/>
          <w:color w:val="auto"/>
          <w:sz w:val="24"/>
          <w:szCs w:val="24"/>
          <w:highlight w:val="none"/>
        </w:rPr>
        <w:t>仓储操作费</w:t>
      </w:r>
      <w:r>
        <w:rPr>
          <w:rFonts w:hint="eastAsia" w:ascii="宋体" w:hAnsi="宋体" w:cs="宋体"/>
          <w:b/>
          <w:color w:val="auto"/>
          <w:sz w:val="24"/>
          <w:szCs w:val="24"/>
          <w:highlight w:val="none"/>
        </w:rPr>
        <w:t>的证明材料；</w:t>
      </w:r>
    </w:p>
    <w:p w14:paraId="788526B8">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c.采购单位已收讫的该批次货物的《货物收货单》。</w:t>
      </w:r>
    </w:p>
    <w:p w14:paraId="7FD8F947">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*3、上述银行承兑汇票的贴现利息及相关贴现手续费用由中标供应商承担，中标供应商收到汇票即视为采购单位已支付货款。</w:t>
      </w:r>
    </w:p>
    <w:p w14:paraId="4D1E5400">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*4、总报价为送至采购单位指定地点的完税人民币价格；采购单位付款时，中标供应商必须提供一般纳税人增值税专用发票。否则，采购单位有权拒绝支付相应款项。</w:t>
      </w:r>
    </w:p>
    <w:p w14:paraId="1783D88D">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备注：投标人可提出比以上内容更有利于采购单位的付款方式。</w:t>
      </w:r>
    </w:p>
    <w:p w14:paraId="05017BA9">
      <w:pPr>
        <w:spacing w:line="360" w:lineRule="auto"/>
        <w:rPr>
          <w:rFonts w:ascii="宋体" w:hAnsi="宋体" w:cs="宋体"/>
          <w:b/>
          <w:color w:val="auto"/>
          <w:sz w:val="24"/>
          <w:szCs w:val="24"/>
          <w:highlight w:val="none"/>
        </w:rPr>
      </w:pPr>
    </w:p>
    <w:p w14:paraId="40509460">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六、其他要求及说明</w:t>
      </w:r>
    </w:p>
    <w:p w14:paraId="7299DA95">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*1、供货期：一年。若合同到期之日下一期采购合同尚未生效，本合同自动顺延至下一期新的合同生效之日止。</w:t>
      </w:r>
    </w:p>
    <w:p w14:paraId="15DF7B87">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*2、投标人需对交货期做出承诺，并提供</w:t>
      </w:r>
      <w:r>
        <w:rPr>
          <w:rFonts w:hint="eastAsia" w:ascii="宋体" w:hAnsi="宋体" w:cs="宋体"/>
          <w:b/>
          <w:color w:val="auto"/>
          <w:sz w:val="24"/>
          <w:szCs w:val="24"/>
          <w:highlight w:val="none"/>
          <w:lang w:val="en-US" w:eastAsia="zh-CN"/>
        </w:rPr>
        <w:t>书面</w:t>
      </w:r>
      <w:r>
        <w:rPr>
          <w:rFonts w:hint="eastAsia" w:ascii="宋体" w:hAnsi="宋体" w:cs="宋体"/>
          <w:b/>
          <w:color w:val="auto"/>
          <w:sz w:val="24"/>
          <w:szCs w:val="24"/>
          <w:highlight w:val="none"/>
        </w:rPr>
        <w:t>承诺函。其中承诺的交货期不得超过25个日历日。</w:t>
      </w:r>
    </w:p>
    <w:p w14:paraId="471FC4D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3、中标供应商应自觉接受厦门市财政局的监督管理。</w:t>
      </w:r>
    </w:p>
    <w:p w14:paraId="2F8140DA">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4、投标人必须在投标文件中提供书面承诺函：一旦中标，承诺在合同签订之日起7个日历日内向采购单位交纳履约保证金（100万元整），履约保证金形式可为转账支票或电汇凭证（不收取现金、现金支票）。履约保证金在合同签订生效后15个月后的15个工作日内一次性无息返还（扣除相应费用）。逾期未缴交的，采购单位有权取消其中标资格并上报政府采购监督管理部门。</w:t>
      </w:r>
    </w:p>
    <w:p w14:paraId="06133AC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5、采购单位有权按照合同中的《服务考核细则》对中标供应商进行考核，在下一批次重新进行招标或谈判的复印纸采购项目，年终的考核评分将作为下次采购评分中对中标供应商的商务评分中给与体现。</w:t>
      </w:r>
    </w:p>
    <w:p w14:paraId="6CA68B7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6、投标人还应在投标文件中提供能够体现公司实力的证明文件，如:</w:t>
      </w:r>
    </w:p>
    <w:p w14:paraId="4EFC447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投标人企业简介（含企业规模、组织机构、专业技术力量组成、质量管理体系等）及投标产品制造商的企业说明（企业年生产能力、雇员人数、生产工艺及自动化程度、质量管理体系、注册资金、经营时间、供货能力、报价品牌的市场占有情况等）。</w:t>
      </w:r>
    </w:p>
    <w:p w14:paraId="73374C2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（2）报价企业和投标产品如有以下情况，应在投标文件中提供相关证明文件：产品获国家部委行政主管部门以及国家质量测评机构的评奖情况证明文件。</w:t>
      </w:r>
    </w:p>
    <w:p w14:paraId="62D390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人及投标产品品牌的服务承诺方案。投标人应提供详尽周全、切实可行的售前、售中及售后服务方案和服务承诺；售后服务承诺至少应包含以下内容:投入本项目的人员管理体系；供货响应时间等；售后服务热线电话联系人、联系方式；产品质保期；采购单位反映情况及回访情况及其他需要说明的内容。</w:t>
      </w:r>
    </w:p>
    <w:p w14:paraId="6375F2B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（4）招标文件规定需要提供的其他文件及投标人认为需加以说明的其它内容。</w:t>
      </w:r>
    </w:p>
    <w:p w14:paraId="538768E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以上几个方面的文件应集中装订成册、标明页码并填写“投标文件资料清单”。由于编排混乱导致投标文件被误读或查找不到，其后果由投标人自行承担。</w:t>
      </w:r>
    </w:p>
    <w:p w14:paraId="071A3AB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7、投标人应在投标文件中列表对招标文件第二章中的商务和技术评分条款进行一对一的响应说明，并提供相应证明资料。</w:t>
      </w:r>
    </w:p>
    <w:p w14:paraId="4FCF22E4">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*8、投标人必须在投标文件中提供书面承诺函：如果</w:t>
      </w:r>
      <w:r>
        <w:rPr>
          <w:rFonts w:hint="eastAsia" w:ascii="宋体" w:hAnsi="宋体" w:cs="宋体"/>
          <w:b/>
          <w:bCs/>
          <w:color w:val="auto"/>
          <w:sz w:val="24"/>
          <w:szCs w:val="24"/>
          <w:highlight w:val="none"/>
        </w:rPr>
        <w:t>中标</w:t>
      </w:r>
      <w:r>
        <w:rPr>
          <w:rFonts w:hint="eastAsia" w:ascii="宋体" w:hAnsi="宋体" w:cs="宋体"/>
          <w:b/>
          <w:color w:val="auto"/>
          <w:sz w:val="24"/>
          <w:szCs w:val="24"/>
          <w:highlight w:val="none"/>
        </w:rPr>
        <w:t>，采购单位有权按照投标人投标文件中所提供的市级以上国家质量检测机构出具的产品质量检验报告的内容来作为产品入库的验收标准，如果无法达到投标文件中的检验报告中的数值，采购单位有权要求退货，同时有权单方面终止合同，并没收投标人的履约保证金。</w:t>
      </w:r>
    </w:p>
    <w:p w14:paraId="4AD42A8A">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*9、投标人必须在投标文件中提供书面承诺函：如获</w:t>
      </w:r>
      <w:r>
        <w:rPr>
          <w:rFonts w:hint="eastAsia" w:ascii="宋体" w:hAnsi="宋体" w:cs="宋体"/>
          <w:b/>
          <w:bCs/>
          <w:color w:val="auto"/>
          <w:sz w:val="24"/>
          <w:szCs w:val="24"/>
          <w:highlight w:val="none"/>
        </w:rPr>
        <w:t>中标</w:t>
      </w:r>
      <w:r>
        <w:rPr>
          <w:rFonts w:hint="eastAsia" w:ascii="宋体" w:hAnsi="宋体" w:cs="宋体"/>
          <w:b/>
          <w:color w:val="auto"/>
          <w:sz w:val="24"/>
          <w:szCs w:val="24"/>
          <w:highlight w:val="none"/>
        </w:rPr>
        <w:t>将配合采购单位及产品检验检测机构进行投标产品的检验检测，产品检验检测产生的一切相关费用由中标供应商承担。</w:t>
      </w:r>
    </w:p>
    <w:p w14:paraId="551FF3BC">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10、投标人必须在投标文件中提供书面承诺函：中标供应商不按采购合同履行的，采购单位有权与排位在中标供应商之后第一位的中标候选供应商签订采购合同，以此类推。并且，作为中标供应商之后第一位的中标候选供应商同意与采购单位在</w:t>
      </w:r>
      <w:r>
        <w:rPr>
          <w:rFonts w:hint="eastAsia" w:ascii="宋体" w:hAnsi="宋体" w:cs="宋体"/>
          <w:b/>
          <w:bCs/>
          <w:color w:val="auto"/>
          <w:sz w:val="24"/>
          <w:szCs w:val="24"/>
          <w:highlight w:val="none"/>
        </w:rPr>
        <w:t>中标</w:t>
      </w:r>
      <w:r>
        <w:rPr>
          <w:rFonts w:hint="eastAsia" w:ascii="宋体" w:hAnsi="宋体" w:cs="宋体"/>
          <w:b/>
          <w:color w:val="auto"/>
          <w:sz w:val="24"/>
          <w:szCs w:val="24"/>
          <w:highlight w:val="none"/>
        </w:rPr>
        <w:t>结果公示期结束后直接按其报价签订采购合同。</w:t>
      </w:r>
    </w:p>
    <w:p w14:paraId="3807E821">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11、投标人必须在投标文件中提供书面承诺函：如果中标，在履行合同期间，如果出现以下任一情况，采购单位有权单方解除合同，中标供应商应支付相当于履约保证金金额的违约金。同时，对中标供应商下述情况在厦门市政府采购网、厦门招投标网进行公示，并在三年内取消中标供应商进入大宗政府招标采购项目的投标报价：</w:t>
      </w:r>
    </w:p>
    <w:p w14:paraId="252D3056">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①违反法律法规、行业规范要求被有关部门查处的；</w:t>
      </w:r>
    </w:p>
    <w:p w14:paraId="5E396AD6">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②提供假冒伪劣产品的；</w:t>
      </w:r>
    </w:p>
    <w:p w14:paraId="143C5DA1">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③通过给回扣或变相给回扣的方式招揽业务的；</w:t>
      </w:r>
    </w:p>
    <w:p w14:paraId="1B8D2CDD">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④因产品质量或服务问题被有效投诉达三次以上的；</w:t>
      </w:r>
    </w:p>
    <w:p w14:paraId="22D38460">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⑤向有关部门、采购单位、最终使用方提供虚假信息或资料等情况的；</w:t>
      </w:r>
    </w:p>
    <w:p w14:paraId="657DD4AF">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⑥出现重大客户投诉事件（如政府采购管理部门督办事件、新闻媒体公开报道、采购业主书面发函投诉以及其他对采购单位产生严重负面影响的事件）；</w:t>
      </w:r>
    </w:p>
    <w:p w14:paraId="6A4C3499">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⑦报修率超过3%。报修率=保修期内产品质量报修有效箱次/已销售箱数*100%（已销售箱数超过100箱之后开始计算报修率）。</w:t>
      </w:r>
    </w:p>
    <w:p w14:paraId="728789E0">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12、投标人必须在投标文件中提供书面承诺函：同意在供货期间，遇合同型号价格下调，或遇纸浆期货的自然月度结算参考价格低于投标当月纸浆月度结算参考价格（xxxx元/吨）的10%，或供货价格未能达到比其它同类销售渠道、主流网站（京东、苏宁易购、国美、天猫）及政府采购网上超市（福建省、深圳市、浙江省、广东省、南京市）等的常规销售价格上的最低价至少低5%的，卖方应及时配合买方确认价格调整，且最终调整后的价格不得高于合同约定的价格（即投标价格）（以上纸浆期货月度结算参考价格参考上海期货交易所数据）。</w:t>
      </w:r>
    </w:p>
    <w:p w14:paraId="75EA22E7">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*13、投标人必须在投标文件中提供书面承诺函：若</w:t>
      </w:r>
      <w:r>
        <w:rPr>
          <w:rFonts w:hint="eastAsia" w:ascii="宋体" w:hAnsi="宋体" w:cs="宋体"/>
          <w:b/>
          <w:bCs/>
          <w:color w:val="auto"/>
          <w:sz w:val="24"/>
          <w:szCs w:val="24"/>
          <w:highlight w:val="none"/>
        </w:rPr>
        <w:t>中标</w:t>
      </w:r>
      <w:r>
        <w:rPr>
          <w:rFonts w:hint="eastAsia" w:ascii="宋体" w:hAnsi="宋体" w:cs="宋体"/>
          <w:b/>
          <w:color w:val="auto"/>
          <w:sz w:val="24"/>
          <w:szCs w:val="24"/>
          <w:highlight w:val="none"/>
        </w:rPr>
        <w:t>将无条件参与采购单位举办的壹年两次的政府大宗产品推介会，并且免费提供相应的中标产品作为样品展示，否则视为违约，投标人应按</w:t>
      </w:r>
      <w:r>
        <w:rPr>
          <w:rFonts w:hint="eastAsia" w:ascii="宋体" w:hAnsi="宋体" w:cs="宋体"/>
          <w:b/>
          <w:bCs/>
          <w:color w:val="auto"/>
          <w:sz w:val="24"/>
          <w:szCs w:val="24"/>
          <w:highlight w:val="none"/>
        </w:rPr>
        <w:t>中标</w:t>
      </w:r>
      <w:r>
        <w:rPr>
          <w:rFonts w:hint="eastAsia" w:ascii="宋体" w:hAnsi="宋体" w:cs="宋体"/>
          <w:b/>
          <w:color w:val="auto"/>
          <w:sz w:val="24"/>
          <w:szCs w:val="24"/>
          <w:highlight w:val="none"/>
        </w:rPr>
        <w:t>产品的中标单价向采购单位支付违约金，若投标人未向采购单位支付，则采购单位有权直接从履约保证金款项中直接给予扣除。</w:t>
      </w:r>
    </w:p>
    <w:p w14:paraId="37F098A5">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14、投标人必须在投标文件中提供书面承诺函：如果中标，验收时（包括初验和最终验收），投标人必须派代表参加并确认验收结果，否则视为投标人对验收意见无异议。如该批次产品在最终验收时，出现开箱破损或者故障，无法进行最终验收的，投标人承诺无条件给予更换并保证最终验收的顺畅进行。若投标人不同意更换或者配合，采购单位有权直接于中标供应商的履约保证金中扣除该批次产品及安装的等额费用。该条款可能造成的成本费用包含在投标人的产品报价中。</w:t>
      </w:r>
    </w:p>
    <w:p w14:paraId="5667994C">
      <w:pPr>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15、投标人必须在投标文件中提供书面承诺函：如果中标，因投标人产品给采购单位造成的客诉，若投标人在接到采购单位通知后3个日历日内无法解决客诉，采购单位有权自行解决客诉，并直接于投标人的履约保证金中扣除解决客诉所产生的费用。该条款可能造成的成本费用包含在投标人的产品报价中。</w:t>
      </w:r>
    </w:p>
    <w:p w14:paraId="7AC87C45">
      <w:pPr>
        <w:pStyle w:val="19"/>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*16、投标人必须在投标文件中提供书面承诺函：</w:t>
      </w:r>
      <w:r>
        <w:rPr>
          <w:rFonts w:hint="eastAsia" w:ascii="宋体" w:hAnsi="宋体" w:cs="宋体"/>
          <w:b/>
          <w:color w:val="auto"/>
          <w:kern w:val="2"/>
          <w:sz w:val="24"/>
          <w:szCs w:val="24"/>
          <w:highlight w:val="none"/>
        </w:rPr>
        <w:t>若中标，将确保任何产品型号在供货期内能够满足采购单位的需求；若在供货期内投标人有任何产品型号或配件升级变更或者停产，应至少提前一个月书面通知采购单位相关信息（包括其升级产品型号、部件及详细配置方案），经采购单位书面同意后方可按升级后的产品（或配件）供货，价格按中标单价执行，交货时间按原投标承诺的时间执行，同时，在采购单位同意之前，</w:t>
      </w:r>
      <w:r>
        <w:rPr>
          <w:rFonts w:hint="eastAsia" w:ascii="宋体" w:hAnsi="宋体" w:cs="宋体"/>
          <w:b/>
          <w:color w:val="auto"/>
          <w:sz w:val="24"/>
          <w:szCs w:val="24"/>
          <w:highlight w:val="none"/>
        </w:rPr>
        <w:t>投标人</w:t>
      </w:r>
      <w:r>
        <w:rPr>
          <w:rFonts w:hint="eastAsia" w:ascii="宋体" w:hAnsi="宋体" w:cs="宋体"/>
          <w:b/>
          <w:color w:val="auto"/>
          <w:kern w:val="2"/>
          <w:sz w:val="24"/>
          <w:szCs w:val="24"/>
          <w:highlight w:val="none"/>
        </w:rPr>
        <w:t>仍应按原承诺《定货单》的要求供货。否则，按逾期交货处理。若在合同期内投标人有任何产品型号或配件停产且无法提供符合采购单位要求的升级型号或配件则视为严重违约，投标人应按每款型号20000元向采购单位缴纳违约金。采购单位有权单方面解除中标合同，直接没收履约保证金并且有权与</w:t>
      </w:r>
      <w:r>
        <w:rPr>
          <w:rFonts w:hint="eastAsia" w:ascii="宋体" w:hAnsi="宋体" w:cs="宋体"/>
          <w:b/>
          <w:color w:val="auto"/>
          <w:sz w:val="24"/>
          <w:szCs w:val="24"/>
          <w:highlight w:val="none"/>
        </w:rPr>
        <w:t>投标人</w:t>
      </w:r>
      <w:r>
        <w:rPr>
          <w:rFonts w:hint="eastAsia" w:ascii="宋体" w:hAnsi="宋体" w:cs="宋体"/>
          <w:b/>
          <w:color w:val="auto"/>
          <w:kern w:val="2"/>
          <w:sz w:val="24"/>
          <w:szCs w:val="24"/>
          <w:highlight w:val="none"/>
        </w:rPr>
        <w:t>之后第一位的中标候选供应商签订合同。</w:t>
      </w:r>
    </w:p>
    <w:p w14:paraId="5CD92070">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17、投标人必须在投标文件中提供书面承诺函：承诺在7月-9月，11月-12月几个教育系统用户领用高峰期，将提前做好库存，在高峰期出现供货不及时的情况将双倍考核；情节严重（订单供货及时率低于90%，客户原因除外）直接扣除保证金。（注：订单供货及时率=按期供货订单数/总订单数*100%）</w:t>
      </w:r>
    </w:p>
    <w:p w14:paraId="0F650039">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18、投标人必须在投标文件中提供书面承诺函：承诺同意本项目采购的产品按照销售对象及销售区域的不同而分别与采购单位签订合同，即签订一份适用于厦门市政府机关事业单位、一份适用于福建省内其他终端用户采购合同。两份合同的总数量和总金额为本次招标采购的总数量和总金额。</w:t>
      </w:r>
    </w:p>
    <w:p w14:paraId="4A871533">
      <w:pPr>
        <w:rPr>
          <w:rFonts w:ascii="宋体" w:hAnsi="宋体" w:cs="宋体"/>
          <w:color w:val="auto"/>
          <w:sz w:val="24"/>
          <w:szCs w:val="24"/>
          <w:highlight w:val="none"/>
        </w:rPr>
      </w:pPr>
    </w:p>
    <w:p w14:paraId="2C2F762C">
      <w:pPr>
        <w:spacing w:line="360" w:lineRule="auto"/>
        <w:rPr>
          <w:rFonts w:ascii="宋体" w:hAnsi="宋体"/>
          <w:b/>
          <w:color w:val="auto"/>
          <w:sz w:val="24"/>
          <w:szCs w:val="24"/>
          <w:highlight w:val="none"/>
        </w:rPr>
      </w:pPr>
      <w:r>
        <w:rPr>
          <w:rFonts w:hint="eastAsia" w:ascii="宋体" w:hAnsi="宋体"/>
          <w:b/>
          <w:color w:val="auto"/>
          <w:sz w:val="24"/>
          <w:szCs w:val="24"/>
          <w:highlight w:val="none"/>
        </w:rPr>
        <w:t>附件：关联关系证明</w:t>
      </w:r>
    </w:p>
    <w:p w14:paraId="5749DDD3">
      <w:pPr>
        <w:spacing w:line="360" w:lineRule="auto"/>
        <w:ind w:firstLine="482" w:firstLineChars="200"/>
        <w:jc w:val="center"/>
        <w:rPr>
          <w:rFonts w:ascii="宋体" w:hAnsi="宋体"/>
          <w:b/>
          <w:color w:val="auto"/>
          <w:sz w:val="24"/>
          <w:szCs w:val="24"/>
          <w:highlight w:val="none"/>
        </w:rPr>
      </w:pPr>
      <w:r>
        <w:rPr>
          <w:rFonts w:hint="eastAsia" w:ascii="宋体" w:hAnsi="宋体"/>
          <w:b/>
          <w:color w:val="auto"/>
          <w:sz w:val="24"/>
          <w:szCs w:val="24"/>
          <w:highlight w:val="none"/>
        </w:rPr>
        <w:t>关联企业证明</w:t>
      </w:r>
    </w:p>
    <w:p w14:paraId="3E3C990E">
      <w:pPr>
        <w:spacing w:line="360" w:lineRule="auto"/>
        <w:ind w:firstLine="482" w:firstLineChars="200"/>
        <w:rPr>
          <w:rFonts w:ascii="宋体" w:hAnsi="宋体"/>
          <w:b/>
          <w:color w:val="auto"/>
          <w:sz w:val="24"/>
          <w:szCs w:val="24"/>
          <w:highlight w:val="none"/>
        </w:rPr>
      </w:pPr>
      <w:r>
        <w:rPr>
          <w:rFonts w:hint="eastAsia" w:ascii="宋体" w:hAnsi="宋体"/>
          <w:b/>
          <w:color w:val="auto"/>
          <w:sz w:val="24"/>
          <w:szCs w:val="24"/>
          <w:highlight w:val="none"/>
        </w:rPr>
        <w:t>致：</w:t>
      </w:r>
      <w:r>
        <w:rPr>
          <w:rFonts w:hint="eastAsia" w:ascii="宋体" w:hAnsi="宋体"/>
          <w:b/>
          <w:color w:val="auto"/>
          <w:sz w:val="24"/>
          <w:szCs w:val="24"/>
          <w:highlight w:val="none"/>
          <w:u w:val="single"/>
        </w:rPr>
        <w:t>（招标代理机构）</w:t>
      </w:r>
    </w:p>
    <w:p w14:paraId="6B15B2B7">
      <w:pPr>
        <w:spacing w:line="360" w:lineRule="auto"/>
        <w:ind w:firstLine="482" w:firstLineChars="200"/>
        <w:rPr>
          <w:rFonts w:ascii="宋体" w:hAnsi="宋体"/>
          <w:b/>
          <w:color w:val="auto"/>
          <w:sz w:val="24"/>
          <w:szCs w:val="24"/>
          <w:highlight w:val="none"/>
        </w:rPr>
      </w:pPr>
      <w:r>
        <w:rPr>
          <w:rFonts w:hint="eastAsia" w:ascii="宋体" w:hAnsi="宋体"/>
          <w:b/>
          <w:color w:val="auto"/>
          <w:sz w:val="24"/>
          <w:szCs w:val="24"/>
          <w:highlight w:val="none"/>
          <w:u w:val="single"/>
        </w:rPr>
        <w:t>（制造商或制造商关联企业名称）</w:t>
      </w:r>
      <w:r>
        <w:rPr>
          <w:rFonts w:hint="eastAsia" w:ascii="宋体" w:hAnsi="宋体"/>
          <w:b/>
          <w:color w:val="auto"/>
          <w:sz w:val="24"/>
          <w:szCs w:val="24"/>
          <w:highlight w:val="none"/>
        </w:rPr>
        <w:t>现在此声明，根据本项目招标文件的要求</w:t>
      </w:r>
      <w:r>
        <w:rPr>
          <w:rFonts w:hint="eastAsia" w:ascii="宋体" w:hAnsi="宋体"/>
          <w:b/>
          <w:color w:val="auto"/>
          <w:sz w:val="24"/>
          <w:szCs w:val="24"/>
          <w:highlight w:val="none"/>
          <w:u w:val="single"/>
        </w:rPr>
        <w:t>（制造商关联企业名称）是（制造商名称）</w:t>
      </w:r>
      <w:r>
        <w:rPr>
          <w:rFonts w:hint="eastAsia" w:ascii="宋体" w:hAnsi="宋体"/>
          <w:b/>
          <w:color w:val="auto"/>
          <w:sz w:val="24"/>
          <w:szCs w:val="24"/>
          <w:highlight w:val="none"/>
        </w:rPr>
        <w:t>的关联企业，</w:t>
      </w:r>
    </w:p>
    <w:p w14:paraId="6C91AAD7">
      <w:pPr>
        <w:spacing w:line="360" w:lineRule="auto"/>
        <w:ind w:firstLine="482" w:firstLineChars="200"/>
        <w:rPr>
          <w:rFonts w:ascii="宋体" w:hAnsi="宋体"/>
          <w:b/>
          <w:color w:val="auto"/>
          <w:sz w:val="24"/>
          <w:szCs w:val="24"/>
          <w:highlight w:val="none"/>
        </w:rPr>
      </w:pPr>
      <w:r>
        <w:rPr>
          <w:rFonts w:hint="eastAsia" w:ascii="宋体" w:hAnsi="宋体"/>
          <w:b/>
          <w:color w:val="auto"/>
          <w:sz w:val="24"/>
          <w:szCs w:val="24"/>
          <w:highlight w:val="none"/>
        </w:rPr>
        <w:t>特此证明。</w:t>
      </w:r>
    </w:p>
    <w:p w14:paraId="04C63DA4">
      <w:pPr>
        <w:spacing w:line="360" w:lineRule="auto"/>
        <w:ind w:firstLine="482" w:firstLineChars="200"/>
        <w:rPr>
          <w:rFonts w:ascii="宋体" w:hAnsi="宋体"/>
          <w:b/>
          <w:color w:val="auto"/>
          <w:sz w:val="24"/>
          <w:szCs w:val="24"/>
          <w:highlight w:val="none"/>
        </w:rPr>
      </w:pPr>
    </w:p>
    <w:p w14:paraId="68CA191E">
      <w:pPr>
        <w:spacing w:line="360" w:lineRule="auto"/>
        <w:ind w:firstLine="482" w:firstLineChars="200"/>
        <w:rPr>
          <w:rFonts w:ascii="宋体" w:hAnsi="宋体"/>
          <w:b/>
          <w:color w:val="auto"/>
          <w:sz w:val="24"/>
          <w:szCs w:val="24"/>
          <w:highlight w:val="none"/>
          <w:u w:val="single"/>
        </w:rPr>
      </w:pPr>
      <w:r>
        <w:rPr>
          <w:rFonts w:hint="eastAsia" w:ascii="宋体" w:hAnsi="宋体"/>
          <w:b/>
          <w:color w:val="auto"/>
          <w:sz w:val="24"/>
          <w:szCs w:val="24"/>
          <w:highlight w:val="none"/>
        </w:rPr>
        <w:t>制造商或制造商关联企业名称</w:t>
      </w:r>
      <w:r>
        <w:rPr>
          <w:rFonts w:hint="eastAsia" w:ascii="宋体" w:hAnsi="宋体"/>
          <w:b/>
          <w:color w:val="auto"/>
          <w:sz w:val="24"/>
          <w:szCs w:val="24"/>
          <w:highlight w:val="none"/>
          <w:u w:val="single"/>
        </w:rPr>
        <w:t>：</w:t>
      </w:r>
    </w:p>
    <w:p w14:paraId="40BF0C83">
      <w:pPr>
        <w:spacing w:line="360" w:lineRule="auto"/>
        <w:ind w:firstLine="482" w:firstLineChars="200"/>
        <w:rPr>
          <w:rFonts w:ascii="宋体" w:hAnsi="宋体"/>
          <w:b/>
          <w:color w:val="auto"/>
          <w:sz w:val="24"/>
          <w:szCs w:val="24"/>
          <w:highlight w:val="none"/>
        </w:rPr>
      </w:pPr>
      <w:r>
        <w:rPr>
          <w:rFonts w:hint="eastAsia" w:ascii="宋体" w:hAnsi="宋体"/>
          <w:b/>
          <w:color w:val="auto"/>
          <w:sz w:val="24"/>
          <w:szCs w:val="24"/>
          <w:highlight w:val="none"/>
        </w:rPr>
        <w:t>（盖章）日期：</w:t>
      </w:r>
    </w:p>
    <w:p w14:paraId="7EAA8627">
      <w:pPr>
        <w:tabs>
          <w:tab w:val="left" w:pos="5130"/>
        </w:tabs>
        <w:spacing w:line="360" w:lineRule="auto"/>
        <w:ind w:firstLine="480" w:firstLineChars="200"/>
        <w:rPr>
          <w:rFonts w:ascii="宋体" w:hAnsi="宋体" w:cs="宋体"/>
          <w:color w:val="auto"/>
          <w:sz w:val="24"/>
          <w:szCs w:val="24"/>
          <w:highlight w:val="none"/>
        </w:rPr>
      </w:pPr>
    </w:p>
    <w:p w14:paraId="2F238DA4">
      <w:pPr>
        <w:tabs>
          <w:tab w:val="left" w:pos="5130"/>
        </w:tabs>
        <w:spacing w:line="360" w:lineRule="auto"/>
        <w:ind w:firstLine="480" w:firstLineChars="200"/>
        <w:rPr>
          <w:rFonts w:ascii="宋体" w:hAnsi="宋体" w:cs="宋体"/>
          <w:color w:val="auto"/>
          <w:sz w:val="24"/>
          <w:szCs w:val="24"/>
          <w:highlight w:val="none"/>
        </w:rPr>
      </w:pPr>
    </w:p>
    <w:p w14:paraId="316CBE1D">
      <w:pPr>
        <w:tabs>
          <w:tab w:val="left" w:pos="5130"/>
        </w:tabs>
        <w:spacing w:line="360" w:lineRule="auto"/>
        <w:ind w:firstLine="480" w:firstLineChars="200"/>
        <w:rPr>
          <w:rFonts w:ascii="宋体" w:hAnsi="宋体" w:cs="宋体"/>
          <w:color w:val="auto"/>
          <w:sz w:val="24"/>
          <w:szCs w:val="24"/>
          <w:highlight w:val="none"/>
        </w:rPr>
      </w:pPr>
    </w:p>
    <w:p w14:paraId="2055325F">
      <w:pPr>
        <w:tabs>
          <w:tab w:val="left" w:pos="5130"/>
        </w:tabs>
        <w:spacing w:line="360" w:lineRule="auto"/>
        <w:ind w:firstLine="480" w:firstLineChars="200"/>
        <w:rPr>
          <w:rFonts w:ascii="宋体" w:hAnsi="宋体" w:cs="宋体"/>
          <w:color w:val="auto"/>
          <w:sz w:val="24"/>
          <w:szCs w:val="24"/>
          <w:highlight w:val="none"/>
        </w:rPr>
      </w:pPr>
    </w:p>
    <w:p w14:paraId="431D60A4">
      <w:pPr>
        <w:tabs>
          <w:tab w:val="left" w:pos="5130"/>
        </w:tabs>
        <w:spacing w:line="360" w:lineRule="auto"/>
        <w:ind w:firstLine="480" w:firstLineChars="200"/>
        <w:rPr>
          <w:rFonts w:ascii="宋体" w:hAnsi="宋体" w:cs="宋体"/>
          <w:color w:val="auto"/>
          <w:sz w:val="24"/>
          <w:szCs w:val="24"/>
          <w:highlight w:val="none"/>
        </w:rPr>
      </w:pPr>
    </w:p>
    <w:p w14:paraId="30500ABE">
      <w:pPr>
        <w:tabs>
          <w:tab w:val="left" w:pos="5130"/>
        </w:tabs>
        <w:spacing w:line="360" w:lineRule="auto"/>
        <w:ind w:firstLine="480" w:firstLineChars="200"/>
        <w:rPr>
          <w:rFonts w:ascii="宋体" w:hAnsi="宋体" w:cs="宋体"/>
          <w:color w:val="auto"/>
          <w:sz w:val="24"/>
          <w:szCs w:val="24"/>
          <w:highlight w:val="none"/>
        </w:rPr>
      </w:pPr>
    </w:p>
    <w:p w14:paraId="21FE71AC">
      <w:pPr>
        <w:tabs>
          <w:tab w:val="left" w:pos="5130"/>
        </w:tabs>
        <w:spacing w:line="360" w:lineRule="auto"/>
        <w:ind w:firstLine="480" w:firstLineChars="200"/>
        <w:rPr>
          <w:rFonts w:ascii="宋体" w:hAnsi="宋体" w:cs="宋体"/>
          <w:color w:val="auto"/>
          <w:sz w:val="24"/>
          <w:szCs w:val="24"/>
          <w:highlight w:val="none"/>
        </w:rPr>
      </w:pPr>
    </w:p>
    <w:p w14:paraId="447A6A1A">
      <w:pPr>
        <w:tabs>
          <w:tab w:val="left" w:pos="5130"/>
        </w:tabs>
        <w:spacing w:line="360" w:lineRule="auto"/>
        <w:ind w:firstLine="480" w:firstLineChars="200"/>
        <w:rPr>
          <w:rFonts w:ascii="宋体" w:hAnsi="宋体" w:cs="宋体"/>
          <w:color w:val="auto"/>
          <w:sz w:val="24"/>
          <w:szCs w:val="24"/>
          <w:highlight w:val="none"/>
        </w:rPr>
      </w:pPr>
    </w:p>
    <w:p w14:paraId="101BFE87">
      <w:pPr>
        <w:tabs>
          <w:tab w:val="left" w:pos="5130"/>
        </w:tabs>
        <w:spacing w:line="360" w:lineRule="auto"/>
        <w:ind w:firstLine="480" w:firstLineChars="200"/>
        <w:rPr>
          <w:rFonts w:ascii="宋体" w:hAnsi="宋体" w:cs="宋体"/>
          <w:color w:val="auto"/>
          <w:sz w:val="24"/>
          <w:szCs w:val="24"/>
          <w:highlight w:val="none"/>
        </w:rPr>
      </w:pPr>
    </w:p>
    <w:p w14:paraId="6490A647">
      <w:pPr>
        <w:tabs>
          <w:tab w:val="left" w:pos="5130"/>
        </w:tabs>
        <w:spacing w:line="360" w:lineRule="auto"/>
        <w:ind w:firstLine="480" w:firstLineChars="200"/>
        <w:rPr>
          <w:rFonts w:ascii="宋体" w:hAnsi="宋体" w:cs="宋体"/>
          <w:color w:val="auto"/>
          <w:sz w:val="24"/>
          <w:szCs w:val="24"/>
          <w:highlight w:val="none"/>
        </w:rPr>
      </w:pPr>
    </w:p>
    <w:p w14:paraId="0F430994">
      <w:pPr>
        <w:tabs>
          <w:tab w:val="left" w:pos="5130"/>
        </w:tabs>
        <w:spacing w:line="360" w:lineRule="auto"/>
        <w:ind w:firstLine="480" w:firstLineChars="200"/>
        <w:rPr>
          <w:rFonts w:ascii="宋体" w:hAnsi="宋体" w:cs="宋体"/>
          <w:color w:val="auto"/>
          <w:sz w:val="24"/>
          <w:szCs w:val="24"/>
          <w:highlight w:val="none"/>
        </w:rPr>
      </w:pPr>
    </w:p>
    <w:p w14:paraId="59B01D12">
      <w:pPr>
        <w:tabs>
          <w:tab w:val="left" w:pos="5130"/>
        </w:tabs>
        <w:spacing w:line="360" w:lineRule="auto"/>
        <w:ind w:firstLine="480" w:firstLineChars="200"/>
        <w:rPr>
          <w:rFonts w:ascii="宋体" w:hAnsi="宋体" w:cs="宋体"/>
          <w:color w:val="auto"/>
          <w:sz w:val="24"/>
          <w:szCs w:val="24"/>
          <w:highlight w:val="none"/>
        </w:rPr>
      </w:pPr>
    </w:p>
    <w:p w14:paraId="4AEC30EC">
      <w:pPr>
        <w:tabs>
          <w:tab w:val="left" w:pos="5130"/>
        </w:tabs>
        <w:spacing w:line="360" w:lineRule="auto"/>
        <w:ind w:firstLine="480" w:firstLineChars="200"/>
        <w:rPr>
          <w:rFonts w:ascii="宋体" w:hAnsi="宋体" w:cs="宋体"/>
          <w:color w:val="auto"/>
          <w:sz w:val="24"/>
          <w:szCs w:val="24"/>
          <w:highlight w:val="none"/>
        </w:rPr>
      </w:pPr>
    </w:p>
    <w:p w14:paraId="1BEFE309">
      <w:pPr>
        <w:spacing w:line="360" w:lineRule="auto"/>
        <w:rPr>
          <w:rFonts w:ascii="宋体" w:hAnsi="宋体" w:cs="宋体"/>
          <w:color w:val="auto"/>
          <w:sz w:val="32"/>
          <w:szCs w:val="32"/>
          <w:highlight w:val="none"/>
        </w:rPr>
      </w:pPr>
      <w:r>
        <w:rPr>
          <w:rFonts w:hint="eastAsia" w:ascii="宋体" w:hAnsi="宋体" w:cs="宋体"/>
          <w:b/>
          <w:color w:val="auto"/>
          <w:sz w:val="32"/>
          <w:szCs w:val="32"/>
          <w:highlight w:val="none"/>
        </w:rPr>
        <w:t>附表：</w:t>
      </w:r>
    </w:p>
    <w:p w14:paraId="0FB320E2">
      <w:pPr>
        <w:spacing w:line="360" w:lineRule="auto"/>
        <w:ind w:firstLine="630" w:firstLineChars="196"/>
        <w:jc w:val="center"/>
        <w:rPr>
          <w:rFonts w:ascii="宋体" w:hAnsi="宋体" w:cs="宋体"/>
          <w:b/>
          <w:color w:val="auto"/>
          <w:sz w:val="32"/>
          <w:szCs w:val="32"/>
          <w:highlight w:val="none"/>
        </w:rPr>
      </w:pPr>
      <w:r>
        <w:rPr>
          <w:rFonts w:hint="eastAsia" w:ascii="宋体" w:hAnsi="宋体" w:cs="宋体"/>
          <w:b/>
          <w:color w:val="auto"/>
          <w:sz w:val="32"/>
          <w:szCs w:val="32"/>
          <w:highlight w:val="none"/>
        </w:rPr>
        <w:t>技术规格及商务响应表</w:t>
      </w:r>
    </w:p>
    <w:p w14:paraId="45F1BF44">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386"/>
        <w:gridCol w:w="779"/>
        <w:gridCol w:w="935"/>
        <w:gridCol w:w="775"/>
      </w:tblGrid>
      <w:tr w14:paraId="64DC8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62" w:type="dxa"/>
            <w:gridSpan w:val="4"/>
            <w:tcBorders>
              <w:top w:val="single" w:color="auto" w:sz="4" w:space="0"/>
              <w:left w:val="single" w:color="auto" w:sz="4" w:space="0"/>
              <w:bottom w:val="single" w:color="auto" w:sz="4" w:space="0"/>
              <w:right w:val="single" w:color="auto" w:sz="4" w:space="0"/>
            </w:tcBorders>
            <w:noWrap/>
            <w:vAlign w:val="center"/>
          </w:tcPr>
          <w:p w14:paraId="10FE920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招标要求</w:t>
            </w:r>
          </w:p>
        </w:tc>
        <w:tc>
          <w:tcPr>
            <w:tcW w:w="2489" w:type="dxa"/>
            <w:gridSpan w:val="3"/>
            <w:tcBorders>
              <w:top w:val="single" w:color="auto" w:sz="4" w:space="0"/>
              <w:left w:val="single" w:color="auto" w:sz="4" w:space="0"/>
              <w:bottom w:val="single" w:color="auto" w:sz="4" w:space="0"/>
              <w:right w:val="single" w:color="auto" w:sz="4" w:space="0"/>
            </w:tcBorders>
            <w:noWrap/>
            <w:vAlign w:val="center"/>
          </w:tcPr>
          <w:p w14:paraId="72E6C39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投标响应</w:t>
            </w:r>
          </w:p>
        </w:tc>
      </w:tr>
      <w:tr w14:paraId="15957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noWrap/>
            <w:vAlign w:val="center"/>
          </w:tcPr>
          <w:p w14:paraId="02A183C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noWrap/>
            <w:vAlign w:val="center"/>
          </w:tcPr>
          <w:p w14:paraId="1BAA0D0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货物</w:t>
            </w:r>
          </w:p>
          <w:p w14:paraId="4F262E8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noWrap/>
            <w:vAlign w:val="center"/>
          </w:tcPr>
          <w:p w14:paraId="2100B48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规格</w:t>
            </w:r>
          </w:p>
          <w:p w14:paraId="71A282A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条目号</w:t>
            </w:r>
          </w:p>
        </w:tc>
        <w:tc>
          <w:tcPr>
            <w:tcW w:w="5386" w:type="dxa"/>
            <w:tcBorders>
              <w:top w:val="single" w:color="auto" w:sz="4" w:space="0"/>
              <w:left w:val="single" w:color="auto" w:sz="4" w:space="0"/>
              <w:bottom w:val="single" w:color="auto" w:sz="4" w:space="0"/>
              <w:right w:val="single" w:color="auto" w:sz="4" w:space="0"/>
            </w:tcBorders>
            <w:noWrap/>
            <w:vAlign w:val="center"/>
          </w:tcPr>
          <w:p w14:paraId="6D1CF88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招标文件要求</w:t>
            </w:r>
          </w:p>
        </w:tc>
        <w:tc>
          <w:tcPr>
            <w:tcW w:w="779" w:type="dxa"/>
            <w:tcBorders>
              <w:top w:val="single" w:color="auto" w:sz="4" w:space="0"/>
              <w:left w:val="single" w:color="auto" w:sz="4" w:space="0"/>
              <w:bottom w:val="single" w:color="auto" w:sz="4" w:space="0"/>
              <w:right w:val="single" w:color="auto" w:sz="4" w:space="0"/>
            </w:tcBorders>
            <w:noWrap/>
            <w:vAlign w:val="center"/>
          </w:tcPr>
          <w:p w14:paraId="23BA1FB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投标响应情况</w:t>
            </w:r>
          </w:p>
        </w:tc>
        <w:tc>
          <w:tcPr>
            <w:tcW w:w="935" w:type="dxa"/>
            <w:tcBorders>
              <w:top w:val="single" w:color="auto" w:sz="4" w:space="0"/>
              <w:left w:val="single" w:color="auto" w:sz="4" w:space="0"/>
              <w:bottom w:val="single" w:color="auto" w:sz="4" w:space="0"/>
              <w:right w:val="single" w:color="auto" w:sz="4" w:space="0"/>
            </w:tcBorders>
            <w:noWrap/>
            <w:vAlign w:val="center"/>
          </w:tcPr>
          <w:p w14:paraId="0F9B074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noWrap/>
            <w:vAlign w:val="center"/>
          </w:tcPr>
          <w:p w14:paraId="16D0B2A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偏离说明</w:t>
            </w:r>
          </w:p>
        </w:tc>
      </w:tr>
      <w:tr w14:paraId="5ACBF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noWrap/>
            <w:vAlign w:val="center"/>
          </w:tcPr>
          <w:p w14:paraId="44813565">
            <w:pPr>
              <w:spacing w:line="360" w:lineRule="auto"/>
              <w:rPr>
                <w:rFonts w:ascii="宋体" w:hAnsi="宋体" w:cs="宋体"/>
                <w:color w:val="auto"/>
                <w:sz w:val="24"/>
                <w:szCs w:val="24"/>
                <w:highlight w:val="none"/>
              </w:rPr>
            </w:pPr>
          </w:p>
        </w:tc>
        <w:tc>
          <w:tcPr>
            <w:tcW w:w="707" w:type="dxa"/>
            <w:vMerge w:val="restart"/>
            <w:tcBorders>
              <w:top w:val="single" w:color="auto" w:sz="4" w:space="0"/>
              <w:left w:val="single" w:color="auto" w:sz="4" w:space="0"/>
              <w:right w:val="single" w:color="auto" w:sz="4" w:space="0"/>
            </w:tcBorders>
            <w:noWrap/>
            <w:vAlign w:val="center"/>
          </w:tcPr>
          <w:p w14:paraId="6C7C6376">
            <w:pPr>
              <w:spacing w:line="360" w:lineRule="auto"/>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2155F042">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5BC17249">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C2FE91E">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0FE52AE">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39EAA26">
            <w:pPr>
              <w:spacing w:line="360" w:lineRule="auto"/>
              <w:jc w:val="center"/>
              <w:rPr>
                <w:rFonts w:ascii="宋体" w:hAnsi="宋体" w:cs="宋体"/>
                <w:color w:val="auto"/>
                <w:sz w:val="24"/>
                <w:szCs w:val="24"/>
                <w:highlight w:val="none"/>
              </w:rPr>
            </w:pPr>
          </w:p>
        </w:tc>
      </w:tr>
      <w:tr w14:paraId="68A73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387AED3">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72A5365">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37E2D17D">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0F180A9D">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7EA3C67">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0C6EDAD">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120ECB8">
            <w:pPr>
              <w:spacing w:line="360" w:lineRule="auto"/>
              <w:jc w:val="center"/>
              <w:rPr>
                <w:rFonts w:ascii="宋体" w:hAnsi="宋体" w:cs="宋体"/>
                <w:color w:val="auto"/>
                <w:sz w:val="24"/>
                <w:szCs w:val="24"/>
                <w:highlight w:val="none"/>
              </w:rPr>
            </w:pPr>
          </w:p>
        </w:tc>
      </w:tr>
      <w:tr w14:paraId="28FA7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1BE46F1">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EC5F3DA">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31C62AED">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2DBAF8EC">
            <w:pPr>
              <w:spacing w:line="360" w:lineRule="auto"/>
              <w:ind w:firstLine="482" w:firstLineChars="200"/>
              <w:rPr>
                <w:rFonts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DDE4638">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3F51F6C">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4888208">
            <w:pPr>
              <w:spacing w:line="360" w:lineRule="auto"/>
              <w:jc w:val="center"/>
              <w:rPr>
                <w:rFonts w:ascii="宋体" w:hAnsi="宋体" w:cs="宋体"/>
                <w:color w:val="auto"/>
                <w:sz w:val="24"/>
                <w:szCs w:val="24"/>
                <w:highlight w:val="none"/>
              </w:rPr>
            </w:pPr>
          </w:p>
        </w:tc>
      </w:tr>
      <w:tr w14:paraId="0DF12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4040FB9">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1C5A4BB">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402DCDBD">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7FCA60FE">
            <w:pPr>
              <w:spacing w:line="360" w:lineRule="auto"/>
              <w:rPr>
                <w:rFonts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E56756D">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CA20212">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5577BF4">
            <w:pPr>
              <w:spacing w:line="360" w:lineRule="auto"/>
              <w:jc w:val="center"/>
              <w:rPr>
                <w:rFonts w:ascii="宋体" w:hAnsi="宋体" w:cs="宋体"/>
                <w:color w:val="auto"/>
                <w:sz w:val="24"/>
                <w:szCs w:val="24"/>
                <w:highlight w:val="none"/>
              </w:rPr>
            </w:pPr>
          </w:p>
        </w:tc>
      </w:tr>
      <w:tr w14:paraId="3B980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CD0C500">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6EC97D8">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29319388">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0B7B1FD6">
            <w:pPr>
              <w:tabs>
                <w:tab w:val="left" w:pos="624"/>
                <w:tab w:val="left" w:pos="2988"/>
                <w:tab w:val="left" w:pos="7849"/>
              </w:tabs>
              <w:spacing w:line="360" w:lineRule="auto"/>
              <w:ind w:firstLine="482" w:firstLineChars="200"/>
              <w:rPr>
                <w:rFonts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08CF129C">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1C46EAF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B34E2E1">
            <w:pPr>
              <w:spacing w:line="360" w:lineRule="auto"/>
              <w:jc w:val="center"/>
              <w:rPr>
                <w:rFonts w:ascii="宋体" w:hAnsi="宋体" w:cs="宋体"/>
                <w:color w:val="auto"/>
                <w:sz w:val="24"/>
                <w:szCs w:val="24"/>
                <w:highlight w:val="none"/>
              </w:rPr>
            </w:pPr>
          </w:p>
        </w:tc>
      </w:tr>
      <w:tr w14:paraId="38E31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8FA67E4">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C056EEE">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49180688">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12815A09">
            <w:pPr>
              <w:spacing w:line="360" w:lineRule="auto"/>
              <w:ind w:firstLine="482" w:firstLineChars="200"/>
              <w:rPr>
                <w:rFonts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32EEBA9">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6B297A6">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0DEBA55">
            <w:pPr>
              <w:spacing w:line="360" w:lineRule="auto"/>
              <w:jc w:val="center"/>
              <w:rPr>
                <w:rFonts w:ascii="宋体" w:hAnsi="宋体" w:cs="宋体"/>
                <w:color w:val="auto"/>
                <w:sz w:val="24"/>
                <w:szCs w:val="24"/>
                <w:highlight w:val="none"/>
              </w:rPr>
            </w:pPr>
          </w:p>
        </w:tc>
      </w:tr>
      <w:tr w14:paraId="09D9B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6CEB4BB">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631EC9CB">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510E4F67">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75316973">
            <w:pPr>
              <w:spacing w:line="360" w:lineRule="auto"/>
              <w:ind w:firstLine="482" w:firstLineChars="200"/>
              <w:rPr>
                <w:rFonts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E21C181">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E444DE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B8CA7EC">
            <w:pPr>
              <w:spacing w:line="360" w:lineRule="auto"/>
              <w:jc w:val="center"/>
              <w:rPr>
                <w:rFonts w:ascii="宋体" w:hAnsi="宋体" w:cs="宋体"/>
                <w:color w:val="auto"/>
                <w:sz w:val="24"/>
                <w:szCs w:val="24"/>
                <w:highlight w:val="none"/>
              </w:rPr>
            </w:pPr>
          </w:p>
        </w:tc>
      </w:tr>
      <w:tr w14:paraId="70D89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6851429">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FF7C977">
            <w:pPr>
              <w:spacing w:line="360" w:lineRule="auto"/>
              <w:jc w:val="center"/>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16848AB7">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65B96786">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2DA48CE">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472CF3A">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0CAA104">
            <w:pPr>
              <w:spacing w:line="360" w:lineRule="auto"/>
              <w:jc w:val="center"/>
              <w:rPr>
                <w:rFonts w:ascii="宋体" w:hAnsi="宋体" w:cs="宋体"/>
                <w:color w:val="auto"/>
                <w:sz w:val="24"/>
                <w:szCs w:val="24"/>
                <w:highlight w:val="none"/>
              </w:rPr>
            </w:pPr>
          </w:p>
        </w:tc>
      </w:tr>
      <w:tr w14:paraId="2400D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FCC448F">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273F7C36">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B7DCB2A">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40FBA71A">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0B806DD2">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D4DA2BD">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953FA52">
            <w:pPr>
              <w:spacing w:line="360" w:lineRule="auto"/>
              <w:jc w:val="center"/>
              <w:rPr>
                <w:rFonts w:ascii="宋体" w:hAnsi="宋体" w:cs="宋体"/>
                <w:color w:val="auto"/>
                <w:sz w:val="24"/>
                <w:szCs w:val="24"/>
                <w:highlight w:val="none"/>
              </w:rPr>
            </w:pPr>
          </w:p>
        </w:tc>
      </w:tr>
      <w:tr w14:paraId="46A02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36E9A23">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88F9882">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1999E78A">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3BAE748">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2B689E5">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E8ED90B">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9C3188C">
            <w:pPr>
              <w:spacing w:line="360" w:lineRule="auto"/>
              <w:jc w:val="center"/>
              <w:rPr>
                <w:rFonts w:ascii="宋体" w:hAnsi="宋体" w:cs="宋体"/>
                <w:color w:val="auto"/>
                <w:sz w:val="24"/>
                <w:szCs w:val="24"/>
                <w:highlight w:val="none"/>
              </w:rPr>
            </w:pPr>
          </w:p>
        </w:tc>
      </w:tr>
      <w:tr w14:paraId="6A743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9F891E2">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BE5FC19">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9281C32">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19E7542A">
            <w:pPr>
              <w:tabs>
                <w:tab w:val="left" w:pos="992"/>
                <w:tab w:val="left" w:pos="1080"/>
              </w:tabs>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55C4FC9">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F28A8B4">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07E4903">
            <w:pPr>
              <w:spacing w:line="360" w:lineRule="auto"/>
              <w:jc w:val="center"/>
              <w:rPr>
                <w:rFonts w:ascii="宋体" w:hAnsi="宋体" w:cs="宋体"/>
                <w:color w:val="auto"/>
                <w:sz w:val="24"/>
                <w:szCs w:val="24"/>
                <w:highlight w:val="none"/>
              </w:rPr>
            </w:pPr>
          </w:p>
        </w:tc>
      </w:tr>
      <w:tr w14:paraId="163CB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B469BCE">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C2F1F14">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5893ECC0">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123185D2">
            <w:pPr>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235A19B9">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9AB6563">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46BC5FA">
            <w:pPr>
              <w:spacing w:line="360" w:lineRule="auto"/>
              <w:jc w:val="center"/>
              <w:rPr>
                <w:rFonts w:ascii="宋体" w:hAnsi="宋体" w:cs="宋体"/>
                <w:color w:val="auto"/>
                <w:sz w:val="24"/>
                <w:szCs w:val="24"/>
                <w:highlight w:val="none"/>
              </w:rPr>
            </w:pPr>
          </w:p>
        </w:tc>
      </w:tr>
      <w:tr w14:paraId="470A7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BDBAA5D">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02C6F06F">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576AC0E8">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2930ABAF">
            <w:pPr>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5F278F39">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B23A165">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8C70B11">
            <w:pPr>
              <w:spacing w:line="360" w:lineRule="auto"/>
              <w:jc w:val="center"/>
              <w:rPr>
                <w:rFonts w:ascii="宋体" w:hAnsi="宋体" w:cs="宋体"/>
                <w:color w:val="auto"/>
                <w:sz w:val="24"/>
                <w:szCs w:val="24"/>
                <w:highlight w:val="none"/>
              </w:rPr>
            </w:pPr>
          </w:p>
        </w:tc>
      </w:tr>
      <w:tr w14:paraId="7CDBC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2EFBCE7">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6ED9013E">
            <w:pPr>
              <w:spacing w:line="360" w:lineRule="auto"/>
              <w:jc w:val="center"/>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549EDF97">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06541871">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C2F1817">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13755CF5">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015050D">
            <w:pPr>
              <w:spacing w:line="360" w:lineRule="auto"/>
              <w:jc w:val="center"/>
              <w:rPr>
                <w:rFonts w:ascii="宋体" w:hAnsi="宋体" w:cs="宋体"/>
                <w:color w:val="auto"/>
                <w:sz w:val="24"/>
                <w:szCs w:val="24"/>
                <w:highlight w:val="none"/>
              </w:rPr>
            </w:pPr>
          </w:p>
        </w:tc>
      </w:tr>
      <w:tr w14:paraId="2CD9E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9DB6507">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B507369">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5B1837C4">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7A925D6E">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F10FB20">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4299298">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837B3E5">
            <w:pPr>
              <w:spacing w:line="360" w:lineRule="auto"/>
              <w:jc w:val="center"/>
              <w:rPr>
                <w:rFonts w:ascii="宋体" w:hAnsi="宋体" w:cs="宋体"/>
                <w:color w:val="auto"/>
                <w:sz w:val="24"/>
                <w:szCs w:val="24"/>
                <w:highlight w:val="none"/>
              </w:rPr>
            </w:pPr>
          </w:p>
        </w:tc>
      </w:tr>
      <w:tr w14:paraId="0A73F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760F8AB">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F616337">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2E5EA562">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4EB80C99">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01AE6919">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52FEC6D4">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5216E3F">
            <w:pPr>
              <w:spacing w:line="360" w:lineRule="auto"/>
              <w:jc w:val="center"/>
              <w:rPr>
                <w:rFonts w:ascii="宋体" w:hAnsi="宋体" w:cs="宋体"/>
                <w:color w:val="auto"/>
                <w:sz w:val="24"/>
                <w:szCs w:val="24"/>
                <w:highlight w:val="none"/>
              </w:rPr>
            </w:pPr>
          </w:p>
        </w:tc>
      </w:tr>
      <w:tr w14:paraId="2EA67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260425C">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AF1FF26">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351F9879">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5AA13601">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9DF8338">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2B6C16D">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48E68A3">
            <w:pPr>
              <w:spacing w:line="360" w:lineRule="auto"/>
              <w:jc w:val="center"/>
              <w:rPr>
                <w:rFonts w:ascii="宋体" w:hAnsi="宋体" w:cs="宋体"/>
                <w:color w:val="auto"/>
                <w:sz w:val="24"/>
                <w:szCs w:val="24"/>
                <w:highlight w:val="none"/>
              </w:rPr>
            </w:pPr>
          </w:p>
        </w:tc>
      </w:tr>
      <w:tr w14:paraId="791BE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EBA0525">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18E37CF">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E4726F6">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7938253">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8B7C9DA">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67F3B14">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D9C0AEE">
            <w:pPr>
              <w:spacing w:line="360" w:lineRule="auto"/>
              <w:jc w:val="center"/>
              <w:rPr>
                <w:rFonts w:ascii="宋体" w:hAnsi="宋体" w:cs="宋体"/>
                <w:color w:val="auto"/>
                <w:sz w:val="24"/>
                <w:szCs w:val="24"/>
                <w:highlight w:val="none"/>
              </w:rPr>
            </w:pPr>
          </w:p>
        </w:tc>
      </w:tr>
      <w:tr w14:paraId="009E5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D7E2F07">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C45A5F3">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27DC362D">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16A0D1EC">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AB6B4D6">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7255B33">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2141A33">
            <w:pPr>
              <w:spacing w:line="360" w:lineRule="auto"/>
              <w:jc w:val="center"/>
              <w:rPr>
                <w:rFonts w:ascii="宋体" w:hAnsi="宋体" w:cs="宋体"/>
                <w:color w:val="auto"/>
                <w:sz w:val="24"/>
                <w:szCs w:val="24"/>
                <w:highlight w:val="none"/>
              </w:rPr>
            </w:pPr>
          </w:p>
        </w:tc>
      </w:tr>
      <w:tr w14:paraId="7B19F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6B51663">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12F343A">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97235AB">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52D3971F">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593D0C9">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D1063F7">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8964751">
            <w:pPr>
              <w:spacing w:line="360" w:lineRule="auto"/>
              <w:jc w:val="center"/>
              <w:rPr>
                <w:rFonts w:ascii="宋体" w:hAnsi="宋体" w:cs="宋体"/>
                <w:color w:val="auto"/>
                <w:sz w:val="24"/>
                <w:szCs w:val="24"/>
                <w:highlight w:val="none"/>
              </w:rPr>
            </w:pPr>
          </w:p>
        </w:tc>
      </w:tr>
      <w:tr w14:paraId="4728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DCF2BDE">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28842013">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20C562F2">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2BC7C91">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2F922E46">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44F2D1C">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CD88CC7">
            <w:pPr>
              <w:spacing w:line="360" w:lineRule="auto"/>
              <w:jc w:val="center"/>
              <w:rPr>
                <w:rFonts w:ascii="宋体" w:hAnsi="宋体" w:cs="宋体"/>
                <w:color w:val="auto"/>
                <w:sz w:val="24"/>
                <w:szCs w:val="24"/>
                <w:highlight w:val="none"/>
              </w:rPr>
            </w:pPr>
          </w:p>
        </w:tc>
      </w:tr>
      <w:tr w14:paraId="5FEB7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E24A2C5">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6A4A723B">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4295B23F">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57927DFD">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F5EE3E6">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4498DF6F">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9B9B7AA">
            <w:pPr>
              <w:spacing w:line="360" w:lineRule="auto"/>
              <w:jc w:val="center"/>
              <w:rPr>
                <w:rFonts w:ascii="宋体" w:hAnsi="宋体" w:cs="宋体"/>
                <w:color w:val="auto"/>
                <w:sz w:val="24"/>
                <w:szCs w:val="24"/>
                <w:highlight w:val="none"/>
              </w:rPr>
            </w:pPr>
          </w:p>
        </w:tc>
      </w:tr>
      <w:tr w14:paraId="2F179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68AFDFD">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289F723B">
            <w:pPr>
              <w:spacing w:line="360" w:lineRule="auto"/>
              <w:jc w:val="center"/>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0742A648">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41A12A8A">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0B0E8F5B">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A94CC76">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8B5D4EB">
            <w:pPr>
              <w:spacing w:line="360" w:lineRule="auto"/>
              <w:jc w:val="center"/>
              <w:rPr>
                <w:rFonts w:ascii="宋体" w:hAnsi="宋体" w:cs="宋体"/>
                <w:color w:val="auto"/>
                <w:sz w:val="24"/>
                <w:szCs w:val="24"/>
                <w:highlight w:val="none"/>
              </w:rPr>
            </w:pPr>
          </w:p>
        </w:tc>
      </w:tr>
      <w:tr w14:paraId="244B9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44CD53B">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B2E8838">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7A0760E">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469BF83">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19C436C">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83E06A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272B212">
            <w:pPr>
              <w:spacing w:line="360" w:lineRule="auto"/>
              <w:jc w:val="center"/>
              <w:rPr>
                <w:rFonts w:ascii="宋体" w:hAnsi="宋体" w:cs="宋体"/>
                <w:color w:val="auto"/>
                <w:sz w:val="24"/>
                <w:szCs w:val="24"/>
                <w:highlight w:val="none"/>
              </w:rPr>
            </w:pPr>
          </w:p>
        </w:tc>
      </w:tr>
      <w:tr w14:paraId="37AE3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80610AB">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C1013D6">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0BDACFE4">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07D93B46">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C27895A">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F1CE8DE">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0D8AAE5">
            <w:pPr>
              <w:spacing w:line="360" w:lineRule="auto"/>
              <w:jc w:val="center"/>
              <w:rPr>
                <w:rFonts w:ascii="宋体" w:hAnsi="宋体" w:cs="宋体"/>
                <w:color w:val="auto"/>
                <w:sz w:val="24"/>
                <w:szCs w:val="24"/>
                <w:highlight w:val="none"/>
              </w:rPr>
            </w:pPr>
          </w:p>
        </w:tc>
      </w:tr>
      <w:tr w14:paraId="79D3C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9D5881E">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5AD81294">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08888DA3">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56FEE254">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6521655">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FA5034F">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B34EA6C">
            <w:pPr>
              <w:spacing w:line="360" w:lineRule="auto"/>
              <w:jc w:val="center"/>
              <w:rPr>
                <w:rFonts w:ascii="宋体" w:hAnsi="宋体" w:cs="宋体"/>
                <w:color w:val="auto"/>
                <w:sz w:val="24"/>
                <w:szCs w:val="24"/>
                <w:highlight w:val="none"/>
              </w:rPr>
            </w:pPr>
          </w:p>
        </w:tc>
      </w:tr>
      <w:tr w14:paraId="20A41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4D89AB9">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92E7BC5">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1ADE7511">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BDCA32C">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82C12FB">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4DB4187">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C6D680E">
            <w:pPr>
              <w:spacing w:line="360" w:lineRule="auto"/>
              <w:jc w:val="center"/>
              <w:rPr>
                <w:rFonts w:ascii="宋体" w:hAnsi="宋体" w:cs="宋体"/>
                <w:color w:val="auto"/>
                <w:sz w:val="24"/>
                <w:szCs w:val="24"/>
                <w:highlight w:val="none"/>
              </w:rPr>
            </w:pPr>
          </w:p>
        </w:tc>
      </w:tr>
      <w:tr w14:paraId="4BDFC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81CE795">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0BA7D2EB">
            <w:pPr>
              <w:spacing w:line="360" w:lineRule="auto"/>
              <w:jc w:val="center"/>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5B27133B">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183F9664">
            <w:pPr>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0E3B4C5">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1B7E341">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0F7BFF1">
            <w:pPr>
              <w:spacing w:line="360" w:lineRule="auto"/>
              <w:jc w:val="center"/>
              <w:rPr>
                <w:rFonts w:ascii="宋体" w:hAnsi="宋体" w:cs="宋体"/>
                <w:color w:val="auto"/>
                <w:sz w:val="24"/>
                <w:szCs w:val="24"/>
                <w:highlight w:val="none"/>
              </w:rPr>
            </w:pPr>
          </w:p>
        </w:tc>
      </w:tr>
      <w:tr w14:paraId="1D34E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5A31A90">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61626A7">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3384E7BF">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22A71049">
            <w:pPr>
              <w:tabs>
                <w:tab w:val="left" w:pos="1080"/>
              </w:tabs>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CEAEB03">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5CC2287">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0D0838A">
            <w:pPr>
              <w:spacing w:line="360" w:lineRule="auto"/>
              <w:jc w:val="center"/>
              <w:rPr>
                <w:rFonts w:ascii="宋体" w:hAnsi="宋体" w:cs="宋体"/>
                <w:color w:val="auto"/>
                <w:sz w:val="24"/>
                <w:szCs w:val="24"/>
                <w:highlight w:val="none"/>
              </w:rPr>
            </w:pPr>
          </w:p>
        </w:tc>
      </w:tr>
      <w:tr w14:paraId="3B75A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D68AF4B">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1ECD835">
            <w:pPr>
              <w:spacing w:line="360" w:lineRule="auto"/>
              <w:jc w:val="center"/>
              <w:rPr>
                <w:rFonts w:ascii="宋体" w:hAnsi="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ign w:val="center"/>
          </w:tcPr>
          <w:p w14:paraId="6014A6BD">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6AD37213">
            <w:pPr>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CC58682">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56711358">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FD62EFF">
            <w:pPr>
              <w:spacing w:line="360" w:lineRule="auto"/>
              <w:jc w:val="center"/>
              <w:rPr>
                <w:rFonts w:ascii="宋体" w:hAnsi="宋体" w:cs="宋体"/>
                <w:color w:val="auto"/>
                <w:sz w:val="24"/>
                <w:szCs w:val="24"/>
                <w:highlight w:val="none"/>
              </w:rPr>
            </w:pPr>
          </w:p>
        </w:tc>
      </w:tr>
      <w:tr w14:paraId="376E4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B1B4784">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44A5E18">
            <w:pPr>
              <w:spacing w:line="360" w:lineRule="auto"/>
              <w:jc w:val="center"/>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01E2ED05">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2FA93FA">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5D2249FA">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8B6D9F2">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1B46D9E">
            <w:pPr>
              <w:spacing w:line="360" w:lineRule="auto"/>
              <w:jc w:val="center"/>
              <w:rPr>
                <w:rFonts w:ascii="宋体" w:hAnsi="宋体" w:cs="宋体"/>
                <w:color w:val="auto"/>
                <w:sz w:val="24"/>
                <w:szCs w:val="24"/>
                <w:highlight w:val="none"/>
              </w:rPr>
            </w:pPr>
          </w:p>
        </w:tc>
      </w:tr>
      <w:tr w14:paraId="5D34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A0277E1">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041E28CA">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10871EAD">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0C14BDBC">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0B4F5603">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F4C6FEB">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327B428">
            <w:pPr>
              <w:spacing w:line="360" w:lineRule="auto"/>
              <w:jc w:val="center"/>
              <w:rPr>
                <w:rFonts w:ascii="宋体" w:hAnsi="宋体" w:cs="宋体"/>
                <w:color w:val="auto"/>
                <w:sz w:val="24"/>
                <w:szCs w:val="24"/>
                <w:highlight w:val="none"/>
              </w:rPr>
            </w:pPr>
          </w:p>
        </w:tc>
      </w:tr>
      <w:tr w14:paraId="6FB7E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69F652E6">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F9DBC27">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1DE960BE">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6F562388">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AC29A73">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50D4625">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905B69F">
            <w:pPr>
              <w:spacing w:line="360" w:lineRule="auto"/>
              <w:jc w:val="center"/>
              <w:rPr>
                <w:rFonts w:ascii="宋体" w:hAnsi="宋体" w:cs="宋体"/>
                <w:color w:val="auto"/>
                <w:sz w:val="24"/>
                <w:szCs w:val="24"/>
                <w:highlight w:val="none"/>
              </w:rPr>
            </w:pPr>
          </w:p>
        </w:tc>
      </w:tr>
      <w:tr w14:paraId="1D62A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5F2074C">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61D4FA1F">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002E2902">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0044686">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515E66E2">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FF1591D">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FD40FD9">
            <w:pPr>
              <w:spacing w:line="360" w:lineRule="auto"/>
              <w:jc w:val="center"/>
              <w:rPr>
                <w:rFonts w:ascii="宋体" w:hAnsi="宋体" w:cs="宋体"/>
                <w:color w:val="auto"/>
                <w:sz w:val="24"/>
                <w:szCs w:val="24"/>
                <w:highlight w:val="none"/>
              </w:rPr>
            </w:pPr>
          </w:p>
        </w:tc>
      </w:tr>
      <w:tr w14:paraId="6EFD7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4BAC9B1">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0167D80D">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524CABEC">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0050FA5">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0F574850">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1BC09D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24A945F">
            <w:pPr>
              <w:spacing w:line="360" w:lineRule="auto"/>
              <w:jc w:val="center"/>
              <w:rPr>
                <w:rFonts w:ascii="宋体" w:hAnsi="宋体" w:cs="宋体"/>
                <w:color w:val="auto"/>
                <w:sz w:val="24"/>
                <w:szCs w:val="24"/>
                <w:highlight w:val="none"/>
              </w:rPr>
            </w:pPr>
          </w:p>
        </w:tc>
      </w:tr>
      <w:tr w14:paraId="245D5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bottom w:val="single" w:color="auto" w:sz="4" w:space="0"/>
              <w:right w:val="single" w:color="auto" w:sz="4" w:space="0"/>
            </w:tcBorders>
            <w:noWrap/>
            <w:vAlign w:val="center"/>
          </w:tcPr>
          <w:p w14:paraId="2E86A727">
            <w:pPr>
              <w:spacing w:line="360" w:lineRule="auto"/>
              <w:rPr>
                <w:rFonts w:ascii="宋体" w:hAnsi="宋体" w:cs="宋体"/>
                <w:color w:val="auto"/>
                <w:sz w:val="24"/>
                <w:szCs w:val="24"/>
                <w:highlight w:val="none"/>
              </w:rPr>
            </w:pPr>
          </w:p>
        </w:tc>
        <w:tc>
          <w:tcPr>
            <w:tcW w:w="707" w:type="dxa"/>
            <w:vMerge w:val="continue"/>
            <w:tcBorders>
              <w:left w:val="single" w:color="auto" w:sz="4" w:space="0"/>
              <w:bottom w:val="single" w:color="auto" w:sz="4" w:space="0"/>
              <w:right w:val="single" w:color="auto" w:sz="4" w:space="0"/>
            </w:tcBorders>
            <w:noWrap/>
            <w:vAlign w:val="center"/>
          </w:tcPr>
          <w:p w14:paraId="59D427DE">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44007182">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758A6908">
            <w:pPr>
              <w:pStyle w:val="7"/>
              <w:spacing w:after="0" w:line="360" w:lineRule="auto"/>
              <w:ind w:left="0"/>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25FD83D5">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AAF591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0A7EB50">
            <w:pPr>
              <w:spacing w:line="360" w:lineRule="auto"/>
              <w:jc w:val="center"/>
              <w:rPr>
                <w:rFonts w:ascii="宋体" w:hAnsi="宋体" w:cs="宋体"/>
                <w:color w:val="auto"/>
                <w:sz w:val="24"/>
                <w:szCs w:val="24"/>
                <w:highlight w:val="none"/>
              </w:rPr>
            </w:pPr>
          </w:p>
        </w:tc>
      </w:tr>
    </w:tbl>
    <w:p w14:paraId="3AC5C832">
      <w:pPr>
        <w:tabs>
          <w:tab w:val="left" w:pos="5130"/>
        </w:tabs>
        <w:spacing w:line="360" w:lineRule="auto"/>
        <w:ind w:firstLine="480" w:firstLineChars="200"/>
        <w:rPr>
          <w:rFonts w:ascii="宋体" w:hAnsi="宋体" w:cs="宋体"/>
          <w:color w:val="auto"/>
          <w:sz w:val="24"/>
          <w:szCs w:val="24"/>
          <w:highlight w:val="none"/>
        </w:rPr>
      </w:pPr>
    </w:p>
    <w:p w14:paraId="6CE7D254">
      <w:pPr>
        <w:tabs>
          <w:tab w:val="left" w:pos="5130"/>
        </w:tabs>
        <w:spacing w:line="360" w:lineRule="auto"/>
        <w:ind w:firstLine="480" w:firstLineChars="200"/>
        <w:rPr>
          <w:rFonts w:ascii="宋体" w:hAnsi="宋体" w:cs="宋体"/>
          <w:color w:val="auto"/>
          <w:sz w:val="24"/>
          <w:szCs w:val="24"/>
          <w:highlight w:val="none"/>
        </w:rPr>
      </w:pPr>
    </w:p>
    <w:p w14:paraId="4D77A884">
      <w:pPr>
        <w:spacing w:line="360" w:lineRule="auto"/>
        <w:rPr>
          <w:rFonts w:ascii="宋体" w:hAnsi="宋体" w:cs="宋体"/>
          <w:color w:val="auto"/>
          <w:sz w:val="24"/>
          <w:szCs w:val="24"/>
          <w:highlight w:val="none"/>
        </w:rPr>
      </w:pPr>
    </w:p>
    <w:p w14:paraId="2F273776">
      <w:pPr>
        <w:spacing w:line="360" w:lineRule="auto"/>
        <w:rPr>
          <w:rFonts w:ascii="宋体" w:hAnsi="宋体" w:cs="宋体"/>
          <w:color w:val="auto"/>
          <w:sz w:val="24"/>
          <w:szCs w:val="24"/>
          <w:highlight w:val="none"/>
        </w:rPr>
      </w:pPr>
    </w:p>
    <w:p w14:paraId="05BBFD66">
      <w:pPr>
        <w:spacing w:line="360" w:lineRule="auto"/>
        <w:jc w:val="center"/>
        <w:rPr>
          <w:rFonts w:ascii="宋体" w:hAnsi="宋体" w:cs="宋体"/>
          <w:b/>
          <w:bCs/>
          <w:color w:val="auto"/>
          <w:sz w:val="24"/>
          <w:szCs w:val="24"/>
          <w:highlight w:val="none"/>
        </w:rPr>
        <w:sectPr>
          <w:footerReference r:id="rId5" w:type="default"/>
          <w:pgSz w:w="11906" w:h="16838"/>
          <w:pgMar w:top="851" w:right="851" w:bottom="851" w:left="1134" w:header="567" w:footer="567" w:gutter="0"/>
          <w:pgNumType w:start="1"/>
          <w:cols w:space="720" w:num="1"/>
          <w:docGrid w:linePitch="312" w:charSpace="0"/>
        </w:sectPr>
      </w:pPr>
    </w:p>
    <w:p w14:paraId="7738FE2A">
      <w:pPr>
        <w:numPr>
          <w:ilvl w:val="255"/>
          <w:numId w:val="0"/>
        </w:numPr>
        <w:spacing w:line="360" w:lineRule="auto"/>
        <w:ind w:firstLine="1285" w:firstLineChars="400"/>
        <w:rPr>
          <w:rFonts w:ascii="宋体" w:hAnsi="宋体" w:cs="宋体"/>
          <w:b/>
          <w:color w:val="auto"/>
          <w:sz w:val="32"/>
          <w:szCs w:val="32"/>
          <w:highlight w:val="none"/>
        </w:rPr>
      </w:pPr>
      <w:bookmarkStart w:id="1" w:name="yf"/>
      <w:bookmarkEnd w:id="1"/>
      <w:bookmarkStart w:id="2" w:name="Text5"/>
      <w:bookmarkEnd w:id="2"/>
      <w:bookmarkStart w:id="3" w:name="jf"/>
      <w:bookmarkEnd w:id="3"/>
      <w:bookmarkStart w:id="4" w:name="jfhtbh"/>
      <w:bookmarkEnd w:id="4"/>
      <w:bookmarkStart w:id="5" w:name="Text6"/>
      <w:bookmarkEnd w:id="5"/>
      <w:bookmarkStart w:id="6" w:name="Text3"/>
      <w:bookmarkEnd w:id="6"/>
      <w:bookmarkStart w:id="7" w:name="htmc"/>
      <w:bookmarkEnd w:id="7"/>
      <w:bookmarkStart w:id="8" w:name="Text1"/>
      <w:bookmarkEnd w:id="8"/>
      <w:bookmarkStart w:id="9" w:name="Text2"/>
      <w:bookmarkEnd w:id="9"/>
      <w:bookmarkStart w:id="10" w:name="_Hlk107909184"/>
      <w:bookmarkEnd w:id="10"/>
      <w:bookmarkStart w:id="11" w:name="Text4"/>
      <w:bookmarkEnd w:id="11"/>
      <w:bookmarkStart w:id="12" w:name="_Hlk97132415"/>
      <w:bookmarkEnd w:id="12"/>
      <w:r>
        <w:rPr>
          <w:rFonts w:hint="eastAsia" w:ascii="宋体" w:hAnsi="宋体" w:cs="宋体"/>
          <w:b/>
          <w:color w:val="auto"/>
          <w:sz w:val="32"/>
          <w:szCs w:val="32"/>
          <w:highlight w:val="none"/>
        </w:rPr>
        <w:t xml:space="preserve">第四章    </w:t>
      </w:r>
      <w:bookmarkStart w:id="13" w:name="OLE_LINK266"/>
      <w:bookmarkStart w:id="14" w:name="OLE_LINK265"/>
      <w:r>
        <w:rPr>
          <w:rFonts w:hint="eastAsia" w:ascii="宋体" w:hAnsi="宋体" w:cs="宋体"/>
          <w:b/>
          <w:color w:val="auto"/>
          <w:sz w:val="32"/>
          <w:szCs w:val="32"/>
          <w:highlight w:val="none"/>
        </w:rPr>
        <w:t>政府采购货物买卖合同（试行）</w:t>
      </w:r>
      <w:bookmarkEnd w:id="13"/>
      <w:bookmarkEnd w:id="14"/>
    </w:p>
    <w:p w14:paraId="379BC6CA">
      <w:pPr>
        <w:numPr>
          <w:ilvl w:val="255"/>
          <w:numId w:val="0"/>
        </w:numPr>
        <w:spacing w:line="360" w:lineRule="auto"/>
        <w:rPr>
          <w:rFonts w:ascii="宋体" w:hAnsi="宋体" w:cs="宋体"/>
          <w:b/>
          <w:color w:val="auto"/>
          <w:sz w:val="32"/>
          <w:szCs w:val="32"/>
          <w:highlight w:val="none"/>
        </w:rPr>
      </w:pPr>
    </w:p>
    <w:p w14:paraId="7AB251DA">
      <w:pPr>
        <w:spacing w:line="360" w:lineRule="auto"/>
        <w:jc w:val="center"/>
        <w:rPr>
          <w:rFonts w:ascii="宋体" w:hAnsi="宋体" w:cs="宋体"/>
          <w:b/>
          <w:bCs/>
          <w:color w:val="auto"/>
          <w:spacing w:val="-20"/>
          <w:kern w:val="44"/>
          <w:sz w:val="48"/>
          <w:szCs w:val="48"/>
          <w:highlight w:val="none"/>
        </w:rPr>
      </w:pPr>
      <w:r>
        <w:rPr>
          <w:rFonts w:hint="eastAsia" w:ascii="宋体" w:hAnsi="宋体" w:cs="宋体"/>
          <w:b/>
          <w:bCs/>
          <w:color w:val="auto"/>
          <w:spacing w:val="-20"/>
          <w:kern w:val="44"/>
          <w:sz w:val="48"/>
          <w:szCs w:val="48"/>
          <w:highlight w:val="none"/>
        </w:rPr>
        <w:t>政府采购货物买卖合同</w:t>
      </w:r>
    </w:p>
    <w:p w14:paraId="3417151E">
      <w:pPr>
        <w:spacing w:line="360" w:lineRule="auto"/>
        <w:jc w:val="center"/>
        <w:rPr>
          <w:rFonts w:ascii="宋体" w:hAnsi="宋体" w:cs="宋体"/>
          <w:b/>
          <w:bCs/>
          <w:color w:val="auto"/>
          <w:spacing w:val="-20"/>
          <w:kern w:val="44"/>
          <w:sz w:val="48"/>
          <w:szCs w:val="48"/>
          <w:highlight w:val="none"/>
        </w:rPr>
      </w:pPr>
      <w:r>
        <w:rPr>
          <w:rFonts w:hint="eastAsia" w:ascii="宋体" w:hAnsi="宋体" w:cs="宋体"/>
          <w:b/>
          <w:bCs/>
          <w:color w:val="auto"/>
          <w:spacing w:val="-20"/>
          <w:kern w:val="44"/>
          <w:sz w:val="48"/>
          <w:szCs w:val="48"/>
          <w:highlight w:val="none"/>
        </w:rPr>
        <w:t>（试行）</w:t>
      </w:r>
    </w:p>
    <w:p w14:paraId="3B470877">
      <w:pPr>
        <w:spacing w:line="360" w:lineRule="auto"/>
        <w:rPr>
          <w:rFonts w:ascii="宋体" w:hAnsi="宋体" w:cs="宋体"/>
          <w:b/>
          <w:bCs/>
          <w:color w:val="auto"/>
          <w:spacing w:val="-20"/>
          <w:kern w:val="44"/>
          <w:sz w:val="40"/>
          <w:szCs w:val="40"/>
          <w:highlight w:val="none"/>
        </w:rPr>
      </w:pPr>
    </w:p>
    <w:p w14:paraId="5B000996">
      <w:pPr>
        <w:spacing w:line="360" w:lineRule="auto"/>
        <w:rPr>
          <w:rFonts w:ascii="宋体" w:hAnsi="宋体" w:cs="宋体"/>
          <w:b/>
          <w:bCs/>
          <w:color w:val="auto"/>
          <w:spacing w:val="-20"/>
          <w:kern w:val="44"/>
          <w:sz w:val="40"/>
          <w:szCs w:val="40"/>
          <w:highlight w:val="none"/>
        </w:rPr>
      </w:pPr>
    </w:p>
    <w:p w14:paraId="6E1474E1">
      <w:pPr>
        <w:spacing w:line="360" w:lineRule="auto"/>
        <w:rPr>
          <w:rFonts w:ascii="宋体" w:hAnsi="宋体" w:cs="宋体"/>
          <w:b/>
          <w:bCs/>
          <w:color w:val="auto"/>
          <w:spacing w:val="-20"/>
          <w:kern w:val="44"/>
          <w:sz w:val="40"/>
          <w:szCs w:val="40"/>
          <w:highlight w:val="none"/>
        </w:rPr>
      </w:pPr>
    </w:p>
    <w:p w14:paraId="7DDE9EB2">
      <w:pPr>
        <w:spacing w:line="360" w:lineRule="auto"/>
        <w:jc w:val="center"/>
        <w:rPr>
          <w:rFonts w:hint="eastAsia" w:ascii="宋体" w:hAnsi="宋体" w:eastAsia="宋体"/>
          <w:b/>
          <w:bCs/>
          <w:color w:val="auto"/>
          <w:sz w:val="32"/>
          <w:szCs w:val="32"/>
          <w:highlight w:val="none"/>
          <w:lang w:eastAsia="zh-CN"/>
        </w:rPr>
      </w:pPr>
      <w:r>
        <w:rPr>
          <w:rFonts w:hint="eastAsia" w:ascii="宋体" w:hAnsi="宋体" w:cs="宋体"/>
          <w:color w:val="auto"/>
          <w:kern w:val="0"/>
          <w:sz w:val="32"/>
          <w:szCs w:val="32"/>
          <w:highlight w:val="none"/>
        </w:rPr>
        <w:t>项目名称：</w:t>
      </w:r>
      <w:r>
        <w:rPr>
          <w:rFonts w:hint="eastAsia" w:ascii="宋体" w:hAnsi="宋体"/>
          <w:b/>
          <w:bCs/>
          <w:color w:val="auto"/>
          <w:sz w:val="32"/>
          <w:szCs w:val="32"/>
          <w:highlight w:val="none"/>
          <w:lang w:eastAsia="zh-CN"/>
        </w:rPr>
        <w:t>大宗复印纸采购</w:t>
      </w:r>
    </w:p>
    <w:p w14:paraId="0A2E50EE">
      <w:pPr>
        <w:spacing w:line="360" w:lineRule="auto"/>
        <w:ind w:left="420" w:leftChars="200"/>
        <w:rPr>
          <w:rFonts w:ascii="Calibri" w:hAnsi="Calibri"/>
          <w:color w:val="auto"/>
          <w:sz w:val="32"/>
          <w:szCs w:val="32"/>
          <w:highlight w:val="none"/>
        </w:rPr>
      </w:pPr>
    </w:p>
    <w:p w14:paraId="661498AE">
      <w:pPr>
        <w:spacing w:line="360" w:lineRule="auto"/>
        <w:ind w:left="420" w:leftChars="200"/>
        <w:rPr>
          <w:rFonts w:hint="eastAsia" w:ascii="Calibri" w:hAnsi="Calibri" w:eastAsia="宋体"/>
          <w:color w:val="auto"/>
          <w:sz w:val="32"/>
          <w:szCs w:val="32"/>
          <w:highlight w:val="none"/>
          <w:u w:val="single"/>
          <w:lang w:eastAsia="zh-CN"/>
        </w:rPr>
      </w:pPr>
      <w:r>
        <w:rPr>
          <w:rFonts w:hint="eastAsia" w:ascii="Calibri" w:hAnsi="Calibri"/>
          <w:color w:val="auto"/>
          <w:sz w:val="32"/>
          <w:szCs w:val="32"/>
          <w:highlight w:val="none"/>
        </w:rPr>
        <w:t>合同编号：</w:t>
      </w:r>
      <w:r>
        <w:rPr>
          <w:rFonts w:hint="eastAsia" w:ascii="Calibri" w:hAnsi="Calibri"/>
          <w:color w:val="auto"/>
          <w:sz w:val="32"/>
          <w:szCs w:val="32"/>
          <w:highlight w:val="none"/>
          <w:u w:val="single"/>
          <w:lang w:eastAsia="zh-CN"/>
        </w:rPr>
        <w:t>XM2025-DZ0026</w:t>
      </w:r>
    </w:p>
    <w:p w14:paraId="60504A11">
      <w:pPr>
        <w:spacing w:line="360" w:lineRule="auto"/>
        <w:ind w:left="420" w:leftChars="200"/>
        <w:rPr>
          <w:rFonts w:ascii="Calibri" w:hAnsi="Calibri"/>
          <w:color w:val="auto"/>
          <w:sz w:val="32"/>
          <w:szCs w:val="32"/>
          <w:highlight w:val="none"/>
        </w:rPr>
      </w:pPr>
      <w:r>
        <w:rPr>
          <w:rFonts w:hint="eastAsia" w:ascii="Calibri" w:hAnsi="Calibri"/>
          <w:color w:val="auto"/>
          <w:sz w:val="32"/>
          <w:szCs w:val="32"/>
          <w:highlight w:val="none"/>
        </w:rPr>
        <w:t>甲方：</w:t>
      </w:r>
      <w:r>
        <w:rPr>
          <w:rFonts w:hint="eastAsia" w:ascii="Calibri" w:hAnsi="Calibri"/>
          <w:color w:val="auto"/>
          <w:sz w:val="32"/>
          <w:szCs w:val="32"/>
          <w:highlight w:val="none"/>
          <w:u w:val="single"/>
        </w:rPr>
        <w:t>厦门万翔网络商务有限公司</w:t>
      </w:r>
    </w:p>
    <w:p w14:paraId="3ED267AA">
      <w:pPr>
        <w:spacing w:line="360" w:lineRule="auto"/>
        <w:ind w:left="420" w:leftChars="200"/>
        <w:rPr>
          <w:rFonts w:ascii="Calibri" w:hAnsi="Calibri"/>
          <w:color w:val="auto"/>
          <w:sz w:val="32"/>
          <w:szCs w:val="32"/>
          <w:highlight w:val="none"/>
          <w:u w:val="single"/>
        </w:rPr>
      </w:pPr>
      <w:r>
        <w:rPr>
          <w:rFonts w:hint="eastAsia" w:ascii="Calibri" w:hAnsi="Calibri"/>
          <w:color w:val="auto"/>
          <w:sz w:val="32"/>
          <w:szCs w:val="32"/>
          <w:highlight w:val="none"/>
        </w:rPr>
        <w:t>乙方：</w:t>
      </w:r>
    </w:p>
    <w:p w14:paraId="60CCA8EF">
      <w:pPr>
        <w:spacing w:line="360" w:lineRule="auto"/>
        <w:ind w:left="420" w:leftChars="200"/>
        <w:rPr>
          <w:rFonts w:ascii="Calibri" w:hAnsi="Calibri"/>
          <w:color w:val="auto"/>
          <w:sz w:val="32"/>
          <w:szCs w:val="32"/>
          <w:highlight w:val="none"/>
        </w:rPr>
      </w:pPr>
      <w:r>
        <w:rPr>
          <w:rFonts w:hint="eastAsia" w:ascii="Calibri" w:hAnsi="Calibri"/>
          <w:color w:val="auto"/>
          <w:sz w:val="32"/>
          <w:szCs w:val="32"/>
          <w:highlight w:val="none"/>
        </w:rPr>
        <w:t>签订时间：</w:t>
      </w:r>
    </w:p>
    <w:p w14:paraId="256E957F">
      <w:pPr>
        <w:spacing w:line="360" w:lineRule="auto"/>
        <w:rPr>
          <w:rFonts w:ascii="Calibri" w:hAnsi="Calibri"/>
          <w:color w:val="auto"/>
          <w:szCs w:val="20"/>
          <w:highlight w:val="none"/>
        </w:rPr>
      </w:pPr>
    </w:p>
    <w:p w14:paraId="316BCD25">
      <w:pPr>
        <w:spacing w:line="360" w:lineRule="auto"/>
        <w:rPr>
          <w:rFonts w:ascii="Calibri" w:hAnsi="Calibri" w:eastAsia="黑体"/>
          <w:color w:val="auto"/>
          <w:sz w:val="44"/>
          <w:szCs w:val="44"/>
          <w:highlight w:val="none"/>
        </w:rPr>
      </w:pPr>
    </w:p>
    <w:p w14:paraId="2E6AEB6F">
      <w:pPr>
        <w:spacing w:line="360" w:lineRule="auto"/>
        <w:ind w:firstLine="880" w:firstLineChars="200"/>
        <w:rPr>
          <w:rFonts w:eastAsia="黑体"/>
          <w:color w:val="auto"/>
          <w:sz w:val="44"/>
          <w:szCs w:val="44"/>
          <w:highlight w:val="none"/>
        </w:rPr>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pPr>
    </w:p>
    <w:p w14:paraId="48B58328">
      <w:pPr>
        <w:pStyle w:val="2"/>
        <w:adjustRightInd w:val="0"/>
        <w:snapToGrid w:val="0"/>
        <w:spacing w:before="0" w:after="0" w:line="360" w:lineRule="auto"/>
        <w:jc w:val="center"/>
        <w:rPr>
          <w:rFonts w:ascii="黑体" w:hAnsi="华文中宋"/>
          <w:b w:val="0"/>
          <w:bCs w:val="0"/>
          <w:color w:val="auto"/>
          <w:sz w:val="28"/>
          <w:szCs w:val="28"/>
          <w:highlight w:val="none"/>
        </w:rPr>
      </w:pPr>
      <w:bookmarkStart w:id="15" w:name="_Toc22209"/>
      <w:r>
        <w:rPr>
          <w:rFonts w:hint="eastAsia" w:ascii="黑体" w:hAnsi="黑体"/>
          <w:b w:val="0"/>
          <w:bCs w:val="0"/>
          <w:color w:val="auto"/>
          <w:sz w:val="28"/>
          <w:szCs w:val="28"/>
          <w:highlight w:val="none"/>
        </w:rPr>
        <w:t xml:space="preserve">第一节 </w:t>
      </w:r>
      <w:r>
        <w:rPr>
          <w:rFonts w:hint="eastAsia" w:ascii="黑体" w:hAnsi="华文中宋"/>
          <w:b w:val="0"/>
          <w:bCs w:val="0"/>
          <w:color w:val="auto"/>
          <w:sz w:val="28"/>
          <w:szCs w:val="28"/>
          <w:highlight w:val="none"/>
        </w:rPr>
        <w:t>政府采购合同协议书</w:t>
      </w:r>
      <w:bookmarkEnd w:id="15"/>
    </w:p>
    <w:p w14:paraId="2A7100E2">
      <w:pPr>
        <w:pStyle w:val="2"/>
        <w:adjustRightInd w:val="0"/>
        <w:snapToGrid w:val="0"/>
        <w:spacing w:before="0" w:after="0" w:line="360" w:lineRule="auto"/>
        <w:jc w:val="center"/>
        <w:rPr>
          <w:rFonts w:ascii="黑体" w:hAnsi="华文中宋"/>
          <w:b w:val="0"/>
          <w:bCs w:val="0"/>
          <w:color w:val="auto"/>
          <w:sz w:val="28"/>
          <w:szCs w:val="28"/>
          <w:highlight w:val="none"/>
        </w:rPr>
      </w:pPr>
    </w:p>
    <w:p w14:paraId="327DD7C4">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甲方（全称）：</w:t>
      </w:r>
      <w:r>
        <w:rPr>
          <w:rFonts w:hint="eastAsia" w:ascii="宋体" w:hAnsi="宋体"/>
          <w:color w:val="auto"/>
          <w:szCs w:val="21"/>
          <w:highlight w:val="none"/>
          <w:u w:val="single"/>
        </w:rPr>
        <w:t>厦门万翔网络商务有限公司</w:t>
      </w:r>
      <w:r>
        <w:rPr>
          <w:rFonts w:hint="eastAsia" w:ascii="宋体" w:hAnsi="宋体"/>
          <w:color w:val="auto"/>
          <w:szCs w:val="21"/>
          <w:highlight w:val="none"/>
        </w:rPr>
        <w:t>（采购人、受采购人委托签订合同的单位或采购</w:t>
      </w:r>
      <w:r>
        <w:rPr>
          <w:rFonts w:hint="eastAsia" w:ascii="宋体" w:hAnsi="宋体"/>
          <w:color w:val="auto"/>
          <w:szCs w:val="21"/>
          <w:highlight w:val="none"/>
        </w:rPr>
        <w:tab/>
      </w:r>
      <w:r>
        <w:rPr>
          <w:rFonts w:hint="eastAsia" w:ascii="宋体" w:hAnsi="宋体"/>
          <w:color w:val="auto"/>
          <w:szCs w:val="21"/>
          <w:highlight w:val="none"/>
        </w:rPr>
        <w:t xml:space="preserve">                                   文件约定的合同甲方）</w:t>
      </w:r>
    </w:p>
    <w:p w14:paraId="5A81A1A4">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乙方1（全称）：（供应商）</w:t>
      </w:r>
    </w:p>
    <w:p w14:paraId="5418E7A2">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乙方2（全称）：（联合体成员供应商或其他合同主体）（如有）</w:t>
      </w:r>
    </w:p>
    <w:p w14:paraId="58AFC459">
      <w:pPr>
        <w:adjustRightInd w:val="0"/>
        <w:snapToGrid w:val="0"/>
        <w:spacing w:line="360" w:lineRule="auto"/>
        <w:rPr>
          <w:rFonts w:ascii="宋体" w:hAnsi="宋体"/>
          <w:color w:val="auto"/>
          <w:szCs w:val="21"/>
          <w:highlight w:val="none"/>
        </w:rPr>
      </w:pPr>
      <w:r>
        <w:rPr>
          <w:rFonts w:hint="eastAsia" w:ascii="Calibri" w:hAnsi="Calibri"/>
          <w:color w:val="auto"/>
          <w:szCs w:val="20"/>
          <w:highlight w:val="none"/>
        </w:rPr>
        <w:t>乙方</w:t>
      </w:r>
      <w:r>
        <w:rPr>
          <w:rFonts w:hint="eastAsia" w:ascii="宋体" w:hAnsi="宋体"/>
          <w:color w:val="auto"/>
          <w:szCs w:val="21"/>
          <w:highlight w:val="none"/>
        </w:rPr>
        <w:t>3</w:t>
      </w:r>
      <w:r>
        <w:rPr>
          <w:rFonts w:hint="eastAsia" w:ascii="Calibri" w:hAnsi="Calibri"/>
          <w:color w:val="auto"/>
          <w:szCs w:val="20"/>
          <w:highlight w:val="none"/>
        </w:rPr>
        <w:t>（全称）</w:t>
      </w:r>
      <w:r>
        <w:rPr>
          <w:rFonts w:hint="eastAsia" w:ascii="宋体" w:hAnsi="宋体"/>
          <w:color w:val="auto"/>
          <w:szCs w:val="21"/>
          <w:highlight w:val="none"/>
        </w:rPr>
        <w:t>（联合体成员供应商或其他合同主体）（如有）</w:t>
      </w:r>
    </w:p>
    <w:p w14:paraId="60CB04EF">
      <w:pPr>
        <w:spacing w:line="360" w:lineRule="auto"/>
        <w:rPr>
          <w:rFonts w:ascii="Calibri" w:hAnsi="Calibri"/>
          <w:color w:val="auto"/>
          <w:szCs w:val="20"/>
          <w:highlight w:val="none"/>
        </w:rPr>
      </w:pPr>
    </w:p>
    <w:p w14:paraId="531DCB37">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639D9089">
      <w:pPr>
        <w:numPr>
          <w:ilvl w:val="0"/>
          <w:numId w:val="3"/>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项目信息</w:t>
      </w:r>
    </w:p>
    <w:p w14:paraId="786F98A3">
      <w:pPr>
        <w:numPr>
          <w:ilvl w:val="255"/>
          <w:numId w:val="0"/>
        </w:numPr>
        <w:tabs>
          <w:tab w:val="left" w:pos="999"/>
          <w:tab w:val="left" w:pos="6480"/>
        </w:tabs>
        <w:adjustRightInd w:val="0"/>
        <w:snapToGrid w:val="0"/>
        <w:spacing w:line="360" w:lineRule="auto"/>
        <w:rPr>
          <w:rFonts w:hint="eastAsia" w:ascii="宋体" w:hAnsi="宋体" w:eastAsia="宋体"/>
          <w:color w:val="auto"/>
          <w:szCs w:val="21"/>
          <w:highlight w:val="none"/>
          <w:lang w:eastAsia="zh-CN"/>
        </w:rPr>
      </w:pPr>
      <w:r>
        <w:rPr>
          <w:rFonts w:hint="eastAsia" w:ascii="宋体" w:hAnsi="宋体"/>
          <w:color w:val="auto"/>
          <w:szCs w:val="21"/>
          <w:highlight w:val="none"/>
        </w:rPr>
        <w:t>采购项目名称：</w:t>
      </w:r>
      <w:r>
        <w:rPr>
          <w:rFonts w:hint="eastAsia" w:ascii="宋体" w:hAnsi="宋体"/>
          <w:color w:val="auto"/>
          <w:szCs w:val="21"/>
          <w:highlight w:val="none"/>
          <w:u w:val="single"/>
          <w:lang w:eastAsia="zh-CN"/>
        </w:rPr>
        <w:t>大宗复印纸采购</w:t>
      </w:r>
      <w:r>
        <w:rPr>
          <w:rFonts w:hint="eastAsia" w:ascii="宋体" w:hAnsi="宋体"/>
          <w:color w:val="auto"/>
          <w:szCs w:val="21"/>
          <w:highlight w:val="none"/>
        </w:rPr>
        <w:t xml:space="preserve">         采购项目编号：</w:t>
      </w:r>
      <w:r>
        <w:rPr>
          <w:rFonts w:hint="eastAsia" w:ascii="宋体" w:hAnsi="宋体"/>
          <w:color w:val="auto"/>
          <w:szCs w:val="21"/>
          <w:highlight w:val="none"/>
          <w:u w:val="single"/>
          <w:lang w:eastAsia="zh-CN"/>
        </w:rPr>
        <w:t>XM2025-DZ0026</w:t>
      </w:r>
    </w:p>
    <w:p w14:paraId="0936701B">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（2）采购计划编号：</w:t>
      </w:r>
    </w:p>
    <w:p w14:paraId="4E2EE615">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（3）项目内容：</w:t>
      </w:r>
    </w:p>
    <w:p w14:paraId="3B81E1DD">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采购标的及数量（台/套</w:t>
      </w:r>
      <w:r>
        <w:rPr>
          <w:rFonts w:ascii="宋体" w:hAnsi="宋体"/>
          <w:color w:val="auto"/>
          <w:szCs w:val="21"/>
          <w:highlight w:val="none"/>
        </w:rPr>
        <w:t>/</w:t>
      </w:r>
      <w:r>
        <w:rPr>
          <w:rFonts w:hint="eastAsia" w:ascii="宋体" w:hAnsi="宋体"/>
          <w:color w:val="auto"/>
          <w:szCs w:val="21"/>
          <w:highlight w:val="none"/>
        </w:rPr>
        <w:t>个</w:t>
      </w:r>
      <w:r>
        <w:rPr>
          <w:rFonts w:ascii="宋体" w:hAnsi="宋体"/>
          <w:color w:val="auto"/>
          <w:szCs w:val="21"/>
          <w:highlight w:val="none"/>
        </w:rPr>
        <w:t>/</w:t>
      </w:r>
      <w:r>
        <w:rPr>
          <w:rFonts w:hint="eastAsia" w:ascii="宋体" w:hAnsi="宋体"/>
          <w:color w:val="auto"/>
          <w:szCs w:val="21"/>
          <w:highlight w:val="none"/>
        </w:rPr>
        <w:t>架</w:t>
      </w:r>
      <w:r>
        <w:rPr>
          <w:rFonts w:ascii="宋体" w:hAnsi="宋体"/>
          <w:color w:val="auto"/>
          <w:szCs w:val="21"/>
          <w:highlight w:val="none"/>
        </w:rPr>
        <w:t>/</w:t>
      </w:r>
      <w:r>
        <w:rPr>
          <w:rFonts w:hint="eastAsia" w:ascii="宋体" w:hAnsi="宋体"/>
          <w:color w:val="auto"/>
          <w:szCs w:val="21"/>
          <w:highlight w:val="none"/>
        </w:rPr>
        <w:t>组等）：</w:t>
      </w:r>
    </w:p>
    <w:p w14:paraId="0A926839">
      <w:pPr>
        <w:numPr>
          <w:ilvl w:val="255"/>
          <w:numId w:val="0"/>
        </w:num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品牌：规格型号：</w:t>
      </w:r>
    </w:p>
    <w:p w14:paraId="4E388D9C">
      <w:pPr>
        <w:adjustRightInd w:val="0"/>
        <w:snapToGrid w:val="0"/>
        <w:spacing w:line="360" w:lineRule="auto"/>
        <w:ind w:firstLine="945" w:firstLineChars="450"/>
        <w:rPr>
          <w:rFonts w:ascii="宋体" w:hAnsi="宋体"/>
          <w:color w:val="auto"/>
          <w:szCs w:val="21"/>
          <w:highlight w:val="none"/>
          <w:u w:val="single"/>
        </w:rPr>
      </w:pPr>
      <w:r>
        <w:rPr>
          <w:rFonts w:hint="eastAsia" w:ascii="宋体" w:hAnsi="宋体"/>
          <w:color w:val="auto"/>
          <w:szCs w:val="21"/>
          <w:highlight w:val="none"/>
        </w:rPr>
        <w:t>采购标的的技术要求、商务要求具体见附件。</w:t>
      </w:r>
    </w:p>
    <w:p w14:paraId="7077A452">
      <w:pPr>
        <w:numPr>
          <w:ilvl w:val="255"/>
          <w:numId w:val="0"/>
        </w:numPr>
        <w:adjustRightInd w:val="0"/>
        <w:snapToGrid w:val="0"/>
        <w:spacing w:line="360" w:lineRule="auto"/>
        <w:ind w:firstLine="945" w:firstLineChars="450"/>
        <w:rPr>
          <w:rFonts w:ascii="宋体" w:hAnsi="宋体" w:cs="宋体"/>
          <w:color w:val="auto"/>
          <w:szCs w:val="21"/>
          <w:highlight w:val="none"/>
        </w:rPr>
      </w:pPr>
      <w:r>
        <w:rPr>
          <w:rFonts w:hint="eastAsia" w:ascii="汉仪书宋二S" w:hAnsi="汉仪书宋二S" w:eastAsia="汉仪书宋二S" w:cs="汉仪书宋二S"/>
          <w:color w:val="auto"/>
          <w:szCs w:val="21"/>
          <w:highlight w:val="none"/>
        </w:rPr>
        <w:t>①</w:t>
      </w:r>
      <w:r>
        <w:rPr>
          <w:rFonts w:hint="eastAsia" w:ascii="宋体" w:hAnsi="宋体" w:cs="宋体"/>
          <w:color w:val="auto"/>
          <w:szCs w:val="21"/>
          <w:highlight w:val="none"/>
        </w:rPr>
        <w:t>涉及信息类产品，请填写该产品关键部件的品牌、型号：</w:t>
      </w:r>
    </w:p>
    <w:p w14:paraId="1A152D69">
      <w:pPr>
        <w:numPr>
          <w:ilvl w:val="255"/>
          <w:numId w:val="0"/>
        </w:numPr>
        <w:adjustRightInd w:val="0"/>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szCs w:val="21"/>
          <w:highlight w:val="none"/>
        </w:rPr>
        <w:t xml:space="preserve">     标的名称：</w:t>
      </w:r>
    </w:p>
    <w:p w14:paraId="0537DBBE">
      <w:pPr>
        <w:numPr>
          <w:ilvl w:val="255"/>
          <w:numId w:val="0"/>
        </w:num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关键部件：品牌： 型号：</w:t>
      </w:r>
    </w:p>
    <w:p w14:paraId="5543C650">
      <w:pPr>
        <w:pStyle w:val="20"/>
        <w:spacing w:line="360" w:lineRule="auto"/>
        <w:ind w:firstLine="420"/>
        <w:rPr>
          <w:rFonts w:ascii="宋体" w:hAnsi="宋体" w:eastAsia="宋体" w:cs="宋体"/>
          <w:color w:val="auto"/>
          <w:sz w:val="21"/>
          <w:highlight w:val="none"/>
        </w:rPr>
      </w:pPr>
      <w:r>
        <w:rPr>
          <w:rFonts w:hint="eastAsia" w:ascii="宋体" w:hAnsi="宋体" w:eastAsia="宋体" w:cs="宋体"/>
          <w:color w:val="auto"/>
          <w:kern w:val="2"/>
          <w:sz w:val="21"/>
          <w:highlight w:val="none"/>
        </w:rPr>
        <w:t>关键部件</w:t>
      </w:r>
      <w:r>
        <w:rPr>
          <w:rFonts w:hint="eastAsia" w:ascii="宋体" w:hAnsi="宋体" w:eastAsia="宋体" w:cs="宋体"/>
          <w:color w:val="auto"/>
          <w:sz w:val="21"/>
          <w:highlight w:val="none"/>
        </w:rPr>
        <w:t>： 品牌： 型号：</w:t>
      </w:r>
    </w:p>
    <w:p w14:paraId="1A3B5A24">
      <w:pPr>
        <w:pStyle w:val="20"/>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 xml:space="preserve">     关键部件： 品牌： 型号：</w:t>
      </w:r>
    </w:p>
    <w:p w14:paraId="61C08B31">
      <w:pPr>
        <w:pStyle w:val="20"/>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t xml:space="preserve">   （注：关键部件是指财政部会同有关部门发布的政府采购需求标准规定的需要通过国家有关部门指定的测评机构开展的安全可靠测评的软硬件，如CPU芯片、操作系统、数据库等。）</w:t>
      </w:r>
    </w:p>
    <w:p w14:paraId="1FFBC108">
      <w:pPr>
        <w:pStyle w:val="20"/>
        <w:numPr>
          <w:ilvl w:val="255"/>
          <w:numId w:val="0"/>
        </w:numPr>
        <w:snapToGrid w:val="0"/>
        <w:spacing w:line="360" w:lineRule="auto"/>
        <w:rPr>
          <w:rFonts w:ascii="宋体" w:hAnsi="宋体" w:eastAsia="宋体" w:cs="宋体"/>
          <w:color w:val="auto"/>
          <w:sz w:val="21"/>
          <w:highlight w:val="none"/>
        </w:rPr>
      </w:pPr>
      <w:r>
        <w:rPr>
          <w:rFonts w:hint="eastAsia" w:ascii="汉仪书宋二S" w:hAnsi="汉仪书宋二S" w:eastAsia="汉仪书宋二S" w:cs="汉仪书宋二S"/>
          <w:color w:val="auto"/>
          <w:sz w:val="21"/>
          <w:highlight w:val="none"/>
        </w:rPr>
        <w:t>②</w:t>
      </w:r>
      <w:r>
        <w:rPr>
          <w:rFonts w:hint="eastAsia" w:ascii="宋体" w:hAnsi="宋体" w:eastAsia="宋体" w:cs="宋体"/>
          <w:color w:val="auto"/>
          <w:sz w:val="21"/>
          <w:highlight w:val="none"/>
        </w:rPr>
        <w:t>涉及车辆采购，请填写是否属于新能源汽车：</w:t>
      </w:r>
    </w:p>
    <w:p w14:paraId="6637E1AF">
      <w:pPr>
        <w:pStyle w:val="20"/>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是，《政府采购品目分类目录》底级品目名称： 数量： 金额：</w:t>
      </w:r>
    </w:p>
    <w:p w14:paraId="4EFADBE4">
      <w:pPr>
        <w:pStyle w:val="20"/>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否</w:t>
      </w:r>
    </w:p>
    <w:p w14:paraId="44C3578D">
      <w:pPr>
        <w:pStyle w:val="20"/>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t xml:space="preserve">    （</w:t>
      </w:r>
      <w:r>
        <w:rPr>
          <w:rFonts w:ascii="宋体" w:hAnsi="宋体" w:eastAsia="宋体" w:cs="宋体"/>
          <w:color w:val="auto"/>
          <w:sz w:val="21"/>
          <w:highlight w:val="none"/>
        </w:rPr>
        <w:t>4</w:t>
      </w:r>
      <w:r>
        <w:rPr>
          <w:rFonts w:hint="eastAsia" w:ascii="宋体" w:hAnsi="宋体" w:eastAsia="宋体" w:cs="宋体"/>
          <w:color w:val="auto"/>
          <w:sz w:val="21"/>
          <w:highlight w:val="none"/>
        </w:rPr>
        <w:t>）政府采购组织形式：</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政府集中采购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部门集中采购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分散采购</w:t>
      </w:r>
    </w:p>
    <w:p w14:paraId="4EADFE9C">
      <w:pPr>
        <w:pStyle w:val="20"/>
        <w:numPr>
          <w:ilvl w:val="255"/>
          <w:numId w:val="0"/>
        </w:numPr>
        <w:snapToGrid w:val="0"/>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w:t>
      </w:r>
      <w:r>
        <w:rPr>
          <w:rFonts w:ascii="宋体" w:hAnsi="宋体" w:eastAsia="宋体" w:cs="宋体"/>
          <w:color w:val="auto"/>
          <w:sz w:val="21"/>
          <w:highlight w:val="none"/>
        </w:rPr>
        <w:t>5</w:t>
      </w:r>
      <w:r>
        <w:rPr>
          <w:rFonts w:hint="eastAsia" w:ascii="宋体" w:hAnsi="宋体" w:eastAsia="宋体" w:cs="宋体"/>
          <w:color w:val="auto"/>
          <w:sz w:val="21"/>
          <w:highlight w:val="none"/>
        </w:rPr>
        <w:t>）政府采购方式：</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公开招标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邀请招标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竞争性谈判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竞争性磋商</w:t>
      </w:r>
    </w:p>
    <w:p w14:paraId="34F18A81">
      <w:pPr>
        <w:pStyle w:val="20"/>
        <w:numPr>
          <w:ilvl w:val="255"/>
          <w:numId w:val="0"/>
        </w:numPr>
        <w:snapToGrid w:val="0"/>
        <w:spacing w:line="360" w:lineRule="auto"/>
        <w:ind w:firstLine="420"/>
        <w:rPr>
          <w:rFonts w:ascii="宋体" w:hAnsi="宋体" w:eastAsia="宋体" w:cs="宋体"/>
          <w:color w:val="auto"/>
          <w:sz w:val="21"/>
          <w:highlight w:val="none"/>
          <w:u w:val="single"/>
        </w:rPr>
      </w:pP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询价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单一来源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框架协议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其他：</w:t>
      </w:r>
    </w:p>
    <w:p w14:paraId="44558325">
      <w:pPr>
        <w:pStyle w:val="20"/>
        <w:numPr>
          <w:ilvl w:val="255"/>
          <w:numId w:val="0"/>
        </w:numPr>
        <w:snapToGrid w:val="0"/>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（注：在框架协议采购的第二阶段，可选择使用该合同文本）</w:t>
      </w:r>
    </w:p>
    <w:p w14:paraId="0AF14A54">
      <w:pPr>
        <w:pStyle w:val="20"/>
        <w:numPr>
          <w:ilvl w:val="255"/>
          <w:numId w:val="0"/>
        </w:numPr>
        <w:snapToGrid w:val="0"/>
        <w:spacing w:line="360" w:lineRule="auto"/>
        <w:ind w:firstLine="220" w:firstLineChars="100"/>
        <w:rPr>
          <w:rFonts w:ascii="宋体" w:hAnsi="宋体" w:eastAsia="宋体" w:cs="Times New Roman"/>
          <w:color w:val="auto"/>
          <w:kern w:val="2"/>
          <w:sz w:val="21"/>
          <w:highlight w:val="none"/>
        </w:rPr>
      </w:pPr>
      <w:r>
        <w:rPr>
          <w:rFonts w:hint="eastAsia" w:ascii="宋体" w:hAnsi="宋体"/>
          <w:color w:val="auto"/>
          <w:highlight w:val="none"/>
        </w:rPr>
        <w:t>（</w:t>
      </w:r>
      <w:r>
        <w:rPr>
          <w:rFonts w:ascii="宋体" w:hAnsi="宋体"/>
          <w:color w:val="auto"/>
          <w:highlight w:val="none"/>
        </w:rPr>
        <w:t>6</w:t>
      </w:r>
      <w:r>
        <w:rPr>
          <w:rFonts w:hint="eastAsia" w:ascii="宋体" w:hAnsi="宋体"/>
          <w:color w:val="auto"/>
          <w:highlight w:val="none"/>
        </w:rPr>
        <w:t>）</w:t>
      </w:r>
      <w:r>
        <w:rPr>
          <w:rFonts w:hint="eastAsia" w:ascii="宋体" w:hAnsi="宋体" w:eastAsia="宋体" w:cs="Times New Roman"/>
          <w:color w:val="auto"/>
          <w:kern w:val="2"/>
          <w:sz w:val="21"/>
          <w:highlight w:val="none"/>
        </w:rPr>
        <w:t>中标（成交）采购标的制造商是否为中小企业：</w:t>
      </w: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 xml:space="preserve">是      </w:t>
      </w: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否</w:t>
      </w:r>
    </w:p>
    <w:p w14:paraId="278E0880">
      <w:pPr>
        <w:numPr>
          <w:ilvl w:val="255"/>
          <w:numId w:val="0"/>
        </w:numPr>
        <w:adjustRightInd w:val="0"/>
        <w:snapToGrid w:val="0"/>
        <w:spacing w:line="360" w:lineRule="auto"/>
        <w:rPr>
          <w:rFonts w:ascii="宋体" w:hAnsi="宋体"/>
          <w:iCs/>
          <w:color w:val="auto"/>
          <w:szCs w:val="21"/>
          <w:highlight w:val="none"/>
        </w:rPr>
      </w:pPr>
      <w:r>
        <w:rPr>
          <w:rFonts w:hint="eastAsia" w:ascii="宋体" w:hAnsi="宋体"/>
          <w:color w:val="auto"/>
          <w:szCs w:val="21"/>
          <w:highlight w:val="none"/>
        </w:rPr>
        <w:t xml:space="preserve">         本合同是否为专门面向中小企业的采购合同（中小企业预留合同）：</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4F846D02">
      <w:pPr>
        <w:numPr>
          <w:ilvl w:val="255"/>
          <w:numId w:val="0"/>
        </w:numPr>
        <w:adjustRightInd w:val="0"/>
        <w:snapToGrid w:val="0"/>
        <w:spacing w:line="360" w:lineRule="auto"/>
        <w:rPr>
          <w:rFonts w:ascii="宋体" w:hAnsi="宋体"/>
          <w:iCs/>
          <w:color w:val="auto"/>
          <w:szCs w:val="21"/>
          <w:highlight w:val="none"/>
        </w:rPr>
      </w:pPr>
      <w:r>
        <w:rPr>
          <w:rFonts w:hint="eastAsia" w:ascii="Calibri" w:hAnsi="Calibri"/>
          <w:color w:val="auto"/>
          <w:szCs w:val="20"/>
          <w:highlight w:val="none"/>
        </w:rPr>
        <w:t>若本项目不专门面向中小企业采购，是否给予小微企业评审优惠：</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28624FD2">
      <w:pPr>
        <w:numPr>
          <w:ilvl w:val="255"/>
          <w:numId w:val="0"/>
        </w:numPr>
        <w:adjustRightInd w:val="0"/>
        <w:snapToGrid w:val="0"/>
        <w:spacing w:line="360" w:lineRule="auto"/>
        <w:rPr>
          <w:rFonts w:ascii="宋体" w:hAnsi="宋体"/>
          <w:iCs/>
          <w:color w:val="auto"/>
          <w:szCs w:val="21"/>
          <w:highlight w:val="none"/>
        </w:rPr>
      </w:pPr>
      <w:r>
        <w:rPr>
          <w:rFonts w:hint="eastAsia" w:ascii="Calibri" w:hAnsi="Calibri"/>
          <w:color w:val="auto"/>
          <w:szCs w:val="20"/>
          <w:highlight w:val="none"/>
        </w:rPr>
        <w:t>中标（成交）采购标的制造商是否为残疾人福利性单位：</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11D9D07E">
      <w:pPr>
        <w:snapToGrid w:val="0"/>
        <w:spacing w:line="360" w:lineRule="auto"/>
        <w:rPr>
          <w:rFonts w:ascii="Calibri" w:hAnsi="Calibri"/>
          <w:color w:val="auto"/>
          <w:szCs w:val="20"/>
          <w:highlight w:val="none"/>
        </w:rPr>
      </w:pPr>
      <w:r>
        <w:rPr>
          <w:rFonts w:hint="eastAsia" w:ascii="Calibri" w:hAnsi="Calibri"/>
          <w:color w:val="auto"/>
          <w:szCs w:val="20"/>
          <w:highlight w:val="none"/>
        </w:rPr>
        <w:t>中标（成交）采购标的制造商是否为监狱企业：</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3FD9219A">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7</w:t>
      </w:r>
      <w:r>
        <w:rPr>
          <w:rFonts w:hint="eastAsia" w:ascii="宋体" w:hAnsi="宋体"/>
          <w:color w:val="auto"/>
          <w:szCs w:val="21"/>
          <w:highlight w:val="none"/>
        </w:rPr>
        <w:t>）合同是否分包：</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25D8245B">
      <w:pPr>
        <w:adjustRightInd w:val="0"/>
        <w:snapToGrid w:val="0"/>
        <w:spacing w:line="360" w:lineRule="auto"/>
        <w:ind w:firstLine="840" w:firstLineChars="400"/>
        <w:rPr>
          <w:rFonts w:ascii="宋体" w:hAnsi="宋体"/>
          <w:color w:val="auto"/>
          <w:szCs w:val="21"/>
          <w:highlight w:val="none"/>
          <w:u w:val="single"/>
        </w:rPr>
      </w:pPr>
      <w:r>
        <w:rPr>
          <w:rFonts w:hint="eastAsia" w:ascii="宋体" w:hAnsi="宋体"/>
          <w:color w:val="auto"/>
          <w:szCs w:val="21"/>
          <w:highlight w:val="none"/>
        </w:rPr>
        <w:t xml:space="preserve"> 分包主要内容：</w:t>
      </w:r>
    </w:p>
    <w:p w14:paraId="2B8E0D28">
      <w:p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t xml:space="preserve"> 分包供应商/制造商名称（如供应商和制造商不同，请分别填写）：</w:t>
      </w:r>
    </w:p>
    <w:p w14:paraId="1B054A91">
      <w:pPr>
        <w:adjustRightInd w:val="0"/>
        <w:snapToGrid w:val="0"/>
        <w:spacing w:line="360" w:lineRule="auto"/>
        <w:ind w:firstLine="840" w:firstLineChars="400"/>
        <w:rPr>
          <w:rFonts w:ascii="宋体" w:hAnsi="宋体"/>
          <w:color w:val="auto"/>
          <w:szCs w:val="21"/>
          <w:highlight w:val="none"/>
          <w:u w:val="single"/>
        </w:rPr>
      </w:pPr>
    </w:p>
    <w:p w14:paraId="01F21F89">
      <w:p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t xml:space="preserve"> 分包供应商/制造商类型（如果供应商和制造商不同，只填写制造商类型）：</w:t>
      </w:r>
    </w:p>
    <w:p w14:paraId="65C009D4">
      <w:pPr>
        <w:adjustRightInd w:val="0"/>
        <w:snapToGrid w:val="0"/>
        <w:spacing w:line="360" w:lineRule="auto"/>
        <w:ind w:firstLine="840" w:firstLineChars="400"/>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大型企业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中型企业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小微型企业  </w:t>
      </w:r>
    </w:p>
    <w:p w14:paraId="5A3528C5">
      <w:pPr>
        <w:adjustRightInd w:val="0"/>
        <w:snapToGrid w:val="0"/>
        <w:spacing w:line="360" w:lineRule="auto"/>
        <w:ind w:firstLine="840" w:firstLineChars="400"/>
        <w:rPr>
          <w:rFonts w:ascii="Calibri" w:hAnsi="Calibri" w:eastAsia="华文楷体"/>
          <w:color w:val="auto"/>
          <w:szCs w:val="20"/>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残疾人福利性单位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监狱企业 </w:t>
      </w:r>
      <w:r>
        <w:rPr>
          <w:rFonts w:hint="eastAsia" w:ascii="宋体" w:hAnsi="宋体"/>
          <w:iCs/>
          <w:color w:val="auto"/>
          <w:szCs w:val="21"/>
          <w:highlight w:val="none"/>
        </w:rPr>
        <w:sym w:font="Wingdings" w:char="00A8"/>
      </w:r>
      <w:r>
        <w:rPr>
          <w:rFonts w:hint="eastAsia" w:ascii="宋体" w:hAnsi="宋体"/>
          <w:iCs/>
          <w:color w:val="auto"/>
          <w:szCs w:val="21"/>
          <w:highlight w:val="none"/>
        </w:rPr>
        <w:t>其他</w:t>
      </w:r>
    </w:p>
    <w:p w14:paraId="27BEF336">
      <w:pPr>
        <w:numPr>
          <w:ilvl w:val="255"/>
          <w:numId w:val="0"/>
        </w:numPr>
        <w:adjustRightInd w:val="0"/>
        <w:snapToGrid w:val="0"/>
        <w:spacing w:line="360" w:lineRule="auto"/>
        <w:rPr>
          <w:rFonts w:ascii="宋体" w:hAnsi="宋体" w:cs="宋体"/>
          <w:iCs/>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8</w:t>
      </w:r>
      <w:r>
        <w:rPr>
          <w:rFonts w:hint="eastAsia" w:ascii="宋体" w:hAnsi="宋体" w:cs="宋体"/>
          <w:color w:val="auto"/>
          <w:szCs w:val="21"/>
          <w:highlight w:val="none"/>
        </w:rPr>
        <w:t>）中标（成交）供应商是否为外商投资企业：</w:t>
      </w:r>
      <w:r>
        <w:rPr>
          <w:rFonts w:hint="eastAsia" w:ascii="宋体" w:hAnsi="宋体" w:cs="宋体"/>
          <w:iCs/>
          <w:color w:val="auto"/>
          <w:szCs w:val="21"/>
          <w:highlight w:val="none"/>
        </w:rPr>
        <w:sym w:font="Wingdings" w:char="00A8"/>
      </w:r>
      <w:r>
        <w:rPr>
          <w:rFonts w:hint="eastAsia" w:ascii="宋体" w:hAnsi="宋体" w:cs="宋体"/>
          <w:iCs/>
          <w:color w:val="auto"/>
          <w:szCs w:val="21"/>
          <w:highlight w:val="none"/>
        </w:rPr>
        <w:t xml:space="preserve">是       </w:t>
      </w:r>
      <w:r>
        <w:rPr>
          <w:rFonts w:hint="eastAsia" w:ascii="宋体" w:hAnsi="宋体" w:cs="宋体"/>
          <w:iCs/>
          <w:color w:val="auto"/>
          <w:szCs w:val="21"/>
          <w:highlight w:val="none"/>
        </w:rPr>
        <w:sym w:font="Wingdings" w:char="00A8"/>
      </w:r>
      <w:r>
        <w:rPr>
          <w:rFonts w:hint="eastAsia" w:ascii="宋体" w:hAnsi="宋体" w:cs="宋体"/>
          <w:iCs/>
          <w:color w:val="auto"/>
          <w:szCs w:val="21"/>
          <w:highlight w:val="none"/>
        </w:rPr>
        <w:t>否</w:t>
      </w:r>
    </w:p>
    <w:p w14:paraId="13A1BB7F">
      <w:pPr>
        <w:pStyle w:val="20"/>
        <w:tabs>
          <w:tab w:val="left" w:pos="1340"/>
        </w:tabs>
        <w:spacing w:line="360" w:lineRule="auto"/>
        <w:ind w:firstLine="420"/>
        <w:rPr>
          <w:rFonts w:ascii="宋体" w:hAnsi="宋体" w:eastAsia="宋体" w:cs="宋体"/>
          <w:color w:val="auto"/>
          <w:sz w:val="21"/>
          <w:highlight w:val="none"/>
          <w:u w:val="single"/>
        </w:rPr>
      </w:pPr>
      <w:r>
        <w:rPr>
          <w:rFonts w:hint="eastAsia" w:ascii="宋体" w:hAnsi="宋体" w:eastAsia="宋体" w:cs="宋体"/>
          <w:color w:val="auto"/>
          <w:sz w:val="21"/>
          <w:highlight w:val="none"/>
        </w:rPr>
        <w:t xml:space="preserve">     外商投资企业类型：</w:t>
      </w:r>
      <w:r>
        <w:rPr>
          <w:rFonts w:hint="eastAsia" w:ascii="宋体" w:hAnsi="宋体" w:eastAsia="宋体" w:cs="宋体"/>
          <w:iCs/>
          <w:color w:val="auto"/>
          <w:sz w:val="21"/>
          <w:highlight w:val="none"/>
        </w:rPr>
        <w:sym w:font="Wingdings" w:char="00A8"/>
      </w:r>
      <w:r>
        <w:rPr>
          <w:rFonts w:hint="eastAsia" w:ascii="宋体" w:hAnsi="宋体" w:eastAsia="宋体" w:cs="宋体"/>
          <w:color w:val="auto"/>
          <w:sz w:val="21"/>
          <w:highlight w:val="none"/>
        </w:rPr>
        <w:t xml:space="preserve">全部由外国投资者投资  </w:t>
      </w:r>
      <w:r>
        <w:rPr>
          <w:rFonts w:hint="eastAsia" w:ascii="宋体" w:hAnsi="宋体" w:eastAsia="宋体" w:cs="宋体"/>
          <w:iCs/>
          <w:color w:val="auto"/>
          <w:sz w:val="21"/>
          <w:highlight w:val="none"/>
        </w:rPr>
        <w:sym w:font="Wingdings" w:char="00A8"/>
      </w:r>
      <w:r>
        <w:rPr>
          <w:rFonts w:hint="eastAsia" w:ascii="宋体" w:hAnsi="宋体" w:eastAsia="宋体" w:cs="宋体"/>
          <w:iCs/>
          <w:color w:val="auto"/>
          <w:sz w:val="21"/>
          <w:highlight w:val="none"/>
        </w:rPr>
        <w:t>部分由外国投资者投资</w:t>
      </w:r>
    </w:p>
    <w:p w14:paraId="77CDE067">
      <w:pPr>
        <w:numPr>
          <w:ilvl w:val="255"/>
          <w:numId w:val="0"/>
        </w:num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9</w:t>
      </w:r>
      <w:r>
        <w:rPr>
          <w:rFonts w:hint="eastAsia" w:ascii="宋体" w:hAnsi="宋体" w:cs="宋体"/>
          <w:color w:val="auto"/>
          <w:szCs w:val="21"/>
          <w:highlight w:val="none"/>
        </w:rPr>
        <w:t>）是否涉及进口产品：</w:t>
      </w:r>
    </w:p>
    <w:p w14:paraId="41D7B33E">
      <w:pPr>
        <w:numPr>
          <w:ilvl w:val="255"/>
          <w:numId w:val="0"/>
        </w:numPr>
        <w:adjustRightInd w:val="0"/>
        <w:snapToGrid w:val="0"/>
        <w:spacing w:line="360" w:lineRule="auto"/>
        <w:ind w:firstLine="840" w:firstLineChars="400"/>
        <w:rPr>
          <w:rFonts w:ascii="宋体" w:hAnsi="宋体" w:cs="宋体"/>
          <w:color w:val="auto"/>
          <w:szCs w:val="21"/>
          <w:highlight w:val="none"/>
          <w:u w:val="single"/>
        </w:rPr>
      </w:pPr>
      <w:r>
        <w:rPr>
          <w:rFonts w:hint="eastAsia" w:ascii="宋体" w:hAnsi="宋体" w:cs="宋体"/>
          <w:color w:val="auto"/>
          <w:szCs w:val="21"/>
          <w:highlight w:val="none"/>
        </w:rPr>
        <w:sym w:font="Wingdings" w:char="00A8"/>
      </w:r>
      <w:r>
        <w:rPr>
          <w:rFonts w:hint="eastAsia" w:ascii="宋体" w:hAnsi="宋体" w:cs="宋体"/>
          <w:color w:val="auto"/>
          <w:szCs w:val="21"/>
          <w:highlight w:val="none"/>
        </w:rPr>
        <w:t>是，《政府采购品目分类目录》底级品目名称： 金额：</w:t>
      </w:r>
    </w:p>
    <w:p w14:paraId="612EF255">
      <w:pPr>
        <w:numPr>
          <w:ilvl w:val="255"/>
          <w:numId w:val="0"/>
        </w:numPr>
        <w:adjustRightInd w:val="0"/>
        <w:snapToGrid w:val="0"/>
        <w:spacing w:line="360" w:lineRule="auto"/>
        <w:ind w:firstLine="840" w:firstLineChars="400"/>
        <w:rPr>
          <w:rFonts w:ascii="宋体" w:hAnsi="宋体"/>
          <w:color w:val="auto"/>
          <w:szCs w:val="21"/>
          <w:highlight w:val="none"/>
        </w:rPr>
      </w:pPr>
      <w:r>
        <w:rPr>
          <w:rFonts w:hint="eastAsia" w:ascii="宋体" w:hAnsi="宋体" w:cs="宋体"/>
          <w:color w:val="auto"/>
          <w:szCs w:val="21"/>
          <w:highlight w:val="none"/>
        </w:rPr>
        <w:t xml:space="preserve">        国别： 品牌： 规格型号：</w:t>
      </w:r>
    </w:p>
    <w:p w14:paraId="22CA0E91">
      <w:p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否</w:t>
      </w:r>
    </w:p>
    <w:p w14:paraId="17E1191B">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（1</w:t>
      </w:r>
      <w:r>
        <w:rPr>
          <w:rFonts w:ascii="宋体" w:hAnsi="宋体"/>
          <w:color w:val="auto"/>
          <w:szCs w:val="21"/>
          <w:highlight w:val="none"/>
        </w:rPr>
        <w:t>0</w:t>
      </w:r>
      <w:r>
        <w:rPr>
          <w:rFonts w:hint="eastAsia" w:ascii="宋体" w:hAnsi="宋体"/>
          <w:color w:val="auto"/>
          <w:szCs w:val="21"/>
          <w:highlight w:val="none"/>
        </w:rPr>
        <w:t>）是否涉及节能产品：</w:t>
      </w:r>
    </w:p>
    <w:p w14:paraId="35E8F7C1">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是，《节能产品政府采购品目清单》的底级品目名称：</w:t>
      </w:r>
    </w:p>
    <w:p w14:paraId="0341F578">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4BAA98A0">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否</w:t>
      </w:r>
    </w:p>
    <w:p w14:paraId="181473AE">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是否涉及环境标志产品：</w:t>
      </w:r>
    </w:p>
    <w:p w14:paraId="7FF32A19">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是，《环境标志产品政府采购品目清单》的底级品目名称：</w:t>
      </w:r>
    </w:p>
    <w:p w14:paraId="49C44A8D">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12A3FC0C">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否</w:t>
      </w:r>
    </w:p>
    <w:p w14:paraId="2B133A08">
      <w:pPr>
        <w:pStyle w:val="20"/>
        <w:numPr>
          <w:ilvl w:val="255"/>
          <w:numId w:val="0"/>
        </w:numPr>
        <w:snapToGrid w:val="0"/>
        <w:spacing w:line="360" w:lineRule="auto"/>
        <w:rPr>
          <w:rFonts w:ascii="宋体" w:hAnsi="宋体" w:eastAsia="宋体" w:cs="Times New Roman"/>
          <w:color w:val="auto"/>
          <w:kern w:val="2"/>
          <w:sz w:val="21"/>
          <w:highlight w:val="none"/>
        </w:rPr>
      </w:pPr>
      <w:r>
        <w:rPr>
          <w:rFonts w:hint="eastAsia" w:ascii="宋体" w:hAnsi="宋体" w:eastAsia="宋体" w:cs="Times New Roman"/>
          <w:color w:val="auto"/>
          <w:kern w:val="2"/>
          <w:sz w:val="21"/>
          <w:highlight w:val="none"/>
        </w:rPr>
        <w:t xml:space="preserve">是否涉及绿色产品： </w:t>
      </w:r>
    </w:p>
    <w:p w14:paraId="5527DDD2">
      <w:pPr>
        <w:pStyle w:val="20"/>
        <w:spacing w:line="360" w:lineRule="auto"/>
        <w:ind w:firstLine="420" w:firstLineChars="0"/>
        <w:rPr>
          <w:rFonts w:ascii="宋体" w:hAnsi="宋体" w:eastAsia="宋体"/>
          <w:color w:val="auto"/>
          <w:highlight w:val="none"/>
          <w:u w:val="single"/>
        </w:rPr>
      </w:pP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是，绿色产品政府采购相关政策确定的底级品目名称：</w:t>
      </w:r>
    </w:p>
    <w:p w14:paraId="2C202452">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0EE38C6F">
      <w:pPr>
        <w:pStyle w:val="20"/>
        <w:spacing w:line="360" w:lineRule="auto"/>
        <w:ind w:firstLine="420" w:firstLineChars="0"/>
        <w:rPr>
          <w:rFonts w:ascii="宋体" w:hAnsi="宋体"/>
          <w:color w:val="auto"/>
          <w:sz w:val="21"/>
          <w:highlight w:val="none"/>
        </w:rPr>
      </w:pP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否</w:t>
      </w:r>
    </w:p>
    <w:p w14:paraId="700FF1C6">
      <w:pPr>
        <w:numPr>
          <w:ilvl w:val="255"/>
          <w:numId w:val="0"/>
        </w:num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（1</w:t>
      </w:r>
      <w:r>
        <w:rPr>
          <w:rFonts w:ascii="宋体" w:hAnsi="宋体"/>
          <w:color w:val="auto"/>
          <w:szCs w:val="21"/>
          <w:highlight w:val="none"/>
        </w:rPr>
        <w:t>1</w:t>
      </w:r>
      <w:r>
        <w:rPr>
          <w:rFonts w:hint="eastAsia" w:ascii="宋体" w:hAnsi="宋体"/>
          <w:color w:val="auto"/>
          <w:szCs w:val="21"/>
          <w:highlight w:val="none"/>
        </w:rPr>
        <w:t>）涉及商品包装和快递包装的，是否参考《商品包装政府采购需求标准（试行）》、《快递包装政府采购需求标准（试行）》明确产品及相关快递服务的具体包装要求：</w:t>
      </w:r>
    </w:p>
    <w:p w14:paraId="2EA2B75E">
      <w:pPr>
        <w:numPr>
          <w:ilvl w:val="255"/>
          <w:numId w:val="0"/>
        </w:num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 xml:space="preserve">是       </w:t>
      </w:r>
      <w:r>
        <w:rPr>
          <w:rFonts w:hint="eastAsia" w:ascii="宋体" w:hAnsi="宋体"/>
          <w:color w:val="auto"/>
          <w:szCs w:val="21"/>
          <w:highlight w:val="none"/>
        </w:rPr>
        <w:sym w:font="Wingdings" w:char="00A8"/>
      </w:r>
      <w:r>
        <w:rPr>
          <w:rFonts w:hint="eastAsia" w:ascii="宋体" w:hAnsi="宋体"/>
          <w:color w:val="auto"/>
          <w:szCs w:val="21"/>
          <w:highlight w:val="none"/>
        </w:rPr>
        <w:t xml:space="preserve">否      </w:t>
      </w:r>
      <w:r>
        <w:rPr>
          <w:rFonts w:hint="eastAsia" w:ascii="宋体" w:hAnsi="宋体"/>
          <w:color w:val="auto"/>
          <w:szCs w:val="21"/>
          <w:highlight w:val="none"/>
        </w:rPr>
        <w:sym w:font="Wingdings" w:char="00A8"/>
      </w:r>
      <w:r>
        <w:rPr>
          <w:rFonts w:hint="eastAsia" w:ascii="宋体" w:hAnsi="宋体"/>
          <w:color w:val="auto"/>
          <w:szCs w:val="21"/>
          <w:highlight w:val="none"/>
        </w:rPr>
        <w:t>不涉及</w:t>
      </w:r>
    </w:p>
    <w:p w14:paraId="4CA67736">
      <w:pPr>
        <w:numPr>
          <w:ilvl w:val="0"/>
          <w:numId w:val="3"/>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合同金额</w:t>
      </w:r>
    </w:p>
    <w:p w14:paraId="472D3C93">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（1）合同金额小写：</w:t>
      </w:r>
    </w:p>
    <w:p w14:paraId="66C21B6B">
      <w:pPr>
        <w:adjustRightInd w:val="0"/>
        <w:snapToGrid w:val="0"/>
        <w:spacing w:line="360" w:lineRule="auto"/>
        <w:rPr>
          <w:rFonts w:ascii="宋体" w:hAnsi="宋体"/>
          <w:color w:val="auto"/>
          <w:szCs w:val="21"/>
          <w:highlight w:val="none"/>
          <w:u w:val="single"/>
        </w:rPr>
      </w:pPr>
      <w:r>
        <w:rPr>
          <w:rFonts w:hint="eastAsia" w:ascii="宋体" w:hAnsi="宋体"/>
          <w:color w:val="auto"/>
          <w:szCs w:val="21"/>
          <w:highlight w:val="none"/>
        </w:rPr>
        <w:t xml:space="preserve">                 大写：</w:t>
      </w:r>
    </w:p>
    <w:p w14:paraId="60A0A7C9">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分包金额（如有）小写：</w:t>
      </w:r>
    </w:p>
    <w:p w14:paraId="056A41D3">
      <w:pPr>
        <w:adjustRightInd w:val="0"/>
        <w:snapToGrid w:val="0"/>
        <w:spacing w:line="360" w:lineRule="auto"/>
        <w:rPr>
          <w:rFonts w:ascii="宋体" w:hAnsi="宋体"/>
          <w:color w:val="auto"/>
          <w:szCs w:val="21"/>
          <w:highlight w:val="none"/>
          <w:u w:val="single"/>
        </w:rPr>
      </w:pPr>
      <w:r>
        <w:rPr>
          <w:rFonts w:hint="eastAsia" w:ascii="宋体" w:hAnsi="宋体"/>
          <w:color w:val="auto"/>
          <w:szCs w:val="21"/>
          <w:highlight w:val="none"/>
        </w:rPr>
        <w:t xml:space="preserve">                     大写：</w:t>
      </w:r>
    </w:p>
    <w:p w14:paraId="06C9962D">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（注：固定单价合同应填写单价和最高限价）</w:t>
      </w:r>
    </w:p>
    <w:p w14:paraId="6C9E5CD9">
      <w:pPr>
        <w:numPr>
          <w:ilvl w:val="255"/>
          <w:numId w:val="0"/>
        </w:num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（2）合同定价方式（采用组合定价方式的，可以勾选多项）：</w:t>
      </w:r>
    </w:p>
    <w:p w14:paraId="5E4BFF3E">
      <w:pPr>
        <w:adjustRightInd w:val="0"/>
        <w:snapToGrid w:val="0"/>
        <w:spacing w:line="360" w:lineRule="auto"/>
        <w:ind w:firstLine="420" w:firstLineChars="200"/>
        <w:rPr>
          <w:rFonts w:ascii="宋体" w:hAnsi="宋体"/>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固定总价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固定单价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固定费率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成本补偿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绩效激励 </w:t>
      </w:r>
      <w:r>
        <w:rPr>
          <w:rFonts w:hint="eastAsia" w:ascii="宋体" w:hAnsi="宋体"/>
          <w:iCs/>
          <w:color w:val="auto"/>
          <w:szCs w:val="21"/>
          <w:highlight w:val="none"/>
        </w:rPr>
        <w:sym w:font="Wingdings" w:char="00A8"/>
      </w:r>
      <w:r>
        <w:rPr>
          <w:rFonts w:hint="eastAsia" w:ascii="宋体" w:hAnsi="宋体"/>
          <w:iCs/>
          <w:color w:val="auto"/>
          <w:szCs w:val="21"/>
          <w:highlight w:val="none"/>
        </w:rPr>
        <w:t>其他</w:t>
      </w:r>
    </w:p>
    <w:p w14:paraId="7922D03D">
      <w:pPr>
        <w:pStyle w:val="18"/>
        <w:spacing w:line="360" w:lineRule="auto"/>
        <w:rPr>
          <w:color w:val="auto"/>
          <w:highlight w:val="none"/>
        </w:rPr>
      </w:pPr>
      <w:r>
        <w:rPr>
          <w:rFonts w:hint="eastAsia" w:ascii="宋体" w:hAnsi="宋体"/>
          <w:color w:val="auto"/>
          <w:highlight w:val="none"/>
        </w:rPr>
        <w:t>（3）付款方式（按项目实际勾选填写）：</w:t>
      </w:r>
    </w:p>
    <w:p w14:paraId="0B0B4259">
      <w:pPr>
        <w:adjustRightInd w:val="0"/>
        <w:snapToGrid w:val="0"/>
        <w:spacing w:line="360" w:lineRule="auto"/>
        <w:ind w:firstLine="630" w:firstLineChars="300"/>
        <w:rPr>
          <w:rFonts w:ascii="宋体" w:hAnsi="宋体"/>
          <w:color w:val="auto"/>
          <w:szCs w:val="21"/>
          <w:highlight w:val="none"/>
          <w:u w:val="single"/>
        </w:rPr>
      </w:pPr>
      <w:r>
        <w:rPr>
          <w:rFonts w:hint="eastAsia" w:ascii="宋体" w:hAnsi="宋体"/>
          <w:color w:val="auto"/>
          <w:szCs w:val="21"/>
          <w:highlight w:val="none"/>
        </w:rPr>
        <w:sym w:font="Wingdings" w:char="00A8"/>
      </w:r>
      <w:r>
        <w:rPr>
          <w:rFonts w:hint="eastAsia" w:ascii="宋体" w:hAnsi="宋体"/>
          <w:color w:val="auto"/>
          <w:szCs w:val="21"/>
          <w:highlight w:val="none"/>
        </w:rPr>
        <w:t>全额付款：</w:t>
      </w:r>
      <w:r>
        <w:rPr>
          <w:rFonts w:hint="eastAsia" w:ascii="宋体" w:hAnsi="宋体"/>
          <w:color w:val="auto"/>
          <w:szCs w:val="21"/>
          <w:highlight w:val="none"/>
          <w:u w:val="single"/>
        </w:rPr>
        <w:t xml:space="preserve">     （应明确一次性支付合同款项的条件）                    </w:t>
      </w:r>
    </w:p>
    <w:p w14:paraId="2EE3E631">
      <w:pPr>
        <w:snapToGrid w:val="0"/>
        <w:spacing w:line="360" w:lineRule="auto"/>
        <w:ind w:firstLine="630" w:firstLineChars="300"/>
        <w:rPr>
          <w:rFonts w:ascii="Calibri" w:hAnsi="Calibri"/>
          <w:color w:val="auto"/>
          <w:szCs w:val="20"/>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分期付款：</w:t>
      </w:r>
      <w:r>
        <w:rPr>
          <w:rFonts w:hint="eastAsia" w:ascii="宋体" w:hAnsi="宋体"/>
          <w:color w:val="auto"/>
          <w:szCs w:val="21"/>
          <w:highlight w:val="none"/>
          <w:u w:val="single"/>
        </w:rPr>
        <w:t xml:space="preserve">  （应明确分期支付合同款项的各期比例和支付条件，各期支付条件应与分期履约验收情况挂钩） </w:t>
      </w:r>
      <w:r>
        <w:rPr>
          <w:rFonts w:hint="eastAsia" w:ascii="宋体" w:hAnsi="宋体"/>
          <w:color w:val="auto"/>
          <w:szCs w:val="21"/>
          <w:highlight w:val="none"/>
        </w:rPr>
        <w:t>，其中涉及预付款的：</w:t>
      </w:r>
      <w:r>
        <w:rPr>
          <w:rFonts w:hint="eastAsia" w:ascii="宋体" w:hAnsi="宋体"/>
          <w:color w:val="auto"/>
          <w:szCs w:val="21"/>
          <w:highlight w:val="none"/>
          <w:u w:val="single"/>
        </w:rPr>
        <w:t xml:space="preserve"> （应明确预付款的支付比例和支付条件） </w:t>
      </w:r>
    </w:p>
    <w:p w14:paraId="5C7788BA">
      <w:pPr>
        <w:adjustRightInd w:val="0"/>
        <w:snapToGrid w:val="0"/>
        <w:spacing w:line="360" w:lineRule="auto"/>
        <w:ind w:firstLine="630" w:firstLineChars="300"/>
        <w:rPr>
          <w:rFonts w:ascii="宋体" w:hAnsi="宋体"/>
          <w:color w:val="auto"/>
          <w:szCs w:val="21"/>
          <w:highlight w:val="none"/>
          <w:u w:val="single"/>
        </w:rPr>
      </w:pPr>
      <w:r>
        <w:rPr>
          <w:rFonts w:hint="eastAsia" w:ascii="宋体" w:hAnsi="宋体"/>
          <w:color w:val="auto"/>
          <w:szCs w:val="21"/>
          <w:highlight w:val="none"/>
        </w:rPr>
        <w:sym w:font="Wingdings" w:char="00A8"/>
      </w:r>
      <w:r>
        <w:rPr>
          <w:rFonts w:hint="eastAsia" w:ascii="宋体" w:hAnsi="宋体"/>
          <w:color w:val="auto"/>
          <w:szCs w:val="21"/>
          <w:highlight w:val="none"/>
        </w:rPr>
        <w:t>成本补偿：</w:t>
      </w:r>
      <w:r>
        <w:rPr>
          <w:rFonts w:hint="eastAsia" w:ascii="宋体" w:hAnsi="宋体"/>
          <w:color w:val="auto"/>
          <w:szCs w:val="21"/>
          <w:highlight w:val="none"/>
          <w:u w:val="single"/>
        </w:rPr>
        <w:t xml:space="preserve">      （应明确按照成本补偿方式的支付方式和支付条件）   </w:t>
      </w:r>
    </w:p>
    <w:p w14:paraId="3D42429A">
      <w:pPr>
        <w:adjustRightInd w:val="0"/>
        <w:snapToGrid w:val="0"/>
        <w:spacing w:line="360" w:lineRule="auto"/>
        <w:ind w:firstLine="630" w:firstLineChars="300"/>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绩效激励：</w:t>
      </w:r>
      <w:r>
        <w:rPr>
          <w:rFonts w:hint="eastAsia" w:ascii="宋体" w:hAnsi="宋体"/>
          <w:color w:val="auto"/>
          <w:szCs w:val="21"/>
          <w:highlight w:val="none"/>
          <w:u w:val="single"/>
        </w:rPr>
        <w:t xml:space="preserve">      （应明确按照绩效激励方式的支付方式和支付条件）   </w:t>
      </w:r>
    </w:p>
    <w:p w14:paraId="30523798">
      <w:pPr>
        <w:numPr>
          <w:ilvl w:val="0"/>
          <w:numId w:val="3"/>
        </w:numPr>
        <w:adjustRightInd w:val="0"/>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合同履行</w:t>
      </w:r>
    </w:p>
    <w:p w14:paraId="7331F196">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（1）起始日期：年月日，完成日期：年月日。</w:t>
      </w:r>
    </w:p>
    <w:p w14:paraId="3A7DF355">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（2）履约地点</w:t>
      </w:r>
      <w:r>
        <w:rPr>
          <w:rFonts w:hint="eastAsia" w:ascii="宋体" w:hAnsi="宋体" w:cs="宋体"/>
          <w:bCs/>
          <w:color w:val="auto"/>
          <w:szCs w:val="21"/>
          <w:highlight w:val="none"/>
        </w:rPr>
        <w:t>：</w:t>
      </w:r>
    </w:p>
    <w:p w14:paraId="2E360A94">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（3）履约担保：</w:t>
      </w:r>
      <w:r>
        <w:rPr>
          <w:rFonts w:hint="eastAsia" w:ascii="宋体" w:hAnsi="宋体" w:cs="宋体"/>
          <w:color w:val="auto"/>
          <w:szCs w:val="20"/>
          <w:highlight w:val="none"/>
        </w:rPr>
        <w:t>是否收取履约保证金：</w:t>
      </w:r>
      <w:r>
        <w:rPr>
          <w:rFonts w:hint="eastAsia" w:ascii="宋体" w:hAnsi="宋体" w:cs="宋体"/>
          <w:color w:val="auto"/>
          <w:szCs w:val="21"/>
          <w:highlight w:val="none"/>
        </w:rPr>
        <w:sym w:font="Wingdings" w:char="00A8"/>
      </w:r>
      <w:r>
        <w:rPr>
          <w:rFonts w:hint="eastAsia" w:ascii="宋体" w:hAnsi="宋体" w:cs="宋体"/>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cs="宋体"/>
          <w:color w:val="auto"/>
          <w:szCs w:val="21"/>
          <w:highlight w:val="none"/>
        </w:rPr>
        <w:t>否</w:t>
      </w:r>
    </w:p>
    <w:p w14:paraId="073776D2">
      <w:pPr>
        <w:pStyle w:val="20"/>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 xml:space="preserve">  收取履约保证金形式：</w:t>
      </w:r>
    </w:p>
    <w:p w14:paraId="2D0E839D">
      <w:pPr>
        <w:pStyle w:val="20"/>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 xml:space="preserve">    收取履约保证金金额：</w:t>
      </w:r>
    </w:p>
    <w:p w14:paraId="19FB0747">
      <w:pPr>
        <w:snapToGrid w:val="0"/>
        <w:spacing w:line="360" w:lineRule="auto"/>
        <w:ind w:firstLine="420" w:firstLineChars="200"/>
        <w:rPr>
          <w:rFonts w:ascii="宋体" w:hAnsi="宋体" w:cs="宋体"/>
          <w:color w:val="auto"/>
          <w:szCs w:val="20"/>
          <w:highlight w:val="none"/>
        </w:rPr>
      </w:pPr>
      <w:r>
        <w:rPr>
          <w:rFonts w:hint="eastAsia" w:ascii="宋体" w:hAnsi="宋体" w:cs="宋体"/>
          <w:bCs/>
          <w:color w:val="auto"/>
          <w:szCs w:val="21"/>
          <w:highlight w:val="none"/>
        </w:rPr>
        <w:t xml:space="preserve">    履约担保期限：</w:t>
      </w:r>
    </w:p>
    <w:p w14:paraId="2EAD7BC2">
      <w:pPr>
        <w:adjustRightInd w:val="0"/>
        <w:snapToGrid w:val="0"/>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（4）分期履行要求：</w:t>
      </w:r>
    </w:p>
    <w:p w14:paraId="48421402">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bCs/>
          <w:color w:val="auto"/>
          <w:szCs w:val="21"/>
          <w:highlight w:val="none"/>
        </w:rPr>
        <w:t>（5）风险处置措施和替代方案：</w:t>
      </w:r>
    </w:p>
    <w:p w14:paraId="17F58200">
      <w:pPr>
        <w:numPr>
          <w:ilvl w:val="0"/>
          <w:numId w:val="3"/>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合同验收</w:t>
      </w:r>
    </w:p>
    <w:p w14:paraId="4CD003F0">
      <w:pPr>
        <w:numPr>
          <w:ilvl w:val="0"/>
          <w:numId w:val="4"/>
        </w:numPr>
        <w:adjustRightInd w:val="0"/>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验收组织方式：</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自行组织 </w:t>
      </w:r>
      <w:r>
        <w:rPr>
          <w:rFonts w:hint="eastAsia" w:ascii="宋体" w:hAnsi="宋体" w:cs="宋体"/>
          <w:color w:val="auto"/>
          <w:szCs w:val="21"/>
          <w:highlight w:val="none"/>
        </w:rPr>
        <w:sym w:font="Wingdings" w:char="00A8"/>
      </w:r>
      <w:r>
        <w:rPr>
          <w:rFonts w:hint="eastAsia" w:ascii="宋体" w:hAnsi="宋体"/>
          <w:bCs/>
          <w:color w:val="auto"/>
          <w:szCs w:val="21"/>
          <w:highlight w:val="none"/>
        </w:rPr>
        <w:t>委托第三方组织</w:t>
      </w:r>
    </w:p>
    <w:p w14:paraId="48005A3C">
      <w:pPr>
        <w:adjustRightInd w:val="0"/>
        <w:snapToGrid w:val="0"/>
        <w:spacing w:line="360" w:lineRule="auto"/>
        <w:rPr>
          <w:rFonts w:ascii="宋体" w:hAnsi="宋体"/>
          <w:bCs/>
          <w:color w:val="auto"/>
          <w:szCs w:val="21"/>
          <w:highlight w:val="none"/>
        </w:rPr>
      </w:pPr>
      <w:r>
        <w:rPr>
          <w:rFonts w:hint="eastAsia" w:ascii="宋体" w:hAnsi="宋体"/>
          <w:bCs/>
          <w:color w:val="auto"/>
          <w:szCs w:val="21"/>
          <w:highlight w:val="none"/>
        </w:rPr>
        <w:t xml:space="preserve">         验收主体：</w:t>
      </w:r>
    </w:p>
    <w:p w14:paraId="443C1F65">
      <w:pPr>
        <w:adjustRightInd w:val="0"/>
        <w:snapToGrid w:val="0"/>
        <w:spacing w:line="360" w:lineRule="auto"/>
        <w:rPr>
          <w:rFonts w:ascii="宋体" w:hAnsi="宋体"/>
          <w:bCs/>
          <w:color w:val="auto"/>
          <w:szCs w:val="21"/>
          <w:highlight w:val="none"/>
        </w:rPr>
      </w:pPr>
      <w:r>
        <w:rPr>
          <w:rFonts w:hint="eastAsia" w:ascii="宋体" w:hAnsi="宋体"/>
          <w:bCs/>
          <w:color w:val="auto"/>
          <w:szCs w:val="21"/>
          <w:highlight w:val="none"/>
        </w:rPr>
        <w:t xml:space="preserve">        是否邀请本项目的其他供应商参加验收：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1D6AE2A9">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是否邀请专家参加验收：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2D442E01">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是否邀请服务对象参加验收：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471E272C">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是否邀请第三方检测机构参加验收：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5AED6AB1">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是否进行抽查检测：</w:t>
      </w:r>
      <w:r>
        <w:rPr>
          <w:rFonts w:hint="eastAsia" w:ascii="宋体" w:hAnsi="宋体" w:cs="宋体"/>
          <w:color w:val="auto"/>
          <w:szCs w:val="21"/>
          <w:highlight w:val="none"/>
        </w:rPr>
        <w:sym w:font="Wingdings" w:char="00A8"/>
      </w:r>
      <w:r>
        <w:rPr>
          <w:rFonts w:hint="eastAsia" w:ascii="宋体" w:hAnsi="宋体"/>
          <w:bCs/>
          <w:color w:val="auto"/>
          <w:szCs w:val="21"/>
          <w:highlight w:val="none"/>
        </w:rPr>
        <w:t>是，抽查比例：</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50BC1670">
      <w:pPr>
        <w:adjustRightInd w:val="0"/>
        <w:snapToGrid w:val="0"/>
        <w:spacing w:line="360" w:lineRule="auto"/>
        <w:ind w:firstLine="840" w:firstLineChars="400"/>
        <w:rPr>
          <w:rFonts w:ascii="宋体" w:hAnsi="宋体"/>
          <w:bCs/>
          <w:color w:val="auto"/>
          <w:szCs w:val="21"/>
          <w:highlight w:val="none"/>
          <w:u w:val="single"/>
        </w:rPr>
      </w:pPr>
      <w:r>
        <w:rPr>
          <w:rFonts w:hint="eastAsia" w:ascii="宋体" w:hAnsi="宋体"/>
          <w:bCs/>
          <w:color w:val="auto"/>
          <w:szCs w:val="21"/>
          <w:highlight w:val="none"/>
        </w:rPr>
        <w:t>是否存在破坏性检测：</w:t>
      </w:r>
      <w:r>
        <w:rPr>
          <w:rFonts w:hint="eastAsia" w:ascii="宋体" w:hAnsi="宋体" w:cs="宋体"/>
          <w:color w:val="auto"/>
          <w:szCs w:val="21"/>
          <w:highlight w:val="none"/>
        </w:rPr>
        <w:sym w:font="Wingdings" w:char="00A8"/>
      </w:r>
      <w:r>
        <w:rPr>
          <w:rFonts w:hint="eastAsia" w:ascii="宋体" w:hAnsi="宋体"/>
          <w:bCs/>
          <w:color w:val="auto"/>
          <w:szCs w:val="21"/>
          <w:highlight w:val="none"/>
        </w:rPr>
        <w:t>是，</w:t>
      </w:r>
      <w:r>
        <w:rPr>
          <w:rFonts w:hint="eastAsia" w:ascii="宋体" w:hAnsi="宋体"/>
          <w:bCs/>
          <w:color w:val="auto"/>
          <w:szCs w:val="21"/>
          <w:highlight w:val="none"/>
          <w:u w:val="single"/>
        </w:rPr>
        <w:t>（应明确对被破坏的检测产品的处理方式）</w:t>
      </w:r>
    </w:p>
    <w:p w14:paraId="52F9FEB2">
      <w:pPr>
        <w:adjustRightInd w:val="0"/>
        <w:snapToGrid w:val="0"/>
        <w:spacing w:line="360" w:lineRule="auto"/>
        <w:ind w:firstLine="840" w:firstLineChars="400"/>
        <w:rPr>
          <w:rFonts w:ascii="宋体" w:hAnsi="宋体"/>
          <w:bCs/>
          <w:color w:val="auto"/>
          <w:szCs w:val="21"/>
          <w:highlight w:val="none"/>
        </w:rPr>
      </w:pP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32081843">
      <w:pPr>
        <w:adjustRightInd w:val="0"/>
        <w:snapToGrid w:val="0"/>
        <w:spacing w:line="360" w:lineRule="auto"/>
        <w:ind w:firstLine="840" w:firstLineChars="400"/>
        <w:rPr>
          <w:rFonts w:ascii="宋体" w:hAnsi="宋体"/>
          <w:bCs/>
          <w:color w:val="auto"/>
          <w:szCs w:val="21"/>
          <w:highlight w:val="none"/>
          <w:u w:val="single"/>
        </w:rPr>
      </w:pPr>
      <w:r>
        <w:rPr>
          <w:rFonts w:hint="eastAsia" w:ascii="宋体" w:hAnsi="宋体"/>
          <w:bCs/>
          <w:color w:val="auto"/>
          <w:szCs w:val="21"/>
          <w:highlight w:val="none"/>
        </w:rPr>
        <w:t>验收组织的其他事项：</w:t>
      </w:r>
    </w:p>
    <w:p w14:paraId="25BCF58C">
      <w:pPr>
        <w:adjustRightInd w:val="0"/>
        <w:snapToGrid w:val="0"/>
        <w:spacing w:line="360" w:lineRule="auto"/>
        <w:ind w:firstLine="420" w:firstLineChars="200"/>
        <w:rPr>
          <w:rFonts w:ascii="宋体" w:hAnsi="宋体"/>
          <w:bCs/>
          <w:color w:val="auto"/>
          <w:szCs w:val="21"/>
          <w:highlight w:val="none"/>
          <w:u w:val="single"/>
        </w:rPr>
      </w:pPr>
      <w:r>
        <w:rPr>
          <w:rFonts w:hint="eastAsia" w:ascii="宋体" w:hAnsi="宋体"/>
          <w:bCs/>
          <w:color w:val="auto"/>
          <w:szCs w:val="21"/>
          <w:highlight w:val="none"/>
        </w:rPr>
        <w:t>（2）履约验收时间：</w:t>
      </w:r>
      <w:r>
        <w:rPr>
          <w:rFonts w:hint="eastAsia" w:ascii="宋体" w:hAnsi="宋体"/>
          <w:bCs/>
          <w:color w:val="auto"/>
          <w:szCs w:val="21"/>
          <w:highlight w:val="none"/>
          <w:u w:val="single"/>
        </w:rPr>
        <w:t xml:space="preserve">（计划于何时验收/供应商提出验收申请之日起   日内组织验收） </w:t>
      </w:r>
    </w:p>
    <w:p w14:paraId="4959823F">
      <w:pPr>
        <w:adjustRightInd w:val="0"/>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（3）履约验收方式：</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一次性验收         </w:t>
      </w:r>
    </w:p>
    <w:p w14:paraId="2BD740DE">
      <w:pPr>
        <w:adjustRightInd w:val="0"/>
        <w:snapToGrid w:val="0"/>
        <w:spacing w:line="360" w:lineRule="auto"/>
        <w:rPr>
          <w:rFonts w:ascii="宋体" w:hAnsi="宋体"/>
          <w:bCs/>
          <w:color w:val="auto"/>
          <w:szCs w:val="21"/>
          <w:highlight w:val="none"/>
        </w:rPr>
      </w:pPr>
      <w:r>
        <w:rPr>
          <w:rFonts w:hint="eastAsia" w:ascii="宋体" w:hAnsi="宋体" w:cs="宋体"/>
          <w:color w:val="auto"/>
          <w:szCs w:val="21"/>
          <w:highlight w:val="none"/>
        </w:rPr>
        <w:sym w:font="Wingdings" w:char="00A8"/>
      </w:r>
      <w:r>
        <w:rPr>
          <w:rFonts w:hint="eastAsia" w:ascii="宋体" w:hAnsi="宋体"/>
          <w:bCs/>
          <w:color w:val="auto"/>
          <w:szCs w:val="21"/>
          <w:highlight w:val="none"/>
        </w:rPr>
        <w:t>分期/分项验收：</w:t>
      </w:r>
      <w:r>
        <w:rPr>
          <w:rFonts w:hint="eastAsia" w:ascii="宋体" w:hAnsi="宋体"/>
          <w:bCs/>
          <w:color w:val="auto"/>
          <w:szCs w:val="21"/>
          <w:highlight w:val="none"/>
          <w:u w:val="single"/>
        </w:rPr>
        <w:t xml:space="preserve"> （应明确分期</w:t>
      </w:r>
      <w:r>
        <w:rPr>
          <w:rFonts w:ascii="宋体" w:hAnsi="宋体"/>
          <w:bCs/>
          <w:color w:val="auto"/>
          <w:szCs w:val="21"/>
          <w:highlight w:val="none"/>
          <w:u w:val="single"/>
        </w:rPr>
        <w:t>/</w:t>
      </w:r>
      <w:r>
        <w:rPr>
          <w:rFonts w:hint="eastAsia" w:ascii="宋体" w:hAnsi="宋体"/>
          <w:bCs/>
          <w:color w:val="auto"/>
          <w:szCs w:val="21"/>
          <w:highlight w:val="none"/>
          <w:u w:val="single"/>
        </w:rPr>
        <w:t xml:space="preserve">分项验收的工作安排）  </w:t>
      </w:r>
    </w:p>
    <w:p w14:paraId="2780BDB1">
      <w:pPr>
        <w:adjustRightInd w:val="0"/>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（4）履约验收程序：</w:t>
      </w:r>
    </w:p>
    <w:p w14:paraId="313A42B5">
      <w:pPr>
        <w:adjustRightInd w:val="0"/>
        <w:snapToGrid w:val="0"/>
        <w:spacing w:line="360" w:lineRule="auto"/>
        <w:ind w:firstLine="420" w:firstLineChars="200"/>
        <w:rPr>
          <w:rFonts w:ascii="宋体" w:hAnsi="宋体"/>
          <w:bCs/>
          <w:color w:val="auto"/>
          <w:szCs w:val="21"/>
          <w:highlight w:val="none"/>
          <w:u w:val="single"/>
        </w:rPr>
      </w:pPr>
      <w:r>
        <w:rPr>
          <w:rFonts w:hint="eastAsia" w:ascii="宋体" w:hAnsi="宋体"/>
          <w:bCs/>
          <w:color w:val="auto"/>
          <w:szCs w:val="21"/>
          <w:highlight w:val="none"/>
        </w:rPr>
        <w:t>（5）履约验收的内容：</w:t>
      </w:r>
      <w:r>
        <w:rPr>
          <w:rFonts w:hint="eastAsia" w:ascii="宋体" w:hAnsi="宋体"/>
          <w:bCs/>
          <w:color w:val="auto"/>
          <w:szCs w:val="21"/>
          <w:highlight w:val="none"/>
          <w:u w:val="single"/>
        </w:rPr>
        <w:t xml:space="preserve"> （应当包括每一项技术和商务要求的履约情况，特别是落实政府采购扶持中小企业，支持绿色发展和乡村振兴等政策情况）                                      </w:t>
      </w:r>
    </w:p>
    <w:p w14:paraId="508357B6">
      <w:pPr>
        <w:adjustRightInd w:val="0"/>
        <w:snapToGrid w:val="0"/>
        <w:spacing w:line="360" w:lineRule="auto"/>
        <w:ind w:firstLine="420" w:firstLineChars="200"/>
        <w:rPr>
          <w:rFonts w:ascii="宋体" w:hAnsi="宋体"/>
          <w:bCs/>
          <w:color w:val="auto"/>
          <w:szCs w:val="21"/>
          <w:highlight w:val="none"/>
          <w:u w:val="single"/>
        </w:rPr>
      </w:pPr>
      <w:r>
        <w:rPr>
          <w:rFonts w:hint="eastAsia" w:ascii="宋体" w:hAnsi="宋体"/>
          <w:bCs/>
          <w:color w:val="auto"/>
          <w:szCs w:val="21"/>
          <w:highlight w:val="none"/>
        </w:rPr>
        <w:t>（6）履约验收标准：</w:t>
      </w:r>
    </w:p>
    <w:p w14:paraId="1225F746">
      <w:pPr>
        <w:pStyle w:val="20"/>
        <w:spacing w:line="360" w:lineRule="auto"/>
        <w:ind w:firstLine="420"/>
        <w:rPr>
          <w:rFonts w:ascii="宋体" w:hAnsi="宋体" w:eastAsia="宋体" w:cs="宋体"/>
          <w:color w:val="auto"/>
          <w:sz w:val="21"/>
          <w:highlight w:val="none"/>
        </w:rPr>
      </w:pPr>
      <w:r>
        <w:rPr>
          <w:rFonts w:hint="eastAsia" w:ascii="宋体" w:hAnsi="宋体" w:eastAsia="宋体" w:cs="宋体"/>
          <w:bCs/>
          <w:color w:val="auto"/>
          <w:sz w:val="21"/>
          <w:highlight w:val="none"/>
        </w:rPr>
        <w:t>（7）是否以采购活动中供应商提供的样品作为参考：</w:t>
      </w:r>
      <w:r>
        <w:rPr>
          <w:rFonts w:hint="eastAsia" w:ascii="宋体" w:hAnsi="宋体" w:eastAsia="宋体" w:cs="宋体"/>
          <w:color w:val="auto"/>
          <w:sz w:val="21"/>
          <w:highlight w:val="none"/>
        </w:rPr>
        <w:sym w:font="Wingdings" w:char="00A8"/>
      </w:r>
      <w:r>
        <w:rPr>
          <w:rFonts w:hint="eastAsia" w:ascii="宋体" w:hAnsi="宋体" w:eastAsia="宋体" w:cs="宋体"/>
          <w:bCs/>
          <w:color w:val="auto"/>
          <w:sz w:val="21"/>
          <w:highlight w:val="none"/>
        </w:rPr>
        <w:t xml:space="preserve">是  </w:t>
      </w:r>
      <w:r>
        <w:rPr>
          <w:rFonts w:hint="eastAsia" w:ascii="宋体" w:hAnsi="宋体" w:eastAsia="宋体" w:cs="宋体"/>
          <w:color w:val="auto"/>
          <w:sz w:val="21"/>
          <w:highlight w:val="none"/>
        </w:rPr>
        <w:sym w:font="Wingdings" w:char="00A8"/>
      </w:r>
      <w:r>
        <w:rPr>
          <w:rFonts w:hint="eastAsia" w:ascii="宋体" w:hAnsi="宋体" w:eastAsia="宋体" w:cs="宋体"/>
          <w:bCs/>
          <w:color w:val="auto"/>
          <w:sz w:val="21"/>
          <w:highlight w:val="none"/>
        </w:rPr>
        <w:t>否</w:t>
      </w:r>
    </w:p>
    <w:p w14:paraId="5D2C3E4F">
      <w:pPr>
        <w:adjustRightInd w:val="0"/>
        <w:snapToGrid w:val="0"/>
        <w:spacing w:line="360" w:lineRule="auto"/>
        <w:ind w:firstLine="420" w:firstLineChars="200"/>
        <w:rPr>
          <w:rFonts w:ascii="宋体" w:hAnsi="宋体" w:cs="宋体"/>
          <w:bCs/>
          <w:color w:val="auto"/>
          <w:szCs w:val="21"/>
          <w:highlight w:val="none"/>
          <w:u w:val="single"/>
        </w:rPr>
      </w:pPr>
      <w:r>
        <w:rPr>
          <w:rFonts w:hint="eastAsia" w:ascii="宋体" w:hAnsi="宋体" w:cs="宋体"/>
          <w:bCs/>
          <w:color w:val="auto"/>
          <w:szCs w:val="21"/>
          <w:highlight w:val="none"/>
        </w:rPr>
        <w:t>（8）履约验收其他事项：</w:t>
      </w:r>
      <w:r>
        <w:rPr>
          <w:rFonts w:hint="eastAsia" w:ascii="宋体" w:hAnsi="宋体" w:cs="宋体"/>
          <w:bCs/>
          <w:color w:val="auto"/>
          <w:szCs w:val="21"/>
          <w:highlight w:val="none"/>
          <w:u w:val="single"/>
        </w:rPr>
        <w:t xml:space="preserve">      （产权过户登记等）          </w:t>
      </w:r>
    </w:p>
    <w:p w14:paraId="7E3BBA1E">
      <w:pPr>
        <w:numPr>
          <w:ilvl w:val="0"/>
          <w:numId w:val="3"/>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组成合同的文件</w:t>
      </w:r>
    </w:p>
    <w:p w14:paraId="559A7AFB">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本协议书与下列文件一起构成合同文件，如下述文件之间有任何抵触、矛盾或歧义，应按以下顺序解释：</w:t>
      </w:r>
    </w:p>
    <w:p w14:paraId="528C1EAA">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（1）政府采购合同协议书及其变更、补充协议</w:t>
      </w:r>
    </w:p>
    <w:p w14:paraId="48A94590">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（2）政府采购合同专用条款</w:t>
      </w:r>
    </w:p>
    <w:p w14:paraId="14F03517">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（3）政府采购合同通用条款</w:t>
      </w:r>
    </w:p>
    <w:p w14:paraId="0F61E2D9">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（4）中标（成交）通知书</w:t>
      </w:r>
    </w:p>
    <w:p w14:paraId="5339D592">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（5）投标（响应）文件</w:t>
      </w:r>
    </w:p>
    <w:p w14:paraId="17F0D95D">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（6）采购文件</w:t>
      </w:r>
    </w:p>
    <w:p w14:paraId="52AC2CE2">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（7）有关技术文件，图纸</w:t>
      </w:r>
    </w:p>
    <w:p w14:paraId="24AC8C4E">
      <w:pPr>
        <w:pStyle w:val="20"/>
        <w:spacing w:line="360" w:lineRule="auto"/>
        <w:ind w:firstLine="420"/>
        <w:rPr>
          <w:rFonts w:ascii="宋体" w:hAnsi="宋体" w:eastAsia="宋体" w:cs="宋体"/>
          <w:color w:val="auto"/>
          <w:kern w:val="2"/>
          <w:sz w:val="21"/>
          <w:highlight w:val="none"/>
        </w:rPr>
      </w:pPr>
      <w:r>
        <w:rPr>
          <w:rFonts w:hint="eastAsia" w:ascii="宋体" w:hAnsi="宋体" w:eastAsia="宋体" w:cs="宋体"/>
          <w:color w:val="auto"/>
          <w:sz w:val="21"/>
          <w:highlight w:val="none"/>
        </w:rPr>
        <w:t>（8）</w:t>
      </w:r>
      <w:r>
        <w:rPr>
          <w:rFonts w:hint="eastAsia" w:ascii="宋体" w:hAnsi="宋体" w:eastAsia="宋体" w:cs="宋体"/>
          <w:color w:val="auto"/>
          <w:kern w:val="2"/>
          <w:sz w:val="21"/>
          <w:highlight w:val="none"/>
        </w:rPr>
        <w:t>国家法律、行政法规和规章制度规定或合同约定的作为合同组成部分的其他文件</w:t>
      </w:r>
    </w:p>
    <w:p w14:paraId="6A10CF41">
      <w:pPr>
        <w:numPr>
          <w:ilvl w:val="0"/>
          <w:numId w:val="3"/>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合同生效</w:t>
      </w:r>
    </w:p>
    <w:p w14:paraId="432E0F38">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本合同自生效。</w:t>
      </w:r>
    </w:p>
    <w:p w14:paraId="0803A7F3">
      <w:pPr>
        <w:numPr>
          <w:ilvl w:val="0"/>
          <w:numId w:val="3"/>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合同份数</w:t>
      </w:r>
    </w:p>
    <w:p w14:paraId="1FC095B2">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本合同一式份，甲方执份，乙方执份，均具有同等法律效力。</w:t>
      </w:r>
    </w:p>
    <w:p w14:paraId="06F5F39A">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合同订立时间：年月日</w:t>
      </w:r>
    </w:p>
    <w:p w14:paraId="01C11A1E">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合同订立地点：</w:t>
      </w:r>
    </w:p>
    <w:p w14:paraId="02053E71">
      <w:pPr>
        <w:adjustRightInd w:val="0"/>
        <w:snapToGrid w:val="0"/>
        <w:spacing w:line="360" w:lineRule="auto"/>
        <w:ind w:firstLine="420" w:firstLineChars="200"/>
        <w:rPr>
          <w:rFonts w:ascii="Calibri" w:hAnsi="Calibri"/>
          <w:color w:val="auto"/>
          <w:szCs w:val="20"/>
          <w:highlight w:val="none"/>
        </w:rPr>
      </w:pPr>
      <w:r>
        <w:rPr>
          <w:rFonts w:hint="eastAsia" w:ascii="宋体" w:hAnsi="宋体"/>
          <w:color w:val="auto"/>
          <w:szCs w:val="21"/>
          <w:highlight w:val="none"/>
        </w:rPr>
        <w:t>附件：具体标的及其技术要求和商务要求、联合协议、分包意向协议等。</w:t>
      </w:r>
    </w:p>
    <w:p w14:paraId="385B39FD">
      <w:pPr>
        <w:pStyle w:val="18"/>
        <w:spacing w:line="360" w:lineRule="auto"/>
        <w:rPr>
          <w:color w:val="auto"/>
          <w:highlight w:val="none"/>
        </w:rPr>
      </w:pPr>
    </w:p>
    <w:p w14:paraId="05AA5916">
      <w:pPr>
        <w:pStyle w:val="2"/>
        <w:spacing w:before="0" w:after="0" w:line="360" w:lineRule="auto"/>
        <w:rPr>
          <w:rFonts w:ascii="宋体" w:hAnsi="宋体"/>
          <w:b w:val="0"/>
          <w:bCs w:val="0"/>
          <w:color w:val="auto"/>
          <w:sz w:val="21"/>
          <w:szCs w:val="21"/>
          <w:highlight w:val="none"/>
        </w:rPr>
      </w:pPr>
    </w:p>
    <w:p w14:paraId="05BBAC1E">
      <w:pPr>
        <w:spacing w:line="360" w:lineRule="auto"/>
        <w:rPr>
          <w:rFonts w:ascii="Calibri" w:hAnsi="Calibri"/>
          <w:color w:val="auto"/>
          <w:szCs w:val="20"/>
          <w:highlight w:val="none"/>
        </w:rPr>
      </w:pPr>
      <w:r>
        <w:rPr>
          <w:rFonts w:hint="eastAsia" w:ascii="Calibri" w:hAnsi="Calibri"/>
          <w:color w:val="auto"/>
          <w:szCs w:val="20"/>
          <w:highlight w:val="none"/>
        </w:rPr>
        <w:br w:type="page"/>
      </w:r>
    </w:p>
    <w:p w14:paraId="5ACCBC8B">
      <w:pPr>
        <w:pStyle w:val="18"/>
        <w:spacing w:line="360" w:lineRule="auto"/>
        <w:rPr>
          <w:color w:val="auto"/>
          <w:highlight w:val="none"/>
        </w:rPr>
      </w:pPr>
    </w:p>
    <w:tbl>
      <w:tblPr>
        <w:tblStyle w:val="1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0F1223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22BF319">
            <w:pPr>
              <w:adjustRightInd w:val="0"/>
              <w:snapToGrid w:val="0"/>
              <w:spacing w:line="360" w:lineRule="auto"/>
              <w:jc w:val="center"/>
              <w:rPr>
                <w:rFonts w:ascii="Calibri" w:hAnsi="Calibri"/>
                <w:color w:val="auto"/>
                <w:szCs w:val="20"/>
                <w:highlight w:val="none"/>
              </w:rPr>
            </w:pPr>
            <w:r>
              <w:rPr>
                <w:rFonts w:ascii="Calibri" w:hAnsi="Calibri"/>
                <w:color w:val="auto"/>
                <w:szCs w:val="21"/>
                <w:highlight w:val="none"/>
              </w:rPr>
              <w:t>甲方</w:t>
            </w:r>
            <w:r>
              <w:rPr>
                <w:rFonts w:hint="eastAsia" w:ascii="Calibri" w:hAnsi="Calibri"/>
                <w:color w:val="auto"/>
                <w:szCs w:val="21"/>
                <w:highlight w:val="none"/>
              </w:rPr>
              <w:t>（采购人</w:t>
            </w:r>
            <w:r>
              <w:rPr>
                <w:rFonts w:hint="eastAsia" w:ascii="宋体" w:hAnsi="宋体"/>
                <w:color w:val="auto"/>
                <w:szCs w:val="21"/>
                <w:highlight w:val="none"/>
              </w:rPr>
              <w:t>、受采购人委托签订合同的单位或</w:t>
            </w:r>
            <w:r>
              <w:rPr>
                <w:rFonts w:hint="eastAsia" w:ascii="Calibri" w:hAnsi="Calibri"/>
                <w:color w:val="auto"/>
                <w:szCs w:val="21"/>
                <w:highlight w:val="none"/>
              </w:rPr>
              <w:t>采购文件约定的合同甲方）</w:t>
            </w:r>
          </w:p>
        </w:tc>
        <w:tc>
          <w:tcPr>
            <w:tcW w:w="2437" w:type="pct"/>
            <w:gridSpan w:val="2"/>
            <w:tcBorders>
              <w:left w:val="single" w:color="auto" w:sz="2" w:space="0"/>
              <w:bottom w:val="single" w:color="auto" w:sz="2" w:space="0"/>
            </w:tcBorders>
            <w:vAlign w:val="center"/>
          </w:tcPr>
          <w:p w14:paraId="18B27AF0">
            <w:pPr>
              <w:adjustRightInd w:val="0"/>
              <w:snapToGrid w:val="0"/>
              <w:spacing w:line="360" w:lineRule="auto"/>
              <w:jc w:val="center"/>
              <w:rPr>
                <w:rFonts w:ascii="Calibri" w:hAnsi="Calibri"/>
                <w:color w:val="auto"/>
                <w:szCs w:val="20"/>
                <w:highlight w:val="none"/>
              </w:rPr>
            </w:pPr>
            <w:r>
              <w:rPr>
                <w:rFonts w:ascii="Calibri" w:hAnsi="Calibri"/>
                <w:color w:val="auto"/>
                <w:szCs w:val="21"/>
                <w:highlight w:val="none"/>
              </w:rPr>
              <w:t>乙方</w:t>
            </w:r>
            <w:r>
              <w:rPr>
                <w:rFonts w:hint="eastAsia" w:ascii="Calibri" w:hAnsi="Calibri"/>
                <w:color w:val="auto"/>
                <w:szCs w:val="21"/>
                <w:highlight w:val="none"/>
              </w:rPr>
              <w:t>（供应商）</w:t>
            </w:r>
          </w:p>
        </w:tc>
      </w:tr>
      <w:tr w14:paraId="4068EA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34319092">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单位名称</w:t>
            </w:r>
            <w:r>
              <w:rPr>
                <w:rFonts w:hint="eastAsia" w:ascii="Calibri" w:hAnsi="Calibri"/>
                <w:color w:val="auto"/>
                <w:szCs w:val="21"/>
                <w:highlight w:val="none"/>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7AE1A22E">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289C3F4E">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单位名称</w:t>
            </w:r>
            <w:r>
              <w:rPr>
                <w:rFonts w:hint="eastAsia" w:ascii="Calibri" w:hAnsi="Calibri"/>
                <w:color w:val="auto"/>
                <w:szCs w:val="21"/>
                <w:highlight w:val="none"/>
              </w:rPr>
              <w:t>（公章或合同章）</w:t>
            </w:r>
          </w:p>
        </w:tc>
        <w:tc>
          <w:tcPr>
            <w:tcW w:w="1259" w:type="pct"/>
            <w:tcBorders>
              <w:top w:val="single" w:color="auto" w:sz="2" w:space="0"/>
              <w:left w:val="single" w:color="auto" w:sz="2" w:space="0"/>
              <w:bottom w:val="single" w:color="auto" w:sz="2" w:space="0"/>
            </w:tcBorders>
            <w:vAlign w:val="center"/>
          </w:tcPr>
          <w:p w14:paraId="6DA42538">
            <w:pPr>
              <w:adjustRightInd w:val="0"/>
              <w:snapToGrid w:val="0"/>
              <w:spacing w:line="360" w:lineRule="auto"/>
              <w:jc w:val="center"/>
              <w:rPr>
                <w:rFonts w:ascii="Calibri" w:hAnsi="Calibri"/>
                <w:color w:val="auto"/>
                <w:spacing w:val="20"/>
                <w:szCs w:val="21"/>
                <w:highlight w:val="none"/>
              </w:rPr>
            </w:pPr>
          </w:p>
        </w:tc>
      </w:tr>
      <w:tr w14:paraId="7A0D22C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A9D36F9">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法定代表人</w:t>
            </w:r>
          </w:p>
          <w:p w14:paraId="1302AA92">
            <w:pPr>
              <w:adjustRightInd w:val="0"/>
              <w:snapToGrid w:val="0"/>
              <w:spacing w:line="360" w:lineRule="auto"/>
              <w:ind w:firstLine="100" w:firstLineChars="48"/>
              <w:jc w:val="center"/>
              <w:rPr>
                <w:rFonts w:ascii="Calibri" w:hAnsi="Calibri"/>
                <w:color w:val="auto"/>
                <w:szCs w:val="21"/>
                <w:highlight w:val="none"/>
              </w:rPr>
            </w:pPr>
            <w:r>
              <w:rPr>
                <w:rFonts w:hint="eastAsia" w:ascii="Calibri" w:hAnsi="Calibri"/>
                <w:color w:val="auto"/>
                <w:szCs w:val="21"/>
                <w:highlight w:val="none"/>
              </w:rPr>
              <w:t>或其</w:t>
            </w:r>
            <w:r>
              <w:rPr>
                <w:rFonts w:ascii="Calibri" w:hAnsi="Calibri"/>
                <w:color w:val="auto"/>
                <w:szCs w:val="21"/>
                <w:highlight w:val="none"/>
              </w:rPr>
              <w:t>委托代理人</w:t>
            </w:r>
            <w:r>
              <w:rPr>
                <w:rFonts w:hint="eastAsia" w:ascii="Calibri" w:hAnsi="Calibri"/>
                <w:color w:val="auto"/>
                <w:szCs w:val="21"/>
                <w:highlight w:val="none"/>
              </w:rPr>
              <w:t>（签章）</w:t>
            </w:r>
          </w:p>
        </w:tc>
        <w:tc>
          <w:tcPr>
            <w:tcW w:w="1436" w:type="pct"/>
            <w:vMerge w:val="restart"/>
            <w:tcBorders>
              <w:top w:val="single" w:color="auto" w:sz="2" w:space="0"/>
              <w:left w:val="single" w:color="auto" w:sz="2" w:space="0"/>
              <w:right w:val="single" w:color="auto" w:sz="2" w:space="0"/>
            </w:tcBorders>
            <w:vAlign w:val="center"/>
          </w:tcPr>
          <w:p w14:paraId="3AD9261B">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right w:val="single" w:color="auto" w:sz="2" w:space="0"/>
            </w:tcBorders>
            <w:vAlign w:val="center"/>
          </w:tcPr>
          <w:p w14:paraId="0F67147A">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法定代表人</w:t>
            </w:r>
          </w:p>
          <w:p w14:paraId="548F672A">
            <w:pPr>
              <w:adjustRightInd w:val="0"/>
              <w:snapToGrid w:val="0"/>
              <w:spacing w:line="360" w:lineRule="auto"/>
              <w:jc w:val="center"/>
              <w:rPr>
                <w:rFonts w:ascii="Calibri" w:hAnsi="Calibri"/>
                <w:color w:val="auto"/>
                <w:szCs w:val="21"/>
                <w:highlight w:val="none"/>
              </w:rPr>
            </w:pPr>
            <w:r>
              <w:rPr>
                <w:rFonts w:hint="eastAsia" w:ascii="Calibri" w:hAnsi="Calibri"/>
                <w:color w:val="auto"/>
                <w:szCs w:val="21"/>
                <w:highlight w:val="none"/>
              </w:rPr>
              <w:t>或其</w:t>
            </w:r>
            <w:r>
              <w:rPr>
                <w:rFonts w:ascii="Calibri" w:hAnsi="Calibri"/>
                <w:color w:val="auto"/>
                <w:szCs w:val="21"/>
                <w:highlight w:val="none"/>
              </w:rPr>
              <w:t>委托代理人</w:t>
            </w:r>
            <w:r>
              <w:rPr>
                <w:rFonts w:hint="eastAsia" w:ascii="Calibri" w:hAnsi="Calibri"/>
                <w:color w:val="auto"/>
                <w:szCs w:val="21"/>
                <w:highlight w:val="none"/>
              </w:rPr>
              <w:t>（签章）</w:t>
            </w:r>
          </w:p>
        </w:tc>
        <w:tc>
          <w:tcPr>
            <w:tcW w:w="1259" w:type="pct"/>
            <w:tcBorders>
              <w:top w:val="single" w:color="auto" w:sz="2" w:space="0"/>
              <w:left w:val="single" w:color="auto" w:sz="2" w:space="0"/>
              <w:bottom w:val="single" w:color="auto" w:sz="2" w:space="0"/>
            </w:tcBorders>
            <w:vAlign w:val="center"/>
          </w:tcPr>
          <w:p w14:paraId="0D32F9B0">
            <w:pPr>
              <w:adjustRightInd w:val="0"/>
              <w:snapToGrid w:val="0"/>
              <w:spacing w:line="360" w:lineRule="auto"/>
              <w:jc w:val="center"/>
              <w:rPr>
                <w:rFonts w:ascii="Calibri" w:hAnsi="Calibri"/>
                <w:color w:val="auto"/>
                <w:szCs w:val="21"/>
                <w:highlight w:val="none"/>
              </w:rPr>
            </w:pPr>
          </w:p>
        </w:tc>
      </w:tr>
      <w:tr w14:paraId="2EBED22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5A227176">
            <w:pPr>
              <w:adjustRightInd w:val="0"/>
              <w:snapToGrid w:val="0"/>
              <w:spacing w:line="360" w:lineRule="auto"/>
              <w:jc w:val="center"/>
              <w:rPr>
                <w:rFonts w:ascii="Calibri" w:hAnsi="Calibri"/>
                <w:color w:val="auto"/>
                <w:szCs w:val="21"/>
                <w:highlight w:val="none"/>
              </w:rPr>
            </w:pPr>
          </w:p>
        </w:tc>
        <w:tc>
          <w:tcPr>
            <w:tcW w:w="1436" w:type="pct"/>
            <w:vMerge w:val="continue"/>
            <w:tcBorders>
              <w:left w:val="single" w:color="auto" w:sz="2" w:space="0"/>
              <w:bottom w:val="single" w:color="auto" w:sz="2" w:space="0"/>
              <w:right w:val="single" w:color="auto" w:sz="2" w:space="0"/>
            </w:tcBorders>
            <w:vAlign w:val="center"/>
          </w:tcPr>
          <w:p w14:paraId="3CA58A85">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DD03390">
            <w:pPr>
              <w:adjustRightInd w:val="0"/>
              <w:snapToGrid w:val="0"/>
              <w:spacing w:line="360" w:lineRule="auto"/>
              <w:jc w:val="center"/>
              <w:rPr>
                <w:rFonts w:ascii="Calibri" w:hAnsi="Calibri"/>
                <w:color w:val="auto"/>
                <w:szCs w:val="21"/>
                <w:highlight w:val="none"/>
              </w:rPr>
            </w:pPr>
            <w:r>
              <w:rPr>
                <w:rFonts w:hint="eastAsia" w:ascii="Calibri" w:hAnsi="Calibri"/>
                <w:color w:val="auto"/>
                <w:szCs w:val="21"/>
                <w:highlight w:val="none"/>
              </w:rPr>
              <w:t>拥有者性别</w:t>
            </w:r>
          </w:p>
        </w:tc>
        <w:tc>
          <w:tcPr>
            <w:tcW w:w="1259" w:type="pct"/>
            <w:tcBorders>
              <w:top w:val="single" w:color="auto" w:sz="2" w:space="0"/>
              <w:left w:val="single" w:color="auto" w:sz="2" w:space="0"/>
              <w:bottom w:val="single" w:color="auto" w:sz="2" w:space="0"/>
            </w:tcBorders>
            <w:vAlign w:val="center"/>
          </w:tcPr>
          <w:p w14:paraId="143CF485">
            <w:pPr>
              <w:adjustRightInd w:val="0"/>
              <w:snapToGrid w:val="0"/>
              <w:spacing w:line="360" w:lineRule="auto"/>
              <w:jc w:val="center"/>
              <w:rPr>
                <w:rFonts w:ascii="Calibri" w:hAnsi="Calibri"/>
                <w:color w:val="auto"/>
                <w:spacing w:val="20"/>
                <w:szCs w:val="21"/>
                <w:highlight w:val="none"/>
              </w:rPr>
            </w:pPr>
          </w:p>
        </w:tc>
      </w:tr>
      <w:tr w14:paraId="5FBB7CE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39BE3CE">
            <w:pPr>
              <w:adjustRightInd w:val="0"/>
              <w:snapToGrid w:val="0"/>
              <w:spacing w:line="360" w:lineRule="auto"/>
              <w:jc w:val="center"/>
              <w:rPr>
                <w:rFonts w:ascii="Calibri" w:hAnsi="Calibri"/>
                <w:color w:val="auto"/>
                <w:szCs w:val="21"/>
                <w:highlight w:val="none"/>
              </w:rPr>
            </w:pPr>
            <w:r>
              <w:rPr>
                <w:rFonts w:hint="eastAsia" w:ascii="Calibri" w:hAnsi="Calibri"/>
                <w:color w:val="auto"/>
                <w:szCs w:val="21"/>
                <w:highlight w:val="none"/>
              </w:rPr>
              <w:t>住所</w:t>
            </w:r>
          </w:p>
        </w:tc>
        <w:tc>
          <w:tcPr>
            <w:tcW w:w="1436" w:type="pct"/>
            <w:tcBorders>
              <w:top w:val="single" w:color="auto" w:sz="2" w:space="0"/>
              <w:left w:val="single" w:color="auto" w:sz="2" w:space="0"/>
              <w:bottom w:val="single" w:color="auto" w:sz="2" w:space="0"/>
              <w:right w:val="single" w:color="auto" w:sz="2" w:space="0"/>
            </w:tcBorders>
            <w:vAlign w:val="center"/>
          </w:tcPr>
          <w:p w14:paraId="04B2DB15">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86204B6">
            <w:pPr>
              <w:adjustRightInd w:val="0"/>
              <w:snapToGrid w:val="0"/>
              <w:spacing w:line="360" w:lineRule="auto"/>
              <w:jc w:val="center"/>
              <w:rPr>
                <w:rFonts w:ascii="Calibri" w:hAnsi="Calibri"/>
                <w:color w:val="auto"/>
                <w:szCs w:val="21"/>
                <w:highlight w:val="none"/>
              </w:rPr>
            </w:pPr>
            <w:r>
              <w:rPr>
                <w:rFonts w:hint="eastAsia" w:ascii="Calibri" w:hAnsi="Calibri"/>
                <w:color w:val="auto"/>
                <w:szCs w:val="21"/>
                <w:highlight w:val="none"/>
              </w:rPr>
              <w:t>住所</w:t>
            </w:r>
          </w:p>
        </w:tc>
        <w:tc>
          <w:tcPr>
            <w:tcW w:w="1259" w:type="pct"/>
            <w:tcBorders>
              <w:top w:val="single" w:color="auto" w:sz="2" w:space="0"/>
              <w:left w:val="single" w:color="auto" w:sz="2" w:space="0"/>
              <w:bottom w:val="single" w:color="auto" w:sz="2" w:space="0"/>
            </w:tcBorders>
            <w:vAlign w:val="center"/>
          </w:tcPr>
          <w:p w14:paraId="1A38750E">
            <w:pPr>
              <w:adjustRightInd w:val="0"/>
              <w:snapToGrid w:val="0"/>
              <w:spacing w:line="360" w:lineRule="auto"/>
              <w:jc w:val="center"/>
              <w:rPr>
                <w:rFonts w:ascii="Calibri" w:hAnsi="Calibri"/>
                <w:color w:val="auto"/>
                <w:spacing w:val="20"/>
                <w:szCs w:val="21"/>
                <w:highlight w:val="none"/>
              </w:rPr>
            </w:pPr>
          </w:p>
        </w:tc>
      </w:tr>
      <w:tr w14:paraId="02D7DD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ED5617C">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联系人</w:t>
            </w:r>
          </w:p>
        </w:tc>
        <w:tc>
          <w:tcPr>
            <w:tcW w:w="1436" w:type="pct"/>
            <w:tcBorders>
              <w:top w:val="single" w:color="auto" w:sz="2" w:space="0"/>
              <w:left w:val="single" w:color="auto" w:sz="2" w:space="0"/>
              <w:bottom w:val="single" w:color="auto" w:sz="2" w:space="0"/>
              <w:right w:val="single" w:color="auto" w:sz="2" w:space="0"/>
            </w:tcBorders>
            <w:vAlign w:val="center"/>
          </w:tcPr>
          <w:p w14:paraId="1764D962">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A21E091">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联系人</w:t>
            </w:r>
          </w:p>
        </w:tc>
        <w:tc>
          <w:tcPr>
            <w:tcW w:w="1259" w:type="pct"/>
            <w:tcBorders>
              <w:top w:val="single" w:color="auto" w:sz="2" w:space="0"/>
              <w:left w:val="single" w:color="auto" w:sz="2" w:space="0"/>
              <w:bottom w:val="single" w:color="auto" w:sz="2" w:space="0"/>
            </w:tcBorders>
            <w:vAlign w:val="center"/>
          </w:tcPr>
          <w:p w14:paraId="37F9173A">
            <w:pPr>
              <w:adjustRightInd w:val="0"/>
              <w:snapToGrid w:val="0"/>
              <w:spacing w:line="360" w:lineRule="auto"/>
              <w:jc w:val="center"/>
              <w:rPr>
                <w:rFonts w:ascii="Calibri" w:hAnsi="Calibri"/>
                <w:color w:val="auto"/>
                <w:spacing w:val="20"/>
                <w:szCs w:val="21"/>
                <w:highlight w:val="none"/>
              </w:rPr>
            </w:pPr>
          </w:p>
        </w:tc>
      </w:tr>
      <w:tr w14:paraId="2F9A4EB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05DFABE">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38AB92E6">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06CCADB">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联系电话</w:t>
            </w:r>
          </w:p>
        </w:tc>
        <w:tc>
          <w:tcPr>
            <w:tcW w:w="1259" w:type="pct"/>
            <w:tcBorders>
              <w:top w:val="single" w:color="auto" w:sz="2" w:space="0"/>
              <w:left w:val="single" w:color="auto" w:sz="2" w:space="0"/>
              <w:bottom w:val="single" w:color="auto" w:sz="2" w:space="0"/>
            </w:tcBorders>
            <w:vAlign w:val="center"/>
          </w:tcPr>
          <w:p w14:paraId="73921984">
            <w:pPr>
              <w:adjustRightInd w:val="0"/>
              <w:snapToGrid w:val="0"/>
              <w:spacing w:line="360" w:lineRule="auto"/>
              <w:jc w:val="center"/>
              <w:rPr>
                <w:rFonts w:ascii="Calibri" w:hAnsi="Calibri"/>
                <w:color w:val="auto"/>
                <w:spacing w:val="20"/>
                <w:szCs w:val="21"/>
                <w:highlight w:val="none"/>
              </w:rPr>
            </w:pPr>
          </w:p>
        </w:tc>
      </w:tr>
      <w:tr w14:paraId="5F2109C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AD66244">
            <w:pPr>
              <w:adjustRightInd w:val="0"/>
              <w:snapToGrid w:val="0"/>
              <w:spacing w:line="360" w:lineRule="auto"/>
              <w:jc w:val="center"/>
              <w:rPr>
                <w:rFonts w:ascii="Calibri" w:hAnsi="Calibri"/>
                <w:color w:val="auto"/>
                <w:szCs w:val="21"/>
                <w:highlight w:val="none"/>
              </w:rPr>
            </w:pPr>
            <w:r>
              <w:rPr>
                <w:rFonts w:hint="eastAsia" w:ascii="Calibri" w:hAnsi="Calibri"/>
                <w:color w:val="auto"/>
                <w:szCs w:val="21"/>
                <w:highlight w:val="none"/>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382F67D0">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808DE45">
            <w:pPr>
              <w:adjustRightInd w:val="0"/>
              <w:snapToGrid w:val="0"/>
              <w:spacing w:line="360" w:lineRule="auto"/>
              <w:jc w:val="center"/>
              <w:rPr>
                <w:rFonts w:ascii="Calibri" w:hAnsi="Calibri"/>
                <w:color w:val="auto"/>
                <w:szCs w:val="21"/>
                <w:highlight w:val="none"/>
              </w:rPr>
            </w:pPr>
            <w:r>
              <w:rPr>
                <w:rFonts w:hint="eastAsia" w:ascii="Calibri" w:hAnsi="Calibri"/>
                <w:color w:val="auto"/>
                <w:szCs w:val="21"/>
                <w:highlight w:val="none"/>
              </w:rPr>
              <w:t>通信地址</w:t>
            </w:r>
          </w:p>
        </w:tc>
        <w:tc>
          <w:tcPr>
            <w:tcW w:w="1259" w:type="pct"/>
            <w:tcBorders>
              <w:top w:val="single" w:color="auto" w:sz="2" w:space="0"/>
              <w:left w:val="single" w:color="auto" w:sz="2" w:space="0"/>
              <w:bottom w:val="single" w:color="auto" w:sz="2" w:space="0"/>
            </w:tcBorders>
            <w:vAlign w:val="center"/>
          </w:tcPr>
          <w:p w14:paraId="5AB856BB">
            <w:pPr>
              <w:adjustRightInd w:val="0"/>
              <w:snapToGrid w:val="0"/>
              <w:spacing w:line="360" w:lineRule="auto"/>
              <w:jc w:val="center"/>
              <w:rPr>
                <w:rFonts w:ascii="Calibri" w:hAnsi="Calibri"/>
                <w:color w:val="auto"/>
                <w:spacing w:val="20"/>
                <w:szCs w:val="21"/>
                <w:highlight w:val="none"/>
              </w:rPr>
            </w:pPr>
          </w:p>
        </w:tc>
      </w:tr>
      <w:tr w14:paraId="32F2A0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73CB999">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78B3935B">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253CFEAB">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邮政编码</w:t>
            </w:r>
          </w:p>
        </w:tc>
        <w:tc>
          <w:tcPr>
            <w:tcW w:w="1259" w:type="pct"/>
            <w:tcBorders>
              <w:top w:val="single" w:color="auto" w:sz="2" w:space="0"/>
              <w:left w:val="single" w:color="auto" w:sz="2" w:space="0"/>
              <w:bottom w:val="single" w:color="auto" w:sz="2" w:space="0"/>
            </w:tcBorders>
            <w:vAlign w:val="center"/>
          </w:tcPr>
          <w:p w14:paraId="6B8B4B03">
            <w:pPr>
              <w:adjustRightInd w:val="0"/>
              <w:snapToGrid w:val="0"/>
              <w:spacing w:line="360" w:lineRule="auto"/>
              <w:jc w:val="center"/>
              <w:rPr>
                <w:rFonts w:ascii="Calibri" w:hAnsi="Calibri"/>
                <w:color w:val="auto"/>
                <w:spacing w:val="20"/>
                <w:szCs w:val="21"/>
                <w:highlight w:val="none"/>
              </w:rPr>
            </w:pPr>
          </w:p>
        </w:tc>
      </w:tr>
      <w:tr w14:paraId="1DF88BA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1E35F83">
            <w:pPr>
              <w:adjustRightInd w:val="0"/>
              <w:snapToGrid w:val="0"/>
              <w:spacing w:line="360" w:lineRule="auto"/>
              <w:jc w:val="center"/>
              <w:rPr>
                <w:rFonts w:ascii="Calibri" w:hAnsi="Calibri"/>
                <w:color w:val="auto"/>
                <w:szCs w:val="21"/>
                <w:highlight w:val="none"/>
              </w:rPr>
            </w:pPr>
            <w:r>
              <w:rPr>
                <w:rFonts w:hint="eastAsia" w:ascii="Calibri" w:hAnsi="Calibri"/>
                <w:color w:val="auto"/>
                <w:szCs w:val="21"/>
                <w:highlight w:val="none"/>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345FF057">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42BC606C">
            <w:pPr>
              <w:adjustRightInd w:val="0"/>
              <w:snapToGrid w:val="0"/>
              <w:spacing w:line="360" w:lineRule="auto"/>
              <w:jc w:val="center"/>
              <w:rPr>
                <w:rFonts w:ascii="Calibri" w:hAnsi="Calibri"/>
                <w:color w:val="auto"/>
                <w:szCs w:val="21"/>
                <w:highlight w:val="none"/>
              </w:rPr>
            </w:pPr>
            <w:r>
              <w:rPr>
                <w:rFonts w:hint="eastAsia" w:ascii="Calibri" w:hAnsi="Calibri"/>
                <w:color w:val="auto"/>
                <w:szCs w:val="21"/>
                <w:highlight w:val="none"/>
              </w:rPr>
              <w:t>电子邮箱</w:t>
            </w:r>
          </w:p>
        </w:tc>
        <w:tc>
          <w:tcPr>
            <w:tcW w:w="1259" w:type="pct"/>
            <w:tcBorders>
              <w:top w:val="single" w:color="auto" w:sz="2" w:space="0"/>
              <w:left w:val="single" w:color="auto" w:sz="2" w:space="0"/>
              <w:bottom w:val="single" w:color="auto" w:sz="2" w:space="0"/>
            </w:tcBorders>
            <w:vAlign w:val="center"/>
          </w:tcPr>
          <w:p w14:paraId="7C1B5BB9">
            <w:pPr>
              <w:adjustRightInd w:val="0"/>
              <w:snapToGrid w:val="0"/>
              <w:spacing w:line="360" w:lineRule="auto"/>
              <w:jc w:val="center"/>
              <w:rPr>
                <w:rFonts w:ascii="Calibri" w:hAnsi="Calibri"/>
                <w:color w:val="auto"/>
                <w:spacing w:val="20"/>
                <w:szCs w:val="21"/>
                <w:highlight w:val="none"/>
              </w:rPr>
            </w:pPr>
          </w:p>
        </w:tc>
      </w:tr>
      <w:tr w14:paraId="0C3E91D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685C97B">
            <w:pPr>
              <w:adjustRightInd w:val="0"/>
              <w:snapToGrid w:val="0"/>
              <w:spacing w:line="360" w:lineRule="auto"/>
              <w:jc w:val="center"/>
              <w:rPr>
                <w:rFonts w:ascii="Calibri" w:hAnsi="Calibri"/>
                <w:color w:val="auto"/>
                <w:szCs w:val="21"/>
                <w:highlight w:val="none"/>
              </w:rPr>
            </w:pPr>
            <w:r>
              <w:rPr>
                <w:rFonts w:hint="eastAsia" w:ascii="Calibri" w:hAnsi="Calibri"/>
                <w:color w:val="auto"/>
                <w:szCs w:val="21"/>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53866EB2">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D53078A">
            <w:pPr>
              <w:adjustRightInd w:val="0"/>
              <w:snapToGrid w:val="0"/>
              <w:spacing w:line="360" w:lineRule="auto"/>
              <w:jc w:val="center"/>
              <w:rPr>
                <w:rFonts w:ascii="Calibri" w:hAnsi="Calibri"/>
                <w:color w:val="auto"/>
                <w:szCs w:val="21"/>
                <w:highlight w:val="none"/>
              </w:rPr>
            </w:pPr>
            <w:r>
              <w:rPr>
                <w:rFonts w:hint="eastAsia" w:ascii="Calibri" w:hAnsi="Calibri"/>
                <w:color w:val="auto"/>
                <w:szCs w:val="21"/>
                <w:highlight w:val="none"/>
              </w:rPr>
              <w:t>统一社会信用代码</w:t>
            </w:r>
          </w:p>
        </w:tc>
        <w:tc>
          <w:tcPr>
            <w:tcW w:w="1259" w:type="pct"/>
            <w:tcBorders>
              <w:top w:val="single" w:color="auto" w:sz="2" w:space="0"/>
              <w:left w:val="single" w:color="auto" w:sz="2" w:space="0"/>
              <w:bottom w:val="single" w:color="auto" w:sz="2" w:space="0"/>
            </w:tcBorders>
            <w:vAlign w:val="center"/>
          </w:tcPr>
          <w:p w14:paraId="0114E6CD">
            <w:pPr>
              <w:adjustRightInd w:val="0"/>
              <w:snapToGrid w:val="0"/>
              <w:spacing w:line="360" w:lineRule="auto"/>
              <w:jc w:val="center"/>
              <w:rPr>
                <w:rFonts w:ascii="Calibri" w:hAnsi="Calibri"/>
                <w:color w:val="auto"/>
                <w:spacing w:val="20"/>
                <w:szCs w:val="21"/>
                <w:highlight w:val="none"/>
              </w:rPr>
            </w:pPr>
          </w:p>
        </w:tc>
      </w:tr>
      <w:tr w14:paraId="41720A3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756C440">
            <w:pPr>
              <w:adjustRightInd w:val="0"/>
              <w:snapToGrid w:val="0"/>
              <w:spacing w:line="360" w:lineRule="auto"/>
              <w:jc w:val="center"/>
              <w:rPr>
                <w:rFonts w:ascii="Calibri" w:hAnsi="Calibri"/>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6851FE0E">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0172206">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开户名称</w:t>
            </w:r>
          </w:p>
        </w:tc>
        <w:tc>
          <w:tcPr>
            <w:tcW w:w="1259" w:type="pct"/>
            <w:tcBorders>
              <w:top w:val="single" w:color="auto" w:sz="2" w:space="0"/>
              <w:left w:val="single" w:color="auto" w:sz="2" w:space="0"/>
              <w:bottom w:val="single" w:color="auto" w:sz="2" w:space="0"/>
            </w:tcBorders>
            <w:vAlign w:val="center"/>
          </w:tcPr>
          <w:p w14:paraId="7E4A0F78">
            <w:pPr>
              <w:adjustRightInd w:val="0"/>
              <w:snapToGrid w:val="0"/>
              <w:spacing w:line="360" w:lineRule="auto"/>
              <w:jc w:val="center"/>
              <w:rPr>
                <w:rFonts w:ascii="Calibri" w:hAnsi="Calibri"/>
                <w:color w:val="auto"/>
                <w:spacing w:val="20"/>
                <w:szCs w:val="21"/>
                <w:highlight w:val="none"/>
              </w:rPr>
            </w:pPr>
          </w:p>
        </w:tc>
      </w:tr>
      <w:tr w14:paraId="409E92C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D9B608A">
            <w:pPr>
              <w:adjustRightInd w:val="0"/>
              <w:snapToGrid w:val="0"/>
              <w:spacing w:line="360" w:lineRule="auto"/>
              <w:jc w:val="center"/>
              <w:rPr>
                <w:rFonts w:ascii="Calibri" w:hAnsi="Calibri"/>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2F00194C">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2D141F1B">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开户银行</w:t>
            </w:r>
          </w:p>
        </w:tc>
        <w:tc>
          <w:tcPr>
            <w:tcW w:w="1259" w:type="pct"/>
            <w:tcBorders>
              <w:top w:val="single" w:color="auto" w:sz="2" w:space="0"/>
              <w:left w:val="single" w:color="auto" w:sz="2" w:space="0"/>
              <w:bottom w:val="single" w:color="auto" w:sz="2" w:space="0"/>
            </w:tcBorders>
            <w:vAlign w:val="center"/>
          </w:tcPr>
          <w:p w14:paraId="69843112">
            <w:pPr>
              <w:adjustRightInd w:val="0"/>
              <w:snapToGrid w:val="0"/>
              <w:spacing w:line="360" w:lineRule="auto"/>
              <w:jc w:val="center"/>
              <w:rPr>
                <w:rFonts w:ascii="Calibri" w:hAnsi="Calibri"/>
                <w:color w:val="auto"/>
                <w:spacing w:val="20"/>
                <w:szCs w:val="21"/>
                <w:highlight w:val="none"/>
              </w:rPr>
            </w:pPr>
          </w:p>
        </w:tc>
      </w:tr>
      <w:tr w14:paraId="401CBC2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47948F5">
            <w:pPr>
              <w:adjustRightInd w:val="0"/>
              <w:snapToGrid w:val="0"/>
              <w:spacing w:line="360" w:lineRule="auto"/>
              <w:jc w:val="center"/>
              <w:rPr>
                <w:rFonts w:ascii="Calibri" w:hAnsi="Calibri"/>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33589C71">
            <w:pPr>
              <w:adjustRightInd w:val="0"/>
              <w:snapToGrid w:val="0"/>
              <w:spacing w:line="360" w:lineRule="auto"/>
              <w:jc w:val="center"/>
              <w:rPr>
                <w:rFonts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2984079C">
            <w:pPr>
              <w:adjustRightInd w:val="0"/>
              <w:snapToGrid w:val="0"/>
              <w:spacing w:line="360" w:lineRule="auto"/>
              <w:jc w:val="center"/>
              <w:rPr>
                <w:rFonts w:ascii="Calibri" w:hAnsi="Calibri"/>
                <w:color w:val="auto"/>
                <w:szCs w:val="21"/>
                <w:highlight w:val="none"/>
              </w:rPr>
            </w:pPr>
            <w:r>
              <w:rPr>
                <w:rFonts w:ascii="Calibri" w:hAnsi="Calibri"/>
                <w:color w:val="auto"/>
                <w:szCs w:val="21"/>
                <w:highlight w:val="none"/>
              </w:rPr>
              <w:t>银行账号</w:t>
            </w:r>
          </w:p>
        </w:tc>
        <w:tc>
          <w:tcPr>
            <w:tcW w:w="1259" w:type="pct"/>
            <w:tcBorders>
              <w:top w:val="single" w:color="auto" w:sz="2" w:space="0"/>
              <w:left w:val="single" w:color="auto" w:sz="2" w:space="0"/>
              <w:bottom w:val="single" w:color="auto" w:sz="2" w:space="0"/>
            </w:tcBorders>
            <w:vAlign w:val="center"/>
          </w:tcPr>
          <w:p w14:paraId="3646EE06">
            <w:pPr>
              <w:adjustRightInd w:val="0"/>
              <w:snapToGrid w:val="0"/>
              <w:spacing w:line="360" w:lineRule="auto"/>
              <w:jc w:val="center"/>
              <w:rPr>
                <w:rFonts w:ascii="Calibri" w:hAnsi="Calibri"/>
                <w:color w:val="auto"/>
                <w:spacing w:val="20"/>
                <w:szCs w:val="21"/>
                <w:highlight w:val="none"/>
              </w:rPr>
            </w:pPr>
          </w:p>
        </w:tc>
      </w:tr>
      <w:tr w14:paraId="61FBC43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6E93DBAF">
            <w:pPr>
              <w:adjustRightInd w:val="0"/>
              <w:snapToGrid w:val="0"/>
              <w:spacing w:line="360" w:lineRule="auto"/>
              <w:jc w:val="left"/>
              <w:rPr>
                <w:rFonts w:ascii="Calibri" w:hAnsi="Calibri"/>
                <w:color w:val="auto"/>
                <w:spacing w:val="20"/>
                <w:szCs w:val="21"/>
                <w:highlight w:val="none"/>
              </w:rPr>
            </w:pPr>
            <w:r>
              <w:rPr>
                <w:rFonts w:hint="eastAsia" w:ascii="宋体" w:hAnsi="宋体"/>
                <w:color w:val="auto"/>
                <w:szCs w:val="21"/>
                <w:highlight w:val="none"/>
              </w:rPr>
              <w:t>注：涉及联合体或其他合同主体的信息应按上表格式加列。</w:t>
            </w:r>
          </w:p>
        </w:tc>
      </w:tr>
    </w:tbl>
    <w:p w14:paraId="17AA200C">
      <w:pPr>
        <w:pStyle w:val="2"/>
        <w:adjustRightInd w:val="0"/>
        <w:snapToGrid w:val="0"/>
        <w:spacing w:before="0" w:after="0" w:line="360" w:lineRule="auto"/>
        <w:jc w:val="center"/>
        <w:rPr>
          <w:rFonts w:ascii="黑体" w:hAnsi="黑体"/>
          <w:color w:val="auto"/>
          <w:sz w:val="28"/>
          <w:szCs w:val="28"/>
          <w:highlight w:val="none"/>
        </w:rPr>
      </w:pPr>
      <w:r>
        <w:rPr>
          <w:rFonts w:ascii="宋体" w:hAnsi="宋体"/>
          <w:color w:val="auto"/>
          <w:sz w:val="21"/>
          <w:szCs w:val="21"/>
          <w:highlight w:val="none"/>
          <w:u w:val="single"/>
        </w:rPr>
        <w:br w:type="page"/>
      </w:r>
      <w:bookmarkStart w:id="16" w:name="_Toc27624"/>
      <w:r>
        <w:rPr>
          <w:rFonts w:hint="eastAsia" w:ascii="黑体" w:hAnsi="黑体"/>
          <w:b w:val="0"/>
          <w:bCs w:val="0"/>
          <w:color w:val="auto"/>
          <w:sz w:val="28"/>
          <w:szCs w:val="28"/>
          <w:highlight w:val="none"/>
        </w:rPr>
        <w:t>第二节 政府采购合同通用条款</w:t>
      </w:r>
      <w:bookmarkEnd w:id="16"/>
    </w:p>
    <w:p w14:paraId="3959EB35">
      <w:pPr>
        <w:tabs>
          <w:tab w:val="left" w:pos="8820"/>
          <w:tab w:val="left" w:pos="9345"/>
          <w:tab w:val="left" w:pos="9765"/>
        </w:tabs>
        <w:adjustRightInd w:val="0"/>
        <w:snapToGrid w:val="0"/>
        <w:spacing w:line="360" w:lineRule="auto"/>
        <w:jc w:val="left"/>
        <w:rPr>
          <w:rFonts w:ascii="宋体" w:hAnsi="宋体"/>
          <w:b/>
          <w:bCs/>
          <w:color w:val="auto"/>
          <w:sz w:val="24"/>
          <w:szCs w:val="20"/>
          <w:highlight w:val="none"/>
        </w:rPr>
      </w:pPr>
      <w:r>
        <w:rPr>
          <w:rFonts w:hint="eastAsia" w:ascii="宋体" w:hAnsi="宋体"/>
          <w:b/>
          <w:color w:val="auto"/>
          <w:sz w:val="24"/>
          <w:szCs w:val="20"/>
          <w:highlight w:val="none"/>
        </w:rPr>
        <w:t xml:space="preserve">1. </w:t>
      </w:r>
      <w:r>
        <w:rPr>
          <w:rFonts w:hint="eastAsia" w:ascii="宋体" w:hAnsi="宋体"/>
          <w:b/>
          <w:bCs/>
          <w:color w:val="auto"/>
          <w:sz w:val="24"/>
          <w:szCs w:val="20"/>
          <w:highlight w:val="none"/>
        </w:rPr>
        <w:t>定义</w:t>
      </w:r>
    </w:p>
    <w:p w14:paraId="6E6E3753">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1.1合同当事人</w:t>
      </w:r>
    </w:p>
    <w:p w14:paraId="468AD1C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（1）采购人（以下称甲方）是指使用财政性资金，通过政府采购方式向供应商购买货物及其相关服务的国家机关、事业单位、团体组织。</w:t>
      </w:r>
    </w:p>
    <w:p w14:paraId="7C70E86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（2）供应商（以下称乙方）是指参加政府采购活动并且中标（成交），向采购人提供合同约定的货物及其相关服务的法人、非法人组织或者自然人。</w:t>
      </w:r>
    </w:p>
    <w:p w14:paraId="74A3C272">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cs="宋体"/>
          <w:bCs/>
          <w:color w:val="auto"/>
          <w:szCs w:val="21"/>
          <w:highlight w:val="none"/>
        </w:rPr>
        <w:t>依法参与合同缔结或履行，享有权利、承担义务的合同当事人</w:t>
      </w:r>
      <w:r>
        <w:rPr>
          <w:rFonts w:hint="eastAsia" w:ascii="宋体" w:hAnsi="宋体"/>
          <w:color w:val="auto"/>
          <w:szCs w:val="21"/>
          <w:highlight w:val="none"/>
        </w:rPr>
        <w:t>。</w:t>
      </w:r>
    </w:p>
    <w:p w14:paraId="4A0A0FAE">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6EFF7B69">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cs="宋体"/>
          <w:bCs/>
          <w:color w:val="auto"/>
          <w:szCs w:val="21"/>
          <w:highlight w:val="none"/>
        </w:rPr>
        <w:t>合同当事人意思表示达成一致的任何协议，包括签署的</w:t>
      </w:r>
      <w:r>
        <w:rPr>
          <w:rFonts w:hint="eastAsia" w:ascii="宋体" w:hAnsi="宋体"/>
          <w:color w:val="auto"/>
          <w:szCs w:val="21"/>
          <w:highlight w:val="none"/>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auto"/>
          <w:szCs w:val="21"/>
          <w:highlight w:val="none"/>
        </w:rPr>
        <w:t>国家法律、行政法规和规章制度规定或合同约定的作为合同组成部分的其他文件</w:t>
      </w:r>
      <w:r>
        <w:rPr>
          <w:rFonts w:hint="eastAsia" w:ascii="宋体" w:hAnsi="宋体"/>
          <w:color w:val="auto"/>
          <w:szCs w:val="21"/>
          <w:highlight w:val="none"/>
        </w:rPr>
        <w:t>。</w:t>
      </w:r>
    </w:p>
    <w:p w14:paraId="0DAE425C">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（2）“合同价款”系指根据本合同规定乙方在全面履行合同义务后甲方应支付给乙方的价款。</w:t>
      </w:r>
    </w:p>
    <w:p w14:paraId="3992B0F9">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（3）“货物”系指乙方根据本合同规定须向甲方提供的各种形态和种类的物品，包括原材料、设备、产品（包括软件）及相关的其备品备件、工具、手册及</w:t>
      </w:r>
      <w:r>
        <w:rPr>
          <w:rFonts w:ascii="宋体" w:hAnsi="宋体"/>
          <w:color w:val="auto"/>
          <w:szCs w:val="21"/>
          <w:highlight w:val="none"/>
        </w:rPr>
        <w:t>其他</w:t>
      </w:r>
      <w:r>
        <w:rPr>
          <w:rFonts w:hint="eastAsia" w:ascii="宋体" w:hAnsi="宋体"/>
          <w:color w:val="auto"/>
          <w:szCs w:val="21"/>
          <w:highlight w:val="none"/>
        </w:rPr>
        <w:t>技术资料和材料等。</w:t>
      </w:r>
    </w:p>
    <w:p w14:paraId="13107177">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（4）“相关服务”系指根据合同规定，乙方应提供的与货物有关的技术、管理和</w:t>
      </w:r>
      <w:r>
        <w:rPr>
          <w:rFonts w:ascii="宋体" w:hAnsi="宋体"/>
          <w:color w:val="auto"/>
          <w:szCs w:val="21"/>
          <w:highlight w:val="none"/>
        </w:rPr>
        <w:t>其他</w:t>
      </w:r>
      <w:r>
        <w:rPr>
          <w:rFonts w:hint="eastAsia" w:ascii="宋体" w:hAnsi="宋体"/>
          <w:color w:val="auto"/>
          <w:szCs w:val="21"/>
          <w:highlight w:val="none"/>
        </w:rPr>
        <w:t>服务，包括但不限于：管理和质量保证、运输、保险、检验、现场准备、安装、集成、调试、培训、维修、废弃处置、技术支持等以及合同中规定乙方应承担的</w:t>
      </w:r>
      <w:r>
        <w:rPr>
          <w:rFonts w:ascii="宋体" w:hAnsi="宋体"/>
          <w:color w:val="auto"/>
          <w:szCs w:val="21"/>
          <w:highlight w:val="none"/>
        </w:rPr>
        <w:t>其他</w:t>
      </w:r>
      <w:r>
        <w:rPr>
          <w:rFonts w:hint="eastAsia" w:ascii="宋体" w:hAnsi="宋体"/>
          <w:color w:val="auto"/>
          <w:szCs w:val="21"/>
          <w:highlight w:val="none"/>
        </w:rPr>
        <w:t>义务。</w:t>
      </w:r>
    </w:p>
    <w:p w14:paraId="6468FF6E">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（5）“分包”系指中标（成交）供应商按采购文件、投标（响应）文件的规定，根据分包意向协议，将中标（成交）项目中的部分履约内容，分给具有相应资质条件的供应商履行合同的行为。</w:t>
      </w:r>
    </w:p>
    <w:p w14:paraId="7C5CCD06">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auto"/>
          <w:szCs w:val="21"/>
          <w:highlight w:val="none"/>
        </w:rPr>
        <w:t>政府采购合同专用条款</w:t>
      </w:r>
      <w:r>
        <w:rPr>
          <w:rFonts w:hint="eastAsia" w:ascii="宋体" w:hAnsi="宋体"/>
          <w:color w:val="auto"/>
          <w:szCs w:val="21"/>
          <w:highlight w:val="none"/>
        </w:rPr>
        <w:t>】。</w:t>
      </w:r>
    </w:p>
    <w:p w14:paraId="3A9955C8">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（7）其他术语解释，见【</w:t>
      </w:r>
      <w:r>
        <w:rPr>
          <w:rFonts w:hint="eastAsia" w:ascii="宋体" w:hAnsi="宋体"/>
          <w:b/>
          <w:bCs/>
          <w:color w:val="auto"/>
          <w:szCs w:val="21"/>
          <w:highlight w:val="none"/>
        </w:rPr>
        <w:t>政府采购合同专用条款</w:t>
      </w:r>
      <w:r>
        <w:rPr>
          <w:rFonts w:hint="eastAsia" w:ascii="宋体" w:hAnsi="宋体"/>
          <w:color w:val="auto"/>
          <w:szCs w:val="21"/>
          <w:highlight w:val="none"/>
        </w:rPr>
        <w:t>】。</w:t>
      </w:r>
    </w:p>
    <w:p w14:paraId="4854FAC6">
      <w:pPr>
        <w:numPr>
          <w:ilvl w:val="0"/>
          <w:numId w:val="5"/>
        </w:num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color w:val="auto"/>
          <w:sz w:val="24"/>
          <w:szCs w:val="20"/>
          <w:highlight w:val="none"/>
        </w:rPr>
        <w:t>合同标的及金额</w:t>
      </w:r>
    </w:p>
    <w:p w14:paraId="00933AD5">
      <w:pPr>
        <w:autoSpaceDE w:val="0"/>
        <w:autoSpaceDN w:val="0"/>
        <w:adjustRightInd w:val="0"/>
        <w:snapToGrid w:val="0"/>
        <w:spacing w:line="360" w:lineRule="auto"/>
        <w:ind w:firstLine="420" w:firstLineChars="200"/>
        <w:jc w:val="left"/>
        <w:rPr>
          <w:rFonts w:ascii="宋体" w:hAnsi="宋体"/>
          <w:b/>
          <w:bCs/>
          <w:i/>
          <w:iCs/>
          <w:color w:val="auto"/>
          <w:szCs w:val="21"/>
          <w:highlight w:val="none"/>
        </w:rPr>
      </w:pPr>
      <w:r>
        <w:rPr>
          <w:rFonts w:hint="eastAsia" w:ascii="宋体" w:hAnsi="宋体"/>
          <w:color w:val="auto"/>
          <w:szCs w:val="21"/>
          <w:highlight w:val="none"/>
        </w:rPr>
        <w:t>2.1 合同标的及金额应与中标（成交）结果一致。乙方为履行本合同而发生的所有费用均应包含在合同价款中，甲方不再另行支付</w:t>
      </w:r>
      <w:r>
        <w:rPr>
          <w:rFonts w:ascii="宋体" w:hAnsi="宋体"/>
          <w:color w:val="auto"/>
          <w:szCs w:val="21"/>
          <w:highlight w:val="none"/>
        </w:rPr>
        <w:t>其他</w:t>
      </w:r>
      <w:r>
        <w:rPr>
          <w:rFonts w:hint="eastAsia" w:ascii="宋体" w:hAnsi="宋体"/>
          <w:color w:val="auto"/>
          <w:szCs w:val="21"/>
          <w:highlight w:val="none"/>
        </w:rPr>
        <w:t>任何费用。</w:t>
      </w:r>
    </w:p>
    <w:p w14:paraId="3716BD52">
      <w:pPr>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3. 履行合同的时间、地点和方式</w:t>
      </w:r>
    </w:p>
    <w:p w14:paraId="2D275287">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3.1 </w:t>
      </w:r>
      <w:r>
        <w:rPr>
          <w:rFonts w:hint="eastAsia" w:ascii="宋体" w:hAnsi="宋体" w:cs="宋体"/>
          <w:color w:val="auto"/>
          <w:szCs w:val="21"/>
          <w:highlight w:val="none"/>
        </w:rPr>
        <w:t>乙方应当在约定的时间、地点，按照约定方式履行合同。</w:t>
      </w:r>
    </w:p>
    <w:p w14:paraId="41FC9EA4">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4. 甲方的权利和义务</w:t>
      </w:r>
    </w:p>
    <w:p w14:paraId="58FFCF4A">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4.1</w:t>
      </w:r>
      <w:r>
        <w:rPr>
          <w:rFonts w:ascii="宋体" w:hAnsi="宋体"/>
          <w:color w:val="auto"/>
          <w:szCs w:val="21"/>
          <w:highlight w:val="none"/>
        </w:rPr>
        <w:t xml:space="preserve"> 签署合同后，甲方</w:t>
      </w:r>
      <w:r>
        <w:rPr>
          <w:rFonts w:hint="eastAsia" w:ascii="宋体" w:hAnsi="宋体"/>
          <w:color w:val="auto"/>
          <w:szCs w:val="21"/>
          <w:highlight w:val="none"/>
        </w:rPr>
        <w:t>应</w:t>
      </w:r>
      <w:r>
        <w:rPr>
          <w:rFonts w:ascii="宋体" w:hAnsi="宋体"/>
          <w:color w:val="auto"/>
          <w:szCs w:val="21"/>
          <w:highlight w:val="none"/>
        </w:rPr>
        <w:t>确定</w:t>
      </w:r>
      <w:r>
        <w:rPr>
          <w:rFonts w:hint="eastAsia" w:ascii="宋体" w:hAnsi="宋体"/>
          <w:color w:val="auto"/>
          <w:szCs w:val="21"/>
          <w:highlight w:val="none"/>
        </w:rPr>
        <w:t>项目负责人（或项目联系人）</w:t>
      </w:r>
      <w:r>
        <w:rPr>
          <w:rFonts w:ascii="宋体" w:hAnsi="宋体"/>
          <w:color w:val="auto"/>
          <w:szCs w:val="21"/>
          <w:highlight w:val="none"/>
        </w:rPr>
        <w:t>，负责与本合同有关的事务。</w:t>
      </w:r>
      <w:r>
        <w:rPr>
          <w:rFonts w:hint="eastAsia" w:ascii="宋体" w:hAnsi="宋体"/>
          <w:color w:val="auto"/>
          <w:szCs w:val="21"/>
          <w:highlight w:val="none"/>
        </w:rPr>
        <w:t>甲方有权对乙方的履约行为进行检查，并</w:t>
      </w:r>
      <w:r>
        <w:rPr>
          <w:rFonts w:ascii="宋体" w:hAnsi="宋体"/>
          <w:color w:val="auto"/>
          <w:szCs w:val="21"/>
          <w:highlight w:val="none"/>
        </w:rPr>
        <w:t>及时确认乙方提交的事项</w:t>
      </w:r>
      <w:r>
        <w:rPr>
          <w:rFonts w:hint="eastAsia" w:ascii="宋体" w:hAnsi="宋体"/>
          <w:color w:val="auto"/>
          <w:szCs w:val="21"/>
          <w:highlight w:val="none"/>
        </w:rPr>
        <w:t>。甲方应当</w:t>
      </w:r>
      <w:r>
        <w:rPr>
          <w:rFonts w:ascii="宋体" w:hAnsi="宋体"/>
          <w:color w:val="auto"/>
          <w:szCs w:val="21"/>
          <w:highlight w:val="none"/>
        </w:rPr>
        <w:t>配合乙方完成</w:t>
      </w:r>
      <w:r>
        <w:rPr>
          <w:rFonts w:hint="eastAsia" w:ascii="宋体" w:hAnsi="宋体"/>
          <w:color w:val="auto"/>
          <w:szCs w:val="21"/>
          <w:highlight w:val="none"/>
        </w:rPr>
        <w:t>相关项目</w:t>
      </w:r>
      <w:r>
        <w:rPr>
          <w:rFonts w:ascii="宋体" w:hAnsi="宋体"/>
          <w:color w:val="auto"/>
          <w:szCs w:val="21"/>
          <w:highlight w:val="none"/>
        </w:rPr>
        <w:t>实施工作。</w:t>
      </w:r>
    </w:p>
    <w:p w14:paraId="65E19E4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4.2 </w:t>
      </w:r>
      <w:r>
        <w:rPr>
          <w:rFonts w:ascii="宋体" w:hAnsi="宋体"/>
          <w:color w:val="auto"/>
          <w:szCs w:val="21"/>
          <w:highlight w:val="none"/>
        </w:rPr>
        <w:t>甲方有权要求乙方按时提交各阶段有关</w:t>
      </w:r>
      <w:r>
        <w:rPr>
          <w:rFonts w:hint="eastAsia" w:ascii="宋体" w:hAnsi="宋体"/>
          <w:color w:val="auto"/>
          <w:szCs w:val="21"/>
          <w:highlight w:val="none"/>
        </w:rPr>
        <w:t>安排计划</w:t>
      </w:r>
      <w:r>
        <w:rPr>
          <w:rFonts w:ascii="宋体" w:hAnsi="宋体"/>
          <w:color w:val="auto"/>
          <w:szCs w:val="21"/>
          <w:highlight w:val="none"/>
        </w:rPr>
        <w:t>，并有权</w:t>
      </w:r>
      <w:r>
        <w:rPr>
          <w:rFonts w:hint="eastAsia" w:ascii="宋体" w:hAnsi="宋体"/>
          <w:color w:val="auto"/>
          <w:szCs w:val="21"/>
          <w:highlight w:val="none"/>
        </w:rPr>
        <w:t>定期核对乙方提供货物数量、规格、质量等内容。甲方</w:t>
      </w:r>
      <w:r>
        <w:rPr>
          <w:rFonts w:ascii="宋体" w:hAnsi="宋体"/>
          <w:color w:val="auto"/>
          <w:szCs w:val="21"/>
          <w:highlight w:val="none"/>
        </w:rPr>
        <w:t>有权督促乙方工作并要求乙方</w:t>
      </w:r>
      <w:r>
        <w:rPr>
          <w:rFonts w:hint="eastAsia" w:ascii="宋体" w:hAnsi="宋体"/>
          <w:color w:val="auto"/>
          <w:szCs w:val="21"/>
          <w:highlight w:val="none"/>
        </w:rPr>
        <w:t>更</w:t>
      </w:r>
      <w:r>
        <w:rPr>
          <w:rFonts w:ascii="宋体" w:hAnsi="宋体"/>
          <w:color w:val="auto"/>
          <w:szCs w:val="21"/>
          <w:highlight w:val="none"/>
        </w:rPr>
        <w:t>换不符合要求的</w:t>
      </w:r>
      <w:r>
        <w:rPr>
          <w:rFonts w:hint="eastAsia" w:ascii="宋体" w:hAnsi="宋体"/>
          <w:color w:val="auto"/>
          <w:szCs w:val="21"/>
          <w:highlight w:val="none"/>
        </w:rPr>
        <w:t>货物</w:t>
      </w:r>
      <w:r>
        <w:rPr>
          <w:rFonts w:ascii="宋体" w:hAnsi="宋体"/>
          <w:color w:val="auto"/>
          <w:szCs w:val="21"/>
          <w:highlight w:val="none"/>
        </w:rPr>
        <w:t>。</w:t>
      </w:r>
    </w:p>
    <w:p w14:paraId="20B9A282">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ascii="宋体" w:hAnsi="宋体"/>
          <w:color w:val="auto"/>
          <w:szCs w:val="21"/>
          <w:highlight w:val="none"/>
        </w:rPr>
        <w:t>3甲方</w:t>
      </w:r>
      <w:r>
        <w:rPr>
          <w:rFonts w:hint="eastAsia" w:ascii="宋体" w:hAnsi="宋体"/>
          <w:color w:val="auto"/>
          <w:szCs w:val="21"/>
          <w:highlight w:val="none"/>
        </w:rPr>
        <w:t>有权要求乙方对缺陷部分予以修复，并按合同约定享有货物保修及其他合同约定的权利。</w:t>
      </w:r>
    </w:p>
    <w:p w14:paraId="1CE09F75">
      <w:pPr>
        <w:snapToGrid w:val="0"/>
        <w:spacing w:line="360" w:lineRule="auto"/>
        <w:ind w:firstLine="420" w:firstLineChars="200"/>
        <w:rPr>
          <w:rFonts w:ascii="Calibri" w:hAnsi="Calibri" w:eastAsia="华文楷体"/>
          <w:color w:val="auto"/>
          <w:szCs w:val="20"/>
          <w:highlight w:val="none"/>
        </w:rPr>
      </w:pPr>
      <w:r>
        <w:rPr>
          <w:rFonts w:ascii="宋体" w:hAnsi="宋体"/>
          <w:color w:val="auto"/>
          <w:szCs w:val="21"/>
          <w:highlight w:val="none"/>
        </w:rPr>
        <w:t>4.4 甲方应当按照合同约定及时对交付的货物进行验收</w:t>
      </w:r>
      <w:r>
        <w:rPr>
          <w:rFonts w:hint="eastAsia" w:ascii="宋体" w:hAnsi="宋体"/>
          <w:color w:val="auto"/>
          <w:szCs w:val="21"/>
          <w:highlight w:val="none"/>
        </w:rPr>
        <w:t>，</w:t>
      </w:r>
      <w:r>
        <w:rPr>
          <w:rFonts w:hint="eastAsia" w:ascii="宋体" w:hAnsi="宋体" w:cs="宋体"/>
          <w:color w:val="auto"/>
          <w:szCs w:val="21"/>
          <w:highlight w:val="none"/>
        </w:rPr>
        <w:t>未</w:t>
      </w:r>
      <w:r>
        <w:rPr>
          <w:rFonts w:hint="eastAsia" w:ascii="宋体" w:hAnsi="宋体"/>
          <w:color w:val="auto"/>
          <w:szCs w:val="21"/>
          <w:highlight w:val="none"/>
        </w:rPr>
        <w:t>在</w:t>
      </w:r>
      <w:r>
        <w:rPr>
          <w:rFonts w:hint="eastAsia" w:ascii="宋体" w:hAnsi="宋体" w:cs="宋体"/>
          <w:b/>
          <w:bCs/>
          <w:color w:val="auto"/>
          <w:szCs w:val="21"/>
          <w:highlight w:val="none"/>
        </w:rPr>
        <w:t>【政府采购合同专用条款】</w:t>
      </w:r>
      <w:r>
        <w:rPr>
          <w:rFonts w:hint="eastAsia" w:ascii="宋体" w:hAnsi="宋体" w:cs="宋体"/>
          <w:color w:val="auto"/>
          <w:szCs w:val="21"/>
          <w:highlight w:val="none"/>
        </w:rPr>
        <w:t>约定的期限内对乙方履约提出任何异议或者向乙方作出任何说明的，</w:t>
      </w:r>
      <w:r>
        <w:rPr>
          <w:rFonts w:hint="eastAsia" w:ascii="宋体" w:hAnsi="宋体"/>
          <w:color w:val="auto"/>
          <w:szCs w:val="21"/>
          <w:highlight w:val="none"/>
        </w:rPr>
        <w:t>视为验收通过。</w:t>
      </w:r>
    </w:p>
    <w:p w14:paraId="19D3C15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w:t>
      </w:r>
      <w:r>
        <w:rPr>
          <w:rFonts w:ascii="宋体" w:hAnsi="宋体"/>
          <w:color w:val="auto"/>
          <w:szCs w:val="21"/>
          <w:highlight w:val="none"/>
        </w:rPr>
        <w:t xml:space="preserve">5 </w:t>
      </w:r>
      <w:r>
        <w:rPr>
          <w:rFonts w:hint="eastAsia" w:ascii="宋体" w:hAnsi="宋体"/>
          <w:color w:val="auto"/>
          <w:szCs w:val="21"/>
          <w:highlight w:val="none"/>
        </w:rPr>
        <w:t>甲方应当根据合同约定及时向乙方支付合同价款</w:t>
      </w:r>
      <w:r>
        <w:rPr>
          <w:rFonts w:ascii="宋体" w:hAnsi="宋体"/>
          <w:color w:val="auto"/>
          <w:szCs w:val="21"/>
          <w:highlight w:val="none"/>
        </w:rPr>
        <w:t>，不得以内部人员变更、履行内部付款流程等为由，拒绝或迟延支付。</w:t>
      </w:r>
    </w:p>
    <w:p w14:paraId="1242B147">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4.6国家法律法规规定及</w:t>
      </w:r>
      <w:r>
        <w:rPr>
          <w:rFonts w:hint="eastAsia" w:ascii="宋体" w:hAnsi="宋体" w:cs="宋体"/>
          <w:b/>
          <w:bCs/>
          <w:color w:val="auto"/>
          <w:szCs w:val="21"/>
          <w:highlight w:val="none"/>
        </w:rPr>
        <w:t>【政府采购合同专用条款】</w:t>
      </w:r>
      <w:r>
        <w:rPr>
          <w:rFonts w:hint="eastAsia" w:ascii="宋体" w:hAnsi="宋体"/>
          <w:color w:val="auto"/>
          <w:szCs w:val="21"/>
          <w:highlight w:val="none"/>
        </w:rPr>
        <w:t>约定应由甲方承担的其他义务和责任。</w:t>
      </w:r>
    </w:p>
    <w:p w14:paraId="0FB59107">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5. 乙方的权利和义务</w:t>
      </w:r>
    </w:p>
    <w:p w14:paraId="5ACF83AD">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5.1 </w:t>
      </w:r>
      <w:r>
        <w:rPr>
          <w:rFonts w:ascii="宋体" w:hAnsi="宋体"/>
          <w:color w:val="auto"/>
          <w:szCs w:val="21"/>
          <w:highlight w:val="none"/>
        </w:rPr>
        <w:t>签署合同后，乙方</w:t>
      </w:r>
      <w:r>
        <w:rPr>
          <w:rFonts w:hint="eastAsia" w:ascii="宋体" w:hAnsi="宋体"/>
          <w:color w:val="auto"/>
          <w:szCs w:val="21"/>
          <w:highlight w:val="none"/>
        </w:rPr>
        <w:t>应</w:t>
      </w:r>
      <w:r>
        <w:rPr>
          <w:rFonts w:ascii="宋体" w:hAnsi="宋体"/>
          <w:color w:val="auto"/>
          <w:szCs w:val="21"/>
          <w:highlight w:val="none"/>
        </w:rPr>
        <w:t>确定</w:t>
      </w:r>
      <w:r>
        <w:rPr>
          <w:rFonts w:hint="eastAsia" w:ascii="宋体" w:hAnsi="宋体"/>
          <w:color w:val="auto"/>
          <w:szCs w:val="21"/>
          <w:highlight w:val="none"/>
        </w:rPr>
        <w:t>项目负责人（或项目联系人）</w:t>
      </w:r>
      <w:r>
        <w:rPr>
          <w:rFonts w:ascii="宋体" w:hAnsi="宋体"/>
          <w:color w:val="auto"/>
          <w:szCs w:val="21"/>
          <w:highlight w:val="none"/>
        </w:rPr>
        <w:t>，负责与本合同有关的事务。</w:t>
      </w:r>
    </w:p>
    <w:p w14:paraId="71A08A9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2 乙方应按照合同要求</w:t>
      </w:r>
      <w:r>
        <w:rPr>
          <w:rFonts w:hint="eastAsia" w:ascii="宋体" w:hAnsi="宋体"/>
          <w:color w:val="auto"/>
          <w:szCs w:val="21"/>
          <w:highlight w:val="none"/>
        </w:rPr>
        <w:t>履约</w:t>
      </w:r>
      <w:r>
        <w:rPr>
          <w:rFonts w:ascii="宋体" w:hAnsi="宋体"/>
          <w:color w:val="auto"/>
          <w:szCs w:val="21"/>
          <w:highlight w:val="none"/>
        </w:rPr>
        <w:t>，充分合理安排，确保</w:t>
      </w:r>
      <w:r>
        <w:rPr>
          <w:rFonts w:hint="eastAsia" w:ascii="宋体" w:hAnsi="宋体"/>
          <w:color w:val="auto"/>
          <w:szCs w:val="21"/>
          <w:highlight w:val="none"/>
        </w:rPr>
        <w:t>提供的货物及相关服务符合合同有关</w:t>
      </w:r>
      <w:r>
        <w:rPr>
          <w:rFonts w:ascii="宋体" w:hAnsi="宋体"/>
          <w:color w:val="auto"/>
          <w:szCs w:val="21"/>
          <w:highlight w:val="none"/>
        </w:rPr>
        <w:t>要求</w:t>
      </w:r>
      <w:r>
        <w:rPr>
          <w:rFonts w:hint="eastAsia" w:ascii="宋体" w:hAnsi="宋体"/>
          <w:color w:val="auto"/>
          <w:szCs w:val="21"/>
          <w:highlight w:val="none"/>
        </w:rPr>
        <w:t>。接受项目行业管理部门及政府有关部门的指导，配合甲方的履约检查及验收，并</w:t>
      </w:r>
      <w:r>
        <w:rPr>
          <w:rFonts w:ascii="宋体" w:hAnsi="宋体"/>
          <w:color w:val="auto"/>
          <w:szCs w:val="21"/>
          <w:highlight w:val="none"/>
        </w:rPr>
        <w:t>负责项目实施过程中的所有协调工作。</w:t>
      </w:r>
    </w:p>
    <w:p w14:paraId="634937D7">
      <w:pPr>
        <w:spacing w:line="360" w:lineRule="auto"/>
        <w:ind w:firstLine="369" w:firstLineChars="176"/>
        <w:rPr>
          <w:rFonts w:ascii="宋体" w:hAnsi="宋体" w:cs="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3</w:t>
      </w:r>
      <w:r>
        <w:rPr>
          <w:rFonts w:hint="eastAsia" w:ascii="宋体" w:hAnsi="宋体"/>
          <w:color w:val="auto"/>
          <w:szCs w:val="21"/>
          <w:highlight w:val="none"/>
        </w:rPr>
        <w:t>乙方有权</w:t>
      </w:r>
      <w:r>
        <w:rPr>
          <w:rFonts w:hint="eastAsia" w:ascii="宋体" w:hAnsi="宋体" w:cs="宋体"/>
          <w:color w:val="auto"/>
          <w:szCs w:val="21"/>
          <w:highlight w:val="none"/>
        </w:rPr>
        <w:t>根据合同约定向甲方收取合同价款。</w:t>
      </w:r>
    </w:p>
    <w:p w14:paraId="0F6A5B86">
      <w:pPr>
        <w:spacing w:line="360" w:lineRule="auto"/>
        <w:ind w:firstLine="369" w:firstLineChars="176"/>
        <w:rPr>
          <w:rFonts w:ascii="宋体" w:hAnsi="宋体" w:cs="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4</w:t>
      </w:r>
      <w:r>
        <w:rPr>
          <w:rFonts w:hint="eastAsia" w:ascii="宋体" w:hAnsi="宋体" w:cs="宋体"/>
          <w:color w:val="auto"/>
          <w:szCs w:val="21"/>
          <w:highlight w:val="none"/>
        </w:rPr>
        <w:t>国家法律法规规定</w:t>
      </w:r>
      <w:r>
        <w:rPr>
          <w:rFonts w:hint="eastAsia" w:ascii="宋体" w:hAnsi="宋体"/>
          <w:color w:val="auto"/>
          <w:szCs w:val="21"/>
          <w:highlight w:val="none"/>
        </w:rPr>
        <w:t>及</w:t>
      </w:r>
      <w:r>
        <w:rPr>
          <w:rFonts w:hint="eastAsia" w:ascii="宋体" w:hAnsi="宋体" w:cs="宋体"/>
          <w:b/>
          <w:bCs/>
          <w:color w:val="auto"/>
          <w:szCs w:val="21"/>
          <w:highlight w:val="none"/>
        </w:rPr>
        <w:t>【政府采购合同专用条款】</w:t>
      </w:r>
      <w:r>
        <w:rPr>
          <w:rFonts w:hint="eastAsia" w:ascii="宋体" w:hAnsi="宋体" w:cs="宋体"/>
          <w:color w:val="auto"/>
          <w:szCs w:val="21"/>
          <w:highlight w:val="none"/>
        </w:rPr>
        <w:t>约定应由乙方承担的其他义务和责任。</w:t>
      </w:r>
    </w:p>
    <w:p w14:paraId="66EBD242">
      <w:pPr>
        <w:numPr>
          <w:ilvl w:val="0"/>
          <w:numId w:val="6"/>
        </w:num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合同履行</w:t>
      </w:r>
    </w:p>
    <w:p w14:paraId="2DC09B6C">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6.1 甲乙双方应当按照</w:t>
      </w:r>
      <w:r>
        <w:rPr>
          <w:rFonts w:hint="eastAsia" w:ascii="宋体" w:hAnsi="宋体" w:cs="宋体"/>
          <w:b/>
          <w:bCs/>
          <w:color w:val="auto"/>
          <w:szCs w:val="21"/>
          <w:highlight w:val="none"/>
        </w:rPr>
        <w:t>【政府采购合同专用条款】</w:t>
      </w:r>
      <w:r>
        <w:rPr>
          <w:rFonts w:hint="eastAsia" w:ascii="宋体" w:hAnsi="宋体"/>
          <w:color w:val="auto"/>
          <w:szCs w:val="21"/>
          <w:highlight w:val="none"/>
        </w:rPr>
        <w:t>约定顺序履行合同义务；如果没有先后顺序的，应当同时履行。</w:t>
      </w:r>
    </w:p>
    <w:p w14:paraId="61DBADA4">
      <w:pPr>
        <w:autoSpaceDE w:val="0"/>
        <w:autoSpaceDN w:val="0"/>
        <w:adjustRightInd w:val="0"/>
        <w:snapToGrid w:val="0"/>
        <w:spacing w:line="360" w:lineRule="auto"/>
        <w:ind w:firstLine="420" w:firstLineChars="200"/>
        <w:jc w:val="left"/>
        <w:rPr>
          <w:rFonts w:ascii="Calibri" w:hAnsi="Calibri"/>
          <w:color w:val="auto"/>
          <w:szCs w:val="20"/>
          <w:highlight w:val="none"/>
        </w:rPr>
      </w:pPr>
      <w:r>
        <w:rPr>
          <w:rFonts w:hint="eastAsia" w:ascii="宋体" w:hAnsi="宋体"/>
          <w:color w:val="auto"/>
          <w:szCs w:val="21"/>
          <w:highlight w:val="none"/>
        </w:rPr>
        <w:t>6.2 甲乙双方按照合同约定顺序履行合同义务时，应当先履行一方未履行的，后履行一方有权拒绝其履行请求。先履行一方履行不符合约定的，后履行一方有权拒绝其相应的履行请求。</w:t>
      </w:r>
    </w:p>
    <w:p w14:paraId="32F56E89">
      <w:p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7. 货物包装、运输、保险和交付要求</w:t>
      </w:r>
    </w:p>
    <w:p w14:paraId="651C3472">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7.1 本合同</w:t>
      </w:r>
      <w:r>
        <w:rPr>
          <w:rFonts w:hint="eastAsia" w:ascii="宋体" w:hAnsi="宋体"/>
          <w:bCs/>
          <w:color w:val="auto"/>
          <w:szCs w:val="21"/>
          <w:highlight w:val="none"/>
        </w:rPr>
        <w:t>涉及商品包装、快递包装的，</w:t>
      </w:r>
      <w:r>
        <w:rPr>
          <w:rFonts w:hint="eastAsia" w:ascii="宋体" w:hAnsi="宋体"/>
          <w:color w:val="auto"/>
          <w:szCs w:val="21"/>
          <w:highlight w:val="none"/>
        </w:rPr>
        <w:t>除</w:t>
      </w:r>
      <w:r>
        <w:rPr>
          <w:rFonts w:hint="eastAsia" w:ascii="宋体" w:hAnsi="宋体"/>
          <w:b/>
          <w:color w:val="auto"/>
          <w:szCs w:val="21"/>
          <w:highlight w:val="none"/>
        </w:rPr>
        <w:t>【政府采购合同专用条款】</w:t>
      </w:r>
      <w:r>
        <w:rPr>
          <w:rFonts w:hint="eastAsia" w:ascii="宋体" w:hAnsi="宋体"/>
          <w:bCs/>
          <w:color w:val="auto"/>
          <w:szCs w:val="21"/>
          <w:highlight w:val="none"/>
        </w:rPr>
        <w:t>另有约定外，</w:t>
      </w:r>
      <w:r>
        <w:rPr>
          <w:rFonts w:hint="eastAsia" w:ascii="宋体" w:hAnsi="宋体"/>
          <w:color w:val="auto"/>
          <w:szCs w:val="21"/>
          <w:highlight w:val="none"/>
        </w:rPr>
        <w:t>包装应适应远距离运输、防潮、防震、防锈和防野蛮装卸等要求，确保货物安全无损地运抵</w:t>
      </w:r>
      <w:r>
        <w:rPr>
          <w:rFonts w:hint="eastAsia" w:ascii="宋体" w:hAnsi="宋体"/>
          <w:b/>
          <w:color w:val="auto"/>
          <w:szCs w:val="21"/>
          <w:highlight w:val="none"/>
        </w:rPr>
        <w:t>【政府采购合同专用条款】</w:t>
      </w:r>
      <w:r>
        <w:rPr>
          <w:rFonts w:hint="eastAsia" w:ascii="宋体" w:hAnsi="宋体"/>
          <w:bCs/>
          <w:color w:val="auto"/>
          <w:szCs w:val="21"/>
          <w:highlight w:val="none"/>
        </w:rPr>
        <w:t>约定的</w:t>
      </w:r>
      <w:r>
        <w:rPr>
          <w:rFonts w:hint="eastAsia" w:ascii="宋体" w:hAnsi="宋体"/>
          <w:color w:val="auto"/>
          <w:szCs w:val="21"/>
          <w:highlight w:val="none"/>
        </w:rPr>
        <w:t>指定现场。</w:t>
      </w:r>
    </w:p>
    <w:p w14:paraId="590D350F">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7.2 除</w:t>
      </w:r>
      <w:r>
        <w:rPr>
          <w:rFonts w:hint="eastAsia" w:ascii="宋体" w:hAnsi="宋体"/>
          <w:b/>
          <w:color w:val="auto"/>
          <w:szCs w:val="21"/>
          <w:highlight w:val="none"/>
        </w:rPr>
        <w:t>【政府采购合同专用条款】</w:t>
      </w:r>
      <w:r>
        <w:rPr>
          <w:rFonts w:hint="eastAsia" w:ascii="宋体" w:hAnsi="宋体"/>
          <w:bCs/>
          <w:color w:val="auto"/>
          <w:szCs w:val="21"/>
          <w:highlight w:val="none"/>
        </w:rPr>
        <w:t>另有约定外，</w:t>
      </w:r>
      <w:r>
        <w:rPr>
          <w:rFonts w:hint="eastAsia" w:ascii="宋体" w:hAnsi="宋体"/>
          <w:color w:val="auto"/>
          <w:szCs w:val="21"/>
          <w:highlight w:val="none"/>
        </w:rPr>
        <w:t>乙方负责办理将货物运抵本合同规定的交货地点，并装卸、交付至甲方的一切运输事项，相关费用应包含在合同价款中。</w:t>
      </w:r>
    </w:p>
    <w:p w14:paraId="24802E76">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7.3 货物保险要求按</w:t>
      </w:r>
      <w:r>
        <w:rPr>
          <w:rFonts w:hint="eastAsia" w:ascii="宋体" w:hAnsi="宋体"/>
          <w:b/>
          <w:color w:val="auto"/>
          <w:szCs w:val="21"/>
          <w:highlight w:val="none"/>
        </w:rPr>
        <w:t>【政府采购合同专用条款】</w:t>
      </w:r>
      <w:r>
        <w:rPr>
          <w:rFonts w:hint="eastAsia" w:ascii="宋体" w:hAnsi="宋体"/>
          <w:bCs/>
          <w:color w:val="auto"/>
          <w:szCs w:val="21"/>
          <w:highlight w:val="none"/>
        </w:rPr>
        <w:t>规定执行</w:t>
      </w:r>
      <w:r>
        <w:rPr>
          <w:rFonts w:hint="eastAsia" w:ascii="宋体" w:hAnsi="宋体"/>
          <w:color w:val="auto"/>
          <w:szCs w:val="21"/>
          <w:highlight w:val="none"/>
        </w:rPr>
        <w:t>。</w:t>
      </w:r>
    </w:p>
    <w:p w14:paraId="40C9E6B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E9A8B0D">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7.5 </w:t>
      </w:r>
      <w:r>
        <w:rPr>
          <w:rFonts w:hint="eastAsia" w:ascii="宋体" w:hAnsi="宋体" w:cs="宋体"/>
          <w:color w:val="auto"/>
          <w:szCs w:val="21"/>
          <w:highlight w:val="none"/>
        </w:rPr>
        <w:t>乙方在运输到达之前应提前通知甲方，并提示货物运输装卸的注意事项，甲方配合乙方做好货物的接收工作。</w:t>
      </w:r>
    </w:p>
    <w:p w14:paraId="0DE874D8">
      <w:pPr>
        <w:pStyle w:val="20"/>
        <w:spacing w:line="360" w:lineRule="auto"/>
        <w:ind w:firstLine="420"/>
        <w:rPr>
          <w:color w:val="auto"/>
          <w:sz w:val="21"/>
          <w:highlight w:val="none"/>
        </w:rPr>
      </w:pPr>
      <w:r>
        <w:rPr>
          <w:rFonts w:hint="eastAsia" w:ascii="宋体" w:hAnsi="宋体" w:eastAsia="宋体" w:cs="Times New Roman"/>
          <w:color w:val="auto"/>
          <w:kern w:val="2"/>
          <w:sz w:val="21"/>
          <w:highlight w:val="none"/>
        </w:rPr>
        <w:t>7.6 如因包装、运输问题导致货物损毁、丢失或者品质下降，甲方有权要求降价、换货、拒收部分或整批货物，由此产生的费用和损失，均由乙方承担。</w:t>
      </w:r>
    </w:p>
    <w:p w14:paraId="25DB0D2A">
      <w:pPr>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8. 质量标准和保证</w:t>
      </w:r>
    </w:p>
    <w:p w14:paraId="6D1A1243">
      <w:pPr>
        <w:adjustRightInd w:val="0"/>
        <w:snapToGrid w:val="0"/>
        <w:spacing w:line="360" w:lineRule="auto"/>
        <w:ind w:firstLine="400" w:firstLineChars="200"/>
        <w:jc w:val="left"/>
        <w:rPr>
          <w:rFonts w:ascii="宋体" w:hAnsi="宋体"/>
          <w:b/>
          <w:color w:val="auto"/>
          <w:kern w:val="0"/>
          <w:sz w:val="20"/>
          <w:highlight w:val="none"/>
        </w:rPr>
      </w:pPr>
      <w:r>
        <w:rPr>
          <w:rFonts w:hint="eastAsia" w:ascii="宋体" w:hAnsi="宋体"/>
          <w:color w:val="auto"/>
          <w:kern w:val="0"/>
          <w:sz w:val="20"/>
          <w:highlight w:val="none"/>
        </w:rPr>
        <w:t>8.1 质量标准</w:t>
      </w:r>
    </w:p>
    <w:p w14:paraId="0464D052">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（1）本合同下提供的货物应符合合同</w:t>
      </w:r>
      <w:r>
        <w:rPr>
          <w:rFonts w:hint="eastAsia" w:ascii="宋体" w:hAnsi="宋体" w:cs="宋体"/>
          <w:color w:val="auto"/>
          <w:szCs w:val="21"/>
          <w:highlight w:val="none"/>
        </w:rPr>
        <w:t>约定的品牌、规格型号、技术性能、配置、质量、数量等要求。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46C5957">
      <w:pPr>
        <w:adjustRightInd w:val="0"/>
        <w:snapToGrid w:val="0"/>
        <w:spacing w:line="360" w:lineRule="auto"/>
        <w:ind w:firstLine="400" w:firstLineChars="200"/>
        <w:jc w:val="left"/>
        <w:rPr>
          <w:rFonts w:ascii="宋体" w:hAnsi="宋体"/>
          <w:color w:val="auto"/>
          <w:kern w:val="0"/>
          <w:sz w:val="20"/>
          <w:highlight w:val="none"/>
        </w:rPr>
      </w:pPr>
      <w:r>
        <w:rPr>
          <w:rFonts w:hint="eastAsia" w:ascii="宋体" w:hAnsi="宋体"/>
          <w:color w:val="auto"/>
          <w:kern w:val="0"/>
          <w:sz w:val="20"/>
          <w:highlight w:val="none"/>
        </w:rPr>
        <w:t>（2）采用中华人民共和国法定计量单位。</w:t>
      </w:r>
    </w:p>
    <w:p w14:paraId="52870E7B">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（3）乙方所提供的货物应符合国家有关安全、环保、卫生的规定。</w:t>
      </w:r>
    </w:p>
    <w:p w14:paraId="23F99181">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（4）乙方应向甲方提交所提供货物的技术文件，包括相应的中文技术文件，如：产品目录、图纸、操作手册、使用说明、维护手册或服务指南等。上述文件应包装好随货物一同发运。</w:t>
      </w:r>
    </w:p>
    <w:p w14:paraId="74EF0221">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 保证</w:t>
      </w:r>
    </w:p>
    <w:p w14:paraId="6B9264F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（1）乙方应保证提供的货物完全符合合同规定的质量、规格和性能要求。乙方应保证货物在正确安装、正常使用和保养条件下，</w:t>
      </w:r>
      <w:r>
        <w:rPr>
          <w:rFonts w:hint="eastAsia" w:ascii="宋体" w:hAnsi="宋体" w:cs="宋体"/>
          <w:color w:val="auto"/>
          <w:szCs w:val="21"/>
          <w:highlight w:val="none"/>
        </w:rPr>
        <w:t>在其使用寿命期内具备合同约定的性能</w:t>
      </w:r>
      <w:r>
        <w:rPr>
          <w:rFonts w:hint="eastAsia" w:ascii="宋体" w:hAnsi="宋体"/>
          <w:color w:val="auto"/>
          <w:szCs w:val="21"/>
          <w:highlight w:val="none"/>
        </w:rPr>
        <w:t>。存在质量保证期的，货物最终交付验收合格后在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规定或乙方书面承诺（两者以较长的为准）的质量保证期内，本保证保持有效。</w:t>
      </w:r>
    </w:p>
    <w:p w14:paraId="33993FCC">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042881F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0266DCA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（4）在质量保证期内，如果货物的质量或规格与合同不符，或证实货物是有缺陷的，包括潜在的缺陷或使用不符合要求的材料等，甲方可以根据本合同第15.1条规定以书面形式追究乙方的违约责任。</w:t>
      </w:r>
    </w:p>
    <w:p w14:paraId="53EA55CC">
      <w:pPr>
        <w:adjustRightInd w:val="0"/>
        <w:snapToGrid w:val="0"/>
        <w:spacing w:line="360" w:lineRule="auto"/>
        <w:ind w:firstLine="420" w:firstLineChars="200"/>
        <w:jc w:val="left"/>
        <w:rPr>
          <w:rFonts w:ascii="Calibri" w:hAnsi="Calibri"/>
          <w:color w:val="auto"/>
          <w:szCs w:val="20"/>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（5）乙方在约定的时间内未能弥补缺陷，甲方可采取必要的补救措施，但其风险和费用将由乙方承担，甲方根据合同约定对乙方行使的其他权利不受影响。</w:t>
      </w:r>
    </w:p>
    <w:p w14:paraId="1D956286">
      <w:p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9.权利瑕疵担保</w:t>
      </w:r>
    </w:p>
    <w:p w14:paraId="35AE4AAC">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9.1 乙方保证对其出售的货物享有合法的权利。</w:t>
      </w:r>
    </w:p>
    <w:p w14:paraId="27438B1B">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9.2 </w:t>
      </w:r>
      <w:r>
        <w:rPr>
          <w:rFonts w:hint="eastAsia" w:ascii="宋体" w:hAnsi="宋体" w:cs="宋体"/>
          <w:color w:val="auto"/>
          <w:szCs w:val="15"/>
          <w:highlight w:val="none"/>
        </w:rPr>
        <w:t>乙方保证在交付的货物上不存在抵押权等担保物权。</w:t>
      </w:r>
    </w:p>
    <w:p w14:paraId="74A9B9A3">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9.3 如甲方使用上述货物构成对第三人侵权的，则由乙方承担全部责任。</w:t>
      </w:r>
    </w:p>
    <w:p w14:paraId="7C67A422">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10. 知识产权保护</w:t>
      </w:r>
    </w:p>
    <w:p w14:paraId="723B0980">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10.1 乙方对其所销售的货物应当享有知识产权或经权利人合法授权，保证没有侵犯任何第三人的知识产权等权利。</w:t>
      </w:r>
      <w:bookmarkStart w:id="17" w:name="_Hlk163047038"/>
      <w:r>
        <w:rPr>
          <w:rFonts w:hint="eastAsia" w:ascii="宋体" w:hAnsi="宋体" w:cs="宋体"/>
          <w:color w:val="auto"/>
          <w:szCs w:val="15"/>
          <w:highlight w:val="none"/>
        </w:rPr>
        <w:t>因违反前述约定对第三人构成侵权的，应当由乙方向第三人承担法律责任；甲方依法向第三人赔偿后，有权向乙方追偿。甲方有其他损失的，乙方应当赔偿</w:t>
      </w:r>
      <w:bookmarkEnd w:id="17"/>
      <w:r>
        <w:rPr>
          <w:rFonts w:hint="eastAsia" w:ascii="宋体" w:hAnsi="宋体"/>
          <w:color w:val="auto"/>
          <w:szCs w:val="21"/>
          <w:highlight w:val="none"/>
        </w:rPr>
        <w:t>。</w:t>
      </w:r>
    </w:p>
    <w:p w14:paraId="0C4306D2">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11. 保密义务</w:t>
      </w:r>
    </w:p>
    <w:p w14:paraId="286E424B">
      <w:pPr>
        <w:autoSpaceDE w:val="0"/>
        <w:autoSpaceDN w:val="0"/>
        <w:adjustRightInd w:val="0"/>
        <w:snapToGrid w:val="0"/>
        <w:spacing w:line="360" w:lineRule="auto"/>
        <w:ind w:firstLine="420" w:firstLineChars="200"/>
        <w:jc w:val="left"/>
        <w:rPr>
          <w:rFonts w:ascii="宋体" w:hAnsi="宋体" w:cs="宋体"/>
          <w:color w:val="auto"/>
          <w:szCs w:val="15"/>
          <w:highlight w:val="none"/>
        </w:rPr>
      </w:pPr>
      <w:r>
        <w:rPr>
          <w:rFonts w:hint="eastAsia" w:ascii="宋体" w:hAnsi="宋体" w:cs="宋体"/>
          <w:color w:val="auto"/>
          <w:szCs w:val="15"/>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color w:val="auto"/>
          <w:szCs w:val="15"/>
          <w:highlight w:val="none"/>
        </w:rPr>
        <w:t>【政府采购合同专用条款】</w:t>
      </w:r>
      <w:r>
        <w:rPr>
          <w:rFonts w:hint="eastAsia" w:ascii="宋体" w:hAnsi="宋体" w:cs="宋体"/>
          <w:color w:val="auto"/>
          <w:szCs w:val="15"/>
          <w:highlight w:val="none"/>
        </w:rPr>
        <w:t>中约定。</w:t>
      </w:r>
    </w:p>
    <w:p w14:paraId="413E30B6">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12. 合同价款支付</w:t>
      </w:r>
    </w:p>
    <w:p w14:paraId="6627E526">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12.1 合同价款支付按照国库集中支付制度及财政管理相关规定执行。</w:t>
      </w:r>
    </w:p>
    <w:p w14:paraId="3D7F57DC">
      <w:pPr>
        <w:pStyle w:val="2"/>
        <w:spacing w:before="0" w:after="0" w:line="360" w:lineRule="auto"/>
        <w:ind w:firstLine="420" w:firstLineChars="200"/>
        <w:rPr>
          <w:rFonts w:eastAsia="宋体"/>
          <w:color w:val="auto"/>
          <w:highlight w:val="none"/>
        </w:rPr>
      </w:pPr>
      <w:r>
        <w:rPr>
          <w:rFonts w:hint="eastAsia" w:ascii="宋体" w:hAnsi="宋体"/>
          <w:b w:val="0"/>
          <w:bCs w:val="0"/>
          <w:color w:val="auto"/>
          <w:sz w:val="21"/>
          <w:szCs w:val="21"/>
          <w:highlight w:val="none"/>
        </w:rPr>
        <w:t xml:space="preserve">12.2 </w:t>
      </w:r>
      <w:r>
        <w:rPr>
          <w:rFonts w:hint="eastAsia" w:ascii="宋体" w:hAnsi="宋体" w:eastAsia="宋体"/>
          <w:b w:val="0"/>
          <w:bCs w:val="0"/>
          <w:color w:val="auto"/>
          <w:sz w:val="21"/>
          <w:szCs w:val="21"/>
          <w:highlight w:val="none"/>
        </w:rPr>
        <w:t>对于满足合同约定支付条件的，甲方原则上应当自收到发票后10个工作日内将资金支付到合同约定的</w:t>
      </w:r>
      <w:r>
        <w:rPr>
          <w:rFonts w:hint="eastAsia" w:ascii="宋体" w:hAnsi="宋体"/>
          <w:b w:val="0"/>
          <w:bCs w:val="0"/>
          <w:color w:val="auto"/>
          <w:sz w:val="21"/>
          <w:szCs w:val="21"/>
          <w:highlight w:val="none"/>
        </w:rPr>
        <w:t>乙方</w:t>
      </w:r>
      <w:r>
        <w:rPr>
          <w:rFonts w:hint="eastAsia" w:ascii="宋体" w:hAnsi="宋体" w:eastAsia="宋体"/>
          <w:b w:val="0"/>
          <w:bCs w:val="0"/>
          <w:color w:val="auto"/>
          <w:sz w:val="21"/>
          <w:szCs w:val="21"/>
          <w:highlight w:val="none"/>
        </w:rPr>
        <w:t>账户，不得以机构变动、人员更替、政策调整等为由迟延付款，不得将采购文件和合同中未规定的义务作为向乙方付款的条件。具体合同价款支付时间在【</w:t>
      </w:r>
      <w:r>
        <w:rPr>
          <w:rFonts w:hint="eastAsia" w:ascii="宋体" w:hAnsi="宋体" w:eastAsia="宋体"/>
          <w:color w:val="auto"/>
          <w:sz w:val="21"/>
          <w:szCs w:val="21"/>
          <w:highlight w:val="none"/>
        </w:rPr>
        <w:t>政府采购合同专用条款</w:t>
      </w:r>
      <w:r>
        <w:rPr>
          <w:rFonts w:hint="eastAsia" w:ascii="宋体" w:hAnsi="宋体" w:eastAsia="宋体"/>
          <w:b w:val="0"/>
          <w:bCs w:val="0"/>
          <w:color w:val="auto"/>
          <w:sz w:val="21"/>
          <w:szCs w:val="21"/>
          <w:highlight w:val="none"/>
        </w:rPr>
        <w:t>】中</w:t>
      </w:r>
      <w:r>
        <w:rPr>
          <w:rFonts w:hint="eastAsia" w:ascii="宋体" w:hAnsi="宋体"/>
          <w:b w:val="0"/>
          <w:bCs w:val="0"/>
          <w:color w:val="auto"/>
          <w:sz w:val="21"/>
          <w:szCs w:val="21"/>
          <w:highlight w:val="none"/>
        </w:rPr>
        <w:t>约</w:t>
      </w:r>
      <w:r>
        <w:rPr>
          <w:rFonts w:hint="eastAsia" w:ascii="宋体" w:hAnsi="宋体" w:eastAsia="宋体"/>
          <w:b w:val="0"/>
          <w:bCs w:val="0"/>
          <w:color w:val="auto"/>
          <w:sz w:val="21"/>
          <w:szCs w:val="21"/>
          <w:highlight w:val="none"/>
        </w:rPr>
        <w:t>定。</w:t>
      </w:r>
    </w:p>
    <w:p w14:paraId="24725236">
      <w:pPr>
        <w:spacing w:line="360" w:lineRule="auto"/>
        <w:rPr>
          <w:rFonts w:ascii="宋体" w:hAnsi="宋体"/>
          <w:b/>
          <w:bCs/>
          <w:color w:val="auto"/>
          <w:sz w:val="24"/>
          <w:szCs w:val="24"/>
          <w:highlight w:val="none"/>
        </w:rPr>
      </w:pPr>
      <w:r>
        <w:rPr>
          <w:rFonts w:hint="eastAsia" w:ascii="宋体" w:hAnsi="宋体"/>
          <w:b/>
          <w:bCs/>
          <w:color w:val="auto"/>
          <w:sz w:val="24"/>
          <w:szCs w:val="24"/>
          <w:highlight w:val="none"/>
        </w:rPr>
        <w:t>13. 履约保证金</w:t>
      </w:r>
    </w:p>
    <w:p w14:paraId="2536D038">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13.1 </w:t>
      </w:r>
      <w:r>
        <w:rPr>
          <w:rFonts w:hint="eastAsia" w:ascii="宋体" w:hAnsi="宋体" w:cs="宋体"/>
          <w:color w:val="auto"/>
          <w:szCs w:val="15"/>
          <w:highlight w:val="none"/>
        </w:rPr>
        <w:t>乙方应当以支票、汇票、本票或者金融机构、担保机构出具的保函等非现金形式提交。</w:t>
      </w:r>
    </w:p>
    <w:p w14:paraId="37FAA5D5">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13.2 如果乙方出现</w:t>
      </w:r>
      <w:r>
        <w:rPr>
          <w:rFonts w:hint="eastAsia" w:ascii="宋体" w:hAnsi="宋体" w:cs="宋体"/>
          <w:b/>
          <w:bCs/>
          <w:color w:val="auto"/>
          <w:szCs w:val="15"/>
          <w:highlight w:val="none"/>
        </w:rPr>
        <w:t>【政府采购合同专用条款】</w:t>
      </w:r>
      <w:r>
        <w:rPr>
          <w:rFonts w:hint="eastAsia" w:ascii="宋体" w:hAnsi="宋体" w:cs="宋体"/>
          <w:color w:val="auto"/>
          <w:szCs w:val="15"/>
          <w:highlight w:val="none"/>
        </w:rPr>
        <w:t>约定情形的</w:t>
      </w:r>
      <w:r>
        <w:rPr>
          <w:rFonts w:hint="eastAsia" w:ascii="宋体" w:hAnsi="宋体"/>
          <w:color w:val="auto"/>
          <w:szCs w:val="21"/>
          <w:highlight w:val="none"/>
        </w:rPr>
        <w:t>，履约保证金不予退还；如果乙方未能按合同约定全面履行义务，甲方有权从履约保证金中取得补偿或赔偿，且不影响甲方要求乙方承担合同约定的超过履约保证金的违约责任的权利。</w:t>
      </w:r>
    </w:p>
    <w:p w14:paraId="74640E18">
      <w:pPr>
        <w:spacing w:line="360" w:lineRule="auto"/>
        <w:ind w:firstLine="420"/>
        <w:rPr>
          <w:rFonts w:ascii="Calibri" w:hAnsi="Calibri"/>
          <w:color w:val="auto"/>
          <w:szCs w:val="20"/>
          <w:highlight w:val="none"/>
        </w:rPr>
      </w:pPr>
      <w:r>
        <w:rPr>
          <w:rFonts w:hint="eastAsia" w:ascii="宋体" w:hAnsi="宋体"/>
          <w:color w:val="auto"/>
          <w:szCs w:val="21"/>
          <w:highlight w:val="none"/>
        </w:rPr>
        <w:t>13.3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5A20D218">
      <w:p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bCs/>
          <w:color w:val="auto"/>
          <w:sz w:val="24"/>
          <w:szCs w:val="20"/>
          <w:highlight w:val="none"/>
        </w:rPr>
        <w:t xml:space="preserve">14. </w:t>
      </w:r>
      <w:r>
        <w:rPr>
          <w:rFonts w:hint="eastAsia" w:ascii="Calibri" w:hAnsi="Calibri"/>
          <w:b/>
          <w:color w:val="auto"/>
          <w:sz w:val="24"/>
          <w:szCs w:val="20"/>
          <w:highlight w:val="none"/>
        </w:rPr>
        <w:t>售后</w:t>
      </w:r>
      <w:r>
        <w:rPr>
          <w:rFonts w:hint="eastAsia" w:ascii="宋体" w:hAnsi="宋体"/>
          <w:b/>
          <w:color w:val="auto"/>
          <w:sz w:val="24"/>
          <w:szCs w:val="20"/>
          <w:highlight w:val="none"/>
        </w:rPr>
        <w:t>服务</w:t>
      </w:r>
    </w:p>
    <w:p w14:paraId="4A81C3F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14.1 除项目不涉及或采购活动中明确约定无须承担外，乙方还应提供下列服务：</w:t>
      </w:r>
    </w:p>
    <w:p w14:paraId="6419C04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7A457B0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74A5E51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cs="宋体"/>
          <w:b/>
          <w:bCs/>
          <w:color w:val="auto"/>
          <w:szCs w:val="15"/>
          <w:highlight w:val="none"/>
        </w:rPr>
        <w:t>【政府采购合同专用条款】</w:t>
      </w:r>
      <w:r>
        <w:rPr>
          <w:rFonts w:hint="eastAsia" w:ascii="宋体" w:hAnsi="宋体"/>
          <w:color w:val="auto"/>
          <w:szCs w:val="21"/>
          <w:highlight w:val="none"/>
        </w:rPr>
        <w:t>约定的期限内对所有的货物实施运行监督、维修，但前提条件是该服务并不能免除乙方在质量保证期内所承担的义务；</w:t>
      </w:r>
    </w:p>
    <w:p w14:paraId="0323437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（4）在制造商所在地或指定现场就货物的安装、启动、运营、维护、废弃处置等对甲方操作人员进行培训</w:t>
      </w:r>
      <w:r>
        <w:rPr>
          <w:rFonts w:hint="eastAsia" w:ascii="宋体" w:hAnsi="宋体" w:cs="宋体"/>
          <w:color w:val="auto"/>
          <w:szCs w:val="15"/>
          <w:highlight w:val="none"/>
        </w:rPr>
        <w:t>；</w:t>
      </w:r>
    </w:p>
    <w:p w14:paraId="59710BCD">
      <w:pPr>
        <w:pStyle w:val="20"/>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（5）依照法律、行政法规的规定或者按照</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约定，货物在有效使用年限届满后应予回收的，乙方负有自行或者委托第三人对货物予以回收的义务；</w:t>
      </w:r>
    </w:p>
    <w:p w14:paraId="1CDC0B0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0F51449B">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14.2 乙方提供的售后服务的费用已包含在合同价款中，甲方不再另行支付。</w:t>
      </w:r>
    </w:p>
    <w:p w14:paraId="108C6215">
      <w:p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15. 违约责任</w:t>
      </w:r>
    </w:p>
    <w:p w14:paraId="26C9836F">
      <w:pPr>
        <w:adjustRightInd w:val="0"/>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15.1质量瑕疵的违约责任</w:t>
      </w:r>
    </w:p>
    <w:p w14:paraId="5CC82E20">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乙方提供的产品不符合合同约定的质量标准或存在产品质量缺陷，甲方有权要求乙方根据</w:t>
      </w:r>
      <w:r>
        <w:rPr>
          <w:rFonts w:hint="eastAsia" w:ascii="宋体" w:hAnsi="宋体"/>
          <w:b/>
          <w:color w:val="auto"/>
          <w:szCs w:val="21"/>
          <w:highlight w:val="none"/>
        </w:rPr>
        <w:t>【政府采购合同专用条款】</w:t>
      </w:r>
      <w:r>
        <w:rPr>
          <w:rFonts w:hint="eastAsia" w:ascii="宋体" w:hAnsi="宋体"/>
          <w:bCs/>
          <w:color w:val="auto"/>
          <w:szCs w:val="21"/>
          <w:highlight w:val="none"/>
        </w:rPr>
        <w:t>要求</w:t>
      </w:r>
      <w:r>
        <w:rPr>
          <w:rFonts w:hint="eastAsia" w:ascii="宋体" w:hAnsi="宋体"/>
          <w:color w:val="auto"/>
          <w:szCs w:val="21"/>
          <w:highlight w:val="none"/>
        </w:rPr>
        <w:t>及时修理、重作、更换，并承担由此给甲方造成的损失。</w:t>
      </w:r>
    </w:p>
    <w:p w14:paraId="1232585A">
      <w:pPr>
        <w:autoSpaceDE w:val="0"/>
        <w:autoSpaceDN w:val="0"/>
        <w:adjustRightInd w:val="0"/>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15.2 迟延交货的违约责任</w:t>
      </w:r>
    </w:p>
    <w:p w14:paraId="7F1B6F16">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1823E31">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（2）如果乙方没有按照合同规定的时间交货和提供相关服务，甲方有权从货款中扣除误期赔偿费而不影响合同项下的其他补救方法，赔偿费按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规定执行。如果涉及公共利益，且赔偿金额无法弥补公共利益损失，甲方可要求继续履行或者采取其他补救措施。</w:t>
      </w:r>
    </w:p>
    <w:p w14:paraId="23A3A62B">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15.3 迟延支付的违约责任</w:t>
      </w:r>
    </w:p>
    <w:p w14:paraId="66D84BD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678036A9">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bCs/>
          <w:color w:val="auto"/>
          <w:szCs w:val="21"/>
          <w:highlight w:val="none"/>
        </w:rPr>
        <w:t>15.4其他违约责任根据项目实际需要按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581A1114">
      <w:pPr>
        <w:numPr>
          <w:ilvl w:val="0"/>
          <w:numId w:val="7"/>
        </w:num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合同变更、中止与终止</w:t>
      </w:r>
    </w:p>
    <w:p w14:paraId="4B6EA46C">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 xml:space="preserve">    16.1合同的变更</w:t>
      </w:r>
    </w:p>
    <w:p w14:paraId="5DED4D1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政府采购合同履行中，在不改变合同其他条款的前提下，甲方可以在合同价款10%的范围内追加与合同标的相同的货物，并就此与乙方协商一致后签订补充协议。</w:t>
      </w:r>
    </w:p>
    <w:p w14:paraId="14C5187E">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16.2合同的中止</w:t>
      </w:r>
    </w:p>
    <w:p w14:paraId="0B41C5B2">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（1）合同履行过程中因供应商就采购文件、采购过程或结果提起投诉的，甲方认为有必要的，可以中止合同的履行。</w:t>
      </w:r>
    </w:p>
    <w:p w14:paraId="0E421CBC">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4E0C529B">
      <w:pPr>
        <w:pStyle w:val="20"/>
        <w:spacing w:line="360" w:lineRule="auto"/>
        <w:ind w:firstLine="420"/>
        <w:jc w:val="both"/>
        <w:rPr>
          <w:color w:val="auto"/>
          <w:sz w:val="21"/>
          <w:highlight w:val="none"/>
        </w:rPr>
      </w:pPr>
      <w:r>
        <w:rPr>
          <w:rFonts w:hint="eastAsia" w:ascii="宋体" w:hAnsi="宋体" w:eastAsia="宋体" w:cs="宋体"/>
          <w:color w:val="auto"/>
          <w:sz w:val="21"/>
          <w:highlight w:val="none"/>
        </w:rPr>
        <w:t>（3）乙方分立、合并或者变更住所的，应当及时以书面形式告知甲方。乙方没有及时告知甲方，致使合同履行发生困难的，甲方可以中止合同履行并要求乙方承担由此给甲方造成的损失。</w:t>
      </w:r>
    </w:p>
    <w:p w14:paraId="14E000AB">
      <w:pPr>
        <w:snapToGrid w:val="0"/>
        <w:spacing w:line="360" w:lineRule="auto"/>
        <w:ind w:firstLine="420" w:firstLineChars="200"/>
        <w:jc w:val="left"/>
        <w:rPr>
          <w:rFonts w:ascii="Calibri" w:hAnsi="Calibri"/>
          <w:color w:val="auto"/>
          <w:szCs w:val="20"/>
          <w:highlight w:val="none"/>
        </w:rPr>
      </w:pPr>
      <w:r>
        <w:rPr>
          <w:rFonts w:hint="eastAsia" w:ascii="宋体" w:hAnsi="宋体"/>
          <w:color w:val="auto"/>
          <w:szCs w:val="21"/>
          <w:highlight w:val="none"/>
        </w:rPr>
        <w:t>（4）甲方不得以行政区划调整、政府换届、机构或者职能调整以及相关责任人更替为由中止合同。</w:t>
      </w:r>
    </w:p>
    <w:p w14:paraId="5ED89051">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16.3合同的终止</w:t>
      </w:r>
    </w:p>
    <w:p w14:paraId="1EA60298">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28884F40">
      <w:pPr>
        <w:snapToGrid w:val="0"/>
        <w:spacing w:line="360" w:lineRule="auto"/>
        <w:ind w:firstLine="420" w:firstLineChars="200"/>
        <w:rPr>
          <w:rFonts w:ascii="宋体" w:hAnsi="宋体" w:cs="宋体"/>
          <w:color w:val="auto"/>
          <w:szCs w:val="21"/>
          <w:highlight w:val="none"/>
        </w:rPr>
      </w:pPr>
      <w:r>
        <w:rPr>
          <w:rFonts w:hint="eastAsia" w:ascii="宋体" w:hAnsi="宋体"/>
          <w:color w:val="auto"/>
          <w:szCs w:val="21"/>
          <w:highlight w:val="none"/>
        </w:rPr>
        <w:t>（2）乙方未按合同约定履行，构成根本性违约的，甲方有权终止合同，</w:t>
      </w:r>
      <w:r>
        <w:rPr>
          <w:rFonts w:hint="eastAsia" w:ascii="宋体" w:hAnsi="宋体" w:cs="宋体"/>
          <w:color w:val="auto"/>
          <w:szCs w:val="21"/>
          <w:highlight w:val="none"/>
        </w:rPr>
        <w:t>并追究乙方的违约责任</w:t>
      </w:r>
      <w:r>
        <w:rPr>
          <w:rFonts w:hint="eastAsia" w:ascii="宋体" w:hAnsi="宋体"/>
          <w:color w:val="auto"/>
          <w:szCs w:val="21"/>
          <w:highlight w:val="none"/>
        </w:rPr>
        <w:t>。</w:t>
      </w:r>
    </w:p>
    <w:p w14:paraId="62151FAF">
      <w:pPr>
        <w:pStyle w:val="20"/>
        <w:spacing w:line="360" w:lineRule="auto"/>
        <w:rPr>
          <w:rFonts w:ascii="宋体" w:hAnsi="宋体"/>
          <w:color w:val="auto"/>
          <w:highlight w:val="none"/>
        </w:rPr>
      </w:pPr>
      <w:r>
        <w:rPr>
          <w:rFonts w:hint="eastAsia" w:ascii="宋体" w:hAnsi="宋体"/>
          <w:color w:val="auto"/>
          <w:highlight w:val="none"/>
        </w:rPr>
        <w:t xml:space="preserve">16.4 </w:t>
      </w:r>
      <w:r>
        <w:rPr>
          <w:rFonts w:hint="eastAsia" w:ascii="宋体" w:hAnsi="宋体" w:eastAsia="宋体" w:cs="Times New Roman"/>
          <w:color w:val="auto"/>
          <w:kern w:val="2"/>
          <w:sz w:val="21"/>
          <w:highlight w:val="none"/>
        </w:rPr>
        <w:t>涉及国家利益、社会公共利益的情形</w:t>
      </w:r>
    </w:p>
    <w:p w14:paraId="1A1CE445">
      <w:pPr>
        <w:pStyle w:val="20"/>
        <w:spacing w:line="360" w:lineRule="auto"/>
        <w:ind w:firstLine="420"/>
        <w:jc w:val="both"/>
        <w:rPr>
          <w:color w:val="auto"/>
          <w:sz w:val="21"/>
          <w:highlight w:val="none"/>
        </w:rPr>
      </w:pPr>
      <w:r>
        <w:rPr>
          <w:rFonts w:hint="eastAsia" w:ascii="宋体" w:hAnsi="宋体" w:eastAsia="宋体" w:cs="宋体"/>
          <w:color w:val="auto"/>
          <w:sz w:val="21"/>
          <w:highlight w:val="none"/>
        </w:rPr>
        <w:t>政府采购合同继续履行将损害国家利益和社会公共利益的，双方当事人应当变更、中止或者终止合同。有过错的一方应当承担赔偿责任，双方都有过错的，各自承担相应的责任。</w:t>
      </w:r>
    </w:p>
    <w:p w14:paraId="04556ACA">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17. 合同分包</w:t>
      </w:r>
    </w:p>
    <w:p w14:paraId="1592264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17.1 乙方不得将合同转包给其他供应商。涉及合同分包的，乙方应根据采购文件和投标（响应）文件规定进行合同分包。</w:t>
      </w:r>
    </w:p>
    <w:p w14:paraId="55E4ED1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17.2 乙方执行政府采购政策向中小企业依法分包的，乙方应当按采购文件和投标（响应）文件签订分包意向协议，分包意向协议属于本合同组成部分。</w:t>
      </w:r>
    </w:p>
    <w:p w14:paraId="68693948">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18. 不可抗力</w:t>
      </w:r>
    </w:p>
    <w:p w14:paraId="73E39DB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18.1 不可抗力是指合同双方不能预见、不能避免且不能克服的客观情况。</w:t>
      </w:r>
    </w:p>
    <w:p w14:paraId="6115912C">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18.2 任何一方对由于不可抗力造成的部分或全部不能履行合同不承担违约责任。但迟延履行后发生不可抗力的，不能免除责任。</w:t>
      </w:r>
    </w:p>
    <w:p w14:paraId="528E863A">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4C0CD8AA">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19. 解决争议的方法</w:t>
      </w:r>
    </w:p>
    <w:p w14:paraId="1BE3372A">
      <w:pPr>
        <w:pStyle w:val="20"/>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706714F9">
      <w:pPr>
        <w:pStyle w:val="20"/>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19.2 选择仲裁的，应在</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中明确仲裁机构及仲裁地；通过诉讼方式解决的，可以在</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中进一步约定选择与争议有实际联系的地点的人民法院管辖，但管辖法院的约定不得违反级别管辖和专属管辖的规定。</w:t>
      </w:r>
    </w:p>
    <w:p w14:paraId="25557659">
      <w:pPr>
        <w:pStyle w:val="20"/>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19.3 如甲乙双方有争议的事项不影响合同其他部分的履行，在争议解决期间，合同其他部分应当继续履行。</w:t>
      </w:r>
    </w:p>
    <w:p w14:paraId="7AAC3B19">
      <w:pPr>
        <w:autoSpaceDE w:val="0"/>
        <w:autoSpaceDN w:val="0"/>
        <w:adjustRightInd w:val="0"/>
        <w:snapToGrid w:val="0"/>
        <w:spacing w:line="360" w:lineRule="auto"/>
        <w:jc w:val="left"/>
        <w:rPr>
          <w:rFonts w:ascii="宋体" w:hAnsi="宋体"/>
          <w:color w:val="auto"/>
          <w:sz w:val="24"/>
          <w:szCs w:val="20"/>
          <w:highlight w:val="none"/>
        </w:rPr>
      </w:pPr>
      <w:r>
        <w:rPr>
          <w:rFonts w:hint="eastAsia" w:ascii="宋体" w:hAnsi="宋体"/>
          <w:b/>
          <w:color w:val="auto"/>
          <w:sz w:val="24"/>
          <w:szCs w:val="20"/>
          <w:highlight w:val="none"/>
        </w:rPr>
        <w:t>20. 政府采购政策</w:t>
      </w:r>
    </w:p>
    <w:p w14:paraId="3FBBAC92">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20.1 </w:t>
      </w:r>
      <w:r>
        <w:rPr>
          <w:rFonts w:hint="eastAsia" w:ascii="宋体" w:hAnsi="宋体" w:cs="宋体"/>
          <w:color w:val="auto"/>
          <w:szCs w:val="20"/>
          <w:highlight w:val="none"/>
          <w:lang w:val="en-GB"/>
        </w:rPr>
        <w:t>本合同应当按照规定执行政府采购政策。</w:t>
      </w:r>
    </w:p>
    <w:p w14:paraId="6D77F89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0.2 本合同依法执行政府采购政策的方式和内容，属于合同履约验收的范围。</w:t>
      </w:r>
      <w:r>
        <w:rPr>
          <w:rFonts w:hint="eastAsia" w:ascii="宋体" w:hAnsi="宋体" w:cs="宋体"/>
          <w:color w:val="auto"/>
          <w:szCs w:val="20"/>
          <w:highlight w:val="none"/>
        </w:rPr>
        <w:t>甲乙双方</w:t>
      </w:r>
      <w:r>
        <w:rPr>
          <w:rFonts w:hint="eastAsia" w:ascii="宋体" w:hAnsi="宋体" w:cs="宋体"/>
          <w:color w:val="auto"/>
          <w:szCs w:val="20"/>
          <w:highlight w:val="none"/>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7E65DA17">
      <w:pPr>
        <w:spacing w:line="360" w:lineRule="auto"/>
        <w:ind w:firstLine="420" w:firstLineChars="200"/>
        <w:rPr>
          <w:rFonts w:ascii="Calibri" w:hAnsi="Calibri"/>
          <w:color w:val="auto"/>
          <w:szCs w:val="24"/>
          <w:highlight w:val="none"/>
        </w:rPr>
      </w:pPr>
      <w:r>
        <w:rPr>
          <w:rFonts w:ascii="宋体" w:hAnsi="宋体"/>
          <w:color w:val="auto"/>
          <w:szCs w:val="21"/>
          <w:highlight w:val="none"/>
        </w:rPr>
        <w:t>2</w:t>
      </w:r>
      <w:r>
        <w:rPr>
          <w:rFonts w:hint="eastAsia" w:ascii="宋体" w:hAnsi="宋体"/>
          <w:color w:val="auto"/>
          <w:szCs w:val="21"/>
          <w:highlight w:val="none"/>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5E4AE8A">
      <w:p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21. 法律适用</w:t>
      </w:r>
    </w:p>
    <w:p w14:paraId="60124E5B">
      <w:pPr>
        <w:pStyle w:val="20"/>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21.1 本合同的订立、生效、解释、履行及与本合同有关的争议解决，均适用法律、行政法规。</w:t>
      </w:r>
    </w:p>
    <w:p w14:paraId="4653F011">
      <w:pPr>
        <w:pStyle w:val="20"/>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21.2 本合同条款与法律、行政法规的强制性规定不一致的，双方当事人应按照法律、行政法规的强制性规定修改本合同的相关条款。</w:t>
      </w:r>
    </w:p>
    <w:p w14:paraId="35EA7F2C">
      <w:pPr>
        <w:numPr>
          <w:ilvl w:val="255"/>
          <w:numId w:val="0"/>
        </w:num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22. 通知</w:t>
      </w:r>
    </w:p>
    <w:p w14:paraId="73A96E5A">
      <w:pPr>
        <w:pStyle w:val="20"/>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22.1 本合同任何一方向对方发出的通知、信件、数据电文等，应当发送至本合同第一部分《政府采购合同协议书》所约定的通讯地址、联系人、联系电话或电子邮箱。</w:t>
      </w:r>
    </w:p>
    <w:p w14:paraId="1E89F338">
      <w:pPr>
        <w:pStyle w:val="20"/>
        <w:spacing w:line="360" w:lineRule="auto"/>
        <w:ind w:firstLine="0" w:firstLineChars="0"/>
        <w:jc w:val="both"/>
        <w:rPr>
          <w:color w:val="auto"/>
          <w:sz w:val="21"/>
          <w:highlight w:val="none"/>
        </w:rPr>
      </w:pPr>
      <w:r>
        <w:rPr>
          <w:rFonts w:hint="eastAsia" w:ascii="宋体" w:hAnsi="宋体" w:eastAsia="宋体" w:cs="宋体"/>
          <w:color w:val="auto"/>
          <w:sz w:val="21"/>
          <w:highlight w:val="none"/>
        </w:rPr>
        <w:t xml:space="preserve">    22.2 一方当事人变更名称、住所、联系人、联系电话或电子邮箱等信息的，应当在变更后3日内及时书面通知对方，对方实际收到变更通知前的送达仍为有效送达。</w:t>
      </w:r>
    </w:p>
    <w:p w14:paraId="50AE7701">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22.3本合同一方给另一方的通知均应采用书面形式，传真或快递送到本合同中规定的对方的地址和办理签收手续。</w:t>
      </w:r>
    </w:p>
    <w:p w14:paraId="5A2B90F9">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22.4通知以送达之日或通知书中规定的生效之日起生效，两者中以较迟之日为准。</w:t>
      </w:r>
    </w:p>
    <w:p w14:paraId="7931E625">
      <w:pPr>
        <w:numPr>
          <w:ilvl w:val="0"/>
          <w:numId w:val="8"/>
        </w:num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合同未尽事项</w:t>
      </w:r>
    </w:p>
    <w:p w14:paraId="107D3D8E">
      <w:pPr>
        <w:adjustRightInd w:val="0"/>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23.1合同未尽事项见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678BACD5">
      <w:pPr>
        <w:adjustRightInd w:val="0"/>
        <w:snapToGrid w:val="0"/>
        <w:spacing w:line="360" w:lineRule="auto"/>
        <w:jc w:val="left"/>
        <w:rPr>
          <w:rFonts w:ascii="黑体" w:hAnsi="华文中宋" w:eastAsia="黑体"/>
          <w:color w:val="auto"/>
          <w:sz w:val="28"/>
          <w:szCs w:val="28"/>
          <w:highlight w:val="none"/>
        </w:rPr>
      </w:pPr>
      <w:r>
        <w:rPr>
          <w:rFonts w:hint="eastAsia" w:ascii="宋体" w:hAnsi="宋体"/>
          <w:bCs/>
          <w:color w:val="auto"/>
          <w:szCs w:val="21"/>
          <w:highlight w:val="none"/>
        </w:rPr>
        <w:t xml:space="preserve">    23.2 合同附件与合同正文具有同等的法律效力。</w:t>
      </w:r>
      <w:bookmarkStart w:id="18" w:name="_Toc20313"/>
    </w:p>
    <w:p w14:paraId="25D65874">
      <w:pPr>
        <w:adjustRightInd w:val="0"/>
        <w:snapToGrid w:val="0"/>
        <w:spacing w:line="360" w:lineRule="auto"/>
        <w:jc w:val="center"/>
        <w:rPr>
          <w:rFonts w:ascii="黑体" w:hAnsi="华文中宋" w:eastAsia="黑体"/>
          <w:color w:val="auto"/>
          <w:sz w:val="28"/>
          <w:szCs w:val="28"/>
          <w:highlight w:val="none"/>
        </w:rPr>
      </w:pPr>
      <w:r>
        <w:rPr>
          <w:rFonts w:hint="eastAsia" w:ascii="黑体" w:hAnsi="华文中宋" w:eastAsia="黑体"/>
          <w:color w:val="auto"/>
          <w:sz w:val="28"/>
          <w:szCs w:val="28"/>
          <w:highlight w:val="none"/>
        </w:rPr>
        <w:br w:type="page"/>
      </w:r>
    </w:p>
    <w:p w14:paraId="569A808C">
      <w:pPr>
        <w:pStyle w:val="2"/>
        <w:adjustRightInd w:val="0"/>
        <w:snapToGrid w:val="0"/>
        <w:spacing w:before="0" w:after="0" w:line="360" w:lineRule="auto"/>
        <w:jc w:val="center"/>
        <w:rPr>
          <w:rFonts w:ascii="黑体" w:hAnsi="华文中宋"/>
          <w:b w:val="0"/>
          <w:bCs w:val="0"/>
          <w:color w:val="auto"/>
          <w:sz w:val="28"/>
          <w:szCs w:val="28"/>
          <w:highlight w:val="none"/>
        </w:rPr>
      </w:pPr>
      <w:r>
        <w:rPr>
          <w:rFonts w:hint="eastAsia" w:ascii="黑体" w:hAnsi="华文中宋"/>
          <w:b w:val="0"/>
          <w:bCs w:val="0"/>
          <w:color w:val="auto"/>
          <w:sz w:val="28"/>
          <w:szCs w:val="28"/>
          <w:highlight w:val="none"/>
        </w:rPr>
        <w:t>第三节 政府采购合同专用条款</w:t>
      </w:r>
      <w:bookmarkEnd w:id="18"/>
    </w:p>
    <w:tbl>
      <w:tblPr>
        <w:tblStyle w:val="1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5A591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8E81941">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7F44183D">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第1.2（6）项</w:t>
            </w:r>
          </w:p>
        </w:tc>
        <w:tc>
          <w:tcPr>
            <w:tcW w:w="1742" w:type="dxa"/>
            <w:vAlign w:val="center"/>
          </w:tcPr>
          <w:p w14:paraId="64BFA36D">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联合体具体要求</w:t>
            </w:r>
          </w:p>
        </w:tc>
        <w:tc>
          <w:tcPr>
            <w:tcW w:w="5170" w:type="dxa"/>
            <w:vAlign w:val="center"/>
          </w:tcPr>
          <w:p w14:paraId="17C4AEC1">
            <w:pPr>
              <w:adjustRightInd w:val="0"/>
              <w:snapToGrid w:val="0"/>
              <w:spacing w:line="360" w:lineRule="auto"/>
              <w:jc w:val="left"/>
              <w:rPr>
                <w:rFonts w:ascii="宋体" w:hAnsi="宋体"/>
                <w:color w:val="auto"/>
                <w:szCs w:val="21"/>
                <w:highlight w:val="none"/>
              </w:rPr>
            </w:pPr>
          </w:p>
        </w:tc>
      </w:tr>
      <w:tr w14:paraId="597C2A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1195B85D">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477F10EA">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第1.2（7）项</w:t>
            </w:r>
          </w:p>
        </w:tc>
        <w:tc>
          <w:tcPr>
            <w:tcW w:w="1742" w:type="dxa"/>
            <w:vAlign w:val="center"/>
          </w:tcPr>
          <w:p w14:paraId="153EA3D6">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其他术语解释</w:t>
            </w:r>
          </w:p>
        </w:tc>
        <w:tc>
          <w:tcPr>
            <w:tcW w:w="5170" w:type="dxa"/>
            <w:vAlign w:val="center"/>
          </w:tcPr>
          <w:p w14:paraId="67C7F056">
            <w:pPr>
              <w:adjustRightInd w:val="0"/>
              <w:snapToGrid w:val="0"/>
              <w:spacing w:line="360" w:lineRule="auto"/>
              <w:jc w:val="left"/>
              <w:rPr>
                <w:rFonts w:ascii="宋体" w:hAnsi="宋体"/>
                <w:color w:val="auto"/>
                <w:szCs w:val="21"/>
                <w:highlight w:val="none"/>
              </w:rPr>
            </w:pPr>
          </w:p>
        </w:tc>
      </w:tr>
      <w:tr w14:paraId="09B8BC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A6C61E">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3DB17E05">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第4.4款</w:t>
            </w:r>
          </w:p>
        </w:tc>
        <w:tc>
          <w:tcPr>
            <w:tcW w:w="1742" w:type="dxa"/>
            <w:vAlign w:val="center"/>
          </w:tcPr>
          <w:p w14:paraId="2336D1E9">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履约验收中甲方提出异议或作出说明的期限</w:t>
            </w:r>
          </w:p>
        </w:tc>
        <w:tc>
          <w:tcPr>
            <w:tcW w:w="5170" w:type="dxa"/>
            <w:vAlign w:val="center"/>
          </w:tcPr>
          <w:p w14:paraId="22C49F9E">
            <w:pPr>
              <w:adjustRightInd w:val="0"/>
              <w:snapToGrid w:val="0"/>
              <w:spacing w:line="360" w:lineRule="auto"/>
              <w:jc w:val="left"/>
              <w:rPr>
                <w:rFonts w:ascii="宋体" w:hAnsi="宋体"/>
                <w:color w:val="auto"/>
                <w:szCs w:val="21"/>
                <w:highlight w:val="none"/>
              </w:rPr>
            </w:pPr>
          </w:p>
        </w:tc>
      </w:tr>
      <w:tr w14:paraId="546B9F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50654D4">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041B83FE">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第4.6款</w:t>
            </w:r>
          </w:p>
        </w:tc>
        <w:tc>
          <w:tcPr>
            <w:tcW w:w="1742" w:type="dxa"/>
            <w:vAlign w:val="center"/>
          </w:tcPr>
          <w:p w14:paraId="6EFA165C">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约定甲方承担的其他义务和责任</w:t>
            </w:r>
          </w:p>
        </w:tc>
        <w:tc>
          <w:tcPr>
            <w:tcW w:w="5170" w:type="dxa"/>
            <w:vAlign w:val="center"/>
          </w:tcPr>
          <w:p w14:paraId="2E449173">
            <w:pPr>
              <w:adjustRightInd w:val="0"/>
              <w:snapToGrid w:val="0"/>
              <w:spacing w:line="360" w:lineRule="auto"/>
              <w:jc w:val="left"/>
              <w:rPr>
                <w:rFonts w:ascii="宋体" w:hAnsi="宋体"/>
                <w:color w:val="auto"/>
                <w:szCs w:val="21"/>
                <w:highlight w:val="none"/>
              </w:rPr>
            </w:pPr>
          </w:p>
        </w:tc>
      </w:tr>
      <w:tr w14:paraId="320B98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7B7E8F2">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2B7E522C">
            <w:pPr>
              <w:snapToGrid w:val="0"/>
              <w:spacing w:line="360" w:lineRule="auto"/>
              <w:jc w:val="center"/>
              <w:rPr>
                <w:rFonts w:ascii="Calibri" w:hAnsi="Calibri"/>
                <w:color w:val="auto"/>
                <w:szCs w:val="20"/>
                <w:highlight w:val="none"/>
              </w:rPr>
            </w:pPr>
            <w:r>
              <w:rPr>
                <w:rFonts w:hint="eastAsia" w:ascii="宋体" w:hAnsi="宋体"/>
                <w:color w:val="auto"/>
                <w:szCs w:val="21"/>
                <w:highlight w:val="none"/>
              </w:rPr>
              <w:t>第5.4款</w:t>
            </w:r>
          </w:p>
        </w:tc>
        <w:tc>
          <w:tcPr>
            <w:tcW w:w="1742" w:type="dxa"/>
            <w:vAlign w:val="center"/>
          </w:tcPr>
          <w:p w14:paraId="60FB82F9">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约定乙方承担的其他义务和责任</w:t>
            </w:r>
          </w:p>
        </w:tc>
        <w:tc>
          <w:tcPr>
            <w:tcW w:w="5170" w:type="dxa"/>
            <w:vAlign w:val="center"/>
          </w:tcPr>
          <w:p w14:paraId="236B7D70">
            <w:pPr>
              <w:adjustRightInd w:val="0"/>
              <w:snapToGrid w:val="0"/>
              <w:spacing w:line="360" w:lineRule="auto"/>
              <w:jc w:val="left"/>
              <w:rPr>
                <w:rFonts w:ascii="宋体" w:hAnsi="宋体"/>
                <w:color w:val="auto"/>
                <w:szCs w:val="21"/>
                <w:highlight w:val="none"/>
              </w:rPr>
            </w:pPr>
          </w:p>
        </w:tc>
      </w:tr>
      <w:tr w14:paraId="656F0D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4C42678">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022D90AA">
            <w:pPr>
              <w:snapToGrid w:val="0"/>
              <w:spacing w:line="360" w:lineRule="auto"/>
              <w:jc w:val="center"/>
              <w:rPr>
                <w:rFonts w:ascii="宋体" w:hAnsi="宋体"/>
                <w:color w:val="auto"/>
                <w:szCs w:val="21"/>
                <w:highlight w:val="none"/>
              </w:rPr>
            </w:pPr>
            <w:r>
              <w:rPr>
                <w:rFonts w:hint="eastAsia" w:ascii="宋体" w:hAnsi="宋体"/>
                <w:color w:val="auto"/>
                <w:szCs w:val="21"/>
                <w:highlight w:val="none"/>
              </w:rPr>
              <w:t>第6.1款</w:t>
            </w:r>
          </w:p>
        </w:tc>
        <w:tc>
          <w:tcPr>
            <w:tcW w:w="1742" w:type="dxa"/>
            <w:vAlign w:val="center"/>
          </w:tcPr>
          <w:p w14:paraId="6B6CA524">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履行合同义务的顺序</w:t>
            </w:r>
          </w:p>
        </w:tc>
        <w:tc>
          <w:tcPr>
            <w:tcW w:w="5170" w:type="dxa"/>
            <w:vAlign w:val="center"/>
          </w:tcPr>
          <w:p w14:paraId="3D55FA1C">
            <w:pPr>
              <w:adjustRightInd w:val="0"/>
              <w:snapToGrid w:val="0"/>
              <w:spacing w:line="360" w:lineRule="auto"/>
              <w:jc w:val="left"/>
              <w:rPr>
                <w:rFonts w:ascii="宋体" w:hAnsi="宋体"/>
                <w:color w:val="auto"/>
                <w:szCs w:val="21"/>
                <w:highlight w:val="none"/>
              </w:rPr>
            </w:pPr>
          </w:p>
        </w:tc>
      </w:tr>
      <w:tr w14:paraId="6013AE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69BCC948">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5738C1B5">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第7.1款</w:t>
            </w:r>
          </w:p>
        </w:tc>
        <w:tc>
          <w:tcPr>
            <w:tcW w:w="1742" w:type="dxa"/>
            <w:vAlign w:val="center"/>
          </w:tcPr>
          <w:p w14:paraId="3092FD4B">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包装特殊要求</w:t>
            </w:r>
          </w:p>
        </w:tc>
        <w:tc>
          <w:tcPr>
            <w:tcW w:w="5170" w:type="dxa"/>
            <w:vAlign w:val="center"/>
          </w:tcPr>
          <w:p w14:paraId="4B11104D">
            <w:pPr>
              <w:spacing w:line="360" w:lineRule="auto"/>
              <w:rPr>
                <w:rFonts w:ascii="Calibri" w:hAnsi="Calibri"/>
                <w:color w:val="auto"/>
                <w:szCs w:val="20"/>
                <w:highlight w:val="none"/>
              </w:rPr>
            </w:pPr>
          </w:p>
        </w:tc>
      </w:tr>
      <w:tr w14:paraId="31456C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7CA41A66">
            <w:pPr>
              <w:adjustRightInd w:val="0"/>
              <w:snapToGrid w:val="0"/>
              <w:spacing w:line="360" w:lineRule="auto"/>
              <w:jc w:val="center"/>
              <w:rPr>
                <w:rFonts w:ascii="宋体" w:hAnsi="宋体"/>
                <w:color w:val="auto"/>
                <w:szCs w:val="21"/>
                <w:highlight w:val="none"/>
              </w:rPr>
            </w:pPr>
          </w:p>
        </w:tc>
        <w:tc>
          <w:tcPr>
            <w:tcW w:w="1742" w:type="dxa"/>
            <w:vAlign w:val="center"/>
          </w:tcPr>
          <w:p w14:paraId="5B5B04D6">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指定现场</w:t>
            </w:r>
          </w:p>
        </w:tc>
        <w:tc>
          <w:tcPr>
            <w:tcW w:w="5170" w:type="dxa"/>
            <w:vAlign w:val="center"/>
          </w:tcPr>
          <w:p w14:paraId="34FCB97B">
            <w:pPr>
              <w:spacing w:line="360" w:lineRule="auto"/>
              <w:rPr>
                <w:rFonts w:ascii="Calibri" w:hAnsi="Calibri"/>
                <w:color w:val="auto"/>
                <w:szCs w:val="20"/>
                <w:highlight w:val="none"/>
              </w:rPr>
            </w:pPr>
          </w:p>
        </w:tc>
      </w:tr>
      <w:tr w14:paraId="15C3A1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7A42AD8F">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2351B20F">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第7.2款</w:t>
            </w:r>
          </w:p>
        </w:tc>
        <w:tc>
          <w:tcPr>
            <w:tcW w:w="1742" w:type="dxa"/>
            <w:vAlign w:val="center"/>
          </w:tcPr>
          <w:p w14:paraId="071C2522">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运输特殊要求</w:t>
            </w:r>
          </w:p>
        </w:tc>
        <w:tc>
          <w:tcPr>
            <w:tcW w:w="5170" w:type="dxa"/>
            <w:vAlign w:val="center"/>
          </w:tcPr>
          <w:p w14:paraId="165737D0">
            <w:pPr>
              <w:spacing w:line="360" w:lineRule="auto"/>
              <w:rPr>
                <w:rFonts w:ascii="Calibri" w:hAnsi="Calibri"/>
                <w:color w:val="auto"/>
                <w:szCs w:val="20"/>
                <w:highlight w:val="none"/>
              </w:rPr>
            </w:pPr>
          </w:p>
        </w:tc>
      </w:tr>
      <w:tr w14:paraId="06288EE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9DB86A5">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732BD548">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第7.3款</w:t>
            </w:r>
          </w:p>
        </w:tc>
        <w:tc>
          <w:tcPr>
            <w:tcW w:w="1742" w:type="dxa"/>
            <w:vAlign w:val="center"/>
          </w:tcPr>
          <w:p w14:paraId="1C648D9D">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保险要求</w:t>
            </w:r>
          </w:p>
        </w:tc>
        <w:tc>
          <w:tcPr>
            <w:tcW w:w="5170" w:type="dxa"/>
            <w:vAlign w:val="center"/>
          </w:tcPr>
          <w:p w14:paraId="25EB476D">
            <w:pPr>
              <w:spacing w:line="360" w:lineRule="auto"/>
              <w:rPr>
                <w:rFonts w:ascii="Calibri" w:hAnsi="Calibri"/>
                <w:color w:val="auto"/>
                <w:szCs w:val="20"/>
                <w:highlight w:val="none"/>
              </w:rPr>
            </w:pPr>
          </w:p>
        </w:tc>
      </w:tr>
      <w:tr w14:paraId="434B8F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4D53858">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11C86324">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第8.2（1）项</w:t>
            </w:r>
          </w:p>
        </w:tc>
        <w:tc>
          <w:tcPr>
            <w:tcW w:w="1742" w:type="dxa"/>
            <w:vAlign w:val="center"/>
          </w:tcPr>
          <w:p w14:paraId="047FE4F5">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质量保证期</w:t>
            </w:r>
          </w:p>
        </w:tc>
        <w:tc>
          <w:tcPr>
            <w:tcW w:w="5170" w:type="dxa"/>
            <w:vAlign w:val="center"/>
          </w:tcPr>
          <w:p w14:paraId="2A99CF84">
            <w:pPr>
              <w:autoSpaceDE w:val="0"/>
              <w:autoSpaceDN w:val="0"/>
              <w:adjustRightInd w:val="0"/>
              <w:snapToGrid w:val="0"/>
              <w:spacing w:line="360" w:lineRule="auto"/>
              <w:ind w:firstLine="420" w:firstLineChars="200"/>
              <w:jc w:val="left"/>
              <w:rPr>
                <w:rFonts w:ascii="宋体" w:hAnsi="宋体"/>
                <w:color w:val="auto"/>
                <w:szCs w:val="21"/>
                <w:highlight w:val="none"/>
              </w:rPr>
            </w:pPr>
          </w:p>
        </w:tc>
      </w:tr>
      <w:tr w14:paraId="1D50F0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7485B5">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143A76EB">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第8.2（3）项</w:t>
            </w:r>
          </w:p>
        </w:tc>
        <w:tc>
          <w:tcPr>
            <w:tcW w:w="1742" w:type="dxa"/>
            <w:vAlign w:val="center"/>
          </w:tcPr>
          <w:p w14:paraId="07346CC1">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货物质量缺陷</w:t>
            </w:r>
          </w:p>
          <w:p w14:paraId="796E5C4D">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响应时间</w:t>
            </w:r>
          </w:p>
        </w:tc>
        <w:tc>
          <w:tcPr>
            <w:tcW w:w="5170" w:type="dxa"/>
            <w:vAlign w:val="center"/>
          </w:tcPr>
          <w:p w14:paraId="0ACBE777">
            <w:pPr>
              <w:adjustRightInd w:val="0"/>
              <w:snapToGrid w:val="0"/>
              <w:spacing w:line="360" w:lineRule="auto"/>
              <w:jc w:val="left"/>
              <w:rPr>
                <w:rFonts w:ascii="宋体" w:hAnsi="宋体"/>
                <w:color w:val="auto"/>
                <w:szCs w:val="21"/>
                <w:highlight w:val="none"/>
              </w:rPr>
            </w:pPr>
          </w:p>
        </w:tc>
      </w:tr>
      <w:tr w14:paraId="08C4A5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D65DD75">
            <w:pPr>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第二节</w:t>
            </w:r>
          </w:p>
          <w:p w14:paraId="1377E4E6">
            <w:pPr>
              <w:pStyle w:val="20"/>
              <w:spacing w:line="360" w:lineRule="auto"/>
              <w:ind w:firstLine="0" w:firstLineChars="0"/>
              <w:jc w:val="center"/>
              <w:rPr>
                <w:color w:val="auto"/>
                <w:highlight w:val="none"/>
              </w:rPr>
            </w:pPr>
            <w:r>
              <w:rPr>
                <w:rFonts w:hint="eastAsia" w:ascii="宋体" w:hAnsi="宋体" w:eastAsia="宋体" w:cs="宋体"/>
                <w:color w:val="auto"/>
                <w:highlight w:val="none"/>
              </w:rPr>
              <w:t>第11.1款</w:t>
            </w:r>
          </w:p>
        </w:tc>
        <w:tc>
          <w:tcPr>
            <w:tcW w:w="1742" w:type="dxa"/>
            <w:vAlign w:val="center"/>
          </w:tcPr>
          <w:p w14:paraId="1406171A">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其他应当保密的信息</w:t>
            </w:r>
          </w:p>
        </w:tc>
        <w:tc>
          <w:tcPr>
            <w:tcW w:w="5170" w:type="dxa"/>
            <w:vAlign w:val="center"/>
          </w:tcPr>
          <w:p w14:paraId="57FA5F57">
            <w:pPr>
              <w:adjustRightInd w:val="0"/>
              <w:snapToGrid w:val="0"/>
              <w:spacing w:line="360" w:lineRule="auto"/>
              <w:jc w:val="left"/>
              <w:rPr>
                <w:rFonts w:ascii="宋体" w:hAnsi="宋体"/>
                <w:color w:val="auto"/>
                <w:szCs w:val="21"/>
                <w:highlight w:val="none"/>
              </w:rPr>
            </w:pPr>
          </w:p>
        </w:tc>
      </w:tr>
      <w:tr w14:paraId="35BB8F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657B414">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3AAAB9C0">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第12.2款</w:t>
            </w:r>
          </w:p>
        </w:tc>
        <w:tc>
          <w:tcPr>
            <w:tcW w:w="1742" w:type="dxa"/>
            <w:vAlign w:val="center"/>
          </w:tcPr>
          <w:p w14:paraId="2A4E013C">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合同价款支付时间</w:t>
            </w:r>
          </w:p>
        </w:tc>
        <w:tc>
          <w:tcPr>
            <w:tcW w:w="5170" w:type="dxa"/>
            <w:vAlign w:val="center"/>
          </w:tcPr>
          <w:p w14:paraId="4E3BDF4F">
            <w:pPr>
              <w:adjustRightInd w:val="0"/>
              <w:snapToGrid w:val="0"/>
              <w:spacing w:line="360" w:lineRule="auto"/>
              <w:jc w:val="left"/>
              <w:rPr>
                <w:rFonts w:ascii="宋体" w:hAnsi="宋体"/>
                <w:color w:val="auto"/>
                <w:szCs w:val="21"/>
                <w:highlight w:val="none"/>
              </w:rPr>
            </w:pPr>
          </w:p>
        </w:tc>
      </w:tr>
      <w:tr w14:paraId="51F740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3493BDB">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3027AAB5">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第13.2款</w:t>
            </w:r>
          </w:p>
        </w:tc>
        <w:tc>
          <w:tcPr>
            <w:tcW w:w="1742" w:type="dxa"/>
            <w:vAlign w:val="center"/>
          </w:tcPr>
          <w:p w14:paraId="39D0CA7F">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履约保证金不予退还的情形</w:t>
            </w:r>
          </w:p>
        </w:tc>
        <w:tc>
          <w:tcPr>
            <w:tcW w:w="5170" w:type="dxa"/>
            <w:vAlign w:val="center"/>
          </w:tcPr>
          <w:p w14:paraId="052B4316">
            <w:pPr>
              <w:adjustRightInd w:val="0"/>
              <w:snapToGrid w:val="0"/>
              <w:spacing w:line="360" w:lineRule="auto"/>
              <w:jc w:val="left"/>
              <w:rPr>
                <w:rFonts w:ascii="宋体" w:hAnsi="宋体"/>
                <w:color w:val="auto"/>
                <w:szCs w:val="21"/>
                <w:highlight w:val="none"/>
              </w:rPr>
            </w:pPr>
          </w:p>
        </w:tc>
      </w:tr>
      <w:tr w14:paraId="45B818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E198038">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5276578C">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第13.3款</w:t>
            </w:r>
          </w:p>
        </w:tc>
        <w:tc>
          <w:tcPr>
            <w:tcW w:w="1742" w:type="dxa"/>
            <w:vAlign w:val="center"/>
          </w:tcPr>
          <w:p w14:paraId="113B4CEC">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履约保证金退还时间及逾期退还的违约金</w:t>
            </w:r>
          </w:p>
        </w:tc>
        <w:tc>
          <w:tcPr>
            <w:tcW w:w="5170" w:type="dxa"/>
            <w:vAlign w:val="center"/>
          </w:tcPr>
          <w:p w14:paraId="4C53CAE9">
            <w:pPr>
              <w:adjustRightInd w:val="0"/>
              <w:snapToGrid w:val="0"/>
              <w:spacing w:line="360" w:lineRule="auto"/>
              <w:jc w:val="left"/>
              <w:rPr>
                <w:rFonts w:ascii="宋体" w:hAnsi="宋体"/>
                <w:color w:val="auto"/>
                <w:szCs w:val="21"/>
                <w:highlight w:val="none"/>
              </w:rPr>
            </w:pPr>
          </w:p>
        </w:tc>
      </w:tr>
      <w:tr w14:paraId="7BEA97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64137117">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5100CB71">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第14.1（3）项</w:t>
            </w:r>
          </w:p>
        </w:tc>
        <w:tc>
          <w:tcPr>
            <w:tcW w:w="1742" w:type="dxa"/>
            <w:vAlign w:val="center"/>
          </w:tcPr>
          <w:p w14:paraId="241C0E44">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运行监督、维修期限</w:t>
            </w:r>
          </w:p>
        </w:tc>
        <w:tc>
          <w:tcPr>
            <w:tcW w:w="5170" w:type="dxa"/>
            <w:vAlign w:val="center"/>
          </w:tcPr>
          <w:p w14:paraId="2FFE629C">
            <w:pPr>
              <w:adjustRightInd w:val="0"/>
              <w:snapToGrid w:val="0"/>
              <w:spacing w:line="360" w:lineRule="auto"/>
              <w:jc w:val="left"/>
              <w:rPr>
                <w:rFonts w:ascii="宋体" w:hAnsi="宋体"/>
                <w:color w:val="auto"/>
                <w:szCs w:val="21"/>
                <w:highlight w:val="none"/>
              </w:rPr>
            </w:pPr>
          </w:p>
        </w:tc>
      </w:tr>
      <w:tr w14:paraId="4F42E7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2026BCA">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785718FC">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第14.1（5）项</w:t>
            </w:r>
          </w:p>
        </w:tc>
        <w:tc>
          <w:tcPr>
            <w:tcW w:w="1742" w:type="dxa"/>
            <w:vAlign w:val="center"/>
          </w:tcPr>
          <w:p w14:paraId="449A1332">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货物回收的约定</w:t>
            </w:r>
          </w:p>
        </w:tc>
        <w:tc>
          <w:tcPr>
            <w:tcW w:w="5170" w:type="dxa"/>
            <w:vAlign w:val="center"/>
          </w:tcPr>
          <w:p w14:paraId="0863A839">
            <w:pPr>
              <w:adjustRightInd w:val="0"/>
              <w:snapToGrid w:val="0"/>
              <w:spacing w:line="360" w:lineRule="auto"/>
              <w:jc w:val="left"/>
              <w:rPr>
                <w:rFonts w:ascii="宋体" w:hAnsi="宋体"/>
                <w:color w:val="auto"/>
                <w:szCs w:val="21"/>
                <w:highlight w:val="none"/>
              </w:rPr>
            </w:pPr>
          </w:p>
        </w:tc>
      </w:tr>
      <w:tr w14:paraId="411960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9815EC9">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782F3838">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第14.1（6）项</w:t>
            </w:r>
          </w:p>
        </w:tc>
        <w:tc>
          <w:tcPr>
            <w:tcW w:w="1742" w:type="dxa"/>
            <w:vAlign w:val="center"/>
          </w:tcPr>
          <w:p w14:paraId="0F7E858D">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乙方提供的其他服务</w:t>
            </w:r>
          </w:p>
        </w:tc>
        <w:tc>
          <w:tcPr>
            <w:tcW w:w="5170" w:type="dxa"/>
            <w:vAlign w:val="center"/>
          </w:tcPr>
          <w:p w14:paraId="705919CC">
            <w:pPr>
              <w:adjustRightInd w:val="0"/>
              <w:snapToGrid w:val="0"/>
              <w:spacing w:line="360" w:lineRule="auto"/>
              <w:jc w:val="left"/>
              <w:rPr>
                <w:rFonts w:ascii="宋体" w:hAnsi="宋体"/>
                <w:color w:val="auto"/>
                <w:szCs w:val="21"/>
                <w:highlight w:val="none"/>
              </w:rPr>
            </w:pPr>
          </w:p>
        </w:tc>
      </w:tr>
      <w:tr w14:paraId="18319C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2D20B64">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1795BF29">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第15.1款</w:t>
            </w:r>
          </w:p>
        </w:tc>
        <w:tc>
          <w:tcPr>
            <w:tcW w:w="1742" w:type="dxa"/>
            <w:vAlign w:val="center"/>
          </w:tcPr>
          <w:p w14:paraId="21C1A2BA">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修理、重作、更换相关具体规定</w:t>
            </w:r>
          </w:p>
        </w:tc>
        <w:tc>
          <w:tcPr>
            <w:tcW w:w="5170" w:type="dxa"/>
            <w:vAlign w:val="center"/>
          </w:tcPr>
          <w:p w14:paraId="25FB224B">
            <w:pPr>
              <w:adjustRightInd w:val="0"/>
              <w:snapToGrid w:val="0"/>
              <w:spacing w:line="360" w:lineRule="auto"/>
              <w:jc w:val="left"/>
              <w:rPr>
                <w:rFonts w:ascii="宋体" w:hAnsi="宋体"/>
                <w:color w:val="auto"/>
                <w:szCs w:val="21"/>
                <w:highlight w:val="none"/>
              </w:rPr>
            </w:pPr>
          </w:p>
        </w:tc>
      </w:tr>
      <w:tr w14:paraId="48B09A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7448102">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42A100B7">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第15.2（2）项</w:t>
            </w:r>
          </w:p>
        </w:tc>
        <w:tc>
          <w:tcPr>
            <w:tcW w:w="1742" w:type="dxa"/>
            <w:vAlign w:val="center"/>
          </w:tcPr>
          <w:p w14:paraId="6D2C0A1B">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迟延交货赔偿费</w:t>
            </w:r>
          </w:p>
        </w:tc>
        <w:tc>
          <w:tcPr>
            <w:tcW w:w="5170" w:type="dxa"/>
            <w:vAlign w:val="center"/>
          </w:tcPr>
          <w:p w14:paraId="70ABD9C0">
            <w:pPr>
              <w:adjustRightInd w:val="0"/>
              <w:snapToGrid w:val="0"/>
              <w:spacing w:line="360" w:lineRule="auto"/>
              <w:jc w:val="left"/>
              <w:rPr>
                <w:rFonts w:ascii="宋体" w:hAnsi="宋体"/>
                <w:color w:val="auto"/>
                <w:szCs w:val="21"/>
                <w:highlight w:val="none"/>
                <w:u w:val="single"/>
              </w:rPr>
            </w:pPr>
          </w:p>
        </w:tc>
      </w:tr>
      <w:tr w14:paraId="142F5F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1CA7951">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5A1C5E0E">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第15.3款</w:t>
            </w:r>
          </w:p>
        </w:tc>
        <w:tc>
          <w:tcPr>
            <w:tcW w:w="1742" w:type="dxa"/>
            <w:vAlign w:val="center"/>
          </w:tcPr>
          <w:p w14:paraId="057F56BF">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逾期付款利息</w:t>
            </w:r>
          </w:p>
        </w:tc>
        <w:tc>
          <w:tcPr>
            <w:tcW w:w="5170" w:type="dxa"/>
            <w:vAlign w:val="center"/>
          </w:tcPr>
          <w:p w14:paraId="78D2D04E">
            <w:pPr>
              <w:adjustRightInd w:val="0"/>
              <w:snapToGrid w:val="0"/>
              <w:spacing w:line="360" w:lineRule="auto"/>
              <w:jc w:val="left"/>
              <w:rPr>
                <w:rFonts w:ascii="宋体" w:hAnsi="宋体"/>
                <w:color w:val="auto"/>
                <w:szCs w:val="21"/>
                <w:highlight w:val="none"/>
                <w:u w:val="single"/>
              </w:rPr>
            </w:pPr>
          </w:p>
        </w:tc>
      </w:tr>
      <w:tr w14:paraId="056782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7003A363">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6829CB84">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第15.4款</w:t>
            </w:r>
          </w:p>
        </w:tc>
        <w:tc>
          <w:tcPr>
            <w:tcW w:w="1742" w:type="dxa"/>
            <w:tcBorders>
              <w:left w:val="single" w:color="auto" w:sz="2" w:space="0"/>
              <w:bottom w:val="single" w:color="auto" w:sz="2" w:space="0"/>
              <w:right w:val="single" w:color="auto" w:sz="2" w:space="0"/>
            </w:tcBorders>
            <w:vAlign w:val="center"/>
          </w:tcPr>
          <w:p w14:paraId="1493BE80">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其他违约责任</w:t>
            </w:r>
          </w:p>
        </w:tc>
        <w:tc>
          <w:tcPr>
            <w:tcW w:w="5170" w:type="dxa"/>
            <w:tcBorders>
              <w:left w:val="single" w:color="auto" w:sz="2" w:space="0"/>
              <w:bottom w:val="single" w:color="auto" w:sz="2" w:space="0"/>
            </w:tcBorders>
            <w:vAlign w:val="center"/>
          </w:tcPr>
          <w:p w14:paraId="00274EF5">
            <w:pPr>
              <w:adjustRightInd w:val="0"/>
              <w:snapToGrid w:val="0"/>
              <w:spacing w:line="360" w:lineRule="auto"/>
              <w:jc w:val="left"/>
              <w:rPr>
                <w:rFonts w:ascii="宋体" w:hAnsi="宋体"/>
                <w:color w:val="auto"/>
                <w:szCs w:val="21"/>
                <w:highlight w:val="none"/>
                <w:u w:val="single"/>
              </w:rPr>
            </w:pPr>
          </w:p>
        </w:tc>
      </w:tr>
      <w:tr w14:paraId="47E69E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6007A32">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725F1BB2">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第19.2款</w:t>
            </w:r>
          </w:p>
        </w:tc>
        <w:tc>
          <w:tcPr>
            <w:tcW w:w="1742" w:type="dxa"/>
            <w:tcBorders>
              <w:top w:val="single" w:color="auto" w:sz="2" w:space="0"/>
              <w:left w:val="single" w:color="auto" w:sz="2" w:space="0"/>
              <w:right w:val="single" w:color="auto" w:sz="2" w:space="0"/>
            </w:tcBorders>
            <w:vAlign w:val="center"/>
          </w:tcPr>
          <w:p w14:paraId="45C1B6AB">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解决争议的方法</w:t>
            </w:r>
          </w:p>
        </w:tc>
        <w:tc>
          <w:tcPr>
            <w:tcW w:w="5170" w:type="dxa"/>
            <w:tcBorders>
              <w:top w:val="single" w:color="auto" w:sz="2" w:space="0"/>
              <w:left w:val="single" w:color="auto" w:sz="2" w:space="0"/>
            </w:tcBorders>
            <w:vAlign w:val="center"/>
          </w:tcPr>
          <w:p w14:paraId="755D3D10">
            <w:pPr>
              <w:autoSpaceDE w:val="0"/>
              <w:autoSpaceDN w:val="0"/>
              <w:adjustRightInd w:val="0"/>
              <w:snapToGrid w:val="0"/>
              <w:spacing w:line="360" w:lineRule="auto"/>
              <w:jc w:val="left"/>
              <w:rPr>
                <w:rFonts w:ascii="宋体" w:hAnsi="宋体" w:cs="宋体"/>
                <w:iCs/>
                <w:color w:val="auto"/>
                <w:szCs w:val="21"/>
                <w:highlight w:val="none"/>
              </w:rPr>
            </w:pPr>
            <w:r>
              <w:rPr>
                <w:rFonts w:hint="eastAsia" w:ascii="宋体" w:hAnsi="宋体" w:cs="宋体"/>
                <w:iCs/>
                <w:color w:val="auto"/>
                <w:szCs w:val="21"/>
                <w:highlight w:val="none"/>
              </w:rPr>
              <w:t>因本合同及合同有关事项发生的争议，按下列第种方式解决：</w:t>
            </w:r>
          </w:p>
          <w:p w14:paraId="4EBBCD7C">
            <w:pPr>
              <w:autoSpaceDE w:val="0"/>
              <w:autoSpaceDN w:val="0"/>
              <w:adjustRightInd w:val="0"/>
              <w:snapToGrid w:val="0"/>
              <w:spacing w:line="360" w:lineRule="auto"/>
              <w:jc w:val="left"/>
              <w:rPr>
                <w:rFonts w:ascii="宋体" w:hAnsi="宋体" w:cs="宋体"/>
                <w:iCs/>
                <w:color w:val="auto"/>
                <w:szCs w:val="21"/>
                <w:highlight w:val="none"/>
              </w:rPr>
            </w:pPr>
            <w:r>
              <w:rPr>
                <w:rFonts w:hint="eastAsia" w:ascii="宋体" w:hAnsi="宋体" w:cs="宋体"/>
                <w:iCs/>
                <w:color w:val="auto"/>
                <w:szCs w:val="21"/>
                <w:highlight w:val="none"/>
              </w:rPr>
              <w:t>（1）向仲裁委员会申请仲裁，仲裁地点为；</w:t>
            </w:r>
          </w:p>
          <w:p w14:paraId="603A3B65">
            <w:pPr>
              <w:adjustRightInd w:val="0"/>
              <w:snapToGrid w:val="0"/>
              <w:spacing w:line="360" w:lineRule="auto"/>
              <w:jc w:val="left"/>
              <w:rPr>
                <w:rFonts w:ascii="宋体" w:hAnsi="宋体"/>
                <w:color w:val="auto"/>
                <w:szCs w:val="21"/>
                <w:highlight w:val="none"/>
                <w:u w:val="single"/>
              </w:rPr>
            </w:pPr>
            <w:r>
              <w:rPr>
                <w:rFonts w:hint="eastAsia" w:ascii="宋体" w:hAnsi="宋体" w:cs="宋体"/>
                <w:iCs/>
                <w:color w:val="auto"/>
                <w:szCs w:val="21"/>
                <w:highlight w:val="none"/>
              </w:rPr>
              <w:t>（2）向人民法院起诉。</w:t>
            </w:r>
          </w:p>
        </w:tc>
      </w:tr>
      <w:tr w14:paraId="50A893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4680809C">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第二节</w:t>
            </w:r>
          </w:p>
          <w:p w14:paraId="15BF8248">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第23.1款</w:t>
            </w:r>
          </w:p>
        </w:tc>
        <w:tc>
          <w:tcPr>
            <w:tcW w:w="1742" w:type="dxa"/>
            <w:vAlign w:val="center"/>
          </w:tcPr>
          <w:p w14:paraId="6837702D">
            <w:pPr>
              <w:adjustRightInd w:val="0"/>
              <w:snapToGrid w:val="0"/>
              <w:spacing w:line="360" w:lineRule="auto"/>
              <w:jc w:val="left"/>
              <w:rPr>
                <w:rFonts w:ascii="宋体" w:hAnsi="宋体"/>
                <w:color w:val="auto"/>
                <w:szCs w:val="21"/>
                <w:highlight w:val="none"/>
              </w:rPr>
            </w:pPr>
            <w:r>
              <w:rPr>
                <w:rFonts w:hint="eastAsia" w:ascii="宋体" w:hAnsi="宋体"/>
                <w:bCs/>
                <w:color w:val="auto"/>
                <w:szCs w:val="21"/>
                <w:highlight w:val="none"/>
              </w:rPr>
              <w:t>其他专用条款</w:t>
            </w:r>
          </w:p>
        </w:tc>
        <w:tc>
          <w:tcPr>
            <w:tcW w:w="5170" w:type="dxa"/>
            <w:vAlign w:val="center"/>
          </w:tcPr>
          <w:p w14:paraId="6742339E">
            <w:pPr>
              <w:adjustRightInd w:val="0"/>
              <w:snapToGrid w:val="0"/>
              <w:spacing w:line="360" w:lineRule="auto"/>
              <w:jc w:val="left"/>
              <w:rPr>
                <w:rFonts w:ascii="宋体" w:hAnsi="宋体"/>
                <w:color w:val="auto"/>
                <w:szCs w:val="21"/>
                <w:highlight w:val="none"/>
              </w:rPr>
            </w:pPr>
          </w:p>
        </w:tc>
      </w:tr>
    </w:tbl>
    <w:p w14:paraId="73FFC5BF">
      <w:pPr>
        <w:numPr>
          <w:ilvl w:val="255"/>
          <w:numId w:val="0"/>
        </w:numPr>
        <w:spacing w:line="360" w:lineRule="auto"/>
        <w:rPr>
          <w:rFonts w:ascii="宋体" w:hAnsi="宋体" w:cs="宋体"/>
          <w:b/>
          <w:color w:val="auto"/>
          <w:sz w:val="32"/>
          <w:szCs w:val="32"/>
          <w:highlight w:val="none"/>
        </w:rPr>
      </w:pPr>
    </w:p>
    <w:p w14:paraId="5CFAEB52">
      <w:pPr>
        <w:numPr>
          <w:ilvl w:val="255"/>
          <w:numId w:val="0"/>
        </w:numPr>
        <w:spacing w:line="360" w:lineRule="auto"/>
        <w:rPr>
          <w:rFonts w:ascii="宋体" w:hAnsi="宋体" w:cs="宋体"/>
          <w:b/>
          <w:color w:val="auto"/>
          <w:sz w:val="32"/>
          <w:szCs w:val="32"/>
          <w:highlight w:val="none"/>
        </w:rPr>
      </w:pPr>
    </w:p>
    <w:p w14:paraId="34A189EE">
      <w:pPr>
        <w:numPr>
          <w:ilvl w:val="255"/>
          <w:numId w:val="0"/>
        </w:numPr>
        <w:spacing w:line="360" w:lineRule="auto"/>
        <w:rPr>
          <w:rFonts w:ascii="宋体" w:hAnsi="宋体" w:cs="宋体"/>
          <w:b/>
          <w:color w:val="auto"/>
          <w:sz w:val="32"/>
          <w:szCs w:val="32"/>
          <w:highlight w:val="none"/>
        </w:rPr>
      </w:pPr>
    </w:p>
    <w:p w14:paraId="21FA1C46">
      <w:pPr>
        <w:numPr>
          <w:ilvl w:val="255"/>
          <w:numId w:val="0"/>
        </w:numPr>
        <w:spacing w:line="360" w:lineRule="auto"/>
        <w:rPr>
          <w:rFonts w:ascii="宋体" w:hAnsi="宋体" w:cs="宋体"/>
          <w:b/>
          <w:color w:val="auto"/>
          <w:sz w:val="32"/>
          <w:szCs w:val="32"/>
          <w:highlight w:val="none"/>
        </w:rPr>
      </w:pPr>
    </w:p>
    <w:p w14:paraId="1AFCF808">
      <w:pPr>
        <w:numPr>
          <w:ilvl w:val="255"/>
          <w:numId w:val="0"/>
        </w:numPr>
        <w:spacing w:line="360" w:lineRule="auto"/>
        <w:rPr>
          <w:rFonts w:ascii="宋体" w:hAnsi="宋体" w:cs="宋体"/>
          <w:b/>
          <w:color w:val="auto"/>
          <w:sz w:val="32"/>
          <w:szCs w:val="32"/>
          <w:highlight w:val="none"/>
        </w:rPr>
      </w:pPr>
    </w:p>
    <w:p w14:paraId="1A6BF574">
      <w:pPr>
        <w:numPr>
          <w:ilvl w:val="255"/>
          <w:numId w:val="0"/>
        </w:numPr>
        <w:spacing w:line="360" w:lineRule="auto"/>
        <w:rPr>
          <w:rFonts w:ascii="宋体" w:hAnsi="宋体" w:cs="宋体"/>
          <w:b/>
          <w:color w:val="auto"/>
          <w:sz w:val="32"/>
          <w:szCs w:val="32"/>
          <w:highlight w:val="none"/>
        </w:rPr>
      </w:pPr>
    </w:p>
    <w:p w14:paraId="2A22382B">
      <w:pPr>
        <w:numPr>
          <w:ilvl w:val="255"/>
          <w:numId w:val="0"/>
        </w:numPr>
        <w:spacing w:line="360" w:lineRule="auto"/>
        <w:rPr>
          <w:rFonts w:ascii="宋体" w:hAnsi="宋体" w:cs="宋体"/>
          <w:b/>
          <w:color w:val="auto"/>
          <w:sz w:val="24"/>
          <w:szCs w:val="24"/>
          <w:highlight w:val="none"/>
        </w:rPr>
      </w:pPr>
    </w:p>
    <w:p w14:paraId="776C2567">
      <w:pPr>
        <w:adjustRightInd w:val="0"/>
        <w:snapToGrid w:val="0"/>
        <w:rPr>
          <w:rFonts w:hint="eastAsia" w:ascii="宋体" w:hAnsi="宋体" w:eastAsia="宋体"/>
          <w:b/>
          <w:bCs/>
          <w:color w:val="auto"/>
          <w:sz w:val="24"/>
          <w:szCs w:val="24"/>
          <w:highlight w:val="none"/>
        </w:rPr>
      </w:pPr>
      <w:r>
        <w:rPr>
          <w:rFonts w:hint="eastAsia" w:ascii="宋体" w:hAnsi="宋体" w:eastAsia="宋体"/>
          <w:b/>
          <w:bCs/>
          <w:color w:val="auto"/>
          <w:sz w:val="24"/>
          <w:szCs w:val="24"/>
          <w:highlight w:val="none"/>
        </w:rPr>
        <w:t>附件：服务考核细则</w:t>
      </w:r>
    </w:p>
    <w:p w14:paraId="1CED843C">
      <w:pPr>
        <w:adjustRightInd w:val="0"/>
        <w:snapToGrid w:val="0"/>
        <w:rPr>
          <w:rFonts w:hint="eastAsia" w:ascii="宋体" w:hAnsi="宋体" w:eastAsia="宋体"/>
          <w:color w:val="auto"/>
          <w:sz w:val="24"/>
          <w:szCs w:val="24"/>
          <w:highlight w:val="none"/>
        </w:rPr>
      </w:pPr>
    </w:p>
    <w:p w14:paraId="3F034F41">
      <w:pPr>
        <w:adjustRightInd w:val="0"/>
        <w:snapToGrid w:val="0"/>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买方将定期对最终用户进行回访，跟踪了解产品的使用情况及卖方的售后服务质量，依照以上的服务承诺，制定以下考核细则。</w:t>
      </w:r>
      <w:r>
        <w:rPr>
          <w:rFonts w:hint="eastAsia" w:ascii="宋体" w:hAnsi="宋体" w:eastAsia="宋体"/>
          <w:color w:val="auto"/>
          <w:sz w:val="24"/>
          <w:szCs w:val="24"/>
          <w:highlight w:val="none"/>
        </w:rPr>
        <w:br w:type="textWrapping"/>
      </w:r>
      <w:r>
        <w:rPr>
          <w:rFonts w:hint="eastAsia" w:ascii="宋体" w:hAnsi="宋体" w:eastAsia="宋体"/>
          <w:color w:val="auto"/>
          <w:sz w:val="24"/>
          <w:szCs w:val="24"/>
          <w:highlight w:val="none"/>
        </w:rPr>
        <w:t>1、合同期内每月考核一次；</w:t>
      </w:r>
      <w:r>
        <w:rPr>
          <w:rFonts w:hint="eastAsia" w:ascii="宋体" w:hAnsi="宋体" w:eastAsia="宋体"/>
          <w:color w:val="auto"/>
          <w:sz w:val="24"/>
          <w:szCs w:val="24"/>
          <w:highlight w:val="none"/>
        </w:rPr>
        <w:br w:type="textWrapping"/>
      </w:r>
      <w:r>
        <w:rPr>
          <w:rFonts w:hint="eastAsia" w:ascii="宋体" w:hAnsi="宋体" w:eastAsia="宋体"/>
          <w:color w:val="auto"/>
          <w:sz w:val="24"/>
          <w:szCs w:val="24"/>
          <w:highlight w:val="none"/>
        </w:rPr>
        <w:t>2、每月10日前，买方将上月考核结果及涉及扣费的数据发给卖方核对，卖方在不影响到客户体验的情况下可以对考核结果提出异议，并要求在每月15日前书面反馈，逾期视为对买方的考核结果无异议。</w:t>
      </w:r>
      <w:r>
        <w:rPr>
          <w:rFonts w:hint="eastAsia" w:ascii="宋体" w:hAnsi="宋体" w:eastAsia="宋体"/>
          <w:color w:val="auto"/>
          <w:sz w:val="24"/>
          <w:szCs w:val="24"/>
          <w:highlight w:val="none"/>
        </w:rPr>
        <w:br w:type="textWrapping"/>
      </w:r>
      <w:r>
        <w:rPr>
          <w:rFonts w:hint="eastAsia" w:ascii="宋体" w:hAnsi="宋体" w:eastAsia="宋体"/>
          <w:color w:val="auto"/>
          <w:sz w:val="24"/>
          <w:szCs w:val="24"/>
          <w:highlight w:val="none"/>
        </w:rPr>
        <w:t>3、买方有权从应付但未付给卖方的任一笔款项中，扣除考核结果中列明的违约金。</w:t>
      </w:r>
      <w:r>
        <w:rPr>
          <w:rFonts w:hint="eastAsia" w:ascii="宋体" w:hAnsi="宋体" w:eastAsia="宋体"/>
          <w:color w:val="auto"/>
          <w:sz w:val="24"/>
          <w:szCs w:val="24"/>
          <w:highlight w:val="none"/>
        </w:rPr>
        <w:br w:type="textWrapping"/>
      </w:r>
      <w:r>
        <w:rPr>
          <w:rFonts w:hint="eastAsia" w:ascii="宋体" w:hAnsi="宋体" w:eastAsia="宋体"/>
          <w:color w:val="auto"/>
          <w:sz w:val="24"/>
          <w:szCs w:val="24"/>
          <w:highlight w:val="none"/>
        </w:rPr>
        <w:t>4、具体违约金标准如下：</w:t>
      </w:r>
    </w:p>
    <w:p w14:paraId="3F3A0F9B">
      <w:pPr>
        <w:adjustRightInd w:val="0"/>
        <w:snapToGrid w:val="0"/>
        <w:rPr>
          <w:rFonts w:hint="eastAsia" w:ascii="宋体" w:hAnsi="宋体" w:eastAsia="宋体"/>
          <w:color w:val="auto"/>
          <w:sz w:val="24"/>
          <w:szCs w:val="24"/>
          <w:highlight w:val="none"/>
        </w:rPr>
      </w:pPr>
    </w:p>
    <w:tbl>
      <w:tblPr>
        <w:tblStyle w:val="13"/>
        <w:tblW w:w="10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
        <w:gridCol w:w="810"/>
        <w:gridCol w:w="1223"/>
        <w:gridCol w:w="1038"/>
        <w:gridCol w:w="3257"/>
        <w:gridCol w:w="1787"/>
        <w:gridCol w:w="2139"/>
      </w:tblGrid>
      <w:tr w14:paraId="0F384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85" w:type="dxa"/>
            <w:noWrap/>
          </w:tcPr>
          <w:p w14:paraId="7B5D4F20">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序号</w:t>
            </w:r>
          </w:p>
        </w:tc>
        <w:tc>
          <w:tcPr>
            <w:tcW w:w="810" w:type="dxa"/>
          </w:tcPr>
          <w:p w14:paraId="3F6D39D7">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考核项目</w:t>
            </w:r>
          </w:p>
        </w:tc>
        <w:tc>
          <w:tcPr>
            <w:tcW w:w="1223" w:type="dxa"/>
          </w:tcPr>
          <w:p w14:paraId="2AEB4764">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考核说明</w:t>
            </w:r>
          </w:p>
        </w:tc>
        <w:tc>
          <w:tcPr>
            <w:tcW w:w="1038" w:type="dxa"/>
          </w:tcPr>
          <w:p w14:paraId="2E2FCE85">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涉及服务环节</w:t>
            </w:r>
          </w:p>
        </w:tc>
        <w:tc>
          <w:tcPr>
            <w:tcW w:w="3257" w:type="dxa"/>
          </w:tcPr>
          <w:p w14:paraId="1CF5648A">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供应商服务要求</w:t>
            </w:r>
          </w:p>
        </w:tc>
        <w:tc>
          <w:tcPr>
            <w:tcW w:w="1787" w:type="dxa"/>
            <w:noWrap/>
          </w:tcPr>
          <w:p w14:paraId="5F47744F">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考核标准</w:t>
            </w:r>
          </w:p>
        </w:tc>
        <w:tc>
          <w:tcPr>
            <w:tcW w:w="2139" w:type="dxa"/>
            <w:noWrap/>
          </w:tcPr>
          <w:p w14:paraId="374865B6">
            <w:pPr>
              <w:keepNext w:val="0"/>
              <w:keepLines w:val="0"/>
              <w:widowControl/>
              <w:suppressLineNumbers w:val="0"/>
              <w:spacing w:before="0" w:beforeAutospacing="0" w:after="0" w:afterAutospacing="0"/>
              <w:ind w:left="0" w:right="0"/>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考核金额</w:t>
            </w:r>
          </w:p>
        </w:tc>
      </w:tr>
      <w:tr w14:paraId="5A2B3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485" w:type="dxa"/>
            <w:noWrap/>
          </w:tcPr>
          <w:p w14:paraId="7024E4FB">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w:t>
            </w:r>
          </w:p>
        </w:tc>
        <w:tc>
          <w:tcPr>
            <w:tcW w:w="810" w:type="dxa"/>
            <w:vMerge w:val="restart"/>
          </w:tcPr>
          <w:p w14:paraId="3E7FE58F">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服务效率</w:t>
            </w:r>
          </w:p>
        </w:tc>
        <w:tc>
          <w:tcPr>
            <w:tcW w:w="1223" w:type="dxa"/>
            <w:vMerge w:val="restart"/>
          </w:tcPr>
          <w:p w14:paraId="353C5D4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1、服务响应不及时或服务时间超出约定时间，且未提前与最终用户做好沟通，或未经最终用户同意。</w:t>
            </w:r>
          </w:p>
          <w:p w14:paraId="5D04D55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2、未在规定时间内解决最终用户的正当需求，最终用户要求但未提供备用机；</w:t>
            </w:r>
          </w:p>
          <w:p w14:paraId="5A85E5B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3、设备维修时超出约定时间仍未修复的；</w:t>
            </w:r>
          </w:p>
          <w:p w14:paraId="3E1D9BC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4、需要提供服务的设备超出一台且满足上述任一条件的，按200元/台/次考核</w:t>
            </w:r>
          </w:p>
        </w:tc>
        <w:tc>
          <w:tcPr>
            <w:tcW w:w="1038" w:type="dxa"/>
          </w:tcPr>
          <w:p w14:paraId="2A18F41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电话响应时效</w:t>
            </w:r>
          </w:p>
        </w:tc>
        <w:tc>
          <w:tcPr>
            <w:tcW w:w="3257" w:type="dxa"/>
          </w:tcPr>
          <w:p w14:paraId="336405F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收到万翔客服专员通知后，在1个工作小时内联系客户约定上门时间；并及时将约定时间反馈给万翔客服专员。</w:t>
            </w:r>
          </w:p>
        </w:tc>
        <w:tc>
          <w:tcPr>
            <w:tcW w:w="1787" w:type="dxa"/>
          </w:tcPr>
          <w:p w14:paraId="764BCE2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万翔客服专员报单后1个工作小时内</w:t>
            </w:r>
          </w:p>
        </w:tc>
        <w:tc>
          <w:tcPr>
            <w:tcW w:w="2139" w:type="dxa"/>
          </w:tcPr>
          <w:p w14:paraId="35B7AE7F">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0200A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85" w:type="dxa"/>
            <w:noWrap/>
          </w:tcPr>
          <w:p w14:paraId="4BD14E98">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w:t>
            </w:r>
          </w:p>
        </w:tc>
        <w:tc>
          <w:tcPr>
            <w:tcW w:w="810" w:type="dxa"/>
            <w:vMerge w:val="continue"/>
          </w:tcPr>
          <w:p w14:paraId="6BB247E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08B79C8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vMerge w:val="restart"/>
          </w:tcPr>
          <w:p w14:paraId="0C8B4B3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上门服务时效</w:t>
            </w:r>
          </w:p>
        </w:tc>
        <w:tc>
          <w:tcPr>
            <w:tcW w:w="3257" w:type="dxa"/>
            <w:vMerge w:val="restart"/>
          </w:tcPr>
          <w:p w14:paraId="6FB35EF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按与客户约定时间上门服务；</w:t>
            </w:r>
          </w:p>
          <w:p w14:paraId="654F149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如特殊情况不能按约定时间上门，必须提前联系最终用户且征得最终用户的同意，同时重新预约上门服务时间，并务必保证按此约定时间上门。</w:t>
            </w:r>
          </w:p>
        </w:tc>
        <w:tc>
          <w:tcPr>
            <w:tcW w:w="1787" w:type="dxa"/>
          </w:tcPr>
          <w:p w14:paraId="26B51C2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万翔客服专员报单后4个工作小时内</w:t>
            </w:r>
          </w:p>
        </w:tc>
        <w:tc>
          <w:tcPr>
            <w:tcW w:w="2139" w:type="dxa"/>
          </w:tcPr>
          <w:p w14:paraId="39BA290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77F42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485" w:type="dxa"/>
            <w:noWrap/>
          </w:tcPr>
          <w:p w14:paraId="7A6775BE">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w:t>
            </w:r>
          </w:p>
        </w:tc>
        <w:tc>
          <w:tcPr>
            <w:tcW w:w="810" w:type="dxa"/>
            <w:vMerge w:val="continue"/>
          </w:tcPr>
          <w:p w14:paraId="6484ED2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24AED6B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vMerge w:val="continue"/>
          </w:tcPr>
          <w:p w14:paraId="6AA2AB8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3257" w:type="dxa"/>
            <w:vMerge w:val="continue"/>
          </w:tcPr>
          <w:p w14:paraId="279B6EE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787" w:type="dxa"/>
          </w:tcPr>
          <w:p w14:paraId="0D78089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因</w:t>
            </w:r>
            <w:r>
              <w:rPr>
                <w:rFonts w:hint="eastAsia" w:ascii="宋体" w:hAnsi="宋体" w:eastAsia="宋体" w:cs="宋体"/>
                <w:b/>
                <w:bCs/>
                <w:color w:val="auto"/>
                <w:kern w:val="0"/>
                <w:sz w:val="18"/>
                <w:szCs w:val="18"/>
                <w:highlight w:val="none"/>
              </w:rPr>
              <w:t>客户原因</w:t>
            </w:r>
            <w:r>
              <w:rPr>
                <w:rFonts w:hint="eastAsia" w:ascii="宋体" w:hAnsi="宋体" w:eastAsia="宋体" w:cs="宋体"/>
                <w:color w:val="auto"/>
                <w:kern w:val="0"/>
                <w:sz w:val="18"/>
                <w:szCs w:val="18"/>
                <w:highlight w:val="none"/>
              </w:rPr>
              <w:t>需延后上门时间并另外约定上门时间，需在承诺的时间内达到</w:t>
            </w:r>
          </w:p>
        </w:tc>
        <w:tc>
          <w:tcPr>
            <w:tcW w:w="2139" w:type="dxa"/>
          </w:tcPr>
          <w:p w14:paraId="01330D9D">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28D0E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85" w:type="dxa"/>
            <w:noWrap/>
          </w:tcPr>
          <w:p w14:paraId="1DB177BA">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w:t>
            </w:r>
          </w:p>
        </w:tc>
        <w:tc>
          <w:tcPr>
            <w:tcW w:w="810" w:type="dxa"/>
            <w:vMerge w:val="continue"/>
          </w:tcPr>
          <w:p w14:paraId="57193BB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6F80251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vMerge w:val="restart"/>
          </w:tcPr>
          <w:p w14:paraId="5D52412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维修时效</w:t>
            </w:r>
          </w:p>
        </w:tc>
        <w:tc>
          <w:tcPr>
            <w:tcW w:w="3257" w:type="dxa"/>
          </w:tcPr>
          <w:p w14:paraId="4280225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上门检测后需现场向最终用户说明故障情况并告知解决方案、如需调拨维修配件，需要告知最终用户配件更换时效并征得客户同意</w:t>
            </w:r>
          </w:p>
        </w:tc>
        <w:tc>
          <w:tcPr>
            <w:tcW w:w="1787" w:type="dxa"/>
          </w:tcPr>
          <w:p w14:paraId="1BBF655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在承诺的时间内完成服务</w:t>
            </w:r>
          </w:p>
        </w:tc>
        <w:tc>
          <w:tcPr>
            <w:tcW w:w="2139" w:type="dxa"/>
          </w:tcPr>
          <w:p w14:paraId="603D82C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0F7BF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485" w:type="dxa"/>
            <w:noWrap/>
          </w:tcPr>
          <w:p w14:paraId="11CF8693">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c>
          <w:tcPr>
            <w:tcW w:w="810" w:type="dxa"/>
            <w:vMerge w:val="continue"/>
          </w:tcPr>
          <w:p w14:paraId="29BD9B9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2609835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vMerge w:val="continue"/>
          </w:tcPr>
          <w:p w14:paraId="5F0BFC1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3257" w:type="dxa"/>
          </w:tcPr>
          <w:p w14:paraId="158A4A0D">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tc>
        <w:tc>
          <w:tcPr>
            <w:tcW w:w="1787" w:type="dxa"/>
          </w:tcPr>
          <w:p w14:paraId="18D3619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向客户说明情况，告知客户提供备用机和退换机的解决方案，同时告知客户服务时效，并在承诺的时间内完成相应的服务内容。</w:t>
            </w:r>
          </w:p>
        </w:tc>
        <w:tc>
          <w:tcPr>
            <w:tcW w:w="2139" w:type="dxa"/>
          </w:tcPr>
          <w:p w14:paraId="56A3E16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0C2B6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485" w:type="dxa"/>
            <w:noWrap/>
          </w:tcPr>
          <w:p w14:paraId="7C33F491">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w:t>
            </w:r>
          </w:p>
        </w:tc>
        <w:tc>
          <w:tcPr>
            <w:tcW w:w="810" w:type="dxa"/>
            <w:vMerge w:val="continue"/>
          </w:tcPr>
          <w:p w14:paraId="46C1CA5F">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5DBD1B6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tcPr>
          <w:p w14:paraId="1BB99A3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备用机提供时效</w:t>
            </w:r>
          </w:p>
        </w:tc>
        <w:tc>
          <w:tcPr>
            <w:tcW w:w="3257" w:type="dxa"/>
          </w:tcPr>
          <w:p w14:paraId="209D04A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服务商自行提供备用机，按与客户约定时间完成服务</w:t>
            </w:r>
          </w:p>
        </w:tc>
        <w:tc>
          <w:tcPr>
            <w:tcW w:w="1787" w:type="dxa"/>
          </w:tcPr>
          <w:p w14:paraId="6356CE5D">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客户确认使用备用机后在1个工作日内提供备机</w:t>
            </w:r>
          </w:p>
        </w:tc>
        <w:tc>
          <w:tcPr>
            <w:tcW w:w="2139" w:type="dxa"/>
          </w:tcPr>
          <w:p w14:paraId="5BD1EB1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3C623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85" w:type="dxa"/>
            <w:noWrap/>
          </w:tcPr>
          <w:p w14:paraId="2B1DE839">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7</w:t>
            </w:r>
          </w:p>
        </w:tc>
        <w:tc>
          <w:tcPr>
            <w:tcW w:w="810" w:type="dxa"/>
            <w:vMerge w:val="continue"/>
          </w:tcPr>
          <w:p w14:paraId="20DEBED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1780B65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vMerge w:val="restart"/>
          </w:tcPr>
          <w:p w14:paraId="337F8B1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换机服务时效</w:t>
            </w:r>
          </w:p>
        </w:tc>
        <w:tc>
          <w:tcPr>
            <w:tcW w:w="3257" w:type="dxa"/>
          </w:tcPr>
          <w:p w14:paraId="0D703BC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确认换机后，在5个工作日内完成换机，如果超出5个工作日必须征得最终用户的同意，并在承诺的时间内完成服务</w:t>
            </w:r>
          </w:p>
        </w:tc>
        <w:tc>
          <w:tcPr>
            <w:tcW w:w="1787" w:type="dxa"/>
          </w:tcPr>
          <w:p w14:paraId="41E33EC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在承诺的时间内完成换机。</w:t>
            </w:r>
          </w:p>
        </w:tc>
        <w:tc>
          <w:tcPr>
            <w:tcW w:w="2139" w:type="dxa"/>
          </w:tcPr>
          <w:p w14:paraId="5363365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64B2F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485" w:type="dxa"/>
            <w:noWrap/>
          </w:tcPr>
          <w:p w14:paraId="0A36E18B">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w:t>
            </w:r>
          </w:p>
        </w:tc>
        <w:tc>
          <w:tcPr>
            <w:tcW w:w="810" w:type="dxa"/>
            <w:vMerge w:val="continue"/>
          </w:tcPr>
          <w:p w14:paraId="548CF4B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4E8E79E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vMerge w:val="continue"/>
          </w:tcPr>
          <w:p w14:paraId="3670F90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3257" w:type="dxa"/>
          </w:tcPr>
          <w:p w14:paraId="654363D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核实产品主要部件在1年内同样故障报修工单达到三次或三次以上的供应商必须按照客户需求给予更换新机，配置参数需大于等于原机型，换机流程不再经过万翔，换机流程中须提供备用机（备用机服务标准同上）</w:t>
            </w:r>
          </w:p>
        </w:tc>
        <w:tc>
          <w:tcPr>
            <w:tcW w:w="1787" w:type="dxa"/>
          </w:tcPr>
          <w:p w14:paraId="0D97356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同意并给予客户换机。</w:t>
            </w:r>
          </w:p>
        </w:tc>
        <w:tc>
          <w:tcPr>
            <w:tcW w:w="2139" w:type="dxa"/>
          </w:tcPr>
          <w:p w14:paraId="11B8C45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500元/台/次；同时在质保金中扣除换新机所需货款，由万翔直接给客户换机</w:t>
            </w:r>
          </w:p>
        </w:tc>
      </w:tr>
      <w:tr w14:paraId="7330A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485" w:type="dxa"/>
            <w:noWrap/>
          </w:tcPr>
          <w:p w14:paraId="543C40DF">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9</w:t>
            </w:r>
          </w:p>
        </w:tc>
        <w:tc>
          <w:tcPr>
            <w:tcW w:w="810" w:type="dxa"/>
            <w:vMerge w:val="continue"/>
          </w:tcPr>
          <w:p w14:paraId="5AD4A19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5B30EDE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tcPr>
          <w:p w14:paraId="7E3A416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验收报告/辅材发票提供时效</w:t>
            </w:r>
          </w:p>
        </w:tc>
        <w:tc>
          <w:tcPr>
            <w:tcW w:w="3257" w:type="dxa"/>
          </w:tcPr>
          <w:p w14:paraId="427C92C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收到万翔客服专员通知后，2个工作日内提供验收报告/辅材发票给最终用户。</w:t>
            </w:r>
          </w:p>
        </w:tc>
        <w:tc>
          <w:tcPr>
            <w:tcW w:w="1787" w:type="dxa"/>
          </w:tcPr>
          <w:p w14:paraId="6683D49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万翔客服专员报单后2个工作日内</w:t>
            </w:r>
          </w:p>
        </w:tc>
        <w:tc>
          <w:tcPr>
            <w:tcW w:w="2139" w:type="dxa"/>
          </w:tcPr>
          <w:p w14:paraId="6BE4125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400元/单/次，每逾期1个工作日按100元/单/工作日的标准加收违约金；</w:t>
            </w:r>
          </w:p>
        </w:tc>
      </w:tr>
      <w:tr w14:paraId="1A4F8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2" w:hRule="atLeast"/>
          <w:jc w:val="center"/>
        </w:trPr>
        <w:tc>
          <w:tcPr>
            <w:tcW w:w="485" w:type="dxa"/>
            <w:noWrap/>
          </w:tcPr>
          <w:p w14:paraId="774E9DE9">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c>
          <w:tcPr>
            <w:tcW w:w="810" w:type="dxa"/>
            <w:vMerge w:val="restart"/>
            <w:noWrap/>
          </w:tcPr>
          <w:p w14:paraId="11C9CF47">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服务规范</w:t>
            </w:r>
          </w:p>
        </w:tc>
        <w:tc>
          <w:tcPr>
            <w:tcW w:w="1223" w:type="dxa"/>
            <w:vMerge w:val="restart"/>
          </w:tcPr>
          <w:p w14:paraId="2EBB959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态度或服务不规范，如：服务人员着装不规范，言语生硬、敷衍、态度不好；未能妥善处理客户的不满情绪；用户要求附加一些明显力所能及范围之内的服务而拒不提供服务；损坏客户物品未赔偿等违反服务规范的行为。</w:t>
            </w:r>
          </w:p>
        </w:tc>
        <w:tc>
          <w:tcPr>
            <w:tcW w:w="1038" w:type="dxa"/>
          </w:tcPr>
          <w:p w14:paraId="7AECA02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服务前的服务规范</w:t>
            </w:r>
          </w:p>
        </w:tc>
        <w:tc>
          <w:tcPr>
            <w:tcW w:w="3257" w:type="dxa"/>
          </w:tcPr>
          <w:p w14:paraId="295D73A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1）上门服务人员应着品牌工装；</w:t>
            </w:r>
          </w:p>
          <w:p w14:paraId="3361B24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 2）安装/维修前应与最终用户核对机器型号、配置和台数；如维修需要向客户核实故障现象。</w:t>
            </w:r>
          </w:p>
          <w:p w14:paraId="4690B29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3）安装前检查确认外包装完好再拆箱安装；如有异常须及时向最终用户反馈并报备给万翔客服专员后，再进行开箱验机；</w:t>
            </w:r>
          </w:p>
          <w:p w14:paraId="329E333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4）安装/维修前应检查最终用户的电源电压是否安全稳定，如有问题，应及时告知最终用户，协商整改；</w:t>
            </w:r>
          </w:p>
          <w:p w14:paraId="67D97D5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5）由于服务单位自身原因造成多人或多次联系客户、或上门服务时发现由于自身原因不能提供服务（如上门服务发现未带物料、上门安装空调发现未取孔）；</w:t>
            </w:r>
          </w:p>
          <w:p w14:paraId="7F5CCFD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6）上门安装/维修时发现由于环境复杂或安装/维修有难度，拒绝为客户提供服务。</w:t>
            </w:r>
          </w:p>
        </w:tc>
        <w:tc>
          <w:tcPr>
            <w:tcW w:w="1787" w:type="dxa"/>
          </w:tcPr>
          <w:p w14:paraId="055FF86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65C3060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21985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485" w:type="dxa"/>
            <w:noWrap/>
          </w:tcPr>
          <w:p w14:paraId="160D0DC0">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11</w:t>
            </w:r>
          </w:p>
        </w:tc>
        <w:tc>
          <w:tcPr>
            <w:tcW w:w="810" w:type="dxa"/>
            <w:vMerge w:val="continue"/>
          </w:tcPr>
          <w:p w14:paraId="49B41B3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40EEE70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tcPr>
          <w:p w14:paraId="69378D7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服务中的服务规范</w:t>
            </w:r>
          </w:p>
        </w:tc>
        <w:tc>
          <w:tcPr>
            <w:tcW w:w="3257" w:type="dxa"/>
          </w:tcPr>
          <w:p w14:paraId="0D64FAE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1）安装过程中发现外包装完好，开箱出现货物内损则第一时间给最终用户换机处理，并报备给万翔客服专员；</w:t>
            </w:r>
          </w:p>
          <w:p w14:paraId="5B19A2C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2）检查每台机器的服务编号；</w:t>
            </w:r>
          </w:p>
          <w:p w14:paraId="7C85AEA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3) 安装时如果发现设备异常，及时与客户进行沟通，待情况核实清楚后，再行安装； </w:t>
            </w:r>
          </w:p>
          <w:p w14:paraId="40CA33E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4）免费提供所有设备的安装调试（包括计算机操作系统及补丁等应用软件安装等服务），安装完成后要开机测试以确保设备能够正常使用；</w:t>
            </w:r>
          </w:p>
          <w:p w14:paraId="084F13D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5）协助最终用户安装外设等常用设备。并根据最终用户需求进行设置。</w:t>
            </w:r>
          </w:p>
          <w:p w14:paraId="74CD0DF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6）安装位置必须保证设备的正常使用，如安装位置与客户要求不符，需要提前与客户沟通并找到适合的解决方案；</w:t>
            </w:r>
          </w:p>
          <w:p w14:paraId="5093799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7）安装务必保障美观，不能出现设备安装歪斜、影响美观或影响设备正常使用等情况；</w:t>
            </w:r>
          </w:p>
          <w:p w14:paraId="7020218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8）如果安装/维修数量较多，不能一天内完成，服务单位应连续为客户提供服务，并将情况及时向最终用户做汇报沟通；如有异常情况不能连续安装或暂时先离开现场，必须提前征得最终用户的同意。</w:t>
            </w:r>
          </w:p>
        </w:tc>
        <w:tc>
          <w:tcPr>
            <w:tcW w:w="1787" w:type="dxa"/>
          </w:tcPr>
          <w:p w14:paraId="414FB06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57915D6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512BE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3" w:hRule="atLeast"/>
          <w:jc w:val="center"/>
        </w:trPr>
        <w:tc>
          <w:tcPr>
            <w:tcW w:w="485" w:type="dxa"/>
            <w:noWrap/>
          </w:tcPr>
          <w:p w14:paraId="6C2377AF">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12</w:t>
            </w:r>
          </w:p>
        </w:tc>
        <w:tc>
          <w:tcPr>
            <w:tcW w:w="810" w:type="dxa"/>
            <w:vMerge w:val="continue"/>
          </w:tcPr>
          <w:p w14:paraId="11D303D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174244B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tcPr>
          <w:p w14:paraId="73FAA88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服务后的服务规范</w:t>
            </w:r>
          </w:p>
        </w:tc>
        <w:tc>
          <w:tcPr>
            <w:tcW w:w="3257" w:type="dxa"/>
          </w:tcPr>
          <w:p w14:paraId="7EF66B0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1)安装完毕，应和最终用户一起确认产品的正常运行。</w:t>
            </w:r>
          </w:p>
          <w:p w14:paraId="393922A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2)安装完毕，并为每台机器注册信息, 应向最终用户详细讲解保修条例；如没有注册信息而导致机器在保修期内无法保修的情况，服务商要负责此维修费用。</w:t>
            </w:r>
          </w:p>
          <w:p w14:paraId="014A275F">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3)安装完毕，应向最终用户详细讲解使用操作方法和日常维护保养措施，耐心解答最终用户提出的问题，并留下服务电话；在设备合适的地方填(贴)上机器信息（包括报修电话、机器序列号及服务号），以方便最终用户报修。</w:t>
            </w:r>
            <w:r>
              <w:rPr>
                <w:rFonts w:hint="eastAsia" w:ascii="宋体" w:hAnsi="宋体" w:eastAsia="宋体" w:cs="宋体"/>
                <w:color w:val="auto"/>
                <w:kern w:val="0"/>
                <w:sz w:val="18"/>
                <w:szCs w:val="18"/>
                <w:highlight w:val="none"/>
              </w:rPr>
              <w:br w:type="page"/>
            </w:r>
          </w:p>
          <w:p w14:paraId="35E2858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4）安装/维修等服务结束后，应把工作现场打扫干净，将工具等物品复位，并将安装/维修过程中产生的垃圾带离现场。</w:t>
            </w:r>
          </w:p>
          <w:p w14:paraId="24DF9F8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5）安装完毕，应将《厦门市大宗货物政府采购供货验收单》按万翔网商要求打印并交给客户盖章、签字。</w:t>
            </w:r>
            <w:r>
              <w:rPr>
                <w:rFonts w:hint="eastAsia" w:ascii="宋体" w:hAnsi="宋体" w:eastAsia="宋体" w:cs="宋体"/>
                <w:color w:val="auto"/>
                <w:kern w:val="0"/>
                <w:sz w:val="18"/>
                <w:szCs w:val="18"/>
                <w:highlight w:val="none"/>
              </w:rPr>
              <w:br w:type="page"/>
            </w:r>
          </w:p>
        </w:tc>
        <w:tc>
          <w:tcPr>
            <w:tcW w:w="1787" w:type="dxa"/>
          </w:tcPr>
          <w:p w14:paraId="375F194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20845A1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4FB52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485" w:type="dxa"/>
            <w:noWrap/>
          </w:tcPr>
          <w:p w14:paraId="33E3DB2D">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13</w:t>
            </w:r>
          </w:p>
        </w:tc>
        <w:tc>
          <w:tcPr>
            <w:tcW w:w="810" w:type="dxa"/>
            <w:vMerge w:val="continue"/>
          </w:tcPr>
          <w:p w14:paraId="55E04D7F">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2A5ABE0F">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tcPr>
          <w:p w14:paraId="7738FD2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服务仪表、态度</w:t>
            </w:r>
          </w:p>
        </w:tc>
        <w:tc>
          <w:tcPr>
            <w:tcW w:w="3257" w:type="dxa"/>
          </w:tcPr>
          <w:p w14:paraId="471282F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服务人员着装应规范，言语不生硬、不敷衍、态度好；妥善处理客户的不满情绪；</w:t>
            </w:r>
          </w:p>
        </w:tc>
        <w:tc>
          <w:tcPr>
            <w:tcW w:w="1787" w:type="dxa"/>
          </w:tcPr>
          <w:p w14:paraId="67BA9C8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12CBC68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04F4E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485" w:type="dxa"/>
            <w:noWrap/>
          </w:tcPr>
          <w:p w14:paraId="5716ADDB">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14</w:t>
            </w:r>
          </w:p>
        </w:tc>
        <w:tc>
          <w:tcPr>
            <w:tcW w:w="810" w:type="dxa"/>
            <w:vMerge w:val="continue"/>
          </w:tcPr>
          <w:p w14:paraId="57A5415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63B5FB4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tcPr>
          <w:p w14:paraId="39CD3B9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额外情况规范</w:t>
            </w:r>
          </w:p>
        </w:tc>
        <w:tc>
          <w:tcPr>
            <w:tcW w:w="3257" w:type="dxa"/>
          </w:tcPr>
          <w:p w14:paraId="069AB023">
            <w:pPr>
              <w:keepNext w:val="0"/>
              <w:keepLines w:val="0"/>
              <w:widowControl/>
              <w:suppressLineNumbers w:val="0"/>
              <w:spacing w:before="0" w:beforeAutospacing="0" w:after="24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1）电话联系客户时间及上门服务时间必须在最终用户的正常工作时间内，已提前沟通且客户同意的情况下除外。</w:t>
            </w:r>
          </w:p>
          <w:p w14:paraId="1FEA19DC">
            <w:pPr>
              <w:keepNext w:val="0"/>
              <w:keepLines w:val="0"/>
              <w:widowControl/>
              <w:suppressLineNumbers w:val="0"/>
              <w:spacing w:before="0" w:beforeAutospacing="0" w:after="24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用户要求附加一些明显力所能及范围之内的服务应配合处理；或者其它品牌产品出现故障需要卖方工程师帮助解决。卖方工程师不得拒绝最终用户，在条件许可的前提下为最终用户解决。如果无法修复应协助最终用户报修相应的服务商或者给出解决方案。</w:t>
            </w:r>
          </w:p>
        </w:tc>
        <w:tc>
          <w:tcPr>
            <w:tcW w:w="1787" w:type="dxa"/>
          </w:tcPr>
          <w:p w14:paraId="2C922DEF">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520A261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06A2C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485" w:type="dxa"/>
            <w:noWrap/>
          </w:tcPr>
          <w:p w14:paraId="52825B10">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15</w:t>
            </w:r>
          </w:p>
        </w:tc>
        <w:tc>
          <w:tcPr>
            <w:tcW w:w="810" w:type="dxa"/>
            <w:vMerge w:val="continue"/>
          </w:tcPr>
          <w:p w14:paraId="536C548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668CB65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tcPr>
          <w:p w14:paraId="6137E81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意外情况规范</w:t>
            </w:r>
          </w:p>
        </w:tc>
        <w:tc>
          <w:tcPr>
            <w:tcW w:w="3257" w:type="dxa"/>
          </w:tcPr>
          <w:p w14:paraId="3418263F">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1）服务过程中如有损坏客户物品，应及时与客户沟通赔偿方案，并在约定时间内进行赔偿。</w:t>
            </w:r>
          </w:p>
          <w:p w14:paraId="16D7AB5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2）安装的设备务必保证使用安全，不能出现在使用过程中掉落等意外情况；</w:t>
            </w:r>
          </w:p>
        </w:tc>
        <w:tc>
          <w:tcPr>
            <w:tcW w:w="1787" w:type="dxa"/>
          </w:tcPr>
          <w:p w14:paraId="5F27EBE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053201C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400EE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jc w:val="center"/>
        </w:trPr>
        <w:tc>
          <w:tcPr>
            <w:tcW w:w="485" w:type="dxa"/>
            <w:noWrap/>
          </w:tcPr>
          <w:p w14:paraId="367CCCDD">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16</w:t>
            </w:r>
          </w:p>
        </w:tc>
        <w:tc>
          <w:tcPr>
            <w:tcW w:w="810" w:type="dxa"/>
            <w:vMerge w:val="continue"/>
          </w:tcPr>
          <w:p w14:paraId="5D23911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373E127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tcPr>
          <w:p w14:paraId="129C176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备用机使用</w:t>
            </w:r>
          </w:p>
        </w:tc>
        <w:tc>
          <w:tcPr>
            <w:tcW w:w="3257" w:type="dxa"/>
          </w:tcPr>
          <w:p w14:paraId="4795DDC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反馈客服专员确认使用备用机，如无同型号备用机使用，需提供符合客户需求的其他型号设备使用，备用机必须无偿进行安装调试，并签订《产品备用机使用单》，报修机解除故障归还客户后，还需现场调试，并在《产品备用机使用单》上签署明确可正常使用，才可退还备用机</w:t>
            </w:r>
          </w:p>
        </w:tc>
        <w:tc>
          <w:tcPr>
            <w:tcW w:w="1787" w:type="dxa"/>
          </w:tcPr>
          <w:p w14:paraId="545DF50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未提供备用机的安装调试等；或者客户机子还未修复好，就要求客户归还备用机</w:t>
            </w:r>
          </w:p>
        </w:tc>
        <w:tc>
          <w:tcPr>
            <w:tcW w:w="2139" w:type="dxa"/>
          </w:tcPr>
          <w:p w14:paraId="21F6D2F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57697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485" w:type="dxa"/>
            <w:noWrap/>
          </w:tcPr>
          <w:p w14:paraId="0A18522F">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17</w:t>
            </w:r>
          </w:p>
        </w:tc>
        <w:tc>
          <w:tcPr>
            <w:tcW w:w="810" w:type="dxa"/>
          </w:tcPr>
          <w:p w14:paraId="2CD246D7">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服务质量</w:t>
            </w:r>
          </w:p>
        </w:tc>
        <w:tc>
          <w:tcPr>
            <w:tcW w:w="1223" w:type="dxa"/>
          </w:tcPr>
          <w:p w14:paraId="5E166F2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服务人员不具备服务能力；</w:t>
            </w:r>
          </w:p>
          <w:p w14:paraId="3584DD3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维修后一个月内又出现同样故障、或同一故障频繁重复再现；</w:t>
            </w:r>
          </w:p>
        </w:tc>
        <w:tc>
          <w:tcPr>
            <w:tcW w:w="1038" w:type="dxa"/>
          </w:tcPr>
          <w:p w14:paraId="3E99918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客户报修频率</w:t>
            </w:r>
          </w:p>
        </w:tc>
        <w:tc>
          <w:tcPr>
            <w:tcW w:w="3257" w:type="dxa"/>
          </w:tcPr>
          <w:p w14:paraId="7CD4B82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1）一个月内再次出现同样故障。或者故障反复出现。</w:t>
            </w:r>
          </w:p>
          <w:p w14:paraId="5B3F11F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2）明确由于服务引发的产品其他故障。</w:t>
            </w:r>
          </w:p>
          <w:p w14:paraId="5D33C7A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3）服务人员上门后表示不会安装或维修，或安装/维修操作不熟练。</w:t>
            </w:r>
          </w:p>
        </w:tc>
        <w:tc>
          <w:tcPr>
            <w:tcW w:w="1787" w:type="dxa"/>
          </w:tcPr>
          <w:p w14:paraId="1AB6FDF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3498868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0A3FA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485" w:type="dxa"/>
            <w:noWrap/>
          </w:tcPr>
          <w:p w14:paraId="29E84DD3">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18</w:t>
            </w:r>
          </w:p>
        </w:tc>
        <w:tc>
          <w:tcPr>
            <w:tcW w:w="810" w:type="dxa"/>
          </w:tcPr>
          <w:p w14:paraId="67510944">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w:t>
            </w:r>
          </w:p>
        </w:tc>
        <w:tc>
          <w:tcPr>
            <w:tcW w:w="1223" w:type="dxa"/>
          </w:tcPr>
          <w:p w14:paraId="0194005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未按合同规定操作，未提前与最终用户沟通收费标准，多收费或乱收费</w:t>
            </w:r>
          </w:p>
        </w:tc>
        <w:tc>
          <w:tcPr>
            <w:tcW w:w="1038" w:type="dxa"/>
          </w:tcPr>
          <w:p w14:paraId="21FE465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收费项目</w:t>
            </w:r>
          </w:p>
        </w:tc>
        <w:tc>
          <w:tcPr>
            <w:tcW w:w="3257" w:type="dxa"/>
          </w:tcPr>
          <w:p w14:paraId="1AD1561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1）有偿服务的范围，应按合同约定的收费标准或公司定价向客户说明并提前报价给客户，合同中明确免费的不得向客户收费，合同中明确免费的不能以隐瞒或欺骗的方式向客户提供收费的替代物料。</w:t>
            </w:r>
          </w:p>
          <w:p w14:paraId="50969F2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2）报价时应向客户提供清单明细，包括规格型号、单价、数量、总价、保修时间（如有）、保修方式（如有）；</w:t>
            </w:r>
          </w:p>
          <w:p w14:paraId="4BEFD61D">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3）提供服务前必须征得最终用户的同意；不能出现服务完成后才告知客户需要收费。</w:t>
            </w:r>
          </w:p>
        </w:tc>
        <w:tc>
          <w:tcPr>
            <w:tcW w:w="1787" w:type="dxa"/>
          </w:tcPr>
          <w:p w14:paraId="5E36DD4D">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6B5FE9A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79934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485" w:type="dxa"/>
            <w:noWrap/>
          </w:tcPr>
          <w:p w14:paraId="357E913D">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19</w:t>
            </w:r>
          </w:p>
        </w:tc>
        <w:tc>
          <w:tcPr>
            <w:tcW w:w="810" w:type="dxa"/>
            <w:vMerge w:val="restart"/>
          </w:tcPr>
          <w:p w14:paraId="61F26416">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验收报告回收时效</w:t>
            </w:r>
          </w:p>
        </w:tc>
        <w:tc>
          <w:tcPr>
            <w:tcW w:w="1223" w:type="dxa"/>
            <w:vMerge w:val="restart"/>
          </w:tcPr>
          <w:p w14:paraId="61DAFE4F">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未按合同规定，安装调试完成后应及时反馈给买方，并按照买方要求由最终用户填写《验收报告》，三个工作日内报送给买方。超过5个工作日仍未回收的，按每逾期一天10元/单的标准加收违约金。</w:t>
            </w:r>
          </w:p>
        </w:tc>
        <w:tc>
          <w:tcPr>
            <w:tcW w:w="1038" w:type="dxa"/>
          </w:tcPr>
          <w:p w14:paraId="70FF5E0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提供给最终用户验收报告的时效</w:t>
            </w:r>
          </w:p>
        </w:tc>
        <w:tc>
          <w:tcPr>
            <w:tcW w:w="3257" w:type="dxa"/>
          </w:tcPr>
          <w:p w14:paraId="111B6C2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1）安装完成后及时提供“验收报告”给最终用户，其中“客户联”留给客户，将其他联在2个工作日内（安装调试完毕后，次日算第一天）回收；</w:t>
            </w:r>
          </w:p>
          <w:p w14:paraId="29BB5FF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2）如验收报告超出约定时间提供，必须提前与最终用户做好沟通并征得最终用户的同意。</w:t>
            </w:r>
          </w:p>
        </w:tc>
        <w:tc>
          <w:tcPr>
            <w:tcW w:w="1787" w:type="dxa"/>
          </w:tcPr>
          <w:p w14:paraId="29259E5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安装后超过2个工作日客户催验收报告。</w:t>
            </w:r>
          </w:p>
        </w:tc>
        <w:tc>
          <w:tcPr>
            <w:tcW w:w="2139" w:type="dxa"/>
          </w:tcPr>
          <w:p w14:paraId="7DD369F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7C46E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485" w:type="dxa"/>
            <w:noWrap/>
          </w:tcPr>
          <w:p w14:paraId="43B1E9A4">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w:t>
            </w:r>
          </w:p>
        </w:tc>
        <w:tc>
          <w:tcPr>
            <w:tcW w:w="810" w:type="dxa"/>
            <w:vMerge w:val="continue"/>
          </w:tcPr>
          <w:p w14:paraId="24DB342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0C3DAE9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tcPr>
          <w:p w14:paraId="2681FCE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提供客户签盖的验收报告给万翔</w:t>
            </w:r>
          </w:p>
        </w:tc>
        <w:tc>
          <w:tcPr>
            <w:tcW w:w="3257" w:type="dxa"/>
          </w:tcPr>
          <w:p w14:paraId="4465BAE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安装验收后5个工作日内将“验收报告”按要求返回给万翔网商，如超出时间未返回，必须提前向万翔客服说明情况；如万翔网商未收到反馈且在安装后5个工作日内未收到返回的“验收报告”则视为延误。</w:t>
            </w:r>
          </w:p>
        </w:tc>
        <w:tc>
          <w:tcPr>
            <w:tcW w:w="1787" w:type="dxa"/>
          </w:tcPr>
          <w:p w14:paraId="2D44322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安装后超过5个工作日万翔网商未收到验收报告</w:t>
            </w:r>
          </w:p>
        </w:tc>
        <w:tc>
          <w:tcPr>
            <w:tcW w:w="2139" w:type="dxa"/>
          </w:tcPr>
          <w:p w14:paraId="2C9151D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2D777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85" w:type="dxa"/>
            <w:noWrap/>
          </w:tcPr>
          <w:p w14:paraId="20D0BA45">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21</w:t>
            </w:r>
          </w:p>
        </w:tc>
        <w:tc>
          <w:tcPr>
            <w:tcW w:w="810" w:type="dxa"/>
            <w:vMerge w:val="restart"/>
          </w:tcPr>
          <w:p w14:paraId="3E9CA62C">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信息反馈</w:t>
            </w:r>
          </w:p>
        </w:tc>
        <w:tc>
          <w:tcPr>
            <w:tcW w:w="1223" w:type="dxa"/>
            <w:vMerge w:val="restart"/>
          </w:tcPr>
          <w:p w14:paraId="0ED82F8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未按买方要求反馈所需报表，或所提供报表信息存在虚假的问题。</w:t>
            </w:r>
          </w:p>
        </w:tc>
        <w:tc>
          <w:tcPr>
            <w:tcW w:w="1038" w:type="dxa"/>
          </w:tcPr>
          <w:p w14:paraId="32AED9B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服务商操作平台进度回复</w:t>
            </w:r>
          </w:p>
        </w:tc>
        <w:tc>
          <w:tcPr>
            <w:tcW w:w="3257" w:type="dxa"/>
          </w:tcPr>
          <w:p w14:paraId="054A4A6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在收到买方派单后且在服务完成后一个工作日内进行回复</w:t>
            </w:r>
          </w:p>
        </w:tc>
        <w:tc>
          <w:tcPr>
            <w:tcW w:w="1787" w:type="dxa"/>
            <w:noWrap/>
          </w:tcPr>
          <w:p w14:paraId="1EE4401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回复不及时、虚假信息等</w:t>
            </w:r>
          </w:p>
        </w:tc>
        <w:tc>
          <w:tcPr>
            <w:tcW w:w="2139" w:type="dxa"/>
          </w:tcPr>
          <w:p w14:paraId="4B060FF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17DD2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85" w:type="dxa"/>
            <w:noWrap/>
          </w:tcPr>
          <w:p w14:paraId="0B714240">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22</w:t>
            </w:r>
          </w:p>
        </w:tc>
        <w:tc>
          <w:tcPr>
            <w:tcW w:w="810" w:type="dxa"/>
            <w:vMerge w:val="continue"/>
          </w:tcPr>
          <w:p w14:paraId="4C20C2C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2B061E6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tcPr>
          <w:p w14:paraId="23F584D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日常售后回复信息</w:t>
            </w:r>
          </w:p>
        </w:tc>
        <w:tc>
          <w:tcPr>
            <w:tcW w:w="3257" w:type="dxa"/>
          </w:tcPr>
          <w:p w14:paraId="0B93095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tcPr>
          <w:p w14:paraId="24CB0EE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催安装、报修、退换货等售后需求，处理情况虚假等</w:t>
            </w:r>
          </w:p>
        </w:tc>
        <w:tc>
          <w:tcPr>
            <w:tcW w:w="2139" w:type="dxa"/>
          </w:tcPr>
          <w:p w14:paraId="4DD70CB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32185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85" w:type="dxa"/>
            <w:noWrap/>
          </w:tcPr>
          <w:p w14:paraId="46D95BDC">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23</w:t>
            </w:r>
          </w:p>
        </w:tc>
        <w:tc>
          <w:tcPr>
            <w:tcW w:w="810" w:type="dxa"/>
            <w:vMerge w:val="continue"/>
          </w:tcPr>
          <w:p w14:paraId="2C381E4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vMerge w:val="continue"/>
          </w:tcPr>
          <w:p w14:paraId="5EABD1D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038" w:type="dxa"/>
          </w:tcPr>
          <w:p w14:paraId="00251A5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其他万翔要求提供的信息</w:t>
            </w:r>
          </w:p>
        </w:tc>
        <w:tc>
          <w:tcPr>
            <w:tcW w:w="3257" w:type="dxa"/>
          </w:tcPr>
          <w:p w14:paraId="2508AD4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tcPr>
          <w:p w14:paraId="44766CB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信息虚假等</w:t>
            </w:r>
          </w:p>
        </w:tc>
        <w:tc>
          <w:tcPr>
            <w:tcW w:w="2139" w:type="dxa"/>
          </w:tcPr>
          <w:p w14:paraId="0331068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0A758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85" w:type="dxa"/>
            <w:noWrap/>
          </w:tcPr>
          <w:p w14:paraId="13A27A0C">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24</w:t>
            </w:r>
          </w:p>
        </w:tc>
        <w:tc>
          <w:tcPr>
            <w:tcW w:w="810" w:type="dxa"/>
            <w:vMerge w:val="restart"/>
          </w:tcPr>
          <w:p w14:paraId="11FF732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投诉（根据卖方产品质量、服务造成用户投诉的层级进计收违约金，当投诉涉及多个层级以最高层级计收违约金标准为准）</w:t>
            </w:r>
          </w:p>
        </w:tc>
        <w:tc>
          <w:tcPr>
            <w:tcW w:w="1223" w:type="dxa"/>
          </w:tcPr>
          <w:p w14:paraId="54A94E9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1、投诉至买方售后服务部门并得以证实                                        </w:t>
            </w:r>
          </w:p>
        </w:tc>
        <w:tc>
          <w:tcPr>
            <w:tcW w:w="1038" w:type="dxa"/>
          </w:tcPr>
          <w:p w14:paraId="76B1D42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投诉到万翔售后</w:t>
            </w:r>
          </w:p>
        </w:tc>
        <w:tc>
          <w:tcPr>
            <w:tcW w:w="3257" w:type="dxa"/>
          </w:tcPr>
          <w:p w14:paraId="4D170AA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应妥善处理客户不满或者需求，不应让客户向万翔投诉</w:t>
            </w:r>
          </w:p>
        </w:tc>
        <w:tc>
          <w:tcPr>
            <w:tcW w:w="1787" w:type="dxa"/>
            <w:noWrap/>
          </w:tcPr>
          <w:p w14:paraId="1E7A11D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tcPr>
          <w:p w14:paraId="3D0525E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10000元/次</w:t>
            </w:r>
          </w:p>
        </w:tc>
      </w:tr>
      <w:tr w14:paraId="2AA08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85" w:type="dxa"/>
            <w:noWrap/>
          </w:tcPr>
          <w:p w14:paraId="0C276540">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25</w:t>
            </w:r>
          </w:p>
        </w:tc>
        <w:tc>
          <w:tcPr>
            <w:tcW w:w="810" w:type="dxa"/>
            <w:vMerge w:val="continue"/>
          </w:tcPr>
          <w:p w14:paraId="191BD80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tcPr>
          <w:p w14:paraId="6FCB454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2、投诉至厦门翔业集团内部监管部门并得以证实          </w:t>
            </w:r>
          </w:p>
        </w:tc>
        <w:tc>
          <w:tcPr>
            <w:tcW w:w="1038" w:type="dxa"/>
          </w:tcPr>
          <w:p w14:paraId="177F266D">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投诉到翔业集团内部监管部门</w:t>
            </w:r>
          </w:p>
        </w:tc>
        <w:tc>
          <w:tcPr>
            <w:tcW w:w="3257" w:type="dxa"/>
          </w:tcPr>
          <w:p w14:paraId="20D16D3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应妥善处理客户不满或者需求，不应让客户向翔业集团监管部门投诉</w:t>
            </w:r>
          </w:p>
        </w:tc>
        <w:tc>
          <w:tcPr>
            <w:tcW w:w="1787" w:type="dxa"/>
            <w:noWrap/>
          </w:tcPr>
          <w:p w14:paraId="295DBCA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tcPr>
          <w:p w14:paraId="4F57A9A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20000元/次</w:t>
            </w:r>
          </w:p>
        </w:tc>
      </w:tr>
      <w:tr w14:paraId="4A559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85" w:type="dxa"/>
            <w:noWrap/>
          </w:tcPr>
          <w:p w14:paraId="745A79B5">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26</w:t>
            </w:r>
          </w:p>
        </w:tc>
        <w:tc>
          <w:tcPr>
            <w:tcW w:w="810" w:type="dxa"/>
            <w:vMerge w:val="continue"/>
          </w:tcPr>
          <w:p w14:paraId="08F9A79D">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tcPr>
          <w:p w14:paraId="0FFC9CF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3、投诉至社会监管部门（如工商局等）并得到证实</w:t>
            </w:r>
          </w:p>
        </w:tc>
        <w:tc>
          <w:tcPr>
            <w:tcW w:w="1038" w:type="dxa"/>
          </w:tcPr>
          <w:p w14:paraId="4640746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投诉到社会监管部门</w:t>
            </w:r>
          </w:p>
        </w:tc>
        <w:tc>
          <w:tcPr>
            <w:tcW w:w="3257" w:type="dxa"/>
          </w:tcPr>
          <w:p w14:paraId="794645D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应妥善处理客户不满或者需求，不应让客户社会监管部门投诉</w:t>
            </w:r>
          </w:p>
        </w:tc>
        <w:tc>
          <w:tcPr>
            <w:tcW w:w="1787" w:type="dxa"/>
          </w:tcPr>
          <w:p w14:paraId="11506E2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服务商无法取得社会监管部门撤诉</w:t>
            </w:r>
          </w:p>
        </w:tc>
        <w:tc>
          <w:tcPr>
            <w:tcW w:w="2139" w:type="dxa"/>
          </w:tcPr>
          <w:p w14:paraId="41C4CAF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40000元/次</w:t>
            </w:r>
          </w:p>
        </w:tc>
      </w:tr>
      <w:tr w14:paraId="11CA6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485" w:type="dxa"/>
            <w:tcBorders>
              <w:bottom w:val="single" w:color="000000" w:themeColor="text1" w:sz="4" w:space="0"/>
            </w:tcBorders>
            <w:noWrap/>
          </w:tcPr>
          <w:p w14:paraId="304011F8">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27</w:t>
            </w:r>
          </w:p>
        </w:tc>
        <w:tc>
          <w:tcPr>
            <w:tcW w:w="810" w:type="dxa"/>
            <w:vMerge w:val="continue"/>
            <w:tcBorders>
              <w:bottom w:val="single" w:color="000000" w:themeColor="text1" w:sz="4" w:space="0"/>
            </w:tcBorders>
          </w:tcPr>
          <w:p w14:paraId="0CF229A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p>
        </w:tc>
        <w:tc>
          <w:tcPr>
            <w:tcW w:w="1223" w:type="dxa"/>
            <w:tcBorders>
              <w:bottom w:val="single" w:color="000000" w:themeColor="text1" w:sz="4" w:space="0"/>
            </w:tcBorders>
          </w:tcPr>
          <w:p w14:paraId="54D35A3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4、投诉至社会媒体并被曝光（如报纸、杂志、电视广播、主流官网等）                                       </w:t>
            </w:r>
          </w:p>
        </w:tc>
        <w:tc>
          <w:tcPr>
            <w:tcW w:w="1038" w:type="dxa"/>
            <w:tcBorders>
              <w:bottom w:val="single" w:color="000000" w:themeColor="text1" w:sz="4" w:space="0"/>
            </w:tcBorders>
          </w:tcPr>
          <w:p w14:paraId="318146F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投诉至社会媒体并被曝光（如报纸、杂志、电视广播、主流官网等）                                       </w:t>
            </w:r>
          </w:p>
        </w:tc>
        <w:tc>
          <w:tcPr>
            <w:tcW w:w="3257" w:type="dxa"/>
            <w:tcBorders>
              <w:bottom w:val="single" w:color="000000" w:themeColor="text1" w:sz="4" w:space="0"/>
            </w:tcBorders>
          </w:tcPr>
          <w:p w14:paraId="3785506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应妥善处理客户不满或者需求，不应让客户投诉到社会媒体</w:t>
            </w:r>
          </w:p>
        </w:tc>
        <w:tc>
          <w:tcPr>
            <w:tcW w:w="1787" w:type="dxa"/>
            <w:tcBorders>
              <w:bottom w:val="single" w:color="000000" w:themeColor="text1" w:sz="4" w:space="0"/>
            </w:tcBorders>
          </w:tcPr>
          <w:p w14:paraId="2B81555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报纸、杂志、电视广播、主流官网等曝光了事情</w:t>
            </w:r>
          </w:p>
        </w:tc>
        <w:tc>
          <w:tcPr>
            <w:tcW w:w="2139" w:type="dxa"/>
            <w:tcBorders>
              <w:bottom w:val="single" w:color="000000" w:themeColor="text1" w:sz="4" w:space="0"/>
            </w:tcBorders>
          </w:tcPr>
          <w:p w14:paraId="1D6F936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200000元/次</w:t>
            </w:r>
          </w:p>
        </w:tc>
      </w:tr>
      <w:tr w14:paraId="37F06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85" w:type="dxa"/>
            <w:shd w:val="clear" w:color="auto" w:fill="auto"/>
          </w:tcPr>
          <w:p w14:paraId="594A88B3">
            <w:pPr>
              <w:keepNext w:val="0"/>
              <w:keepLines w:val="0"/>
              <w:suppressLineNumbers w:val="0"/>
              <w:spacing w:before="0" w:beforeAutospacing="0" w:after="0" w:afterAutospacing="0"/>
              <w:ind w:left="0" w:right="0"/>
              <w:rPr>
                <w:rFonts w:hint="eastAsia"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28</w:t>
            </w:r>
          </w:p>
        </w:tc>
        <w:tc>
          <w:tcPr>
            <w:tcW w:w="810" w:type="dxa"/>
            <w:shd w:val="clear" w:color="auto" w:fill="auto"/>
          </w:tcPr>
          <w:p w14:paraId="56144F2C">
            <w:pPr>
              <w:keepNext w:val="0"/>
              <w:keepLines w:val="0"/>
              <w:suppressLineNumbers w:val="0"/>
              <w:spacing w:before="0" w:beforeAutospacing="0" w:after="0" w:afterAutospacing="0"/>
              <w:ind w:left="0" w:right="0"/>
              <w:rPr>
                <w:rFonts w:hint="eastAsia"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考核违约金缴交或履约保证金扣划</w:t>
            </w:r>
          </w:p>
        </w:tc>
        <w:tc>
          <w:tcPr>
            <w:tcW w:w="1223" w:type="dxa"/>
            <w:shd w:val="clear" w:color="auto" w:fill="auto"/>
          </w:tcPr>
          <w:p w14:paraId="018C57C7">
            <w:pPr>
              <w:keepNext w:val="0"/>
              <w:keepLines w:val="0"/>
              <w:suppressLineNumbers w:val="0"/>
              <w:spacing w:before="0" w:beforeAutospacing="0" w:after="0" w:afterAutospacing="0"/>
              <w:ind w:left="0" w:right="-107" w:rightChars="-51"/>
              <w:rPr>
                <w:rFonts w:hint="eastAsia"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收到考核表后30个日历日内交清考核款项</w:t>
            </w:r>
          </w:p>
        </w:tc>
        <w:tc>
          <w:tcPr>
            <w:tcW w:w="1038" w:type="dxa"/>
            <w:shd w:val="clear" w:color="auto" w:fill="auto"/>
          </w:tcPr>
          <w:p w14:paraId="1D09D39F">
            <w:pPr>
              <w:keepNext w:val="0"/>
              <w:keepLines w:val="0"/>
              <w:suppressLineNumbers w:val="0"/>
              <w:spacing w:before="0" w:beforeAutospacing="0" w:after="0" w:afterAutospacing="0"/>
              <w:ind w:left="0" w:right="0"/>
              <w:rPr>
                <w:rFonts w:hint="eastAsia"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违约金缴交</w:t>
            </w:r>
          </w:p>
        </w:tc>
        <w:tc>
          <w:tcPr>
            <w:tcW w:w="3257" w:type="dxa"/>
            <w:shd w:val="clear" w:color="auto" w:fill="auto"/>
          </w:tcPr>
          <w:p w14:paraId="3CA08BE7">
            <w:pPr>
              <w:keepNext w:val="0"/>
              <w:keepLines w:val="0"/>
              <w:suppressLineNumbers w:val="0"/>
              <w:spacing w:before="0" w:beforeAutospacing="0" w:after="0" w:afterAutospacing="0"/>
              <w:ind w:left="0" w:right="0"/>
              <w:rPr>
                <w:rFonts w:hint="eastAsia"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服务商应在收到万翔网商发出考核表后的30个日历日内交清违约金，交完后将付款情况告知万翔网商对应的采购专员。</w:t>
            </w:r>
          </w:p>
        </w:tc>
        <w:tc>
          <w:tcPr>
            <w:tcW w:w="1787" w:type="dxa"/>
            <w:shd w:val="clear" w:color="auto" w:fill="auto"/>
          </w:tcPr>
          <w:p w14:paraId="02EF7026">
            <w:pPr>
              <w:keepNext w:val="0"/>
              <w:keepLines w:val="0"/>
              <w:suppressLineNumbers w:val="0"/>
              <w:spacing w:before="0" w:beforeAutospacing="0" w:after="0" w:afterAutospacing="0"/>
              <w:ind w:left="0" w:right="0"/>
              <w:rPr>
                <w:rFonts w:hint="eastAsia"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未按要求时效和金额缴交违约金</w:t>
            </w:r>
          </w:p>
        </w:tc>
        <w:tc>
          <w:tcPr>
            <w:tcW w:w="2139" w:type="dxa"/>
            <w:shd w:val="clear" w:color="auto" w:fill="auto"/>
          </w:tcPr>
          <w:p w14:paraId="33C8C033">
            <w:pPr>
              <w:keepNext w:val="0"/>
              <w:keepLines w:val="0"/>
              <w:suppressLineNumbers w:val="0"/>
              <w:spacing w:before="0" w:beforeAutospacing="0" w:after="0" w:afterAutospacing="0"/>
              <w:ind w:left="0" w:right="0"/>
              <w:rPr>
                <w:rFonts w:hint="eastAsia"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超过30个日历日按双倍计收违约金</w:t>
            </w:r>
          </w:p>
        </w:tc>
      </w:tr>
    </w:tbl>
    <w:p w14:paraId="1B045732">
      <w:pPr>
        <w:rPr>
          <w:color w:val="auto"/>
          <w:highlight w:val="none"/>
          <w:lang w:val="en-US" w:eastAsia="zh-CN"/>
        </w:rPr>
      </w:pPr>
    </w:p>
    <w:sectPr>
      <w:footerReference r:id="rId9" w:type="firs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Helvetica">
    <w:panose1 w:val="020B0504020202030204"/>
    <w:charset w:val="00"/>
    <w:family w:val="swiss"/>
    <w:pitch w:val="default"/>
    <w:sig w:usb0="00000007" w:usb1="00000000" w:usb2="00000000" w:usb3="00000000" w:csb0="00000093"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E71D">
    <w:pPr>
      <w:pStyle w:val="8"/>
      <w:rPr>
        <w:rFonts w:ascii="宋体" w:hAnsi="宋体"/>
      </w:rPr>
    </w:pPr>
    <w:r>
      <w:rPr>
        <w:rFonts w:ascii="宋体" w:hAnsi="宋体"/>
      </w:rPr>
      <w:t xml:space="preserve"> 1-</w:t>
    </w:r>
    <w:r>
      <w:rPr>
        <w:rFonts w:ascii="宋体" w:hAnsi="宋体"/>
      </w:rPr>
      <w:fldChar w:fldCharType="begin"/>
    </w:r>
    <w:r>
      <w:rPr>
        <w:rStyle w:val="16"/>
        <w:rFonts w:ascii="宋体" w:hAnsi="宋体"/>
      </w:rPr>
      <w:instrText xml:space="preserve"> PAGE </w:instrText>
    </w:r>
    <w:r>
      <w:rPr>
        <w:rFonts w:ascii="宋体" w:hAnsi="宋体"/>
      </w:rPr>
      <w:fldChar w:fldCharType="separate"/>
    </w:r>
    <w:r>
      <w:rPr>
        <w:rStyle w:val="16"/>
        <w:rFonts w:ascii="宋体" w:hAnsi="宋体"/>
      </w:rPr>
      <w:t>38</w:t>
    </w:r>
    <w:r>
      <w:rPr>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10E9C">
    <w:pPr>
      <w:pStyle w:val="8"/>
      <w:jc w:val="center"/>
      <w:rPr>
        <w:rFonts w:ascii="宋体" w:hAnsi="宋体"/>
      </w:rPr>
    </w:pPr>
    <w:r>
      <w:rPr>
        <w:rStyle w:val="16"/>
        <w:rFonts w:ascii="宋体" w:hAnsi="宋体"/>
        <w:szCs w:val="20"/>
      </w:rPr>
      <w:t>2-1-</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3</w:t>
    </w:r>
    <w:r>
      <w:rPr>
        <w:rFonts w:ascii="宋体" w:hAnsi="宋体"/>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44C18">
    <w:pPr>
      <w:pStyle w:val="8"/>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1</w:t>
    </w:r>
    <w:r>
      <w:rPr>
        <w:rFonts w:ascii="宋体" w:hAnsi="宋体"/>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F9E1F">
    <w:pPr>
      <w:snapToGrid w:val="0"/>
      <w:jc w:val="left"/>
      <w:rPr>
        <w:rFonts w:ascii="Calibri" w:hAnsi="Calibri"/>
        <w:sz w:val="18"/>
        <w:szCs w:val="18"/>
      </w:rPr>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245808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458085" cy="147955"/>
                      </a:xfrm>
                      <a:prstGeom prst="rect">
                        <a:avLst/>
                      </a:prstGeom>
                      <a:noFill/>
                      <a:ln w="6350">
                        <a:noFill/>
                      </a:ln>
                      <a:effectLst/>
                    </wps:spPr>
                    <wps:txbx>
                      <w:txbxContent>
                        <w:p w14:paraId="7723868F">
                          <w:pPr>
                            <w:snapToGrid w:val="0"/>
                            <w:ind w:firstLine="3600" w:firstLineChars="2000"/>
                            <w:jc w:val="left"/>
                          </w:pPr>
                          <w:r>
                            <w:rPr>
                              <w:rFonts w:hint="eastAsia" w:ascii="宋体" w:hAnsi="宋体"/>
                              <w:sz w:val="18"/>
                              <w:szCs w:val="18"/>
                            </w:rPr>
                            <w:t>4</w:t>
                          </w:r>
                          <w:r>
                            <w:rPr>
                              <w:rFonts w:ascii="宋体" w:hAnsi="宋体"/>
                              <w:sz w:val="18"/>
                              <w:szCs w:val="18"/>
                            </w:rPr>
                            <w:t>-</w:t>
                          </w:r>
                          <w:r>
                            <w:rPr>
                              <w:rFonts w:ascii="宋体" w:hAnsi="宋体"/>
                              <w:sz w:val="18"/>
                              <w:szCs w:val="18"/>
                            </w:rPr>
                            <w:fldChar w:fldCharType="begin"/>
                          </w:r>
                          <w:r>
                            <w:rPr>
                              <w:rFonts w:ascii="宋体" w:hAnsi="宋体"/>
                              <w:sz w:val="18"/>
                              <w:szCs w:val="18"/>
                            </w:rPr>
                            <w:instrText xml:space="preserve"> PAGE </w:instrText>
                          </w:r>
                          <w:r>
                            <w:rPr>
                              <w:rFonts w:ascii="宋体" w:hAnsi="宋体"/>
                              <w:sz w:val="18"/>
                              <w:szCs w:val="18"/>
                            </w:rPr>
                            <w:fldChar w:fldCharType="separate"/>
                          </w:r>
                          <w:r>
                            <w:rPr>
                              <w:rFonts w:ascii="宋体" w:hAnsi="宋体"/>
                              <w:sz w:val="18"/>
                              <w:szCs w:val="18"/>
                            </w:rPr>
                            <w:t>16</w:t>
                          </w:r>
                          <w:r>
                            <w:rPr>
                              <w:rFonts w:ascii="宋体" w:hAnsi="宋体"/>
                              <w:sz w:val="18"/>
                              <w:szCs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193.55pt;mso-position-horizontal:left;mso-position-horizontal-relative:margin;mso-wrap-style:none;z-index:251659264;mso-width-relative:page;mso-height-relative:page;" filled="f" stroked="f" coordsize="21600,21600" o:gfxdata="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ziVJ90wAAAAQBAAAPAAAAAAAAAAEAIAAAACIAAABkcnMvZG93bnJldi54&#10;bWxQSwECFAAUAAAACACHTuJA/hpnSDgCAABiBAAADgAAAAAAAAABACAAAAAiAQAAZHJzL2Uyb0Rv&#10;Yy54bWxQSwUGAAAAAAYABgBZAQAAzAUAAAAA&#10;">
              <v:fill on="f" focussize="0,0"/>
              <v:stroke on="f" weight="0.5pt"/>
              <v:imagedata o:title=""/>
              <o:lock v:ext="edit" aspectratio="f"/>
              <v:textbox inset="0mm,0mm,0mm,0mm" style="mso-fit-shape-to-text:t;">
                <w:txbxContent>
                  <w:p w14:paraId="7723868F">
                    <w:pPr>
                      <w:snapToGrid w:val="0"/>
                      <w:ind w:firstLine="3600" w:firstLineChars="2000"/>
                      <w:jc w:val="left"/>
                    </w:pPr>
                    <w:r>
                      <w:rPr>
                        <w:rFonts w:hint="eastAsia" w:ascii="宋体" w:hAnsi="宋体"/>
                        <w:sz w:val="18"/>
                        <w:szCs w:val="18"/>
                      </w:rPr>
                      <w:t>4</w:t>
                    </w:r>
                    <w:r>
                      <w:rPr>
                        <w:rFonts w:ascii="宋体" w:hAnsi="宋体"/>
                        <w:sz w:val="18"/>
                        <w:szCs w:val="18"/>
                      </w:rPr>
                      <w:t>-</w:t>
                    </w:r>
                    <w:r>
                      <w:rPr>
                        <w:rFonts w:ascii="宋体" w:hAnsi="宋体"/>
                        <w:sz w:val="18"/>
                        <w:szCs w:val="18"/>
                      </w:rPr>
                      <w:fldChar w:fldCharType="begin"/>
                    </w:r>
                    <w:r>
                      <w:rPr>
                        <w:rFonts w:ascii="宋体" w:hAnsi="宋体"/>
                        <w:sz w:val="18"/>
                        <w:szCs w:val="18"/>
                      </w:rPr>
                      <w:instrText xml:space="preserve"> PAGE </w:instrText>
                    </w:r>
                    <w:r>
                      <w:rPr>
                        <w:rFonts w:ascii="宋体" w:hAnsi="宋体"/>
                        <w:sz w:val="18"/>
                        <w:szCs w:val="18"/>
                      </w:rPr>
                      <w:fldChar w:fldCharType="separate"/>
                    </w:r>
                    <w:r>
                      <w:rPr>
                        <w:rFonts w:ascii="宋体" w:hAnsi="宋体"/>
                        <w:sz w:val="18"/>
                        <w:szCs w:val="18"/>
                      </w:rPr>
                      <w:t>16</w:t>
                    </w:r>
                    <w:r>
                      <w:rPr>
                        <w:rFonts w:ascii="宋体" w:hAnsi="宋体"/>
                        <w:sz w:val="18"/>
                        <w:szCs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B7949">
    <w:pPr>
      <w:pStyle w:val="11"/>
      <w:tabs>
        <w:tab w:val="right" w:pos="8460"/>
      </w:tabs>
      <w:ind w:right="-89"/>
      <w:jc w:val="center"/>
      <w:rPr>
        <w:rFonts w:ascii="宋体" w:hAnsi="宋体"/>
      </w:rPr>
    </w:pPr>
    <w:r>
      <w:rPr>
        <w:rFonts w:hint="eastAsia" w:ascii="宋体" w:hAnsi="宋体"/>
        <w:szCs w:val="20"/>
      </w:rPr>
      <w:t>4</w:t>
    </w:r>
    <w:r>
      <w:rPr>
        <w:rFonts w:ascii="宋体" w:hAnsi="宋体"/>
        <w:szCs w:val="20"/>
      </w:rPr>
      <w:t>-</w:t>
    </w:r>
    <w:r>
      <w:rPr>
        <w:rFonts w:ascii="宋体" w:hAnsi="宋体"/>
        <w:szCs w:val="20"/>
      </w:rPr>
      <w:fldChar w:fldCharType="begin"/>
    </w:r>
    <w:r>
      <w:rPr>
        <w:rStyle w:val="21"/>
        <w:rFonts w:ascii="宋体" w:hAnsi="宋体"/>
        <w:szCs w:val="20"/>
      </w:rPr>
      <w:instrText xml:space="preserve"> PAGE </w:instrText>
    </w:r>
    <w:r>
      <w:rPr>
        <w:rFonts w:ascii="宋体" w:hAnsi="宋体"/>
        <w:szCs w:val="20"/>
      </w:rPr>
      <w:fldChar w:fldCharType="separate"/>
    </w:r>
    <w:r>
      <w:rPr>
        <w:rStyle w:val="21"/>
        <w:rFonts w:ascii="宋体" w:hAnsi="宋体"/>
        <w:szCs w:val="20"/>
      </w:rPr>
      <w:t>1</w:t>
    </w:r>
    <w:r>
      <w:rPr>
        <w:rFonts w:ascii="宋体" w:hAnsi="宋体"/>
        <w:szCs w:val="20"/>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E9125">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67273">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C8452A"/>
    <w:multiLevelType w:val="singleLevel"/>
    <w:tmpl w:val="8EC8452A"/>
    <w:lvl w:ilvl="0" w:tentative="0">
      <w:start w:val="2"/>
      <w:numFmt w:val="chineseCounting"/>
      <w:suff w:val="nothing"/>
      <w:lvlText w:val="（%1）"/>
      <w:lvlJc w:val="left"/>
      <w:rPr>
        <w:rFonts w:hint="eastAsia"/>
      </w:rPr>
    </w:lvl>
  </w:abstractNum>
  <w:abstractNum w:abstractNumId="1">
    <w:nsid w:val="BF6BC116"/>
    <w:multiLevelType w:val="singleLevel"/>
    <w:tmpl w:val="BF6BC116"/>
    <w:lvl w:ilvl="0" w:tentative="0">
      <w:start w:val="16"/>
      <w:numFmt w:val="decimal"/>
      <w:suff w:val="space"/>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7A0F6431"/>
    <w:multiLevelType w:val="singleLevel"/>
    <w:tmpl w:val="7A0F6431"/>
    <w:lvl w:ilvl="0" w:tentative="0">
      <w:start w:val="1"/>
      <w:numFmt w:val="decimal"/>
      <w:suff w:val="space"/>
      <w:lvlText w:val="%1."/>
      <w:lvlJc w:val="left"/>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7"/>
  </w:num>
  <w:num w:numId="4">
    <w:abstractNumId w:val="5"/>
  </w:num>
  <w:num w:numId="5">
    <w:abstractNumId w:val="3"/>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5F4A6D"/>
    <w:rsid w:val="707B5FF8"/>
    <w:rsid w:val="7B662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next w:val="1"/>
    <w:qFormat/>
    <w:uiPriority w:val="0"/>
    <w:pPr>
      <w:keepNext/>
      <w:keepLines/>
      <w:widowControl w:val="0"/>
      <w:spacing w:before="260" w:after="260" w:line="416" w:lineRule="auto"/>
      <w:jc w:val="both"/>
      <w:outlineLvl w:val="1"/>
    </w:pPr>
    <w:rPr>
      <w:rFonts w:ascii="Arial" w:hAnsi="Arial" w:eastAsia="黑体" w:cs="Times New Roman"/>
      <w:b/>
      <w:bCs/>
      <w:kern w:val="2"/>
      <w:sz w:val="32"/>
      <w:szCs w:val="32"/>
      <w:lang w:val="en-US" w:eastAsia="zh-CN" w:bidi="ar-SA"/>
    </w:rPr>
  </w:style>
  <w:style w:type="character" w:default="1" w:styleId="14">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jc w:val="center"/>
    </w:pPr>
    <w:rPr>
      <w:rFonts w:ascii="幼圆" w:hAnsi="新宋体" w:eastAsia="幼圆"/>
      <w:b/>
      <w:bCs/>
      <w:sz w:val="84"/>
      <w:szCs w:val="20"/>
    </w:rPr>
  </w:style>
  <w:style w:type="paragraph" w:styleId="5">
    <w:name w:val="Body Text Indent"/>
    <w:basedOn w:val="1"/>
    <w:next w:val="1"/>
    <w:qFormat/>
    <w:uiPriority w:val="0"/>
    <w:pPr>
      <w:ind w:left="420" w:leftChars="200"/>
    </w:p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spacing w:after="120" w:line="480" w:lineRule="auto"/>
      <w:ind w:left="420"/>
    </w:pPr>
    <w:rPr>
      <w:szCs w:val="20"/>
    </w:rPr>
  </w:style>
  <w:style w:type="paragraph" w:styleId="8">
    <w:name w:val="footer"/>
    <w:basedOn w:val="1"/>
    <w:link w:val="2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1">
    <w:name w:val="Body Text First Indent 2"/>
    <w:basedOn w:val="5"/>
    <w:next w:val="1"/>
    <w:qFormat/>
    <w:uiPriority w:val="0"/>
    <w:pPr>
      <w:ind w:firstLine="420" w:firstLineChars="200"/>
    </w:pPr>
  </w:style>
  <w:style w:type="table" w:styleId="13">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cPr>
      <w:tcBorders>
        <w:top w:val="single" w:color="000000" w:sz="4" w:space="0"/>
        <w:left w:val="single" w:color="000000" w:sz="4" w:space="0"/>
        <w:bottom w:val="single" w:color="000000" w:sz="4" w:space="0"/>
        <w:right w:val="single" w:color="000000" w:sz="4" w:space="0"/>
      </w:tcBorders>
    </w:tcPr>
  </w:style>
  <w:style w:type="character" w:styleId="15">
    <w:name w:val="Strong"/>
    <w:basedOn w:val="14"/>
    <w:qFormat/>
    <w:uiPriority w:val="22"/>
    <w:rPr>
      <w:b/>
      <w:bCs/>
    </w:rPr>
  </w:style>
  <w:style w:type="character" w:styleId="16">
    <w:name w:val="page number"/>
    <w:basedOn w:val="14"/>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8">
    <w:name w:val="列出段落1"/>
    <w:basedOn w:val="1"/>
    <w:qFormat/>
    <w:uiPriority w:val="0"/>
    <w:pPr>
      <w:ind w:firstLine="420" w:firstLineChars="200"/>
    </w:pPr>
    <w:rPr>
      <w:szCs w:val="24"/>
    </w:rPr>
  </w:style>
  <w:style w:type="paragraph" w:customStyle="1" w:styleId="19">
    <w:name w:val="p0"/>
    <w:basedOn w:val="1"/>
    <w:qFormat/>
    <w:uiPriority w:val="0"/>
    <w:pPr>
      <w:widowControl/>
    </w:pPr>
    <w:rPr>
      <w:kern w:val="0"/>
      <w:szCs w:val="21"/>
    </w:rPr>
  </w:style>
  <w:style w:type="paragraph" w:customStyle="1" w:styleId="2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character" w:customStyle="1" w:styleId="21">
    <w:name w:val="页脚 Char"/>
    <w:basedOn w:val="14"/>
    <w:link w:val="8"/>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21028</Words>
  <Characters>23072</Characters>
  <Lines>0</Lines>
  <Paragraphs>0</Paragraphs>
  <TotalTime>105</TotalTime>
  <ScaleCrop>false</ScaleCrop>
  <LinksUpToDate>false</LinksUpToDate>
  <CharactersWithSpaces>23297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2025-06-25T03:06:00Z</dcterms:created>
  <dc:creator>Dell</dc:creator>
  <cp:lastModifiedBy>Dell</cp:lastModifiedBy>
  <dcterms:modified xsi:type="dcterms:W3CDTF">2025-06-25T05:15:26Z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eyJoZGlkIjoiMWNhYWIzMDI0MWMzODgzNmNiNWE5OTZlNjc0MGJhNDgifQ==</vt:lpwstr>
  </property>
  <property fmtid="{D5CDD505-2E9C-101B-9397-08002B2CF9AE}" pid="4" name="ICV">
    <vt:lpwstr>5551C34C2AC541708B0648C3C631BB88_12</vt:lpwstr>
  </property>
</Properties>
</file>