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00B130">
      <w:pPr>
        <w:jc w:val="center"/>
        <w:rPr>
          <w:rFonts w:ascii="宋体" w:hAnsi="宋体"/>
          <w:b/>
          <w:color w:val="auto"/>
          <w:sz w:val="72"/>
          <w:highlight w:val="none"/>
        </w:rPr>
      </w:pPr>
      <w:bookmarkStart w:id="1" w:name="_GoBack"/>
      <w:r>
        <w:rPr>
          <w:rFonts w:hint="eastAsia" w:ascii="宋体" w:hAnsi="宋体"/>
          <w:b/>
          <w:color w:val="auto"/>
          <w:sz w:val="72"/>
          <w:highlight w:val="none"/>
        </w:rPr>
        <w:t>厦 门 市 大 宗 货 物</w:t>
      </w:r>
    </w:p>
    <w:p w14:paraId="202D9196">
      <w:pPr>
        <w:jc w:val="center"/>
        <w:rPr>
          <w:rFonts w:ascii="宋体" w:hAnsi="宋体"/>
          <w:b/>
          <w:color w:val="auto"/>
          <w:sz w:val="72"/>
          <w:highlight w:val="none"/>
        </w:rPr>
      </w:pPr>
      <w:r>
        <w:rPr>
          <w:rFonts w:hint="eastAsia" w:ascii="宋体" w:hAnsi="宋体"/>
          <w:b/>
          <w:color w:val="auto"/>
          <w:sz w:val="72"/>
          <w:highlight w:val="none"/>
        </w:rPr>
        <w:t xml:space="preserve">政 府 采 购 项 目 </w:t>
      </w:r>
    </w:p>
    <w:p w14:paraId="43E03289">
      <w:pPr>
        <w:spacing w:line="360" w:lineRule="auto"/>
        <w:jc w:val="center"/>
        <w:rPr>
          <w:rFonts w:ascii="宋体" w:hAnsi="宋体"/>
          <w:b/>
          <w:color w:val="auto"/>
          <w:sz w:val="72"/>
          <w:highlight w:val="none"/>
        </w:rPr>
      </w:pPr>
      <w:r>
        <w:rPr>
          <w:rFonts w:hint="eastAsia" w:ascii="宋体" w:hAnsi="宋体"/>
          <w:b/>
          <w:color w:val="auto"/>
          <w:sz w:val="72"/>
          <w:highlight w:val="none"/>
        </w:rPr>
        <w:t>招   标   文   件</w:t>
      </w:r>
    </w:p>
    <w:p w14:paraId="1AE07C84">
      <w:pPr>
        <w:spacing w:line="360" w:lineRule="auto"/>
        <w:ind w:firstLine="1438" w:firstLineChars="398"/>
        <w:rPr>
          <w:rFonts w:ascii="宋体" w:hAnsi="宋体"/>
          <w:b/>
          <w:color w:val="auto"/>
          <w:sz w:val="36"/>
          <w:highlight w:val="none"/>
        </w:rPr>
      </w:pPr>
    </w:p>
    <w:p w14:paraId="322720DE">
      <w:pPr>
        <w:spacing w:line="360" w:lineRule="auto"/>
        <w:ind w:firstLine="1438" w:firstLineChars="398"/>
        <w:rPr>
          <w:rFonts w:ascii="宋体" w:hAnsi="宋体"/>
          <w:b/>
          <w:color w:val="auto"/>
          <w:sz w:val="36"/>
          <w:highlight w:val="none"/>
        </w:rPr>
      </w:pPr>
    </w:p>
    <w:p w14:paraId="50D87BE5">
      <w:pPr>
        <w:spacing w:line="360" w:lineRule="auto"/>
        <w:ind w:firstLine="1438" w:firstLineChars="398"/>
        <w:rPr>
          <w:rFonts w:ascii="宋体" w:hAnsi="宋体"/>
          <w:b/>
          <w:color w:val="auto"/>
          <w:sz w:val="36"/>
          <w:highlight w:val="none"/>
        </w:rPr>
      </w:pPr>
    </w:p>
    <w:p w14:paraId="523FE5D6">
      <w:pPr>
        <w:spacing w:line="360" w:lineRule="auto"/>
        <w:ind w:firstLine="1438" w:firstLineChars="398"/>
        <w:rPr>
          <w:rFonts w:ascii="宋体" w:hAnsi="宋体"/>
          <w:b/>
          <w:color w:val="auto"/>
          <w:sz w:val="36"/>
          <w:highlight w:val="none"/>
        </w:rPr>
      </w:pPr>
    </w:p>
    <w:p w14:paraId="50E6DF22">
      <w:pPr>
        <w:spacing w:line="360" w:lineRule="auto"/>
        <w:ind w:firstLine="1438" w:firstLineChars="398"/>
        <w:rPr>
          <w:rFonts w:ascii="宋体" w:hAnsi="宋体"/>
          <w:b/>
          <w:color w:val="auto"/>
          <w:sz w:val="36"/>
          <w:highlight w:val="none"/>
          <w:u w:val="single"/>
        </w:rPr>
      </w:pPr>
      <w:r>
        <w:rPr>
          <w:rFonts w:hint="eastAsia" w:ascii="宋体" w:hAnsi="宋体"/>
          <w:b/>
          <w:color w:val="auto"/>
          <w:sz w:val="36"/>
          <w:highlight w:val="none"/>
        </w:rPr>
        <w:t>招 标 编 号：</w:t>
      </w:r>
      <w:r>
        <w:rPr>
          <w:rFonts w:hint="eastAsia" w:ascii="宋体" w:hAnsi="宋体"/>
          <w:b/>
          <w:color w:val="auto"/>
          <w:sz w:val="36"/>
          <w:highlight w:val="none"/>
          <w:u w:val="single"/>
        </w:rPr>
        <w:t>XM2025-DZ0048</w:t>
      </w:r>
    </w:p>
    <w:p w14:paraId="0666E4B6">
      <w:pPr>
        <w:spacing w:line="360" w:lineRule="auto"/>
        <w:ind w:left="3948" w:leftChars="684" w:hanging="2512" w:hangingChars="695"/>
        <w:rPr>
          <w:rFonts w:ascii="宋体" w:hAnsi="宋体"/>
          <w:b/>
          <w:color w:val="auto"/>
          <w:sz w:val="36"/>
          <w:highlight w:val="none"/>
          <w:u w:val="single"/>
        </w:rPr>
      </w:pPr>
      <w:r>
        <w:rPr>
          <w:rFonts w:hint="eastAsia" w:ascii="宋体" w:hAnsi="宋体"/>
          <w:b/>
          <w:color w:val="auto"/>
          <w:sz w:val="36"/>
          <w:highlight w:val="none"/>
        </w:rPr>
        <w:t>项 目 名 称：</w:t>
      </w:r>
      <w:r>
        <w:rPr>
          <w:rFonts w:hint="eastAsia" w:ascii="宋体" w:hAnsi="宋体"/>
          <w:b/>
          <w:color w:val="auto"/>
          <w:sz w:val="36"/>
          <w:highlight w:val="none"/>
          <w:u w:val="single"/>
        </w:rPr>
        <w:t>台式计算机等</w:t>
      </w:r>
    </w:p>
    <w:p w14:paraId="2E5C6CD5">
      <w:pPr>
        <w:spacing w:line="360" w:lineRule="auto"/>
        <w:ind w:firstLine="1438" w:firstLineChars="398"/>
        <w:rPr>
          <w:rFonts w:ascii="宋体" w:hAnsi="宋体"/>
          <w:b/>
          <w:color w:val="auto"/>
          <w:sz w:val="36"/>
          <w:highlight w:val="none"/>
        </w:rPr>
      </w:pPr>
    </w:p>
    <w:p w14:paraId="2656367A">
      <w:pPr>
        <w:spacing w:line="360" w:lineRule="auto"/>
        <w:ind w:firstLine="1438" w:firstLineChars="398"/>
        <w:rPr>
          <w:rFonts w:ascii="宋体" w:hAnsi="宋体"/>
          <w:b/>
          <w:color w:val="auto"/>
          <w:sz w:val="36"/>
          <w:highlight w:val="none"/>
        </w:rPr>
      </w:pPr>
    </w:p>
    <w:p w14:paraId="603583A8">
      <w:pPr>
        <w:spacing w:line="360" w:lineRule="auto"/>
        <w:ind w:firstLine="1438" w:firstLineChars="398"/>
        <w:rPr>
          <w:rFonts w:ascii="宋体" w:hAnsi="宋体"/>
          <w:b/>
          <w:color w:val="auto"/>
          <w:sz w:val="36"/>
          <w:highlight w:val="none"/>
        </w:rPr>
      </w:pPr>
    </w:p>
    <w:p w14:paraId="4BCBAE86">
      <w:pPr>
        <w:spacing w:line="360" w:lineRule="auto"/>
        <w:ind w:firstLine="1438" w:firstLineChars="398"/>
        <w:rPr>
          <w:rFonts w:ascii="宋体" w:hAnsi="宋体"/>
          <w:b/>
          <w:color w:val="auto"/>
          <w:sz w:val="36"/>
          <w:highlight w:val="none"/>
        </w:rPr>
      </w:pPr>
    </w:p>
    <w:p w14:paraId="4A452867">
      <w:pPr>
        <w:spacing w:line="360" w:lineRule="auto"/>
        <w:ind w:firstLine="1438" w:firstLineChars="398"/>
        <w:rPr>
          <w:rFonts w:ascii="宋体" w:hAnsi="宋体"/>
          <w:b/>
          <w:color w:val="auto"/>
          <w:sz w:val="36"/>
          <w:highlight w:val="none"/>
        </w:rPr>
      </w:pPr>
    </w:p>
    <w:p w14:paraId="52F90917">
      <w:pPr>
        <w:pStyle w:val="8"/>
        <w:ind w:firstLine="1445" w:firstLineChars="400"/>
        <w:jc w:val="left"/>
        <w:rPr>
          <w:rFonts w:hAnsi="宋体" w:cs="宋体"/>
          <w:b/>
          <w:color w:val="auto"/>
          <w:spacing w:val="20"/>
          <w:sz w:val="32"/>
          <w:highlight w:val="none"/>
        </w:rPr>
      </w:pPr>
      <w:r>
        <w:rPr>
          <w:rFonts w:hint="eastAsia" w:hAnsi="宋体" w:cs="宋体"/>
          <w:b/>
          <w:color w:val="auto"/>
          <w:spacing w:val="20"/>
          <w:sz w:val="32"/>
          <w:highlight w:val="none"/>
        </w:rPr>
        <w:t>使用单位：</w:t>
      </w:r>
      <w:r>
        <w:rPr>
          <w:rFonts w:hint="eastAsia" w:hAnsi="宋体"/>
          <w:b/>
          <w:color w:val="auto"/>
          <w:spacing w:val="20"/>
          <w:sz w:val="32"/>
          <w:highlight w:val="none"/>
        </w:rPr>
        <w:t>集美大学</w:t>
      </w:r>
    </w:p>
    <w:p w14:paraId="63EA29AD">
      <w:pPr>
        <w:pStyle w:val="8"/>
        <w:ind w:firstLine="1438" w:firstLineChars="398"/>
        <w:jc w:val="left"/>
        <w:rPr>
          <w:rFonts w:hAnsi="宋体" w:cs="宋体"/>
          <w:b/>
          <w:bCs/>
          <w:color w:val="auto"/>
          <w:sz w:val="32"/>
          <w:highlight w:val="none"/>
          <w:u w:val="single"/>
        </w:rPr>
      </w:pPr>
      <w:r>
        <w:rPr>
          <w:rFonts w:hint="eastAsia" w:hAnsi="宋体" w:cs="宋体"/>
          <w:b/>
          <w:color w:val="auto"/>
          <w:spacing w:val="20"/>
          <w:sz w:val="32"/>
          <w:highlight w:val="none"/>
        </w:rPr>
        <w:t>采购单位：</w:t>
      </w:r>
      <w:r>
        <w:rPr>
          <w:rFonts w:hint="eastAsia" w:hAnsi="宋体" w:cs="宋体"/>
          <w:b/>
          <w:bCs/>
          <w:color w:val="auto"/>
          <w:sz w:val="32"/>
          <w:highlight w:val="none"/>
        </w:rPr>
        <w:t>厦门万翔网络商务有限公司</w:t>
      </w:r>
    </w:p>
    <w:p w14:paraId="27F26869">
      <w:pPr>
        <w:pStyle w:val="8"/>
        <w:spacing w:line="360" w:lineRule="auto"/>
        <w:ind w:firstLine="1438" w:firstLineChars="398"/>
        <w:jc w:val="left"/>
        <w:rPr>
          <w:rFonts w:hAnsi="宋体"/>
          <w:b/>
          <w:color w:val="auto"/>
          <w:sz w:val="28"/>
          <w:highlight w:val="none"/>
        </w:rPr>
      </w:pPr>
      <w:r>
        <w:rPr>
          <w:rFonts w:hint="eastAsia" w:hAnsi="宋体"/>
          <w:b/>
          <w:color w:val="auto"/>
          <w:spacing w:val="20"/>
          <w:sz w:val="32"/>
          <w:highlight w:val="none"/>
        </w:rPr>
        <w:t>招标代理机构：</w:t>
      </w:r>
      <w:r>
        <w:rPr>
          <w:rFonts w:hint="eastAsia" w:hAnsi="宋体"/>
          <w:b/>
          <w:bCs/>
          <w:color w:val="auto"/>
          <w:sz w:val="32"/>
          <w:highlight w:val="none"/>
        </w:rPr>
        <w:t>厦门万翔招标有限公司</w:t>
      </w:r>
    </w:p>
    <w:p w14:paraId="0BD347C9">
      <w:pPr>
        <w:spacing w:line="360" w:lineRule="auto"/>
        <w:ind w:firstLine="1438" w:firstLineChars="398"/>
        <w:rPr>
          <w:rFonts w:ascii="宋体" w:hAnsi="宋体"/>
          <w:b/>
          <w:color w:val="auto"/>
          <w:sz w:val="36"/>
          <w:highlight w:val="none"/>
        </w:rPr>
      </w:pPr>
    </w:p>
    <w:p w14:paraId="4AAE46ED">
      <w:pPr>
        <w:pStyle w:val="8"/>
        <w:spacing w:line="360" w:lineRule="auto"/>
        <w:jc w:val="center"/>
        <w:outlineLvl w:val="0"/>
        <w:rPr>
          <w:rFonts w:hAnsi="宋体"/>
          <w:b/>
          <w:color w:val="auto"/>
          <w:sz w:val="32"/>
          <w:highlight w:val="none"/>
        </w:rPr>
      </w:pPr>
      <w:r>
        <w:rPr>
          <w:rFonts w:hint="eastAsia" w:hAnsi="宋体"/>
          <w:b/>
          <w:color w:val="auto"/>
          <w:sz w:val="32"/>
          <w:highlight w:val="none"/>
        </w:rPr>
        <w:t>2025年</w:t>
      </w:r>
    </w:p>
    <w:p w14:paraId="47CEB928">
      <w:pPr>
        <w:pStyle w:val="8"/>
        <w:spacing w:line="360" w:lineRule="auto"/>
        <w:jc w:val="center"/>
        <w:outlineLvl w:val="0"/>
        <w:rPr>
          <w:rFonts w:hAnsi="宋体"/>
          <w:b/>
          <w:color w:val="auto"/>
          <w:sz w:val="32"/>
          <w:highlight w:val="none"/>
        </w:rPr>
      </w:pPr>
    </w:p>
    <w:p w14:paraId="109313B5">
      <w:pPr>
        <w:pStyle w:val="8"/>
        <w:spacing w:line="360" w:lineRule="auto"/>
        <w:jc w:val="center"/>
        <w:outlineLvl w:val="0"/>
        <w:rPr>
          <w:rFonts w:hAnsi="宋体"/>
          <w:b/>
          <w:color w:val="auto"/>
          <w:sz w:val="32"/>
          <w:highlight w:val="none"/>
        </w:rPr>
      </w:pPr>
    </w:p>
    <w:p w14:paraId="5BD5D348">
      <w:pPr>
        <w:jc w:val="center"/>
        <w:rPr>
          <w:rFonts w:ascii="宋体" w:hAnsi="宋体" w:cs="宋体"/>
          <w:b/>
          <w:bCs/>
          <w:color w:val="auto"/>
          <w:sz w:val="32"/>
          <w:szCs w:val="32"/>
          <w:highlight w:val="none"/>
        </w:rPr>
      </w:pPr>
      <w:r>
        <w:rPr>
          <w:rFonts w:hint="eastAsia" w:ascii="宋体" w:hAnsi="宋体" w:cs="宋体"/>
          <w:b/>
          <w:bCs/>
          <w:color w:val="auto"/>
          <w:sz w:val="32"/>
          <w:szCs w:val="32"/>
          <w:highlight w:val="none"/>
        </w:rPr>
        <w:t>关于政府采购信用贷款的提示</w:t>
      </w:r>
    </w:p>
    <w:p w14:paraId="4F6D298C">
      <w:pPr>
        <w:jc w:val="center"/>
        <w:rPr>
          <w:rFonts w:ascii="宋体" w:hAnsi="宋体" w:cs="宋体"/>
          <w:b/>
          <w:bCs/>
          <w:color w:val="auto"/>
          <w:sz w:val="32"/>
          <w:szCs w:val="32"/>
          <w:highlight w:val="none"/>
        </w:rPr>
      </w:pPr>
      <w:r>
        <w:rPr>
          <w:rFonts w:hint="eastAsia" w:ascii="宋体" w:hAnsi="宋体" w:cs="宋体"/>
          <w:b/>
          <w:bCs/>
          <w:color w:val="auto"/>
          <w:sz w:val="32"/>
          <w:szCs w:val="32"/>
          <w:highlight w:val="none"/>
        </w:rPr>
        <w:t>（201608版）</w:t>
      </w:r>
    </w:p>
    <w:p w14:paraId="2ED67E66">
      <w:pPr>
        <w:rPr>
          <w:rFonts w:ascii="宋体" w:hAnsi="宋体" w:cs="宋体"/>
          <w:color w:val="auto"/>
          <w:sz w:val="24"/>
          <w:szCs w:val="24"/>
          <w:highlight w:val="none"/>
        </w:rPr>
      </w:pPr>
    </w:p>
    <w:p w14:paraId="62F41252">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政府采购项目中标（成交）供应商(若为中小企业)可申请政府采购信用贷款，即中标（成交）供应商可凭中标（成交）通知书向以下金融机构申请政府采购信用融资贷款，由专业担保机构提供担保，或由保险公司为融资提供保险。供应商在参加本项目时，即可与支持政府采购信用贷款的金融机构联系，咨询办理政府采购信用贷款的具体事宜。</w:t>
      </w:r>
    </w:p>
    <w:p w14:paraId="077D6A52">
      <w:pPr>
        <w:spacing w:line="360" w:lineRule="auto"/>
        <w:ind w:firstLine="482" w:firstLineChars="200"/>
        <w:rPr>
          <w:rFonts w:ascii="宋体" w:hAnsi="宋体" w:cs="宋体"/>
          <w:b/>
          <w:bCs/>
          <w:color w:val="auto"/>
          <w:sz w:val="24"/>
          <w:szCs w:val="24"/>
          <w:highlight w:val="none"/>
        </w:rPr>
      </w:pPr>
      <w:r>
        <w:rPr>
          <w:rFonts w:hint="eastAsia" w:ascii="宋体" w:hAnsi="宋体" w:cs="宋体"/>
          <w:b/>
          <w:bCs/>
          <w:color w:val="auto"/>
          <w:sz w:val="24"/>
          <w:szCs w:val="24"/>
          <w:highlight w:val="none"/>
        </w:rPr>
        <w:t xml:space="preserve">有关金融机构联系方式： </w:t>
      </w:r>
    </w:p>
    <w:p w14:paraId="42BDA41D">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（一）中国建设银行厦门分行：</w:t>
      </w:r>
    </w:p>
    <w:p w14:paraId="1BB4C153">
      <w:pPr>
        <w:spacing w:line="360" w:lineRule="auto"/>
        <w:ind w:firstLine="600" w:firstLineChars="250"/>
        <w:rPr>
          <w:rFonts w:ascii="宋体" w:hAnsi="宋体" w:cs="宋体"/>
          <w:color w:val="auto"/>
          <w:sz w:val="24"/>
          <w:szCs w:val="24"/>
          <w:highlight w:val="none"/>
        </w:rPr>
      </w:pPr>
      <w:r>
        <w:rPr>
          <w:rFonts w:hint="eastAsia" w:ascii="宋体" w:hAnsi="宋体" w:cs="宋体"/>
          <w:color w:val="auto"/>
          <w:sz w:val="24"/>
          <w:szCs w:val="24"/>
          <w:highlight w:val="none"/>
        </w:rPr>
        <w:t xml:space="preserve">联系人：魏慧媛   2158595 </w:t>
      </w:r>
    </w:p>
    <w:p w14:paraId="2F968961">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（二）中国光大银行厦门分行：</w:t>
      </w:r>
    </w:p>
    <w:p w14:paraId="4562732E">
      <w:pPr>
        <w:spacing w:line="360" w:lineRule="auto"/>
        <w:ind w:firstLine="600" w:firstLineChars="250"/>
        <w:rPr>
          <w:rFonts w:ascii="宋体" w:hAnsi="宋体" w:cs="宋体"/>
          <w:color w:val="auto"/>
          <w:sz w:val="24"/>
          <w:szCs w:val="24"/>
          <w:highlight w:val="none"/>
        </w:rPr>
      </w:pPr>
      <w:r>
        <w:rPr>
          <w:rFonts w:hint="eastAsia" w:ascii="宋体" w:hAnsi="宋体" w:cs="宋体"/>
          <w:color w:val="auto"/>
          <w:sz w:val="24"/>
          <w:szCs w:val="24"/>
          <w:highlight w:val="none"/>
        </w:rPr>
        <w:t>联系人：陈  虹   2283776、13806013400；朱姗姗   2991131、18050082825</w:t>
      </w:r>
    </w:p>
    <w:p w14:paraId="1FCB267B">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（三）兴业银行厦门分行</w:t>
      </w:r>
    </w:p>
    <w:p w14:paraId="17039448">
      <w:pPr>
        <w:spacing w:line="360" w:lineRule="auto"/>
        <w:ind w:firstLine="600" w:firstLineChars="250"/>
        <w:rPr>
          <w:rFonts w:ascii="宋体" w:hAnsi="宋体" w:cs="宋体"/>
          <w:color w:val="auto"/>
          <w:sz w:val="24"/>
          <w:szCs w:val="24"/>
          <w:highlight w:val="none"/>
        </w:rPr>
      </w:pPr>
      <w:r>
        <w:rPr>
          <w:rFonts w:hint="eastAsia" w:ascii="宋体" w:hAnsi="宋体" w:cs="宋体"/>
          <w:color w:val="auto"/>
          <w:sz w:val="24"/>
          <w:szCs w:val="24"/>
          <w:highlight w:val="none"/>
        </w:rPr>
        <w:t xml:space="preserve">联系人：陈小姐  0592-5312509 13599531245 ；高经理  0592-5312350 13850017508 </w:t>
      </w:r>
    </w:p>
    <w:p w14:paraId="64555F38">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（四）厦门市担保有限公司：</w:t>
      </w:r>
    </w:p>
    <w:p w14:paraId="43E19CB0">
      <w:pPr>
        <w:spacing w:line="360" w:lineRule="auto"/>
        <w:ind w:firstLine="600" w:firstLineChars="250"/>
        <w:rPr>
          <w:rFonts w:ascii="宋体" w:hAnsi="宋体" w:cs="宋体"/>
          <w:color w:val="auto"/>
          <w:sz w:val="24"/>
          <w:szCs w:val="24"/>
          <w:highlight w:val="none"/>
        </w:rPr>
      </w:pPr>
      <w:r>
        <w:rPr>
          <w:rFonts w:hint="eastAsia" w:ascii="宋体" w:hAnsi="宋体" w:cs="宋体"/>
          <w:color w:val="auto"/>
          <w:sz w:val="24"/>
          <w:szCs w:val="24"/>
          <w:highlight w:val="none"/>
        </w:rPr>
        <w:t>联系人：陈文辉   5125116；吴龙辉   5120019</w:t>
      </w:r>
    </w:p>
    <w:p w14:paraId="7F8FF077">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 xml:space="preserve">（五）厦门银行股份有限公司 </w:t>
      </w:r>
    </w:p>
    <w:p w14:paraId="317000E6">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联系人：张冬梅 13395990009 ；陈韵 13656021986</w:t>
      </w:r>
    </w:p>
    <w:p w14:paraId="2D282907">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以上具体贷款事项，以贷款机构与贷款人最终签订的贷款合同约定为准，贷款人应进一步与贷款金融机构了解详细情况。任何单位和个人均不得干预银企双方开展政府采购信用贷款业务。</w:t>
      </w:r>
    </w:p>
    <w:p w14:paraId="268620B1">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本提示仅作为信息告知，具体贷款事宜以银行等有关金融机构审批为准。</w:t>
      </w:r>
    </w:p>
    <w:p w14:paraId="17955F65">
      <w:pPr>
        <w:spacing w:line="360" w:lineRule="auto"/>
        <w:ind w:firstLine="480" w:firstLineChars="200"/>
        <w:rPr>
          <w:rFonts w:ascii="宋体" w:hAnsi="宋体" w:cs="宋体"/>
          <w:color w:val="auto"/>
          <w:sz w:val="24"/>
          <w:szCs w:val="24"/>
          <w:highlight w:val="none"/>
        </w:rPr>
      </w:pPr>
    </w:p>
    <w:p w14:paraId="1F1EF07C">
      <w:pPr>
        <w:spacing w:line="360" w:lineRule="auto"/>
        <w:ind w:firstLine="480" w:firstLineChars="200"/>
        <w:rPr>
          <w:rFonts w:ascii="宋体" w:hAnsi="宋体" w:cs="宋体"/>
          <w:color w:val="auto"/>
          <w:sz w:val="24"/>
          <w:szCs w:val="24"/>
          <w:highlight w:val="none"/>
        </w:rPr>
      </w:pPr>
    </w:p>
    <w:p w14:paraId="1A3E30C2">
      <w:pPr>
        <w:spacing w:line="360" w:lineRule="auto"/>
        <w:ind w:firstLine="480" w:firstLineChars="200"/>
        <w:rPr>
          <w:rFonts w:ascii="宋体" w:hAnsi="宋体" w:cs="宋体"/>
          <w:color w:val="auto"/>
          <w:sz w:val="24"/>
          <w:szCs w:val="24"/>
          <w:highlight w:val="none"/>
        </w:rPr>
      </w:pPr>
    </w:p>
    <w:p w14:paraId="47239329">
      <w:pPr>
        <w:spacing w:line="360" w:lineRule="auto"/>
        <w:ind w:firstLine="480" w:firstLineChars="200"/>
        <w:rPr>
          <w:rFonts w:ascii="宋体" w:hAnsi="宋体" w:cs="宋体"/>
          <w:color w:val="auto"/>
          <w:sz w:val="24"/>
          <w:szCs w:val="24"/>
          <w:highlight w:val="none"/>
        </w:rPr>
      </w:pPr>
    </w:p>
    <w:p w14:paraId="7A33CE36">
      <w:pPr>
        <w:spacing w:line="360" w:lineRule="auto"/>
        <w:rPr>
          <w:rFonts w:ascii="宋体" w:hAnsi="宋体" w:cs="宋体"/>
          <w:color w:val="auto"/>
          <w:sz w:val="24"/>
          <w:szCs w:val="24"/>
          <w:highlight w:val="none"/>
        </w:rPr>
      </w:pPr>
    </w:p>
    <w:p w14:paraId="11559028">
      <w:pPr>
        <w:pStyle w:val="8"/>
        <w:spacing w:line="360" w:lineRule="auto"/>
        <w:jc w:val="center"/>
        <w:outlineLvl w:val="0"/>
        <w:rPr>
          <w:rFonts w:hAnsi="宋体" w:cs="宋体"/>
          <w:b/>
          <w:bCs/>
          <w:color w:val="auto"/>
          <w:sz w:val="32"/>
          <w:szCs w:val="32"/>
          <w:highlight w:val="none"/>
        </w:rPr>
      </w:pPr>
      <w:r>
        <w:rPr>
          <w:rFonts w:hint="eastAsia" w:hAnsi="宋体" w:cs="宋体"/>
          <w:b/>
          <w:bCs/>
          <w:color w:val="auto"/>
          <w:sz w:val="32"/>
          <w:szCs w:val="32"/>
          <w:highlight w:val="none"/>
        </w:rPr>
        <w:t xml:space="preserve">  目   录</w:t>
      </w:r>
    </w:p>
    <w:p w14:paraId="5780DD84">
      <w:pPr>
        <w:pStyle w:val="4"/>
        <w:snapToGrid w:val="0"/>
        <w:spacing w:line="360" w:lineRule="auto"/>
        <w:ind w:firstLine="0"/>
        <w:rPr>
          <w:rFonts w:ascii="宋体" w:hAnsi="宋体" w:cs="宋体"/>
          <w:color w:val="auto"/>
          <w:sz w:val="24"/>
          <w:szCs w:val="24"/>
          <w:highlight w:val="none"/>
        </w:rPr>
      </w:pPr>
    </w:p>
    <w:p w14:paraId="5B7A890C">
      <w:pPr>
        <w:pStyle w:val="4"/>
        <w:snapToGrid w:val="0"/>
        <w:spacing w:line="360" w:lineRule="auto"/>
        <w:ind w:firstLine="0"/>
        <w:rPr>
          <w:rFonts w:ascii="宋体" w:hAnsi="宋体" w:cs="宋体"/>
          <w:color w:val="auto"/>
          <w:sz w:val="24"/>
          <w:szCs w:val="24"/>
          <w:highlight w:val="none"/>
        </w:rPr>
      </w:pPr>
      <w:r>
        <w:rPr>
          <w:rFonts w:hint="eastAsia" w:ascii="宋体" w:hAnsi="宋体" w:cs="宋体"/>
          <w:color w:val="auto"/>
          <w:sz w:val="24"/>
          <w:szCs w:val="24"/>
          <w:highlight w:val="none"/>
        </w:rPr>
        <w:t>第一章    投标邀请 …………………………………………………1</w:t>
      </w:r>
    </w:p>
    <w:p w14:paraId="30464092">
      <w:pPr>
        <w:pStyle w:val="4"/>
        <w:snapToGrid w:val="0"/>
        <w:spacing w:line="360" w:lineRule="auto"/>
        <w:ind w:firstLine="0"/>
        <w:rPr>
          <w:rFonts w:ascii="宋体" w:hAnsi="宋体" w:cs="宋体"/>
          <w:color w:val="auto"/>
          <w:sz w:val="24"/>
          <w:szCs w:val="24"/>
          <w:highlight w:val="none"/>
        </w:rPr>
      </w:pPr>
      <w:r>
        <w:rPr>
          <w:rFonts w:hint="eastAsia" w:ascii="宋体" w:hAnsi="宋体" w:cs="宋体"/>
          <w:color w:val="auto"/>
          <w:sz w:val="24"/>
          <w:szCs w:val="24"/>
          <w:highlight w:val="none"/>
        </w:rPr>
        <w:t xml:space="preserve">     投标邀请函……………………………………………………1-1</w:t>
      </w:r>
    </w:p>
    <w:p w14:paraId="1BE6299A">
      <w:pPr>
        <w:pStyle w:val="4"/>
        <w:snapToGrid w:val="0"/>
        <w:spacing w:line="360" w:lineRule="auto"/>
        <w:ind w:firstLine="0"/>
        <w:rPr>
          <w:rFonts w:ascii="宋体" w:hAnsi="宋体" w:cs="宋体"/>
          <w:color w:val="auto"/>
          <w:sz w:val="24"/>
          <w:szCs w:val="24"/>
          <w:highlight w:val="none"/>
        </w:rPr>
      </w:pPr>
      <w:r>
        <w:rPr>
          <w:rFonts w:hint="eastAsia" w:ascii="宋体" w:hAnsi="宋体" w:cs="宋体"/>
          <w:color w:val="auto"/>
          <w:sz w:val="24"/>
          <w:szCs w:val="24"/>
          <w:highlight w:val="none"/>
        </w:rPr>
        <w:t>第二章    投标人须知  ……………………………………………2</w:t>
      </w:r>
    </w:p>
    <w:p w14:paraId="0BBDA5FD">
      <w:pPr>
        <w:spacing w:line="360" w:lineRule="auto"/>
        <w:ind w:firstLine="240" w:firstLineChars="100"/>
        <w:rPr>
          <w:rFonts w:ascii="宋体" w:hAnsi="宋体" w:cs="宋体"/>
          <w:bCs/>
          <w:color w:val="auto"/>
          <w:sz w:val="24"/>
          <w:szCs w:val="24"/>
          <w:highlight w:val="none"/>
        </w:rPr>
      </w:pPr>
      <w:r>
        <w:rPr>
          <w:rFonts w:hint="eastAsia" w:ascii="宋体" w:hAnsi="宋体" w:cs="宋体"/>
          <w:bCs/>
          <w:color w:val="auto"/>
          <w:sz w:val="24"/>
          <w:szCs w:val="24"/>
          <w:highlight w:val="none"/>
        </w:rPr>
        <w:t xml:space="preserve">投标人须知前附表1、2、3、4 </w:t>
      </w:r>
      <w:r>
        <w:rPr>
          <w:rFonts w:hint="eastAsia" w:ascii="宋体" w:hAnsi="宋体" w:cs="宋体"/>
          <w:color w:val="auto"/>
          <w:sz w:val="24"/>
          <w:szCs w:val="24"/>
          <w:highlight w:val="none"/>
        </w:rPr>
        <w:t>……………………………………2-1-1</w:t>
      </w:r>
    </w:p>
    <w:p w14:paraId="5206EBCF">
      <w:pPr>
        <w:spacing w:line="360" w:lineRule="auto"/>
        <w:ind w:firstLine="240" w:firstLineChars="100"/>
        <w:rPr>
          <w:rFonts w:ascii="宋体" w:hAnsi="宋体" w:cs="宋体"/>
          <w:color w:val="auto"/>
          <w:sz w:val="24"/>
          <w:szCs w:val="24"/>
          <w:highlight w:val="none"/>
        </w:rPr>
      </w:pPr>
      <w:r>
        <w:rPr>
          <w:rFonts w:hint="eastAsia" w:ascii="宋体" w:hAnsi="宋体" w:cs="宋体"/>
          <w:color w:val="auto"/>
          <w:sz w:val="24"/>
          <w:szCs w:val="24"/>
          <w:highlight w:val="none"/>
        </w:rPr>
        <w:t>一、 说明 ………………………………………………………2-2-1</w:t>
      </w:r>
    </w:p>
    <w:p w14:paraId="35F05A4D">
      <w:pPr>
        <w:spacing w:line="360" w:lineRule="auto"/>
        <w:ind w:firstLine="240" w:firstLineChars="100"/>
        <w:rPr>
          <w:rFonts w:ascii="宋体" w:hAnsi="宋体" w:cs="宋体"/>
          <w:color w:val="auto"/>
          <w:sz w:val="24"/>
          <w:szCs w:val="24"/>
          <w:highlight w:val="none"/>
        </w:rPr>
      </w:pPr>
      <w:r>
        <w:rPr>
          <w:rFonts w:hint="eastAsia" w:ascii="宋体" w:hAnsi="宋体" w:cs="宋体"/>
          <w:color w:val="auto"/>
          <w:sz w:val="24"/>
          <w:szCs w:val="24"/>
          <w:highlight w:val="none"/>
        </w:rPr>
        <w:t>二、 招标文件 ………………………………………………2-2-4</w:t>
      </w:r>
    </w:p>
    <w:p w14:paraId="1CF0813A">
      <w:pPr>
        <w:spacing w:line="360" w:lineRule="auto"/>
        <w:ind w:firstLine="240" w:firstLineChars="100"/>
        <w:rPr>
          <w:rFonts w:ascii="宋体" w:hAnsi="宋体" w:cs="宋体"/>
          <w:color w:val="auto"/>
          <w:sz w:val="24"/>
          <w:szCs w:val="24"/>
          <w:highlight w:val="none"/>
        </w:rPr>
      </w:pPr>
      <w:r>
        <w:rPr>
          <w:rFonts w:hint="eastAsia" w:ascii="宋体" w:hAnsi="宋体" w:cs="宋体"/>
          <w:color w:val="auto"/>
          <w:sz w:val="24"/>
          <w:szCs w:val="24"/>
          <w:highlight w:val="none"/>
        </w:rPr>
        <w:t>三、 投标文件的编写 ………………………………………2-2-5</w:t>
      </w:r>
    </w:p>
    <w:p w14:paraId="0FE1F2D0">
      <w:pPr>
        <w:spacing w:line="360" w:lineRule="auto"/>
        <w:ind w:firstLine="240" w:firstLineChars="100"/>
        <w:rPr>
          <w:rFonts w:ascii="宋体" w:hAnsi="宋体" w:cs="宋体"/>
          <w:color w:val="auto"/>
          <w:sz w:val="24"/>
          <w:szCs w:val="24"/>
          <w:highlight w:val="none"/>
        </w:rPr>
      </w:pPr>
      <w:r>
        <w:rPr>
          <w:rFonts w:hint="eastAsia" w:ascii="宋体" w:hAnsi="宋体" w:cs="宋体"/>
          <w:color w:val="auto"/>
          <w:sz w:val="24"/>
          <w:szCs w:val="24"/>
          <w:highlight w:val="none"/>
        </w:rPr>
        <w:t>四、 投标文件的提交 …………………………………………2-2-8</w:t>
      </w:r>
    </w:p>
    <w:p w14:paraId="15354006">
      <w:pPr>
        <w:spacing w:line="360" w:lineRule="auto"/>
        <w:ind w:firstLine="240" w:firstLineChars="100"/>
        <w:rPr>
          <w:rFonts w:ascii="宋体" w:hAnsi="宋体" w:cs="宋体"/>
          <w:color w:val="auto"/>
          <w:sz w:val="24"/>
          <w:szCs w:val="24"/>
          <w:highlight w:val="none"/>
        </w:rPr>
      </w:pPr>
      <w:r>
        <w:rPr>
          <w:rFonts w:hint="eastAsia" w:ascii="宋体" w:hAnsi="宋体" w:cs="宋体"/>
          <w:color w:val="auto"/>
          <w:sz w:val="24"/>
          <w:szCs w:val="24"/>
          <w:highlight w:val="none"/>
        </w:rPr>
        <w:t>五、 投标文件的评估和比较 …………………………………2-2-9</w:t>
      </w:r>
    </w:p>
    <w:p w14:paraId="7ADAD24F">
      <w:pPr>
        <w:spacing w:line="360" w:lineRule="auto"/>
        <w:ind w:firstLine="240" w:firstLineChars="100"/>
        <w:rPr>
          <w:rFonts w:ascii="宋体" w:hAnsi="宋体" w:cs="宋体"/>
          <w:color w:val="auto"/>
          <w:sz w:val="24"/>
          <w:szCs w:val="24"/>
          <w:highlight w:val="none"/>
        </w:rPr>
      </w:pPr>
      <w:r>
        <w:rPr>
          <w:rFonts w:hint="eastAsia" w:ascii="宋体" w:hAnsi="宋体" w:cs="宋体"/>
          <w:color w:val="auto"/>
          <w:sz w:val="24"/>
          <w:szCs w:val="24"/>
          <w:highlight w:val="none"/>
        </w:rPr>
        <w:t>六、 定标与签订合同…………………………………………2-2-12</w:t>
      </w:r>
    </w:p>
    <w:p w14:paraId="25BD6F0F">
      <w:pPr>
        <w:spacing w:line="360" w:lineRule="auto"/>
        <w:ind w:firstLine="240" w:firstLineChars="100"/>
        <w:rPr>
          <w:rFonts w:ascii="宋体" w:hAnsi="宋体" w:cs="宋体"/>
          <w:color w:val="auto"/>
          <w:sz w:val="24"/>
          <w:szCs w:val="24"/>
          <w:highlight w:val="none"/>
        </w:rPr>
      </w:pPr>
      <w:r>
        <w:rPr>
          <w:rFonts w:hint="eastAsia" w:ascii="宋体" w:hAnsi="宋体" w:cs="宋体"/>
          <w:color w:val="auto"/>
          <w:sz w:val="24"/>
          <w:szCs w:val="24"/>
          <w:highlight w:val="none"/>
        </w:rPr>
        <w:t>七、 意外情况的处理  ……………………………………  2-2-15</w:t>
      </w:r>
    </w:p>
    <w:p w14:paraId="1DAA69C2">
      <w:pPr>
        <w:pStyle w:val="4"/>
        <w:snapToGrid w:val="0"/>
        <w:spacing w:line="360" w:lineRule="auto"/>
        <w:ind w:firstLine="0"/>
        <w:rPr>
          <w:rFonts w:ascii="宋体" w:hAnsi="宋体" w:cs="宋体"/>
          <w:color w:val="auto"/>
          <w:sz w:val="24"/>
          <w:szCs w:val="24"/>
          <w:highlight w:val="none"/>
        </w:rPr>
      </w:pPr>
      <w:r>
        <w:rPr>
          <w:rFonts w:hint="eastAsia" w:ascii="宋体" w:hAnsi="宋体" w:cs="宋体"/>
          <w:color w:val="auto"/>
          <w:sz w:val="24"/>
          <w:szCs w:val="24"/>
          <w:highlight w:val="none"/>
        </w:rPr>
        <w:t>第三章    招标内容及要求  ……………………………………3-1</w:t>
      </w:r>
    </w:p>
    <w:p w14:paraId="52764CA5">
      <w:pPr>
        <w:pStyle w:val="4"/>
        <w:snapToGrid w:val="0"/>
        <w:spacing w:line="360" w:lineRule="auto"/>
        <w:ind w:firstLine="0"/>
        <w:rPr>
          <w:rFonts w:ascii="宋体" w:hAnsi="宋体" w:cs="宋体"/>
          <w:color w:val="auto"/>
          <w:sz w:val="24"/>
          <w:szCs w:val="24"/>
          <w:highlight w:val="none"/>
        </w:rPr>
      </w:pPr>
      <w:r>
        <w:rPr>
          <w:rFonts w:hint="eastAsia" w:ascii="宋体" w:hAnsi="宋体" w:cs="宋体"/>
          <w:color w:val="auto"/>
          <w:sz w:val="24"/>
          <w:szCs w:val="24"/>
          <w:highlight w:val="none"/>
        </w:rPr>
        <w:t>第四章    大宗采购合同…………………………………………4-1</w:t>
      </w:r>
    </w:p>
    <w:p w14:paraId="1EF955AA">
      <w:pPr>
        <w:pStyle w:val="4"/>
        <w:snapToGrid w:val="0"/>
        <w:spacing w:line="360" w:lineRule="auto"/>
        <w:ind w:firstLine="0"/>
        <w:rPr>
          <w:rFonts w:ascii="宋体" w:hAnsi="宋体" w:cs="宋体"/>
          <w:color w:val="auto"/>
          <w:sz w:val="24"/>
          <w:szCs w:val="24"/>
          <w:highlight w:val="none"/>
        </w:rPr>
      </w:pPr>
      <w:r>
        <w:rPr>
          <w:rFonts w:hint="eastAsia" w:ascii="宋体" w:hAnsi="宋体" w:cs="宋体"/>
          <w:color w:val="auto"/>
          <w:sz w:val="24"/>
          <w:szCs w:val="24"/>
          <w:highlight w:val="none"/>
        </w:rPr>
        <w:t>第五章    投标文件格式 …………………………………………5-1</w:t>
      </w:r>
    </w:p>
    <w:p w14:paraId="5C42341B">
      <w:pPr>
        <w:pStyle w:val="4"/>
        <w:spacing w:line="360" w:lineRule="auto"/>
        <w:ind w:firstLine="2250" w:firstLineChars="934"/>
        <w:rPr>
          <w:rFonts w:ascii="宋体" w:hAnsi="宋体" w:cs="宋体"/>
          <w:b/>
          <w:color w:val="auto"/>
          <w:sz w:val="24"/>
          <w:szCs w:val="24"/>
          <w:highlight w:val="none"/>
          <w:u w:val="single"/>
        </w:rPr>
        <w:sectPr>
          <w:footerReference r:id="rId4" w:type="first"/>
          <w:headerReference r:id="rId3" w:type="default"/>
          <w:pgSz w:w="11906" w:h="16838"/>
          <w:pgMar w:top="1440" w:right="1800" w:bottom="1440" w:left="1800" w:header="851" w:footer="992" w:gutter="0"/>
          <w:cols w:space="425" w:num="1"/>
          <w:docGrid w:type="lines" w:linePitch="312" w:charSpace="0"/>
        </w:sectPr>
      </w:pPr>
    </w:p>
    <w:p w14:paraId="5EDC45DF">
      <w:pPr>
        <w:pStyle w:val="39"/>
        <w:spacing w:line="360" w:lineRule="auto"/>
        <w:jc w:val="center"/>
        <w:rPr>
          <w:rFonts w:hAnsi="宋体" w:cs="宋体"/>
          <w:b/>
          <w:bCs/>
          <w:color w:val="auto"/>
          <w:sz w:val="32"/>
          <w:szCs w:val="32"/>
          <w:highlight w:val="none"/>
        </w:rPr>
      </w:pPr>
      <w:r>
        <w:rPr>
          <w:rFonts w:hint="eastAsia" w:hAnsi="宋体" w:cs="宋体"/>
          <w:b/>
          <w:color w:val="auto"/>
          <w:sz w:val="32"/>
          <w:szCs w:val="32"/>
          <w:highlight w:val="none"/>
        </w:rPr>
        <w:t>第一章  投标邀请函</w:t>
      </w:r>
    </w:p>
    <w:p w14:paraId="177E4656">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受【</w:t>
      </w:r>
      <w:r>
        <w:rPr>
          <w:rFonts w:hint="eastAsia" w:ascii="宋体" w:hAnsi="宋体" w:cs="宋体"/>
          <w:b/>
          <w:color w:val="auto"/>
          <w:sz w:val="24"/>
          <w:szCs w:val="24"/>
          <w:highlight w:val="none"/>
          <w:u w:val="single"/>
        </w:rPr>
        <w:t>厦门万翔网络商务有限公司】</w:t>
      </w:r>
      <w:r>
        <w:rPr>
          <w:rFonts w:hint="eastAsia" w:ascii="宋体" w:hAnsi="宋体" w:cs="宋体"/>
          <w:color w:val="auto"/>
          <w:sz w:val="24"/>
          <w:szCs w:val="24"/>
          <w:highlight w:val="none"/>
        </w:rPr>
        <w:t>委托，</w:t>
      </w:r>
      <w:r>
        <w:rPr>
          <w:rFonts w:hint="eastAsia" w:ascii="宋体" w:hAnsi="宋体" w:cs="宋体"/>
          <w:b/>
          <w:color w:val="auto"/>
          <w:sz w:val="24"/>
          <w:szCs w:val="24"/>
          <w:highlight w:val="none"/>
          <w:u w:val="single"/>
        </w:rPr>
        <w:t>厦门万翔招标有限公司</w:t>
      </w:r>
      <w:r>
        <w:rPr>
          <w:rFonts w:hint="eastAsia" w:ascii="宋体" w:hAnsi="宋体" w:cs="宋体"/>
          <w:color w:val="auto"/>
          <w:sz w:val="24"/>
          <w:szCs w:val="24"/>
          <w:highlight w:val="none"/>
        </w:rPr>
        <w:t>对【</w:t>
      </w:r>
      <w:r>
        <w:rPr>
          <w:rFonts w:hint="eastAsia" w:ascii="宋体" w:hAnsi="宋体" w:cs="宋体"/>
          <w:color w:val="auto"/>
          <w:sz w:val="24"/>
          <w:szCs w:val="24"/>
          <w:highlight w:val="none"/>
          <w:u w:val="single"/>
        </w:rPr>
        <w:t>台式计算机等】</w:t>
      </w:r>
      <w:r>
        <w:rPr>
          <w:rFonts w:hint="eastAsia" w:ascii="宋体" w:hAnsi="宋体" w:cs="宋体"/>
          <w:color w:val="auto"/>
          <w:sz w:val="24"/>
          <w:szCs w:val="24"/>
          <w:highlight w:val="none"/>
        </w:rPr>
        <w:t>货物（或服务）进行国内公开招标，现欢迎国内合格的投标人前来投标。</w:t>
      </w:r>
    </w:p>
    <w:p w14:paraId="1926CF3D">
      <w:pPr>
        <w:spacing w:line="360" w:lineRule="auto"/>
        <w:ind w:firstLine="480" w:firstLineChars="200"/>
        <w:rPr>
          <w:rFonts w:ascii="宋体" w:hAnsi="宋体" w:cs="宋体"/>
          <w:color w:val="auto"/>
          <w:sz w:val="24"/>
          <w:szCs w:val="24"/>
          <w:highlight w:val="none"/>
          <w:u w:val="single"/>
        </w:rPr>
      </w:pPr>
      <w:r>
        <w:rPr>
          <w:rFonts w:hint="eastAsia" w:ascii="宋体" w:hAnsi="宋体" w:cs="宋体"/>
          <w:color w:val="auto"/>
          <w:sz w:val="24"/>
          <w:szCs w:val="24"/>
          <w:highlight w:val="none"/>
        </w:rPr>
        <w:t>1、招标编号：</w:t>
      </w:r>
      <w:r>
        <w:rPr>
          <w:rFonts w:hint="eastAsia" w:ascii="宋体" w:hAnsi="宋体" w:cs="宋体"/>
          <w:color w:val="auto"/>
          <w:sz w:val="24"/>
          <w:szCs w:val="24"/>
          <w:highlight w:val="none"/>
          <w:u w:val="single"/>
        </w:rPr>
        <w:t>XM2025-DZ0048。</w:t>
      </w:r>
    </w:p>
    <w:p w14:paraId="4F35ABEB">
      <w:pPr>
        <w:spacing w:line="360" w:lineRule="auto"/>
        <w:ind w:firstLine="424" w:firstLineChars="200"/>
        <w:rPr>
          <w:rFonts w:ascii="宋体" w:hAnsi="宋体" w:cs="宋体"/>
          <w:color w:val="auto"/>
          <w:spacing w:val="-14"/>
          <w:sz w:val="24"/>
          <w:szCs w:val="24"/>
          <w:highlight w:val="none"/>
        </w:rPr>
      </w:pPr>
      <w:r>
        <w:rPr>
          <w:rFonts w:hint="eastAsia" w:ascii="宋体" w:hAnsi="宋体" w:cs="宋体"/>
          <w:color w:val="auto"/>
          <w:spacing w:val="-14"/>
          <w:sz w:val="24"/>
          <w:szCs w:val="24"/>
          <w:highlight w:val="none"/>
        </w:rPr>
        <w:t>2、招标货物（服务）名称、数量及主要技术规格：见后</w:t>
      </w:r>
      <w:r>
        <w:rPr>
          <w:rFonts w:hint="eastAsia" w:ascii="宋体" w:hAnsi="宋体" w:cs="宋体"/>
          <w:color w:val="auto"/>
          <w:sz w:val="24"/>
          <w:szCs w:val="24"/>
          <w:highlight w:val="none"/>
        </w:rPr>
        <w:t>附招标货物（</w:t>
      </w:r>
      <w:r>
        <w:rPr>
          <w:rFonts w:hint="eastAsia" w:ascii="宋体" w:hAnsi="宋体" w:cs="宋体"/>
          <w:color w:val="auto"/>
          <w:spacing w:val="-14"/>
          <w:sz w:val="24"/>
          <w:szCs w:val="24"/>
          <w:highlight w:val="none"/>
        </w:rPr>
        <w:t>服务）</w:t>
      </w:r>
      <w:r>
        <w:rPr>
          <w:rFonts w:hint="eastAsia" w:ascii="宋体" w:hAnsi="宋体" w:cs="宋体"/>
          <w:color w:val="auto"/>
          <w:sz w:val="24"/>
          <w:szCs w:val="24"/>
          <w:highlight w:val="none"/>
        </w:rPr>
        <w:t>一览表。</w:t>
      </w:r>
    </w:p>
    <w:p w14:paraId="51026709">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3、招标文件获取方式：</w:t>
      </w:r>
      <w:r>
        <w:rPr>
          <w:rFonts w:hint="eastAsia" w:ascii="宋体" w:hAnsi="宋体" w:cs="宋体"/>
          <w:bCs/>
          <w:color w:val="auto"/>
          <w:sz w:val="24"/>
          <w:szCs w:val="24"/>
          <w:highlight w:val="none"/>
          <w:lang w:val="en-US" w:eastAsia="zh-CN"/>
        </w:rPr>
        <w:t>2025年11月27日</w:t>
      </w:r>
      <w:r>
        <w:rPr>
          <w:rFonts w:hint="eastAsia" w:ascii="宋体" w:hAnsi="宋体" w:cs="宋体"/>
          <w:color w:val="auto"/>
          <w:sz w:val="24"/>
          <w:szCs w:val="24"/>
          <w:highlight w:val="none"/>
        </w:rPr>
        <w:t>至2025年</w:t>
      </w:r>
      <w:r>
        <w:rPr>
          <w:rFonts w:hint="eastAsia" w:ascii="宋体" w:hAnsi="宋体" w:cs="宋体"/>
          <w:color w:val="auto"/>
          <w:sz w:val="24"/>
          <w:szCs w:val="24"/>
          <w:highlight w:val="none"/>
          <w:lang w:val="en-US" w:eastAsia="zh-CN"/>
        </w:rPr>
        <w:t>12</w:t>
      </w:r>
      <w:r>
        <w:rPr>
          <w:rFonts w:hint="eastAsia" w:ascii="宋体" w:hAnsi="宋体" w:cs="宋体"/>
          <w:color w:val="auto"/>
          <w:sz w:val="24"/>
          <w:szCs w:val="24"/>
          <w:highlight w:val="none"/>
        </w:rPr>
        <w:t>月</w:t>
      </w:r>
      <w:r>
        <w:rPr>
          <w:rFonts w:hint="eastAsia" w:ascii="宋体" w:hAnsi="宋体" w:cs="宋体"/>
          <w:color w:val="auto"/>
          <w:sz w:val="24"/>
          <w:szCs w:val="24"/>
          <w:highlight w:val="none"/>
          <w:lang w:val="en-US" w:eastAsia="zh-CN"/>
        </w:rPr>
        <w:t>12</w:t>
      </w:r>
      <w:r>
        <w:rPr>
          <w:rFonts w:hint="eastAsia" w:ascii="宋体" w:hAnsi="宋体" w:cs="宋体"/>
          <w:color w:val="auto"/>
          <w:sz w:val="24"/>
          <w:szCs w:val="24"/>
          <w:highlight w:val="none"/>
        </w:rPr>
        <w:t>日，有意向的供应商应在厦门招投标网（http:// www.xmztb.com，下同）注册账号，登录后可免费在线浏览招标文件，完成缴费并下载招标文件后方具备投标资格。缴费仅支持在线扫码支付。</w:t>
      </w:r>
    </w:p>
    <w:p w14:paraId="609B8D53">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A、供应商注册详见厦门招投标网－办事指南－操作手册—《供应商注册登记操作手册》</w:t>
      </w:r>
    </w:p>
    <w:p w14:paraId="0C4D94EC">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B、缴费及下载招标文件详见厦门招投标网－办事指南－操作手册—《供应商招标项目操作手册》</w:t>
      </w:r>
    </w:p>
    <w:p w14:paraId="34FA4152">
      <w:pPr>
        <w:pStyle w:val="8"/>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4、招标文件售价：每个合同包</w:t>
      </w:r>
      <w:r>
        <w:rPr>
          <w:rFonts w:hint="eastAsia" w:hAnsi="宋体" w:cs="宋体"/>
          <w:color w:val="auto"/>
          <w:sz w:val="24"/>
          <w:szCs w:val="24"/>
          <w:highlight w:val="none"/>
          <w:u w:val="single"/>
        </w:rPr>
        <w:t>0</w:t>
      </w:r>
      <w:r>
        <w:rPr>
          <w:rFonts w:hint="eastAsia" w:hAnsi="宋体" w:cs="宋体"/>
          <w:color w:val="auto"/>
          <w:sz w:val="24"/>
          <w:szCs w:val="24"/>
          <w:highlight w:val="none"/>
        </w:rPr>
        <w:t>元人民币，售后不退。</w:t>
      </w:r>
    </w:p>
    <w:p w14:paraId="20EBAB31">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5、投标截止时间：投标文件应于2025年</w:t>
      </w:r>
      <w:r>
        <w:rPr>
          <w:rFonts w:hint="eastAsia" w:ascii="宋体" w:hAnsi="宋体" w:cs="宋体"/>
          <w:color w:val="auto"/>
          <w:sz w:val="24"/>
          <w:szCs w:val="24"/>
          <w:highlight w:val="none"/>
          <w:lang w:val="en-US" w:eastAsia="zh-CN"/>
        </w:rPr>
        <w:t>12</w:t>
      </w:r>
      <w:r>
        <w:rPr>
          <w:rFonts w:hint="eastAsia" w:ascii="宋体" w:hAnsi="宋体" w:cs="宋体"/>
          <w:color w:val="auto"/>
          <w:sz w:val="24"/>
          <w:szCs w:val="24"/>
          <w:highlight w:val="none"/>
        </w:rPr>
        <w:t>月</w:t>
      </w:r>
      <w:r>
        <w:rPr>
          <w:rFonts w:hint="eastAsia" w:ascii="宋体" w:hAnsi="宋体" w:cs="宋体"/>
          <w:color w:val="auto"/>
          <w:sz w:val="24"/>
          <w:szCs w:val="24"/>
          <w:highlight w:val="none"/>
          <w:lang w:val="en-US" w:eastAsia="zh-CN"/>
        </w:rPr>
        <w:t>18</w:t>
      </w:r>
      <w:r>
        <w:rPr>
          <w:rFonts w:hint="eastAsia" w:ascii="宋体" w:hAnsi="宋体" w:cs="宋体"/>
          <w:color w:val="auto"/>
          <w:sz w:val="24"/>
          <w:szCs w:val="24"/>
          <w:highlight w:val="none"/>
        </w:rPr>
        <w:t>日</w:t>
      </w:r>
      <w:r>
        <w:rPr>
          <w:rFonts w:hint="eastAsia" w:ascii="宋体" w:hAnsi="宋体" w:cs="宋体"/>
          <w:color w:val="auto"/>
          <w:sz w:val="24"/>
          <w:szCs w:val="24"/>
          <w:highlight w:val="none"/>
          <w:lang w:val="en-US" w:eastAsia="zh-CN"/>
        </w:rPr>
        <w:t>下</w:t>
      </w:r>
      <w:r>
        <w:rPr>
          <w:rFonts w:hint="eastAsia" w:ascii="宋体" w:hAnsi="宋体" w:cs="宋体"/>
          <w:color w:val="auto"/>
          <w:sz w:val="24"/>
          <w:szCs w:val="24"/>
          <w:highlight w:val="none"/>
        </w:rPr>
        <w:t>午</w:t>
      </w:r>
      <w:r>
        <w:rPr>
          <w:rFonts w:hint="eastAsia" w:ascii="宋体" w:hAnsi="宋体" w:cs="宋体"/>
          <w:color w:val="auto"/>
          <w:sz w:val="24"/>
          <w:szCs w:val="24"/>
          <w:highlight w:val="none"/>
          <w:lang w:val="en-US" w:eastAsia="zh-CN"/>
        </w:rPr>
        <w:t>13</w:t>
      </w:r>
      <w:r>
        <w:rPr>
          <w:rFonts w:hint="eastAsia" w:ascii="宋体" w:hAnsi="宋体" w:cs="宋体"/>
          <w:color w:val="auto"/>
          <w:sz w:val="24"/>
          <w:szCs w:val="24"/>
          <w:highlight w:val="none"/>
        </w:rPr>
        <w:t>：</w:t>
      </w:r>
      <w:r>
        <w:rPr>
          <w:rFonts w:hint="eastAsia" w:ascii="宋体" w:hAnsi="宋体" w:cs="宋体"/>
          <w:color w:val="auto"/>
          <w:sz w:val="24"/>
          <w:szCs w:val="24"/>
          <w:highlight w:val="none"/>
          <w:lang w:val="en-US" w:eastAsia="zh-CN"/>
        </w:rPr>
        <w:t>3</w:t>
      </w:r>
      <w:r>
        <w:rPr>
          <w:rFonts w:hint="eastAsia" w:ascii="宋体" w:hAnsi="宋体" w:cs="宋体"/>
          <w:color w:val="auto"/>
          <w:sz w:val="24"/>
          <w:szCs w:val="24"/>
          <w:highlight w:val="none"/>
        </w:rPr>
        <w:t>0（北京时间）之前登录厦门招投标网上传投标文件。已上传但未提示上传成功的投标无效。</w:t>
      </w:r>
    </w:p>
    <w:p w14:paraId="2CD63C0F">
      <w:pPr>
        <w:spacing w:line="360" w:lineRule="auto"/>
        <w:ind w:firstLine="360" w:firstLineChars="150"/>
        <w:rPr>
          <w:rFonts w:ascii="宋体" w:hAnsi="宋体" w:cs="宋体"/>
          <w:color w:val="auto"/>
          <w:sz w:val="24"/>
          <w:szCs w:val="24"/>
          <w:highlight w:val="none"/>
        </w:rPr>
      </w:pPr>
      <w:r>
        <w:rPr>
          <w:rFonts w:hint="eastAsia" w:ascii="宋体" w:hAnsi="宋体" w:cs="宋体"/>
          <w:color w:val="auto"/>
          <w:sz w:val="24"/>
          <w:szCs w:val="24"/>
          <w:highlight w:val="none"/>
        </w:rPr>
        <w:t>A、网上投标详见厦门招投标网－办事指南－操作手册—《供应商招标项目操作手册》。</w:t>
      </w:r>
    </w:p>
    <w:p w14:paraId="6690156C">
      <w:pPr>
        <w:spacing w:line="360" w:lineRule="auto"/>
        <w:ind w:firstLine="360" w:firstLineChars="150"/>
        <w:rPr>
          <w:rFonts w:ascii="宋体" w:hAnsi="宋体" w:cs="宋体"/>
          <w:color w:val="auto"/>
          <w:sz w:val="24"/>
          <w:szCs w:val="24"/>
          <w:highlight w:val="none"/>
        </w:rPr>
      </w:pPr>
      <w:r>
        <w:rPr>
          <w:rFonts w:hint="eastAsia" w:ascii="宋体" w:hAnsi="宋体" w:cs="宋体"/>
          <w:color w:val="auto"/>
          <w:sz w:val="24"/>
          <w:szCs w:val="24"/>
          <w:highlight w:val="none"/>
          <w:shd w:val="clear" w:color="auto" w:fill="FFFFFF"/>
        </w:rPr>
        <w:t>B</w:t>
      </w:r>
      <w:r>
        <w:rPr>
          <w:rFonts w:hint="eastAsia" w:ascii="宋体" w:hAnsi="宋体" w:cs="宋体"/>
          <w:color w:val="auto"/>
          <w:sz w:val="24"/>
          <w:szCs w:val="24"/>
          <w:highlight w:val="none"/>
        </w:rPr>
        <w:t>、</w:t>
      </w:r>
      <w:r>
        <w:rPr>
          <w:rStyle w:val="19"/>
          <w:rFonts w:ascii="Helvetica" w:hAnsi="Helvetica" w:eastAsia="Helvetica" w:cs="Helvetica"/>
          <w:b w:val="0"/>
          <w:bCs w:val="0"/>
          <w:color w:val="auto"/>
          <w:sz w:val="24"/>
          <w:szCs w:val="24"/>
          <w:highlight w:val="none"/>
          <w:shd w:val="clear" w:color="auto" w:fill="FFFFFF"/>
        </w:rPr>
        <w:t>数字证书办理</w:t>
      </w:r>
      <w:r>
        <w:rPr>
          <w:rStyle w:val="19"/>
          <w:rFonts w:hint="eastAsia" w:ascii="Helvetica" w:hAnsi="Helvetica" w:cs="Helvetica"/>
          <w:b w:val="0"/>
          <w:bCs w:val="0"/>
          <w:color w:val="auto"/>
          <w:sz w:val="24"/>
          <w:szCs w:val="24"/>
          <w:highlight w:val="none"/>
          <w:shd w:val="clear" w:color="auto" w:fill="FFFFFF"/>
        </w:rPr>
        <w:t>详见</w:t>
      </w:r>
      <w:r>
        <w:rPr>
          <w:rFonts w:hint="eastAsia" w:ascii="宋体" w:hAnsi="宋体" w:cs="宋体"/>
          <w:color w:val="auto"/>
          <w:sz w:val="24"/>
          <w:szCs w:val="24"/>
          <w:highlight w:val="none"/>
        </w:rPr>
        <w:t>厦门招投标网－办事指南－操作手册—《投标流程》</w:t>
      </w:r>
    </w:p>
    <w:p w14:paraId="75D06744">
      <w:pPr>
        <w:spacing w:line="360" w:lineRule="auto"/>
        <w:ind w:firstLine="360" w:firstLineChars="150"/>
        <w:rPr>
          <w:rFonts w:ascii="宋体" w:hAnsi="宋体" w:cs="宋体"/>
          <w:color w:val="auto"/>
          <w:sz w:val="24"/>
          <w:szCs w:val="24"/>
          <w:highlight w:val="none"/>
        </w:rPr>
      </w:pPr>
      <w:r>
        <w:rPr>
          <w:rFonts w:hint="eastAsia" w:ascii="宋体" w:hAnsi="宋体" w:cs="宋体"/>
          <w:color w:val="auto"/>
          <w:sz w:val="24"/>
          <w:szCs w:val="24"/>
          <w:highlight w:val="none"/>
        </w:rPr>
        <w:t>6、开标时间:2025年</w:t>
      </w:r>
      <w:r>
        <w:rPr>
          <w:rFonts w:hint="eastAsia" w:ascii="宋体" w:hAnsi="宋体" w:cs="宋体"/>
          <w:color w:val="auto"/>
          <w:sz w:val="24"/>
          <w:szCs w:val="24"/>
          <w:highlight w:val="none"/>
          <w:lang w:val="en-US" w:eastAsia="zh-CN"/>
        </w:rPr>
        <w:t>12</w:t>
      </w:r>
      <w:r>
        <w:rPr>
          <w:rFonts w:hint="eastAsia" w:ascii="宋体" w:hAnsi="宋体" w:cs="宋体"/>
          <w:color w:val="auto"/>
          <w:sz w:val="24"/>
          <w:szCs w:val="24"/>
          <w:highlight w:val="none"/>
        </w:rPr>
        <w:t>月</w:t>
      </w:r>
      <w:r>
        <w:rPr>
          <w:rFonts w:hint="eastAsia" w:ascii="宋体" w:hAnsi="宋体" w:cs="宋体"/>
          <w:color w:val="auto"/>
          <w:sz w:val="24"/>
          <w:szCs w:val="24"/>
          <w:highlight w:val="none"/>
          <w:lang w:val="en-US" w:eastAsia="zh-CN"/>
        </w:rPr>
        <w:t>18</w:t>
      </w:r>
      <w:r>
        <w:rPr>
          <w:rFonts w:hint="eastAsia" w:ascii="宋体" w:hAnsi="宋体" w:cs="宋体"/>
          <w:color w:val="auto"/>
          <w:sz w:val="24"/>
          <w:szCs w:val="24"/>
          <w:highlight w:val="none"/>
        </w:rPr>
        <w:t>日</w:t>
      </w:r>
      <w:r>
        <w:rPr>
          <w:rFonts w:hint="eastAsia" w:ascii="宋体" w:hAnsi="宋体" w:cs="宋体"/>
          <w:color w:val="auto"/>
          <w:sz w:val="24"/>
          <w:szCs w:val="24"/>
          <w:highlight w:val="none"/>
          <w:lang w:val="en-US" w:eastAsia="zh-CN"/>
        </w:rPr>
        <w:t>下</w:t>
      </w:r>
      <w:r>
        <w:rPr>
          <w:rFonts w:hint="eastAsia" w:ascii="宋体" w:hAnsi="宋体" w:cs="宋体"/>
          <w:color w:val="auto"/>
          <w:sz w:val="24"/>
          <w:szCs w:val="24"/>
          <w:highlight w:val="none"/>
        </w:rPr>
        <w:t>午</w:t>
      </w:r>
      <w:r>
        <w:rPr>
          <w:rFonts w:hint="eastAsia" w:ascii="宋体" w:hAnsi="宋体" w:cs="宋体"/>
          <w:color w:val="auto"/>
          <w:sz w:val="24"/>
          <w:szCs w:val="24"/>
          <w:highlight w:val="none"/>
          <w:lang w:val="en-US" w:eastAsia="zh-CN"/>
        </w:rPr>
        <w:t>13</w:t>
      </w:r>
      <w:r>
        <w:rPr>
          <w:rFonts w:hint="eastAsia" w:ascii="宋体" w:hAnsi="宋体" w:cs="宋体"/>
          <w:color w:val="auto"/>
          <w:sz w:val="24"/>
          <w:szCs w:val="24"/>
          <w:highlight w:val="none"/>
        </w:rPr>
        <w:t>：</w:t>
      </w:r>
      <w:r>
        <w:rPr>
          <w:rFonts w:hint="eastAsia" w:ascii="宋体" w:hAnsi="宋体" w:cs="宋体"/>
          <w:color w:val="auto"/>
          <w:sz w:val="24"/>
          <w:szCs w:val="24"/>
          <w:highlight w:val="none"/>
          <w:lang w:val="en-US" w:eastAsia="zh-CN"/>
        </w:rPr>
        <w:t>3</w:t>
      </w:r>
      <w:r>
        <w:rPr>
          <w:rFonts w:hint="eastAsia" w:ascii="宋体" w:hAnsi="宋体" w:cs="宋体"/>
          <w:color w:val="auto"/>
          <w:sz w:val="24"/>
          <w:szCs w:val="24"/>
          <w:highlight w:val="none"/>
        </w:rPr>
        <w:t>0（北京时间）于厦门招投标网进行公开开标。投标人可登陆厦门招投标网查看开标全过程。</w:t>
      </w:r>
    </w:p>
    <w:p w14:paraId="17EA228A">
      <w:pPr>
        <w:spacing w:line="360" w:lineRule="auto"/>
        <w:ind w:firstLine="360" w:firstLineChars="150"/>
        <w:rPr>
          <w:rFonts w:ascii="宋体" w:hAnsi="宋体" w:cs="宋体"/>
          <w:color w:val="auto"/>
          <w:sz w:val="24"/>
          <w:szCs w:val="24"/>
          <w:highlight w:val="none"/>
        </w:rPr>
      </w:pPr>
      <w:r>
        <w:rPr>
          <w:rFonts w:hint="eastAsia" w:ascii="宋体" w:hAnsi="宋体" w:cs="宋体"/>
          <w:color w:val="auto"/>
          <w:sz w:val="24"/>
          <w:szCs w:val="24"/>
          <w:highlight w:val="none"/>
        </w:rPr>
        <w:t>7、本项目不接受联合体投标。</w:t>
      </w:r>
    </w:p>
    <w:p w14:paraId="23922F8D">
      <w:pPr>
        <w:spacing w:line="360" w:lineRule="auto"/>
        <w:ind w:firstLine="360" w:firstLineChars="150"/>
        <w:rPr>
          <w:rFonts w:ascii="宋体" w:hAnsi="宋体" w:cs="宋体"/>
          <w:color w:val="auto"/>
          <w:sz w:val="24"/>
          <w:szCs w:val="24"/>
          <w:highlight w:val="none"/>
        </w:rPr>
      </w:pPr>
      <w:r>
        <w:rPr>
          <w:rFonts w:hint="eastAsia" w:ascii="宋体" w:hAnsi="宋体" w:cs="宋体"/>
          <w:color w:val="auto"/>
          <w:sz w:val="24"/>
          <w:szCs w:val="24"/>
          <w:highlight w:val="none"/>
        </w:rPr>
        <w:t>A、接受联合体投标且投标人为联合体的，全部联合体组成成员都应在厦门招投标网注册账号。</w:t>
      </w:r>
    </w:p>
    <w:p w14:paraId="053EBE27">
      <w:pPr>
        <w:spacing w:line="360" w:lineRule="auto"/>
        <w:ind w:firstLine="360" w:firstLineChars="150"/>
        <w:rPr>
          <w:rFonts w:ascii="宋体" w:hAnsi="宋体" w:cs="宋体"/>
          <w:bCs/>
          <w:color w:val="auto"/>
          <w:sz w:val="24"/>
          <w:szCs w:val="24"/>
          <w:highlight w:val="none"/>
        </w:rPr>
      </w:pPr>
      <w:r>
        <w:rPr>
          <w:rFonts w:hint="eastAsia" w:ascii="宋体" w:hAnsi="宋体" w:cs="宋体"/>
          <w:color w:val="auto"/>
          <w:sz w:val="24"/>
          <w:szCs w:val="24"/>
          <w:highlight w:val="none"/>
        </w:rPr>
        <w:t>B、接受联合体投标且投标人为联合体的，投标人应由“联合体牵头方”完成系统设定的具体操作流程（包括但不限于：招标文件获取、提交投标保证金、编制电子投标文件等）。</w:t>
      </w:r>
    </w:p>
    <w:p w14:paraId="767140EB">
      <w:pPr>
        <w:spacing w:line="360" w:lineRule="auto"/>
        <w:ind w:firstLine="360" w:firstLineChars="150"/>
        <w:rPr>
          <w:rFonts w:ascii="宋体" w:hAnsi="宋体" w:cs="宋体"/>
          <w:color w:val="auto"/>
          <w:sz w:val="24"/>
          <w:szCs w:val="24"/>
          <w:highlight w:val="none"/>
        </w:rPr>
      </w:pPr>
      <w:r>
        <w:rPr>
          <w:rFonts w:hint="eastAsia" w:ascii="宋体" w:hAnsi="宋体" w:cs="宋体"/>
          <w:bCs/>
          <w:color w:val="auto"/>
          <w:sz w:val="24"/>
          <w:szCs w:val="24"/>
          <w:highlight w:val="none"/>
        </w:rPr>
        <w:t>8、招标文件如有变更，</w:t>
      </w:r>
      <w:r>
        <w:rPr>
          <w:rFonts w:hint="eastAsia" w:ascii="宋体" w:hAnsi="宋体" w:cs="宋体"/>
          <w:b/>
          <w:color w:val="auto"/>
          <w:sz w:val="24"/>
          <w:szCs w:val="24"/>
          <w:highlight w:val="none"/>
          <w:u w:val="single"/>
        </w:rPr>
        <w:t>厦门万翔招标有限公司</w:t>
      </w:r>
      <w:r>
        <w:rPr>
          <w:rFonts w:hint="eastAsia" w:ascii="宋体" w:hAnsi="宋体" w:cs="宋体"/>
          <w:bCs/>
          <w:color w:val="auto"/>
          <w:sz w:val="24"/>
          <w:szCs w:val="24"/>
          <w:highlight w:val="none"/>
        </w:rPr>
        <w:t>将通过福建省政府采购网、厦门招投标网等媒体发布通知信息，请投标人关注。</w:t>
      </w:r>
      <w:r>
        <w:rPr>
          <w:rFonts w:hint="eastAsia" w:ascii="宋体" w:hAnsi="宋体" w:cs="宋体"/>
          <w:color w:val="auto"/>
          <w:sz w:val="24"/>
          <w:szCs w:val="24"/>
          <w:highlight w:val="none"/>
        </w:rPr>
        <w:t>（请投标人在网上下载招标文件时，必须提供准确的电子邮箱、传真以及联系方式，电子网络系统将会自动发送相关信息，投标人收到相关信息后请回复确认）。</w:t>
      </w:r>
    </w:p>
    <w:p w14:paraId="276B6A1E">
      <w:pPr>
        <w:spacing w:line="360" w:lineRule="auto"/>
        <w:ind w:firstLine="361" w:firstLineChars="150"/>
        <w:rPr>
          <w:rFonts w:ascii="宋体" w:hAnsi="宋体" w:cs="宋体"/>
          <w:b/>
          <w:color w:val="auto"/>
          <w:sz w:val="24"/>
          <w:szCs w:val="24"/>
          <w:highlight w:val="none"/>
        </w:rPr>
      </w:pPr>
      <w:r>
        <w:rPr>
          <w:rFonts w:hint="eastAsia" w:ascii="宋体" w:hAnsi="宋体" w:cs="宋体"/>
          <w:b/>
          <w:color w:val="auto"/>
          <w:sz w:val="24"/>
          <w:szCs w:val="24"/>
          <w:highlight w:val="none"/>
        </w:rPr>
        <w:t>9、友情提醒：本项目全程采用网上招、投标方式进行采购，请各投标人必须按照有关规定要求在网上注册、</w:t>
      </w:r>
      <w:r>
        <w:rPr>
          <w:rStyle w:val="19"/>
          <w:rFonts w:ascii="Helvetica" w:hAnsi="Helvetica" w:eastAsia="Helvetica" w:cs="Helvetica"/>
          <w:color w:val="auto"/>
          <w:sz w:val="24"/>
          <w:szCs w:val="24"/>
          <w:highlight w:val="none"/>
          <w:shd w:val="clear" w:color="auto" w:fill="FFFFFF"/>
        </w:rPr>
        <w:t>需办理数字证书</w:t>
      </w:r>
      <w:r>
        <w:rPr>
          <w:rStyle w:val="19"/>
          <w:rFonts w:hint="eastAsia" w:ascii="Helvetica" w:hAnsi="Helvetica" w:cs="Helvetica"/>
          <w:color w:val="auto"/>
          <w:sz w:val="24"/>
          <w:szCs w:val="24"/>
          <w:highlight w:val="none"/>
          <w:shd w:val="clear" w:color="auto" w:fill="FFFFFF"/>
        </w:rPr>
        <w:t>、</w:t>
      </w:r>
      <w:r>
        <w:rPr>
          <w:rFonts w:hint="eastAsia" w:ascii="宋体" w:hAnsi="宋体" w:cs="宋体"/>
          <w:b/>
          <w:color w:val="auto"/>
          <w:sz w:val="24"/>
          <w:szCs w:val="24"/>
          <w:highlight w:val="none"/>
        </w:rPr>
        <w:t>购买招标文件和递交投标文件。</w:t>
      </w:r>
    </w:p>
    <w:p w14:paraId="6C04081B">
      <w:pPr>
        <w:spacing w:line="360" w:lineRule="auto"/>
        <w:ind w:firstLine="360" w:firstLineChars="150"/>
        <w:rPr>
          <w:rFonts w:ascii="宋体" w:hAnsi="宋体" w:cs="宋体"/>
          <w:color w:val="auto"/>
          <w:sz w:val="24"/>
          <w:szCs w:val="24"/>
          <w:highlight w:val="none"/>
          <w:u w:val="single"/>
        </w:rPr>
      </w:pPr>
      <w:r>
        <w:rPr>
          <w:rFonts w:hint="eastAsia" w:ascii="宋体" w:hAnsi="宋体" w:cs="宋体"/>
          <w:color w:val="auto"/>
          <w:sz w:val="24"/>
          <w:szCs w:val="24"/>
          <w:highlight w:val="none"/>
        </w:rPr>
        <w:t>10、投标人对本次招标活动事项提出疑问的，请在投标截止时间十五日之前，登录厦门招投标网与招标代理机构联系。来函请加盖单位公章，并提供联系人、联系电话及传真号码。</w:t>
      </w:r>
    </w:p>
    <w:p w14:paraId="7582F219">
      <w:pPr>
        <w:tabs>
          <w:tab w:val="left" w:pos="1140"/>
        </w:tabs>
        <w:spacing w:line="360" w:lineRule="auto"/>
        <w:ind w:firstLine="240" w:firstLineChars="100"/>
        <w:rPr>
          <w:rFonts w:ascii="宋体" w:hAnsi="宋体" w:cs="宋体"/>
          <w:color w:val="auto"/>
          <w:sz w:val="24"/>
          <w:szCs w:val="24"/>
          <w:highlight w:val="none"/>
        </w:rPr>
      </w:pPr>
      <w:r>
        <w:rPr>
          <w:rFonts w:hint="eastAsia" w:ascii="宋体" w:hAnsi="宋体" w:cs="宋体"/>
          <w:color w:val="auto"/>
          <w:sz w:val="24"/>
          <w:szCs w:val="24"/>
          <w:highlight w:val="none"/>
        </w:rPr>
        <w:t>11、各有关联系方式</w:t>
      </w:r>
    </w:p>
    <w:tbl>
      <w:tblPr>
        <w:tblStyle w:val="16"/>
        <w:tblW w:w="9886"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914"/>
        <w:gridCol w:w="1409"/>
        <w:gridCol w:w="1097"/>
        <w:gridCol w:w="3190"/>
        <w:gridCol w:w="3276"/>
      </w:tblGrid>
      <w:tr w14:paraId="2C6EE59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4" w:hRule="atLeast"/>
          <w:jc w:val="center"/>
        </w:trPr>
        <w:tc>
          <w:tcPr>
            <w:tcW w:w="914" w:type="dxa"/>
            <w:noWrap/>
            <w:vAlign w:val="center"/>
          </w:tcPr>
          <w:p w14:paraId="01F71A85">
            <w:pPr>
              <w:spacing w:line="360" w:lineRule="auto"/>
              <w:jc w:val="center"/>
              <w:rPr>
                <w:rFonts w:ascii="宋体" w:hAnsi="宋体" w:cs="宋体"/>
                <w:b/>
                <w:color w:val="auto"/>
                <w:kern w:val="0"/>
                <w:sz w:val="24"/>
                <w:szCs w:val="24"/>
                <w:highlight w:val="none"/>
              </w:rPr>
            </w:pPr>
            <w:r>
              <w:rPr>
                <w:rFonts w:hint="eastAsia" w:ascii="宋体" w:hAnsi="宋体" w:cs="宋体"/>
                <w:b/>
                <w:color w:val="auto"/>
                <w:kern w:val="0"/>
                <w:sz w:val="24"/>
                <w:szCs w:val="24"/>
                <w:highlight w:val="none"/>
              </w:rPr>
              <w:t>序号</w:t>
            </w:r>
          </w:p>
        </w:tc>
        <w:tc>
          <w:tcPr>
            <w:tcW w:w="1409" w:type="dxa"/>
            <w:noWrap/>
            <w:vAlign w:val="center"/>
          </w:tcPr>
          <w:p w14:paraId="6C091C25">
            <w:pPr>
              <w:spacing w:line="360" w:lineRule="auto"/>
              <w:jc w:val="center"/>
              <w:rPr>
                <w:rFonts w:ascii="宋体" w:hAnsi="宋体" w:cs="宋体"/>
                <w:b/>
                <w:color w:val="auto"/>
                <w:kern w:val="0"/>
                <w:sz w:val="24"/>
                <w:szCs w:val="24"/>
                <w:highlight w:val="none"/>
              </w:rPr>
            </w:pPr>
            <w:r>
              <w:rPr>
                <w:rFonts w:hint="eastAsia" w:ascii="宋体" w:hAnsi="宋体" w:cs="宋体"/>
                <w:b/>
                <w:color w:val="auto"/>
                <w:kern w:val="0"/>
                <w:sz w:val="24"/>
                <w:szCs w:val="24"/>
                <w:highlight w:val="none"/>
              </w:rPr>
              <w:t>分工</w:t>
            </w:r>
          </w:p>
        </w:tc>
        <w:tc>
          <w:tcPr>
            <w:tcW w:w="1097" w:type="dxa"/>
            <w:noWrap/>
            <w:vAlign w:val="center"/>
          </w:tcPr>
          <w:p w14:paraId="23E943B2">
            <w:pPr>
              <w:spacing w:line="360" w:lineRule="auto"/>
              <w:jc w:val="center"/>
              <w:rPr>
                <w:rFonts w:ascii="宋体" w:hAnsi="宋体" w:cs="宋体"/>
                <w:b/>
                <w:color w:val="auto"/>
                <w:kern w:val="0"/>
                <w:sz w:val="24"/>
                <w:szCs w:val="24"/>
                <w:highlight w:val="none"/>
              </w:rPr>
            </w:pPr>
            <w:r>
              <w:rPr>
                <w:rFonts w:hint="eastAsia" w:ascii="宋体" w:hAnsi="宋体" w:cs="宋体"/>
                <w:b/>
                <w:color w:val="auto"/>
                <w:kern w:val="0"/>
                <w:sz w:val="24"/>
                <w:szCs w:val="24"/>
                <w:highlight w:val="none"/>
              </w:rPr>
              <w:t>联系人</w:t>
            </w:r>
          </w:p>
        </w:tc>
        <w:tc>
          <w:tcPr>
            <w:tcW w:w="3190" w:type="dxa"/>
            <w:noWrap/>
            <w:vAlign w:val="center"/>
          </w:tcPr>
          <w:p w14:paraId="20E4D7DC">
            <w:pPr>
              <w:spacing w:line="360" w:lineRule="auto"/>
              <w:jc w:val="center"/>
              <w:rPr>
                <w:rFonts w:ascii="宋体" w:hAnsi="宋体" w:cs="宋体"/>
                <w:b/>
                <w:color w:val="auto"/>
                <w:kern w:val="0"/>
                <w:sz w:val="24"/>
                <w:szCs w:val="24"/>
                <w:highlight w:val="none"/>
              </w:rPr>
            </w:pPr>
            <w:r>
              <w:rPr>
                <w:rFonts w:hint="eastAsia" w:ascii="宋体" w:hAnsi="宋体" w:cs="宋体"/>
                <w:b/>
                <w:color w:val="auto"/>
                <w:kern w:val="0"/>
                <w:sz w:val="24"/>
                <w:szCs w:val="24"/>
                <w:highlight w:val="none"/>
              </w:rPr>
              <w:t>职责范围</w:t>
            </w:r>
          </w:p>
        </w:tc>
        <w:tc>
          <w:tcPr>
            <w:tcW w:w="3276" w:type="dxa"/>
            <w:noWrap/>
            <w:vAlign w:val="center"/>
          </w:tcPr>
          <w:p w14:paraId="422EEC18">
            <w:pPr>
              <w:spacing w:line="360" w:lineRule="auto"/>
              <w:jc w:val="center"/>
              <w:rPr>
                <w:rFonts w:ascii="宋体" w:hAnsi="宋体" w:cs="宋体"/>
                <w:b/>
                <w:color w:val="auto"/>
                <w:kern w:val="0"/>
                <w:sz w:val="24"/>
                <w:szCs w:val="24"/>
                <w:highlight w:val="none"/>
              </w:rPr>
            </w:pPr>
            <w:r>
              <w:rPr>
                <w:rFonts w:hint="eastAsia" w:ascii="宋体" w:hAnsi="宋体" w:cs="宋体"/>
                <w:b/>
                <w:color w:val="auto"/>
                <w:kern w:val="0"/>
                <w:sz w:val="24"/>
                <w:szCs w:val="24"/>
                <w:highlight w:val="none"/>
              </w:rPr>
              <w:t>联系电话</w:t>
            </w:r>
          </w:p>
        </w:tc>
      </w:tr>
      <w:tr w14:paraId="4B3C586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14" w:type="dxa"/>
            <w:noWrap/>
            <w:vAlign w:val="center"/>
          </w:tcPr>
          <w:p w14:paraId="79393F01">
            <w:pPr>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1</w:t>
            </w:r>
          </w:p>
        </w:tc>
        <w:tc>
          <w:tcPr>
            <w:tcW w:w="1409" w:type="dxa"/>
            <w:noWrap/>
            <w:vAlign w:val="center"/>
          </w:tcPr>
          <w:p w14:paraId="57752E0D">
            <w:pPr>
              <w:spacing w:line="360" w:lineRule="auto"/>
              <w:jc w:val="center"/>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项目经办</w:t>
            </w:r>
          </w:p>
        </w:tc>
        <w:tc>
          <w:tcPr>
            <w:tcW w:w="1097" w:type="dxa"/>
            <w:noWrap/>
            <w:vAlign w:val="center"/>
          </w:tcPr>
          <w:p w14:paraId="40ACE749">
            <w:pPr>
              <w:spacing w:line="360" w:lineRule="auto"/>
              <w:jc w:val="center"/>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傅先生</w:t>
            </w:r>
          </w:p>
          <w:p w14:paraId="76339119">
            <w:pPr>
              <w:spacing w:line="360" w:lineRule="auto"/>
              <w:jc w:val="center"/>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黄小姐</w:t>
            </w:r>
          </w:p>
        </w:tc>
        <w:tc>
          <w:tcPr>
            <w:tcW w:w="3190" w:type="dxa"/>
            <w:noWrap/>
            <w:vAlign w:val="center"/>
          </w:tcPr>
          <w:p w14:paraId="3380A7C2">
            <w:pPr>
              <w:spacing w:line="360" w:lineRule="auto"/>
              <w:rPr>
                <w:rFonts w:ascii="宋体" w:hAnsi="宋体" w:cs="宋体"/>
                <w:color w:val="auto"/>
                <w:kern w:val="0"/>
                <w:sz w:val="24"/>
                <w:szCs w:val="24"/>
                <w:highlight w:val="none"/>
              </w:rPr>
            </w:pPr>
            <w:r>
              <w:rPr>
                <w:rFonts w:hint="eastAsia" w:ascii="宋体" w:hAnsi="宋体" w:cs="宋体"/>
                <w:color w:val="auto"/>
                <w:sz w:val="24"/>
                <w:szCs w:val="24"/>
                <w:highlight w:val="none"/>
              </w:rPr>
              <w:t>负责招标文件的咨询、答疑等工作</w:t>
            </w:r>
          </w:p>
        </w:tc>
        <w:tc>
          <w:tcPr>
            <w:tcW w:w="3276" w:type="dxa"/>
            <w:noWrap/>
            <w:vAlign w:val="center"/>
          </w:tcPr>
          <w:p w14:paraId="242A81D3">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0592-2298136、5721295</w:t>
            </w:r>
          </w:p>
          <w:p w14:paraId="3592F8AA">
            <w:pPr>
              <w:spacing w:line="360" w:lineRule="auto"/>
              <w:rPr>
                <w:rFonts w:ascii="宋体" w:hAnsi="宋体" w:cs="宋体"/>
                <w:color w:val="auto"/>
                <w:kern w:val="0"/>
                <w:sz w:val="24"/>
                <w:szCs w:val="24"/>
                <w:highlight w:val="none"/>
              </w:rPr>
            </w:pPr>
            <w:r>
              <w:rPr>
                <w:rFonts w:hint="eastAsia" w:ascii="宋体" w:hAnsi="宋体" w:cs="宋体"/>
                <w:color w:val="auto"/>
                <w:sz w:val="24"/>
                <w:szCs w:val="24"/>
                <w:highlight w:val="none"/>
              </w:rPr>
              <w:t>传真0592-5706660-6969</w:t>
            </w:r>
          </w:p>
        </w:tc>
      </w:tr>
      <w:tr w14:paraId="7A7F294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14" w:type="dxa"/>
            <w:noWrap/>
            <w:vAlign w:val="center"/>
          </w:tcPr>
          <w:p w14:paraId="1D421F9F">
            <w:pPr>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2</w:t>
            </w:r>
          </w:p>
        </w:tc>
        <w:tc>
          <w:tcPr>
            <w:tcW w:w="1409" w:type="dxa"/>
            <w:noWrap/>
            <w:vAlign w:val="center"/>
          </w:tcPr>
          <w:p w14:paraId="5BE9434A">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投标保证金</w:t>
            </w:r>
          </w:p>
        </w:tc>
        <w:tc>
          <w:tcPr>
            <w:tcW w:w="1097" w:type="dxa"/>
            <w:noWrap/>
            <w:vAlign w:val="center"/>
          </w:tcPr>
          <w:p w14:paraId="3AF3A49C">
            <w:pPr>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陈</w:t>
            </w:r>
            <w:r>
              <w:rPr>
                <w:rFonts w:hint="eastAsia" w:ascii="宋体" w:hAnsi="宋体" w:cs="宋体"/>
                <w:color w:val="auto"/>
                <w:sz w:val="24"/>
                <w:szCs w:val="24"/>
                <w:highlight w:val="none"/>
              </w:rPr>
              <w:t>小姐</w:t>
            </w:r>
          </w:p>
        </w:tc>
        <w:tc>
          <w:tcPr>
            <w:tcW w:w="3190" w:type="dxa"/>
            <w:noWrap/>
            <w:vAlign w:val="center"/>
          </w:tcPr>
          <w:p w14:paraId="5D6B7271">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投标保证金收、退</w:t>
            </w:r>
          </w:p>
        </w:tc>
        <w:tc>
          <w:tcPr>
            <w:tcW w:w="3276" w:type="dxa"/>
            <w:noWrap/>
            <w:vAlign w:val="center"/>
          </w:tcPr>
          <w:p w14:paraId="5690A46C">
            <w:pPr>
              <w:spacing w:line="360" w:lineRule="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0592-5703367</w:t>
            </w:r>
          </w:p>
        </w:tc>
      </w:tr>
      <w:tr w14:paraId="07E68FE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14" w:type="dxa"/>
            <w:noWrap/>
            <w:vAlign w:val="center"/>
          </w:tcPr>
          <w:p w14:paraId="4FB2C92A">
            <w:pPr>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3</w:t>
            </w:r>
          </w:p>
        </w:tc>
        <w:tc>
          <w:tcPr>
            <w:tcW w:w="1409" w:type="dxa"/>
            <w:noWrap/>
            <w:vAlign w:val="center"/>
          </w:tcPr>
          <w:p w14:paraId="69F4123D">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代理服务费</w:t>
            </w:r>
          </w:p>
        </w:tc>
        <w:tc>
          <w:tcPr>
            <w:tcW w:w="1097" w:type="dxa"/>
            <w:noWrap/>
            <w:vAlign w:val="center"/>
          </w:tcPr>
          <w:p w14:paraId="57EC3D81">
            <w:pPr>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陈小姐</w:t>
            </w:r>
          </w:p>
        </w:tc>
        <w:tc>
          <w:tcPr>
            <w:tcW w:w="3190" w:type="dxa"/>
            <w:noWrap/>
            <w:vAlign w:val="center"/>
          </w:tcPr>
          <w:p w14:paraId="7BAB05BF">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代理服务费收取</w:t>
            </w:r>
          </w:p>
        </w:tc>
        <w:tc>
          <w:tcPr>
            <w:tcW w:w="3276" w:type="dxa"/>
            <w:noWrap/>
            <w:vAlign w:val="center"/>
          </w:tcPr>
          <w:p w14:paraId="38D3E8ED">
            <w:pPr>
              <w:spacing w:line="360" w:lineRule="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0592-5703367</w:t>
            </w:r>
          </w:p>
        </w:tc>
      </w:tr>
      <w:tr w14:paraId="669D83D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14" w:type="dxa"/>
            <w:noWrap/>
            <w:vAlign w:val="center"/>
          </w:tcPr>
          <w:p w14:paraId="5E4023E1">
            <w:pPr>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4</w:t>
            </w:r>
          </w:p>
        </w:tc>
        <w:tc>
          <w:tcPr>
            <w:tcW w:w="1409" w:type="dxa"/>
            <w:noWrap/>
            <w:vAlign w:val="center"/>
          </w:tcPr>
          <w:p w14:paraId="5984C012">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监督</w:t>
            </w:r>
          </w:p>
        </w:tc>
        <w:tc>
          <w:tcPr>
            <w:tcW w:w="1097" w:type="dxa"/>
            <w:noWrap/>
            <w:vAlign w:val="center"/>
          </w:tcPr>
          <w:p w14:paraId="40E93508">
            <w:pPr>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黄经理</w:t>
            </w:r>
          </w:p>
        </w:tc>
        <w:tc>
          <w:tcPr>
            <w:tcW w:w="3190" w:type="dxa"/>
            <w:noWrap/>
            <w:vAlign w:val="center"/>
          </w:tcPr>
          <w:p w14:paraId="4E9A8A30">
            <w:pPr>
              <w:spacing w:line="360" w:lineRule="auto"/>
              <w:rPr>
                <w:rFonts w:ascii="宋体" w:hAnsi="宋体" w:cs="宋体"/>
                <w:color w:val="auto"/>
                <w:sz w:val="24"/>
                <w:szCs w:val="24"/>
                <w:highlight w:val="none"/>
              </w:rPr>
            </w:pPr>
            <w:r>
              <w:rPr>
                <w:rFonts w:hint="eastAsia" w:ascii="宋体" w:hAnsi="宋体" w:cs="宋体"/>
                <w:b/>
                <w:color w:val="auto"/>
                <w:sz w:val="24"/>
                <w:szCs w:val="24"/>
                <w:highlight w:val="none"/>
              </w:rPr>
              <w:t>欢迎投标人对项目采购过程中公告发布、招标文件购买、投标保证金缴交和退还、代理服务费收取、中标通知书发放等环节的服务进行监督。我们将竭诚为您提供最优质的服务。</w:t>
            </w:r>
          </w:p>
        </w:tc>
        <w:tc>
          <w:tcPr>
            <w:tcW w:w="3276" w:type="dxa"/>
            <w:noWrap/>
            <w:vAlign w:val="center"/>
          </w:tcPr>
          <w:p w14:paraId="7E201BB5">
            <w:pPr>
              <w:spacing w:line="360" w:lineRule="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0592-5705656</w:t>
            </w:r>
          </w:p>
        </w:tc>
      </w:tr>
      <w:tr w14:paraId="3575EF0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14" w:type="dxa"/>
            <w:noWrap/>
            <w:vAlign w:val="center"/>
          </w:tcPr>
          <w:p w14:paraId="39B05951">
            <w:pPr>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5</w:t>
            </w:r>
          </w:p>
        </w:tc>
        <w:tc>
          <w:tcPr>
            <w:tcW w:w="1409" w:type="dxa"/>
            <w:noWrap/>
            <w:vAlign w:val="center"/>
          </w:tcPr>
          <w:p w14:paraId="6D4FFA0F">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接收质疑</w:t>
            </w:r>
          </w:p>
        </w:tc>
        <w:tc>
          <w:tcPr>
            <w:tcW w:w="1097" w:type="dxa"/>
            <w:noWrap/>
            <w:vAlign w:val="center"/>
          </w:tcPr>
          <w:p w14:paraId="76EA3AAD">
            <w:pPr>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刘经理</w:t>
            </w:r>
          </w:p>
        </w:tc>
        <w:tc>
          <w:tcPr>
            <w:tcW w:w="3190" w:type="dxa"/>
            <w:noWrap/>
            <w:vAlign w:val="center"/>
          </w:tcPr>
          <w:p w14:paraId="7A27E8AC">
            <w:pPr>
              <w:spacing w:line="360" w:lineRule="auto"/>
              <w:rPr>
                <w:rFonts w:ascii="宋体" w:hAnsi="宋体" w:cs="宋体"/>
                <w:b/>
                <w:color w:val="auto"/>
                <w:sz w:val="24"/>
                <w:szCs w:val="24"/>
                <w:highlight w:val="none"/>
              </w:rPr>
            </w:pPr>
            <w:r>
              <w:rPr>
                <w:rFonts w:hint="eastAsia" w:ascii="宋体" w:hAnsi="宋体" w:cs="宋体"/>
                <w:color w:val="auto"/>
                <w:kern w:val="0"/>
                <w:sz w:val="24"/>
                <w:szCs w:val="24"/>
                <w:highlight w:val="none"/>
              </w:rPr>
              <w:t>负责接收质疑</w:t>
            </w:r>
          </w:p>
        </w:tc>
        <w:tc>
          <w:tcPr>
            <w:tcW w:w="3276" w:type="dxa"/>
            <w:noWrap/>
            <w:vAlign w:val="center"/>
          </w:tcPr>
          <w:p w14:paraId="6820B6AD">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电话0592-2218761</w:t>
            </w:r>
          </w:p>
          <w:p w14:paraId="0FC90799">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传真0592-5706660-6969</w:t>
            </w:r>
          </w:p>
          <w:p w14:paraId="2B4FAD35">
            <w:pPr>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"mailto:邮箱hcq@iport.com.cn" </w:instrText>
            </w:r>
            <w:r>
              <w:rPr>
                <w:color w:val="auto"/>
                <w:highlight w:val="none"/>
              </w:rPr>
              <w:fldChar w:fldCharType="separate"/>
            </w:r>
            <w:r>
              <w:rPr>
                <w:rFonts w:hint="eastAsia" w:ascii="宋体" w:hAnsi="宋体" w:cs="宋体"/>
                <w:color w:val="auto"/>
                <w:sz w:val="24"/>
                <w:szCs w:val="24"/>
                <w:highlight w:val="none"/>
              </w:rPr>
              <w:t>邮箱lmf@iport.com.cn</w:t>
            </w:r>
            <w:r>
              <w:rPr>
                <w:rFonts w:hint="eastAsia" w:ascii="宋体" w:hAnsi="宋体" w:cs="宋体"/>
                <w:color w:val="auto"/>
                <w:sz w:val="24"/>
                <w:szCs w:val="24"/>
                <w:highlight w:val="none"/>
              </w:rPr>
              <w:fldChar w:fldCharType="end"/>
            </w:r>
          </w:p>
          <w:p w14:paraId="3B36E46D">
            <w:pPr>
              <w:spacing w:line="360" w:lineRule="auto"/>
              <w:rPr>
                <w:rFonts w:ascii="宋体" w:hAnsi="宋体" w:cs="宋体"/>
                <w:color w:val="auto"/>
                <w:kern w:val="0"/>
                <w:sz w:val="24"/>
                <w:szCs w:val="24"/>
                <w:highlight w:val="none"/>
              </w:rPr>
            </w:pPr>
            <w:r>
              <w:rPr>
                <w:rFonts w:hint="eastAsia" w:ascii="宋体" w:hAnsi="宋体" w:cs="宋体"/>
                <w:color w:val="auto"/>
                <w:sz w:val="24"/>
                <w:szCs w:val="24"/>
                <w:highlight w:val="none"/>
              </w:rPr>
              <w:t>通讯地址：厦门市湖里区机场北路476号4楼</w:t>
            </w:r>
          </w:p>
        </w:tc>
      </w:tr>
    </w:tbl>
    <w:p w14:paraId="756909DB">
      <w:pPr>
        <w:tabs>
          <w:tab w:val="left" w:pos="1140"/>
        </w:tabs>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12、投标保证金及代理服务费缴交账户：</w:t>
      </w:r>
    </w:p>
    <w:tbl>
      <w:tblPr>
        <w:tblStyle w:val="16"/>
        <w:tblW w:w="0" w:type="auto"/>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326"/>
        <w:gridCol w:w="3240"/>
        <w:gridCol w:w="4602"/>
      </w:tblGrid>
      <w:tr w14:paraId="71C2473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70" w:hRule="atLeast"/>
          <w:jc w:val="center"/>
        </w:trPr>
        <w:tc>
          <w:tcPr>
            <w:tcW w:w="1326" w:type="dxa"/>
            <w:noWrap/>
            <w:vAlign w:val="center"/>
          </w:tcPr>
          <w:p w14:paraId="0CFDB3B5">
            <w:pPr>
              <w:spacing w:line="360" w:lineRule="auto"/>
              <w:jc w:val="center"/>
              <w:rPr>
                <w:rFonts w:ascii="宋体" w:hAnsi="宋体" w:cs="宋体"/>
                <w:b/>
                <w:color w:val="auto"/>
                <w:sz w:val="24"/>
                <w:szCs w:val="24"/>
                <w:highlight w:val="none"/>
              </w:rPr>
            </w:pPr>
            <w:r>
              <w:rPr>
                <w:rFonts w:hint="eastAsia" w:ascii="宋体" w:hAnsi="宋体" w:cs="宋体"/>
                <w:b/>
                <w:color w:val="auto"/>
                <w:sz w:val="24"/>
                <w:szCs w:val="24"/>
                <w:highlight w:val="none"/>
              </w:rPr>
              <w:t>类   别</w:t>
            </w:r>
          </w:p>
        </w:tc>
        <w:tc>
          <w:tcPr>
            <w:tcW w:w="3240" w:type="dxa"/>
            <w:noWrap/>
            <w:vAlign w:val="center"/>
          </w:tcPr>
          <w:p w14:paraId="0E3D5B16">
            <w:pPr>
              <w:spacing w:line="360" w:lineRule="auto"/>
              <w:jc w:val="center"/>
              <w:rPr>
                <w:rFonts w:ascii="宋体" w:hAnsi="宋体" w:cs="宋体"/>
                <w:b/>
                <w:color w:val="auto"/>
                <w:sz w:val="24"/>
                <w:szCs w:val="24"/>
                <w:highlight w:val="none"/>
              </w:rPr>
            </w:pPr>
            <w:r>
              <w:rPr>
                <w:rFonts w:hint="eastAsia" w:ascii="宋体" w:hAnsi="宋体" w:cs="宋体"/>
                <w:b/>
                <w:color w:val="auto"/>
                <w:sz w:val="24"/>
                <w:szCs w:val="24"/>
                <w:highlight w:val="none"/>
              </w:rPr>
              <w:t>投标保证金缴交账户</w:t>
            </w:r>
          </w:p>
        </w:tc>
        <w:tc>
          <w:tcPr>
            <w:tcW w:w="4602" w:type="dxa"/>
            <w:noWrap/>
            <w:vAlign w:val="center"/>
          </w:tcPr>
          <w:p w14:paraId="67195BC8">
            <w:pPr>
              <w:spacing w:line="360" w:lineRule="auto"/>
              <w:jc w:val="center"/>
              <w:rPr>
                <w:rFonts w:ascii="宋体" w:hAnsi="宋体" w:cs="宋体"/>
                <w:b/>
                <w:color w:val="auto"/>
                <w:sz w:val="24"/>
                <w:szCs w:val="24"/>
                <w:highlight w:val="none"/>
              </w:rPr>
            </w:pPr>
            <w:r>
              <w:rPr>
                <w:rFonts w:hint="eastAsia" w:ascii="宋体" w:hAnsi="宋体" w:cs="宋体"/>
                <w:b/>
                <w:color w:val="auto"/>
                <w:sz w:val="24"/>
                <w:szCs w:val="24"/>
                <w:highlight w:val="none"/>
              </w:rPr>
              <w:t>代理服务费缴交账户</w:t>
            </w:r>
          </w:p>
        </w:tc>
      </w:tr>
      <w:tr w14:paraId="2D46869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5" w:hRule="atLeast"/>
          <w:jc w:val="center"/>
        </w:trPr>
        <w:tc>
          <w:tcPr>
            <w:tcW w:w="1326" w:type="dxa"/>
            <w:noWrap/>
            <w:vAlign w:val="center"/>
          </w:tcPr>
          <w:p w14:paraId="387A750A">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开 户 行</w:t>
            </w:r>
          </w:p>
        </w:tc>
        <w:tc>
          <w:tcPr>
            <w:tcW w:w="3240" w:type="dxa"/>
            <w:noWrap/>
            <w:vAlign w:val="center"/>
          </w:tcPr>
          <w:p w14:paraId="034703CF">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w:t>
            </w:r>
          </w:p>
        </w:tc>
        <w:tc>
          <w:tcPr>
            <w:tcW w:w="4602" w:type="dxa"/>
            <w:noWrap/>
            <w:vAlign w:val="center"/>
          </w:tcPr>
          <w:p w14:paraId="7C6F5250">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中国建设银行股份有限公司厦门自贸试验区航空港支行</w:t>
            </w:r>
          </w:p>
        </w:tc>
      </w:tr>
      <w:tr w14:paraId="4E8CF33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26" w:type="dxa"/>
            <w:noWrap/>
            <w:vAlign w:val="center"/>
          </w:tcPr>
          <w:p w14:paraId="4FAD19B7">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账    号</w:t>
            </w:r>
          </w:p>
        </w:tc>
        <w:tc>
          <w:tcPr>
            <w:tcW w:w="3240" w:type="dxa"/>
            <w:noWrap/>
            <w:vAlign w:val="center"/>
          </w:tcPr>
          <w:p w14:paraId="3ACCBF3B">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w:t>
            </w:r>
          </w:p>
        </w:tc>
        <w:tc>
          <w:tcPr>
            <w:tcW w:w="4602" w:type="dxa"/>
            <w:noWrap/>
            <w:vAlign w:val="center"/>
          </w:tcPr>
          <w:p w14:paraId="4104725B">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35101570201052504219</w:t>
            </w:r>
          </w:p>
        </w:tc>
      </w:tr>
      <w:tr w14:paraId="23C32CB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26" w:type="dxa"/>
            <w:noWrap/>
            <w:vAlign w:val="center"/>
          </w:tcPr>
          <w:p w14:paraId="62446ADB">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户名</w:t>
            </w:r>
          </w:p>
        </w:tc>
        <w:tc>
          <w:tcPr>
            <w:tcW w:w="7842" w:type="dxa"/>
            <w:gridSpan w:val="2"/>
            <w:noWrap/>
            <w:vAlign w:val="center"/>
          </w:tcPr>
          <w:p w14:paraId="1F2FEF76">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厦门万翔招标有限公司</w:t>
            </w:r>
          </w:p>
        </w:tc>
      </w:tr>
    </w:tbl>
    <w:p w14:paraId="54FF4F43">
      <w:pPr>
        <w:tabs>
          <w:tab w:val="left" w:pos="1140"/>
        </w:tabs>
        <w:spacing w:line="360" w:lineRule="auto"/>
        <w:ind w:firstLine="480" w:firstLineChars="200"/>
        <w:rPr>
          <w:rFonts w:ascii="宋体" w:hAnsi="宋体" w:cs="宋体"/>
          <w:color w:val="auto"/>
          <w:sz w:val="24"/>
          <w:szCs w:val="24"/>
          <w:highlight w:val="none"/>
        </w:rPr>
      </w:pPr>
    </w:p>
    <w:p w14:paraId="4A0C08DB">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注：投标人须将相关的费用缴交至上表对应的账号，缴错账号而产生的一切后果由投标人自行承担。</w:t>
      </w:r>
    </w:p>
    <w:p w14:paraId="34BA936C">
      <w:pPr>
        <w:numPr>
          <w:ilvl w:val="255"/>
          <w:numId w:val="0"/>
        </w:num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13、注意事项：</w:t>
      </w:r>
    </w:p>
    <w:p w14:paraId="6707C71D">
      <w:pPr>
        <w:widowControl/>
        <w:tabs>
          <w:tab w:val="left" w:pos="-1080"/>
          <w:tab w:val="left" w:pos="180"/>
          <w:tab w:val="left" w:pos="1080"/>
        </w:tabs>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项目中标供应商服务费发票将以邮件方式发送至购标指定邮箱。</w:t>
      </w:r>
    </w:p>
    <w:p w14:paraId="083538CB">
      <w:pPr>
        <w:numPr>
          <w:ilvl w:val="255"/>
          <w:numId w:val="0"/>
        </w:numPr>
        <w:spacing w:line="360" w:lineRule="auto"/>
        <w:rPr>
          <w:rFonts w:ascii="宋体" w:hAnsi="宋体" w:cs="宋体"/>
          <w:color w:val="auto"/>
          <w:sz w:val="24"/>
          <w:szCs w:val="24"/>
          <w:highlight w:val="none"/>
        </w:rPr>
      </w:pPr>
    </w:p>
    <w:p w14:paraId="48F36350">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 xml:space="preserve">招标代理机构：厦门万翔招标有限公司 </w:t>
      </w:r>
    </w:p>
    <w:p w14:paraId="2BC0C9EE">
      <w:pPr>
        <w:spacing w:line="360" w:lineRule="auto"/>
        <w:ind w:firstLine="480"/>
        <w:rPr>
          <w:rFonts w:ascii="宋体" w:hAnsi="宋体" w:cs="宋体"/>
          <w:color w:val="auto"/>
          <w:sz w:val="24"/>
          <w:szCs w:val="24"/>
          <w:highlight w:val="none"/>
        </w:rPr>
      </w:pPr>
      <w:r>
        <w:rPr>
          <w:rFonts w:hint="eastAsia" w:ascii="宋体" w:hAnsi="宋体" w:cs="宋体"/>
          <w:color w:val="auto"/>
          <w:sz w:val="24"/>
          <w:szCs w:val="24"/>
          <w:highlight w:val="none"/>
        </w:rPr>
        <w:t xml:space="preserve">地  址：厦门市湖里区机场北路476号四楼 </w:t>
      </w:r>
    </w:p>
    <w:p w14:paraId="1A5C871B">
      <w:pPr>
        <w:tabs>
          <w:tab w:val="left" w:pos="2775"/>
        </w:tabs>
        <w:spacing w:line="360" w:lineRule="auto"/>
        <w:ind w:firstLine="480"/>
        <w:rPr>
          <w:rFonts w:ascii="宋体" w:hAnsi="宋体" w:cs="宋体"/>
          <w:color w:val="auto"/>
          <w:sz w:val="24"/>
          <w:szCs w:val="24"/>
          <w:highlight w:val="none"/>
        </w:rPr>
      </w:pPr>
      <w:r>
        <w:rPr>
          <w:rFonts w:hint="eastAsia" w:ascii="宋体" w:hAnsi="宋体" w:cs="宋体"/>
          <w:color w:val="auto"/>
          <w:sz w:val="24"/>
          <w:szCs w:val="24"/>
          <w:highlight w:val="none"/>
        </w:rPr>
        <w:t>邮  编： 361006</w:t>
      </w:r>
    </w:p>
    <w:p w14:paraId="34AE41F0">
      <w:pPr>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合同款项事宜联系人：喻工，0592-5708274</w:t>
      </w:r>
    </w:p>
    <w:p w14:paraId="6A506FD7">
      <w:pPr>
        <w:tabs>
          <w:tab w:val="left" w:pos="2775"/>
        </w:tabs>
        <w:spacing w:line="360" w:lineRule="auto"/>
        <w:ind w:firstLine="480"/>
        <w:rPr>
          <w:rFonts w:ascii="宋体" w:hAnsi="宋体" w:cs="宋体"/>
          <w:color w:val="auto"/>
          <w:sz w:val="24"/>
          <w:szCs w:val="24"/>
          <w:highlight w:val="none"/>
        </w:rPr>
      </w:pPr>
    </w:p>
    <w:p w14:paraId="09B06DB1">
      <w:pPr>
        <w:spacing w:line="360" w:lineRule="auto"/>
        <w:rPr>
          <w:rFonts w:ascii="宋体" w:hAnsi="宋体" w:cs="宋体"/>
          <w:color w:val="auto"/>
          <w:sz w:val="24"/>
          <w:szCs w:val="24"/>
          <w:highlight w:val="none"/>
        </w:rPr>
      </w:pPr>
    </w:p>
    <w:p w14:paraId="791E1487">
      <w:pPr>
        <w:spacing w:line="360" w:lineRule="auto"/>
        <w:rPr>
          <w:rFonts w:ascii="宋体" w:hAnsi="宋体" w:cs="宋体"/>
          <w:color w:val="auto"/>
          <w:sz w:val="24"/>
          <w:szCs w:val="24"/>
          <w:highlight w:val="none"/>
        </w:rPr>
      </w:pPr>
    </w:p>
    <w:p w14:paraId="4090C7D7">
      <w:pPr>
        <w:spacing w:line="360" w:lineRule="auto"/>
        <w:rPr>
          <w:rFonts w:ascii="宋体" w:hAnsi="宋体" w:cs="宋体"/>
          <w:color w:val="auto"/>
          <w:sz w:val="24"/>
          <w:szCs w:val="24"/>
          <w:highlight w:val="none"/>
        </w:rPr>
      </w:pPr>
    </w:p>
    <w:p w14:paraId="35EF6497">
      <w:pPr>
        <w:spacing w:line="360" w:lineRule="auto"/>
        <w:rPr>
          <w:rFonts w:ascii="宋体" w:hAnsi="宋体" w:cs="宋体"/>
          <w:color w:val="auto"/>
          <w:sz w:val="24"/>
          <w:szCs w:val="24"/>
          <w:highlight w:val="none"/>
        </w:rPr>
      </w:pPr>
    </w:p>
    <w:p w14:paraId="22B648B1">
      <w:pPr>
        <w:spacing w:line="360" w:lineRule="auto"/>
        <w:rPr>
          <w:rFonts w:ascii="宋体" w:hAnsi="宋体" w:cs="宋体"/>
          <w:color w:val="auto"/>
          <w:sz w:val="24"/>
          <w:szCs w:val="24"/>
          <w:highlight w:val="none"/>
        </w:rPr>
      </w:pPr>
    </w:p>
    <w:p w14:paraId="5F3D185E">
      <w:pPr>
        <w:spacing w:line="360" w:lineRule="auto"/>
        <w:rPr>
          <w:rFonts w:ascii="宋体" w:hAnsi="宋体" w:cs="宋体"/>
          <w:color w:val="auto"/>
          <w:sz w:val="24"/>
          <w:szCs w:val="24"/>
          <w:highlight w:val="none"/>
        </w:rPr>
      </w:pPr>
    </w:p>
    <w:p w14:paraId="1EDBEB91">
      <w:pPr>
        <w:spacing w:line="360" w:lineRule="auto"/>
        <w:rPr>
          <w:rFonts w:ascii="宋体" w:hAnsi="宋体" w:cs="宋体"/>
          <w:color w:val="auto"/>
          <w:sz w:val="24"/>
          <w:szCs w:val="24"/>
          <w:highlight w:val="none"/>
        </w:rPr>
      </w:pPr>
    </w:p>
    <w:p w14:paraId="49161171">
      <w:pPr>
        <w:spacing w:line="360" w:lineRule="auto"/>
        <w:rPr>
          <w:rFonts w:ascii="宋体" w:hAnsi="宋体" w:cs="宋体"/>
          <w:color w:val="auto"/>
          <w:sz w:val="24"/>
          <w:szCs w:val="24"/>
          <w:highlight w:val="none"/>
        </w:rPr>
      </w:pPr>
    </w:p>
    <w:p w14:paraId="4DDD878F">
      <w:pPr>
        <w:spacing w:line="360" w:lineRule="auto"/>
        <w:rPr>
          <w:rFonts w:ascii="宋体" w:hAnsi="宋体" w:cs="宋体"/>
          <w:color w:val="auto"/>
          <w:sz w:val="24"/>
          <w:szCs w:val="24"/>
          <w:highlight w:val="none"/>
        </w:rPr>
      </w:pPr>
    </w:p>
    <w:p w14:paraId="523DEECE">
      <w:pPr>
        <w:spacing w:line="360" w:lineRule="auto"/>
        <w:rPr>
          <w:rFonts w:ascii="宋体" w:hAnsi="宋体" w:cs="宋体"/>
          <w:color w:val="auto"/>
          <w:sz w:val="24"/>
          <w:szCs w:val="24"/>
          <w:highlight w:val="none"/>
        </w:rPr>
      </w:pPr>
    </w:p>
    <w:p w14:paraId="65D109AF">
      <w:pPr>
        <w:spacing w:line="360" w:lineRule="auto"/>
        <w:rPr>
          <w:rFonts w:ascii="宋体" w:hAnsi="宋体" w:cs="宋体"/>
          <w:color w:val="auto"/>
          <w:sz w:val="24"/>
          <w:szCs w:val="24"/>
          <w:highlight w:val="none"/>
        </w:rPr>
      </w:pPr>
    </w:p>
    <w:p w14:paraId="18883467">
      <w:pPr>
        <w:spacing w:line="360" w:lineRule="auto"/>
        <w:rPr>
          <w:rFonts w:ascii="宋体" w:hAnsi="宋体" w:cs="宋体"/>
          <w:color w:val="auto"/>
          <w:sz w:val="24"/>
          <w:szCs w:val="24"/>
          <w:highlight w:val="none"/>
        </w:rPr>
      </w:pPr>
    </w:p>
    <w:p w14:paraId="7F591B79">
      <w:pPr>
        <w:spacing w:line="360" w:lineRule="auto"/>
        <w:rPr>
          <w:rFonts w:ascii="宋体" w:hAnsi="宋体" w:cs="宋体"/>
          <w:color w:val="auto"/>
          <w:sz w:val="24"/>
          <w:szCs w:val="24"/>
          <w:highlight w:val="none"/>
        </w:rPr>
      </w:pPr>
    </w:p>
    <w:p w14:paraId="67DB8886">
      <w:pPr>
        <w:spacing w:line="360" w:lineRule="auto"/>
        <w:rPr>
          <w:rFonts w:ascii="宋体" w:hAnsi="宋体" w:cs="宋体"/>
          <w:color w:val="auto"/>
          <w:sz w:val="24"/>
          <w:szCs w:val="24"/>
          <w:highlight w:val="none"/>
        </w:rPr>
      </w:pPr>
    </w:p>
    <w:p w14:paraId="13694037">
      <w:pPr>
        <w:spacing w:line="360" w:lineRule="auto"/>
        <w:rPr>
          <w:rFonts w:ascii="宋体" w:hAnsi="宋体" w:cs="宋体"/>
          <w:color w:val="auto"/>
          <w:sz w:val="24"/>
          <w:szCs w:val="24"/>
          <w:highlight w:val="none"/>
        </w:rPr>
      </w:pPr>
    </w:p>
    <w:p w14:paraId="254BB0D2">
      <w:pPr>
        <w:spacing w:line="360" w:lineRule="auto"/>
        <w:rPr>
          <w:rFonts w:ascii="宋体" w:hAnsi="宋体" w:cs="宋体"/>
          <w:color w:val="auto"/>
          <w:sz w:val="32"/>
          <w:szCs w:val="32"/>
          <w:highlight w:val="none"/>
        </w:rPr>
      </w:pPr>
    </w:p>
    <w:p w14:paraId="199B0F3B">
      <w:pPr>
        <w:spacing w:line="360" w:lineRule="auto"/>
        <w:rPr>
          <w:rFonts w:ascii="宋体" w:hAnsi="宋体" w:cs="宋体"/>
          <w:color w:val="auto"/>
          <w:sz w:val="32"/>
          <w:szCs w:val="32"/>
          <w:highlight w:val="none"/>
        </w:rPr>
      </w:pPr>
    </w:p>
    <w:p w14:paraId="50025678">
      <w:pPr>
        <w:spacing w:line="360" w:lineRule="auto"/>
        <w:rPr>
          <w:rFonts w:ascii="宋体" w:hAnsi="宋体" w:cs="宋体"/>
          <w:color w:val="auto"/>
          <w:sz w:val="32"/>
          <w:szCs w:val="32"/>
          <w:highlight w:val="none"/>
        </w:rPr>
      </w:pPr>
      <w:r>
        <w:rPr>
          <w:rFonts w:hint="eastAsia" w:ascii="宋体" w:hAnsi="宋体" w:cs="宋体"/>
          <w:color w:val="auto"/>
          <w:sz w:val="32"/>
          <w:szCs w:val="32"/>
          <w:highlight w:val="none"/>
        </w:rPr>
        <w:t>附：招标货物(服务)一览表</w:t>
      </w:r>
    </w:p>
    <w:p w14:paraId="0305BFD0">
      <w:pPr>
        <w:spacing w:line="360" w:lineRule="auto"/>
        <w:jc w:val="center"/>
        <w:rPr>
          <w:rFonts w:ascii="宋体" w:hAnsi="宋体" w:cs="宋体"/>
          <w:b/>
          <w:color w:val="auto"/>
          <w:sz w:val="32"/>
          <w:szCs w:val="32"/>
          <w:highlight w:val="none"/>
        </w:rPr>
      </w:pPr>
      <w:r>
        <w:rPr>
          <w:rFonts w:hint="eastAsia" w:ascii="宋体" w:hAnsi="宋体" w:cs="宋体"/>
          <w:b/>
          <w:color w:val="auto"/>
          <w:sz w:val="32"/>
          <w:szCs w:val="32"/>
          <w:highlight w:val="none"/>
        </w:rPr>
        <w:t>招标货物（服务）一览表</w:t>
      </w:r>
    </w:p>
    <w:tbl>
      <w:tblPr>
        <w:tblStyle w:val="16"/>
        <w:tblW w:w="0" w:type="auto"/>
        <w:tblInd w:w="-7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8"/>
        <w:gridCol w:w="952"/>
        <w:gridCol w:w="1805"/>
        <w:gridCol w:w="811"/>
        <w:gridCol w:w="1620"/>
        <w:gridCol w:w="1080"/>
        <w:gridCol w:w="2027"/>
      </w:tblGrid>
      <w:tr w14:paraId="15822B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0" w:hRule="atLeast"/>
        </w:trPr>
        <w:tc>
          <w:tcPr>
            <w:tcW w:w="1218" w:type="dxa"/>
            <w:tcBorders>
              <w:top w:val="single" w:color="auto" w:sz="4" w:space="0"/>
              <w:left w:val="single" w:color="auto" w:sz="4" w:space="0"/>
              <w:bottom w:val="single" w:color="auto" w:sz="4" w:space="0"/>
              <w:right w:val="single" w:color="auto" w:sz="4" w:space="0"/>
            </w:tcBorders>
            <w:noWrap/>
            <w:vAlign w:val="center"/>
          </w:tcPr>
          <w:p w14:paraId="17A6EF5E">
            <w:pPr>
              <w:pStyle w:val="6"/>
              <w:tabs>
                <w:tab w:val="left" w:pos="8360"/>
              </w:tabs>
              <w:spacing w:line="360" w:lineRule="auto"/>
              <w:rPr>
                <w:rFonts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合同包</w:t>
            </w:r>
          </w:p>
        </w:tc>
        <w:tc>
          <w:tcPr>
            <w:tcW w:w="952" w:type="dxa"/>
            <w:tcBorders>
              <w:top w:val="single" w:color="auto" w:sz="4" w:space="0"/>
              <w:left w:val="single" w:color="auto" w:sz="4" w:space="0"/>
              <w:bottom w:val="single" w:color="auto" w:sz="4" w:space="0"/>
              <w:right w:val="single" w:color="auto" w:sz="4" w:space="0"/>
            </w:tcBorders>
            <w:noWrap/>
            <w:vAlign w:val="center"/>
          </w:tcPr>
          <w:p w14:paraId="39EB7395">
            <w:pPr>
              <w:pStyle w:val="6"/>
              <w:tabs>
                <w:tab w:val="left" w:pos="8360"/>
              </w:tabs>
              <w:spacing w:line="360" w:lineRule="auto"/>
              <w:rPr>
                <w:rFonts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品目号</w:t>
            </w:r>
          </w:p>
        </w:tc>
        <w:tc>
          <w:tcPr>
            <w:tcW w:w="1805" w:type="dxa"/>
            <w:tcBorders>
              <w:top w:val="single" w:color="auto" w:sz="4" w:space="0"/>
              <w:left w:val="single" w:color="auto" w:sz="4" w:space="0"/>
              <w:bottom w:val="single" w:color="auto" w:sz="4" w:space="0"/>
              <w:right w:val="single" w:color="auto" w:sz="4" w:space="0"/>
            </w:tcBorders>
            <w:noWrap/>
            <w:vAlign w:val="center"/>
          </w:tcPr>
          <w:p w14:paraId="59C16DFE">
            <w:pPr>
              <w:pStyle w:val="6"/>
              <w:tabs>
                <w:tab w:val="left" w:pos="8360"/>
              </w:tabs>
              <w:spacing w:line="360" w:lineRule="auto"/>
              <w:rPr>
                <w:rFonts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货物名称</w:t>
            </w:r>
          </w:p>
        </w:tc>
        <w:tc>
          <w:tcPr>
            <w:tcW w:w="811" w:type="dxa"/>
            <w:tcBorders>
              <w:top w:val="single" w:color="auto" w:sz="4" w:space="0"/>
              <w:left w:val="single" w:color="auto" w:sz="4" w:space="0"/>
              <w:bottom w:val="single" w:color="auto" w:sz="4" w:space="0"/>
              <w:right w:val="single" w:color="auto" w:sz="4" w:space="0"/>
            </w:tcBorders>
            <w:noWrap/>
            <w:vAlign w:val="center"/>
          </w:tcPr>
          <w:p w14:paraId="43A31402">
            <w:pPr>
              <w:pStyle w:val="6"/>
              <w:tabs>
                <w:tab w:val="left" w:pos="8360"/>
              </w:tabs>
              <w:spacing w:line="360" w:lineRule="auto"/>
              <w:rPr>
                <w:rFonts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数量</w:t>
            </w:r>
          </w:p>
        </w:tc>
        <w:tc>
          <w:tcPr>
            <w:tcW w:w="1620" w:type="dxa"/>
            <w:tcBorders>
              <w:top w:val="single" w:color="auto" w:sz="4" w:space="0"/>
              <w:left w:val="single" w:color="auto" w:sz="4" w:space="0"/>
              <w:bottom w:val="single" w:color="auto" w:sz="4" w:space="0"/>
              <w:right w:val="single" w:color="auto" w:sz="4" w:space="0"/>
            </w:tcBorders>
            <w:noWrap/>
            <w:vAlign w:val="center"/>
          </w:tcPr>
          <w:p w14:paraId="6AD28BAE">
            <w:pPr>
              <w:pStyle w:val="6"/>
              <w:tabs>
                <w:tab w:val="left" w:pos="8360"/>
              </w:tabs>
              <w:spacing w:line="360" w:lineRule="auto"/>
              <w:rPr>
                <w:rFonts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主要技术规格</w:t>
            </w:r>
          </w:p>
        </w:tc>
        <w:tc>
          <w:tcPr>
            <w:tcW w:w="1080" w:type="dxa"/>
            <w:tcBorders>
              <w:top w:val="single" w:color="auto" w:sz="4" w:space="0"/>
              <w:left w:val="single" w:color="auto" w:sz="4" w:space="0"/>
              <w:bottom w:val="single" w:color="auto" w:sz="4" w:space="0"/>
              <w:right w:val="single" w:color="auto" w:sz="4" w:space="0"/>
            </w:tcBorders>
            <w:noWrap/>
            <w:vAlign w:val="center"/>
          </w:tcPr>
          <w:p w14:paraId="01B9580C">
            <w:pPr>
              <w:pStyle w:val="6"/>
              <w:tabs>
                <w:tab w:val="left" w:pos="8360"/>
              </w:tabs>
              <w:spacing w:line="360" w:lineRule="auto"/>
              <w:rPr>
                <w:rFonts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交货地点</w:t>
            </w:r>
          </w:p>
        </w:tc>
        <w:tc>
          <w:tcPr>
            <w:tcW w:w="2027" w:type="dxa"/>
            <w:tcBorders>
              <w:top w:val="single" w:color="auto" w:sz="4" w:space="0"/>
              <w:left w:val="single" w:color="auto" w:sz="4" w:space="0"/>
              <w:bottom w:val="single" w:color="auto" w:sz="4" w:space="0"/>
              <w:right w:val="single" w:color="auto" w:sz="4" w:space="0"/>
            </w:tcBorders>
            <w:noWrap/>
            <w:vAlign w:val="center"/>
          </w:tcPr>
          <w:p w14:paraId="752EB6DA">
            <w:pPr>
              <w:pStyle w:val="6"/>
              <w:tabs>
                <w:tab w:val="left" w:pos="8360"/>
              </w:tabs>
              <w:spacing w:line="360" w:lineRule="auto"/>
              <w:rPr>
                <w:rFonts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使用单位</w:t>
            </w:r>
          </w:p>
        </w:tc>
      </w:tr>
      <w:tr w14:paraId="62F0B9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0" w:hRule="atLeast"/>
        </w:trPr>
        <w:tc>
          <w:tcPr>
            <w:tcW w:w="1218" w:type="dxa"/>
            <w:tcBorders>
              <w:top w:val="single" w:color="auto" w:sz="4" w:space="0"/>
              <w:left w:val="single" w:color="auto" w:sz="4" w:space="0"/>
              <w:bottom w:val="single" w:color="auto" w:sz="4" w:space="0"/>
              <w:right w:val="single" w:color="auto" w:sz="4" w:space="0"/>
            </w:tcBorders>
            <w:noWrap/>
            <w:vAlign w:val="center"/>
          </w:tcPr>
          <w:p w14:paraId="1896BD0B">
            <w:pPr>
              <w:pStyle w:val="6"/>
              <w:tabs>
                <w:tab w:val="left" w:pos="8360"/>
              </w:tabs>
              <w:spacing w:line="360" w:lineRule="auto"/>
              <w:rPr>
                <w:rFonts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XM2025 -DZ0</w:t>
            </w:r>
          </w:p>
        </w:tc>
        <w:tc>
          <w:tcPr>
            <w:tcW w:w="952" w:type="dxa"/>
            <w:tcBorders>
              <w:top w:val="single" w:color="auto" w:sz="4" w:space="0"/>
              <w:left w:val="single" w:color="auto" w:sz="4" w:space="0"/>
              <w:bottom w:val="single" w:color="auto" w:sz="4" w:space="0"/>
              <w:right w:val="single" w:color="auto" w:sz="4" w:space="0"/>
            </w:tcBorders>
            <w:noWrap/>
            <w:vAlign w:val="center"/>
          </w:tcPr>
          <w:p w14:paraId="052F8DDD">
            <w:pPr>
              <w:pStyle w:val="6"/>
              <w:tabs>
                <w:tab w:val="left" w:pos="8360"/>
              </w:tabs>
              <w:spacing w:line="360" w:lineRule="auto"/>
              <w:rPr>
                <w:rFonts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1-1</w:t>
            </w:r>
          </w:p>
        </w:tc>
        <w:tc>
          <w:tcPr>
            <w:tcW w:w="1805" w:type="dxa"/>
            <w:tcBorders>
              <w:top w:val="single" w:color="auto" w:sz="4" w:space="0"/>
              <w:left w:val="single" w:color="auto" w:sz="4" w:space="0"/>
              <w:bottom w:val="single" w:color="auto" w:sz="4" w:space="0"/>
              <w:right w:val="single" w:color="auto" w:sz="4" w:space="0"/>
            </w:tcBorders>
            <w:noWrap/>
            <w:vAlign w:val="center"/>
          </w:tcPr>
          <w:p w14:paraId="3AE16321">
            <w:pPr>
              <w:pStyle w:val="6"/>
              <w:tabs>
                <w:tab w:val="left" w:pos="8360"/>
              </w:tabs>
              <w:spacing w:line="360" w:lineRule="auto"/>
              <w:rPr>
                <w:rFonts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台式计算机等</w:t>
            </w:r>
          </w:p>
        </w:tc>
        <w:tc>
          <w:tcPr>
            <w:tcW w:w="811" w:type="dxa"/>
            <w:tcBorders>
              <w:top w:val="single" w:color="auto" w:sz="4" w:space="0"/>
              <w:left w:val="single" w:color="auto" w:sz="4" w:space="0"/>
              <w:bottom w:val="single" w:color="auto" w:sz="4" w:space="0"/>
              <w:right w:val="single" w:color="auto" w:sz="4" w:space="0"/>
            </w:tcBorders>
            <w:noWrap/>
            <w:vAlign w:val="center"/>
          </w:tcPr>
          <w:p w14:paraId="60CABC1E">
            <w:pPr>
              <w:pStyle w:val="6"/>
              <w:tabs>
                <w:tab w:val="left" w:pos="8360"/>
              </w:tabs>
              <w:spacing w:line="360" w:lineRule="auto"/>
              <w:rPr>
                <w:rFonts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1批</w:t>
            </w:r>
          </w:p>
        </w:tc>
        <w:tc>
          <w:tcPr>
            <w:tcW w:w="1620" w:type="dxa"/>
            <w:tcBorders>
              <w:top w:val="single" w:color="auto" w:sz="4" w:space="0"/>
              <w:left w:val="single" w:color="auto" w:sz="4" w:space="0"/>
              <w:bottom w:val="single" w:color="auto" w:sz="4" w:space="0"/>
              <w:right w:val="single" w:color="auto" w:sz="4" w:space="0"/>
            </w:tcBorders>
            <w:noWrap/>
            <w:vAlign w:val="center"/>
          </w:tcPr>
          <w:p w14:paraId="55ABE37F">
            <w:pPr>
              <w:pStyle w:val="6"/>
              <w:tabs>
                <w:tab w:val="left" w:pos="8360"/>
              </w:tabs>
              <w:spacing w:line="360" w:lineRule="auto"/>
              <w:rPr>
                <w:rFonts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详见招标内容及要求</w:t>
            </w:r>
          </w:p>
        </w:tc>
        <w:tc>
          <w:tcPr>
            <w:tcW w:w="1080" w:type="dxa"/>
            <w:tcBorders>
              <w:top w:val="single" w:color="auto" w:sz="4" w:space="0"/>
              <w:left w:val="single" w:color="auto" w:sz="4" w:space="0"/>
              <w:bottom w:val="single" w:color="auto" w:sz="4" w:space="0"/>
              <w:right w:val="single" w:color="auto" w:sz="4" w:space="0"/>
            </w:tcBorders>
            <w:noWrap/>
            <w:vAlign w:val="center"/>
          </w:tcPr>
          <w:p w14:paraId="0F7F0BF5">
            <w:pPr>
              <w:pStyle w:val="6"/>
              <w:tabs>
                <w:tab w:val="left" w:pos="8360"/>
              </w:tabs>
              <w:spacing w:line="360" w:lineRule="auto"/>
              <w:rPr>
                <w:rFonts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使用单位指定地点</w:t>
            </w:r>
          </w:p>
        </w:tc>
        <w:tc>
          <w:tcPr>
            <w:tcW w:w="2027" w:type="dxa"/>
            <w:tcBorders>
              <w:top w:val="single" w:color="auto" w:sz="4" w:space="0"/>
              <w:left w:val="single" w:color="auto" w:sz="4" w:space="0"/>
              <w:bottom w:val="single" w:color="auto" w:sz="4" w:space="0"/>
              <w:right w:val="single" w:color="auto" w:sz="4" w:space="0"/>
            </w:tcBorders>
            <w:noWrap/>
            <w:vAlign w:val="center"/>
          </w:tcPr>
          <w:p w14:paraId="5EE4FF17">
            <w:pPr>
              <w:pStyle w:val="6"/>
              <w:tabs>
                <w:tab w:val="left" w:pos="8360"/>
              </w:tabs>
              <w:spacing w:line="360" w:lineRule="auto"/>
              <w:rPr>
                <w:rFonts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集美大学</w:t>
            </w:r>
          </w:p>
        </w:tc>
      </w:tr>
    </w:tbl>
    <w:p w14:paraId="381661CC">
      <w:pPr>
        <w:spacing w:line="360" w:lineRule="auto"/>
        <w:rPr>
          <w:rFonts w:ascii="宋体" w:hAnsi="宋体" w:cs="宋体"/>
          <w:b/>
          <w:color w:val="auto"/>
          <w:sz w:val="32"/>
          <w:szCs w:val="32"/>
          <w:highlight w:val="none"/>
        </w:rPr>
      </w:pPr>
    </w:p>
    <w:p w14:paraId="49CBC796">
      <w:pPr>
        <w:pStyle w:val="8"/>
        <w:tabs>
          <w:tab w:val="left" w:pos="8360"/>
        </w:tabs>
        <w:spacing w:line="360" w:lineRule="auto"/>
        <w:jc w:val="left"/>
        <w:rPr>
          <w:rFonts w:hAnsi="宋体" w:cs="宋体"/>
          <w:color w:val="auto"/>
          <w:sz w:val="24"/>
          <w:szCs w:val="24"/>
          <w:highlight w:val="none"/>
        </w:rPr>
      </w:pPr>
      <w:r>
        <w:rPr>
          <w:rFonts w:hint="eastAsia" w:hAnsi="宋体" w:cs="宋体"/>
          <w:color w:val="auto"/>
          <w:sz w:val="24"/>
          <w:szCs w:val="24"/>
          <w:highlight w:val="none"/>
        </w:rPr>
        <w:t>注：投标人可按合同包投标，对同一合同包内所有品目号内容投标时必须完整。评标与授标以合同包为单位。</w:t>
      </w:r>
    </w:p>
    <w:p w14:paraId="550B45A8">
      <w:pPr>
        <w:pStyle w:val="8"/>
        <w:tabs>
          <w:tab w:val="left" w:pos="8360"/>
        </w:tabs>
        <w:spacing w:line="360" w:lineRule="auto"/>
        <w:jc w:val="left"/>
        <w:rPr>
          <w:rFonts w:hAnsi="宋体" w:cs="宋体"/>
          <w:color w:val="auto"/>
          <w:sz w:val="24"/>
          <w:szCs w:val="24"/>
          <w:highlight w:val="none"/>
        </w:rPr>
      </w:pPr>
    </w:p>
    <w:p w14:paraId="7C9A0981">
      <w:pPr>
        <w:pStyle w:val="8"/>
        <w:tabs>
          <w:tab w:val="left" w:pos="8360"/>
        </w:tabs>
        <w:spacing w:line="360" w:lineRule="auto"/>
        <w:jc w:val="left"/>
        <w:rPr>
          <w:rFonts w:hAnsi="宋体" w:cs="宋体"/>
          <w:color w:val="auto"/>
          <w:sz w:val="24"/>
          <w:szCs w:val="24"/>
          <w:highlight w:val="none"/>
        </w:rPr>
      </w:pPr>
    </w:p>
    <w:p w14:paraId="1837A72B">
      <w:pPr>
        <w:pStyle w:val="8"/>
        <w:tabs>
          <w:tab w:val="left" w:pos="8360"/>
        </w:tabs>
        <w:spacing w:line="360" w:lineRule="auto"/>
        <w:jc w:val="left"/>
        <w:rPr>
          <w:rFonts w:hAnsi="宋体" w:cs="宋体"/>
          <w:color w:val="auto"/>
          <w:sz w:val="24"/>
          <w:szCs w:val="24"/>
          <w:highlight w:val="none"/>
        </w:rPr>
      </w:pPr>
    </w:p>
    <w:p w14:paraId="15E08780">
      <w:pPr>
        <w:pStyle w:val="8"/>
        <w:tabs>
          <w:tab w:val="left" w:pos="8360"/>
        </w:tabs>
        <w:spacing w:line="360" w:lineRule="auto"/>
        <w:jc w:val="left"/>
        <w:rPr>
          <w:rFonts w:hAnsi="宋体" w:cs="宋体"/>
          <w:color w:val="auto"/>
          <w:sz w:val="24"/>
          <w:szCs w:val="24"/>
          <w:highlight w:val="none"/>
        </w:rPr>
      </w:pPr>
    </w:p>
    <w:p w14:paraId="32D7484D">
      <w:pPr>
        <w:pStyle w:val="8"/>
        <w:tabs>
          <w:tab w:val="left" w:pos="8360"/>
        </w:tabs>
        <w:spacing w:line="360" w:lineRule="auto"/>
        <w:jc w:val="left"/>
        <w:rPr>
          <w:rFonts w:hAnsi="宋体" w:cs="宋体"/>
          <w:color w:val="auto"/>
          <w:sz w:val="24"/>
          <w:szCs w:val="24"/>
          <w:highlight w:val="none"/>
        </w:rPr>
      </w:pPr>
    </w:p>
    <w:p w14:paraId="6FCDA6F1">
      <w:pPr>
        <w:pStyle w:val="8"/>
        <w:tabs>
          <w:tab w:val="left" w:pos="8360"/>
        </w:tabs>
        <w:spacing w:line="360" w:lineRule="auto"/>
        <w:jc w:val="left"/>
        <w:rPr>
          <w:rFonts w:hAnsi="宋体" w:cs="宋体"/>
          <w:color w:val="auto"/>
          <w:sz w:val="24"/>
          <w:szCs w:val="24"/>
          <w:highlight w:val="none"/>
        </w:rPr>
      </w:pPr>
    </w:p>
    <w:p w14:paraId="6B5A4A41">
      <w:pPr>
        <w:pStyle w:val="8"/>
        <w:tabs>
          <w:tab w:val="left" w:pos="8360"/>
        </w:tabs>
        <w:spacing w:line="360" w:lineRule="auto"/>
        <w:jc w:val="left"/>
        <w:rPr>
          <w:rFonts w:hAnsi="宋体" w:cs="宋体"/>
          <w:color w:val="auto"/>
          <w:sz w:val="24"/>
          <w:szCs w:val="24"/>
          <w:highlight w:val="none"/>
        </w:rPr>
      </w:pPr>
    </w:p>
    <w:p w14:paraId="6B3BDD8D">
      <w:pPr>
        <w:pStyle w:val="8"/>
        <w:tabs>
          <w:tab w:val="left" w:pos="8360"/>
        </w:tabs>
        <w:spacing w:line="360" w:lineRule="auto"/>
        <w:jc w:val="left"/>
        <w:rPr>
          <w:rFonts w:hAnsi="宋体" w:cs="宋体"/>
          <w:color w:val="auto"/>
          <w:sz w:val="24"/>
          <w:szCs w:val="24"/>
          <w:highlight w:val="none"/>
        </w:rPr>
      </w:pPr>
    </w:p>
    <w:p w14:paraId="2F8106A9">
      <w:pPr>
        <w:pStyle w:val="8"/>
        <w:tabs>
          <w:tab w:val="left" w:pos="8360"/>
        </w:tabs>
        <w:spacing w:line="360" w:lineRule="auto"/>
        <w:jc w:val="left"/>
        <w:rPr>
          <w:rFonts w:hAnsi="宋体" w:cs="宋体"/>
          <w:color w:val="auto"/>
          <w:sz w:val="24"/>
          <w:szCs w:val="24"/>
          <w:highlight w:val="none"/>
        </w:rPr>
      </w:pPr>
    </w:p>
    <w:p w14:paraId="1CAFCD90">
      <w:pPr>
        <w:pStyle w:val="8"/>
        <w:tabs>
          <w:tab w:val="left" w:pos="8360"/>
        </w:tabs>
        <w:spacing w:line="360" w:lineRule="auto"/>
        <w:jc w:val="left"/>
        <w:rPr>
          <w:rFonts w:hAnsi="宋体" w:cs="宋体"/>
          <w:color w:val="auto"/>
          <w:sz w:val="24"/>
          <w:szCs w:val="24"/>
          <w:highlight w:val="none"/>
        </w:rPr>
      </w:pPr>
    </w:p>
    <w:p w14:paraId="1B556F1E">
      <w:pPr>
        <w:pStyle w:val="8"/>
        <w:tabs>
          <w:tab w:val="left" w:pos="8360"/>
        </w:tabs>
        <w:spacing w:line="360" w:lineRule="auto"/>
        <w:jc w:val="left"/>
        <w:rPr>
          <w:rFonts w:hAnsi="宋体" w:cs="宋体"/>
          <w:color w:val="auto"/>
          <w:sz w:val="24"/>
          <w:szCs w:val="24"/>
          <w:highlight w:val="none"/>
        </w:rPr>
      </w:pPr>
    </w:p>
    <w:p w14:paraId="7458BC92">
      <w:pPr>
        <w:pStyle w:val="8"/>
        <w:tabs>
          <w:tab w:val="left" w:pos="8360"/>
        </w:tabs>
        <w:spacing w:line="360" w:lineRule="auto"/>
        <w:jc w:val="left"/>
        <w:rPr>
          <w:rFonts w:hAnsi="宋体" w:cs="宋体"/>
          <w:color w:val="auto"/>
          <w:sz w:val="24"/>
          <w:szCs w:val="24"/>
          <w:highlight w:val="none"/>
        </w:rPr>
      </w:pPr>
    </w:p>
    <w:p w14:paraId="01EA09CA">
      <w:pPr>
        <w:pStyle w:val="8"/>
        <w:tabs>
          <w:tab w:val="left" w:pos="8360"/>
        </w:tabs>
        <w:spacing w:line="360" w:lineRule="auto"/>
        <w:jc w:val="left"/>
        <w:rPr>
          <w:rFonts w:hAnsi="宋体" w:cs="宋体"/>
          <w:color w:val="auto"/>
          <w:sz w:val="24"/>
          <w:szCs w:val="24"/>
          <w:highlight w:val="none"/>
        </w:rPr>
      </w:pPr>
    </w:p>
    <w:p w14:paraId="7A62526B">
      <w:pPr>
        <w:pStyle w:val="4"/>
        <w:spacing w:line="360" w:lineRule="auto"/>
        <w:ind w:firstLine="0"/>
        <w:rPr>
          <w:rFonts w:ascii="宋体" w:hAnsi="宋体" w:cs="宋体"/>
          <w:b/>
          <w:color w:val="auto"/>
          <w:sz w:val="24"/>
          <w:szCs w:val="24"/>
          <w:highlight w:val="none"/>
        </w:rPr>
        <w:sectPr>
          <w:footerReference r:id="rId5" w:type="default"/>
          <w:pgSz w:w="11906" w:h="16838"/>
          <w:pgMar w:top="1440" w:right="1106" w:bottom="1290" w:left="1800" w:header="851" w:footer="992" w:gutter="0"/>
          <w:pgNumType w:start="1"/>
          <w:cols w:space="720" w:num="1"/>
          <w:docGrid w:type="lines" w:linePitch="312" w:charSpace="0"/>
        </w:sectPr>
      </w:pPr>
    </w:p>
    <w:p w14:paraId="4D6ABA26">
      <w:pPr>
        <w:pStyle w:val="39"/>
        <w:spacing w:line="360" w:lineRule="auto"/>
        <w:jc w:val="center"/>
        <w:rPr>
          <w:rFonts w:hAnsi="宋体" w:cs="宋体"/>
          <w:b/>
          <w:color w:val="auto"/>
          <w:sz w:val="32"/>
          <w:szCs w:val="32"/>
          <w:highlight w:val="none"/>
        </w:rPr>
      </w:pPr>
      <w:r>
        <w:rPr>
          <w:rFonts w:hint="eastAsia" w:hAnsi="宋体" w:cs="宋体"/>
          <w:b/>
          <w:color w:val="auto"/>
          <w:sz w:val="32"/>
          <w:szCs w:val="32"/>
          <w:highlight w:val="none"/>
        </w:rPr>
        <w:t>第二章  投标人须知</w:t>
      </w:r>
    </w:p>
    <w:p w14:paraId="27EB2663">
      <w:pPr>
        <w:pStyle w:val="39"/>
        <w:spacing w:line="360" w:lineRule="auto"/>
        <w:jc w:val="center"/>
        <w:rPr>
          <w:rFonts w:hAnsi="宋体" w:cs="宋体"/>
          <w:color w:val="auto"/>
          <w:sz w:val="32"/>
          <w:szCs w:val="32"/>
          <w:highlight w:val="none"/>
        </w:rPr>
      </w:pPr>
      <w:r>
        <w:rPr>
          <w:rFonts w:hint="eastAsia" w:hAnsi="宋体" w:cs="宋体"/>
          <w:b/>
          <w:color w:val="auto"/>
          <w:sz w:val="32"/>
          <w:szCs w:val="32"/>
          <w:highlight w:val="none"/>
        </w:rPr>
        <w:t>投标人须知前附表1</w:t>
      </w:r>
    </w:p>
    <w:p w14:paraId="12F1BA19">
      <w:pPr>
        <w:spacing w:line="360" w:lineRule="auto"/>
        <w:ind w:firstLine="527"/>
        <w:rPr>
          <w:rFonts w:ascii="宋体" w:hAnsi="宋体" w:cs="宋体"/>
          <w:color w:val="auto"/>
          <w:sz w:val="24"/>
          <w:szCs w:val="24"/>
          <w:highlight w:val="none"/>
        </w:rPr>
      </w:pPr>
      <w:r>
        <w:rPr>
          <w:rFonts w:hint="eastAsia" w:ascii="宋体" w:hAnsi="宋体" w:cs="宋体"/>
          <w:color w:val="auto"/>
          <w:sz w:val="24"/>
          <w:szCs w:val="24"/>
          <w:highlight w:val="none"/>
        </w:rPr>
        <w:t>本须知前附表1的条款号是与</w:t>
      </w:r>
      <w:r>
        <w:rPr>
          <w:rFonts w:ascii="宋体" w:hAnsi="宋体" w:cs="宋体"/>
          <w:color w:val="auto"/>
          <w:sz w:val="24"/>
          <w:szCs w:val="24"/>
          <w:highlight w:val="none"/>
        </w:rPr>
        <w:t>固定部分第二章</w:t>
      </w:r>
      <w:r>
        <w:rPr>
          <w:rFonts w:hint="eastAsia" w:ascii="宋体" w:hAnsi="宋体" w:cs="宋体"/>
          <w:color w:val="auto"/>
          <w:sz w:val="24"/>
          <w:szCs w:val="24"/>
          <w:highlight w:val="none"/>
        </w:rPr>
        <w:t xml:space="preserve">《投标人须知》中条款的项号相对应的。如有矛盾，应以本须知前附表为准。 </w:t>
      </w:r>
    </w:p>
    <w:tbl>
      <w:tblPr>
        <w:tblStyle w:val="16"/>
        <w:tblW w:w="93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080"/>
        <w:gridCol w:w="7380"/>
      </w:tblGrid>
      <w:tr w14:paraId="7A5D64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00" w:type="dxa"/>
            <w:noWrap/>
          </w:tcPr>
          <w:p w14:paraId="3FCD87F4">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项号</w:t>
            </w:r>
          </w:p>
        </w:tc>
        <w:tc>
          <w:tcPr>
            <w:tcW w:w="1080" w:type="dxa"/>
            <w:noWrap/>
          </w:tcPr>
          <w:p w14:paraId="751716FE">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条款号</w:t>
            </w:r>
          </w:p>
        </w:tc>
        <w:tc>
          <w:tcPr>
            <w:tcW w:w="7380" w:type="dxa"/>
            <w:noWrap/>
          </w:tcPr>
          <w:p w14:paraId="30714AD8">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编   列   内    容</w:t>
            </w:r>
          </w:p>
        </w:tc>
      </w:tr>
      <w:tr w14:paraId="026472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00" w:type="dxa"/>
            <w:noWrap/>
            <w:vAlign w:val="center"/>
          </w:tcPr>
          <w:p w14:paraId="783B0790">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w:t>
            </w:r>
          </w:p>
        </w:tc>
        <w:tc>
          <w:tcPr>
            <w:tcW w:w="1080" w:type="dxa"/>
            <w:noWrap/>
            <w:vAlign w:val="center"/>
          </w:tcPr>
          <w:p w14:paraId="62C163A4">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1.1</w:t>
            </w:r>
          </w:p>
        </w:tc>
        <w:tc>
          <w:tcPr>
            <w:tcW w:w="7380" w:type="dxa"/>
            <w:noWrap/>
            <w:vAlign w:val="center"/>
          </w:tcPr>
          <w:p w14:paraId="0516B39D">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项目名称： 台式计算机等</w:t>
            </w:r>
          </w:p>
          <w:p w14:paraId="29359598">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采购单位名称：厦门万翔网络商务有限公司</w:t>
            </w:r>
          </w:p>
          <w:p w14:paraId="3952A2EA">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采购单位地址：厦门市湖里区机场北路476号五楼 </w:t>
            </w:r>
          </w:p>
          <w:p w14:paraId="263511F5">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项目内容： 台式计算机等</w:t>
            </w:r>
          </w:p>
          <w:p w14:paraId="6730F082">
            <w:pPr>
              <w:spacing w:line="360" w:lineRule="auto"/>
              <w:rPr>
                <w:rFonts w:ascii="宋体" w:hAnsi="宋体" w:cs="宋体"/>
                <w:color w:val="auto"/>
                <w:sz w:val="24"/>
                <w:szCs w:val="24"/>
                <w:highlight w:val="none"/>
                <w:u w:val="single"/>
              </w:rPr>
            </w:pPr>
            <w:r>
              <w:rPr>
                <w:rFonts w:hint="eastAsia" w:ascii="宋体" w:hAnsi="宋体" w:cs="宋体"/>
                <w:color w:val="auto"/>
                <w:sz w:val="24"/>
                <w:szCs w:val="24"/>
                <w:highlight w:val="none"/>
              </w:rPr>
              <w:t>项目编号：</w:t>
            </w:r>
            <w:r>
              <w:rPr>
                <w:rFonts w:hint="eastAsia" w:ascii="宋体" w:hAnsi="宋体" w:cs="宋体"/>
                <w:color w:val="auto"/>
                <w:sz w:val="24"/>
                <w:szCs w:val="24"/>
                <w:highlight w:val="none"/>
                <w:u w:val="single"/>
              </w:rPr>
              <w:t>XM2025-DZ0048</w:t>
            </w:r>
          </w:p>
          <w:p w14:paraId="20528B77">
            <w:pPr>
              <w:spacing w:line="360" w:lineRule="auto"/>
              <w:rPr>
                <w:rFonts w:ascii="宋体" w:hAnsi="宋体" w:cs="宋体"/>
                <w:color w:val="auto"/>
                <w:sz w:val="24"/>
                <w:szCs w:val="24"/>
                <w:highlight w:val="none"/>
                <w:u w:val="single"/>
              </w:rPr>
            </w:pPr>
            <w:r>
              <w:rPr>
                <w:rFonts w:hint="eastAsia" w:ascii="宋体" w:hAnsi="宋体" w:cs="宋体"/>
                <w:color w:val="auto"/>
                <w:sz w:val="24"/>
                <w:szCs w:val="24"/>
                <w:highlight w:val="none"/>
                <w:u w:val="single"/>
              </w:rPr>
              <w:t>采购预算：人民币191万元整</w:t>
            </w:r>
          </w:p>
        </w:tc>
      </w:tr>
      <w:tr w14:paraId="5ED9C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jc w:val="center"/>
        </w:trPr>
        <w:tc>
          <w:tcPr>
            <w:tcW w:w="900" w:type="dxa"/>
            <w:noWrap/>
            <w:vAlign w:val="center"/>
          </w:tcPr>
          <w:p w14:paraId="0B73D75A">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2</w:t>
            </w:r>
          </w:p>
        </w:tc>
        <w:tc>
          <w:tcPr>
            <w:tcW w:w="1080" w:type="dxa"/>
            <w:noWrap/>
            <w:vAlign w:val="center"/>
          </w:tcPr>
          <w:p w14:paraId="0B1F0D82">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w:t>
            </w:r>
          </w:p>
        </w:tc>
        <w:tc>
          <w:tcPr>
            <w:tcW w:w="7380" w:type="dxa"/>
            <w:noWrap/>
            <w:vAlign w:val="center"/>
          </w:tcPr>
          <w:p w14:paraId="0276B33D">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资格标准：</w:t>
            </w:r>
          </w:p>
          <w:p w14:paraId="5F2E1C38">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详见第二章《投标人须知》第3条，以及第三章《招标内容及要求》有关内容。</w:t>
            </w:r>
          </w:p>
        </w:tc>
      </w:tr>
      <w:tr w14:paraId="30EA85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noWrap/>
            <w:vAlign w:val="center"/>
          </w:tcPr>
          <w:p w14:paraId="397584A0">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w:t>
            </w:r>
          </w:p>
        </w:tc>
        <w:tc>
          <w:tcPr>
            <w:tcW w:w="1080" w:type="dxa"/>
            <w:noWrap/>
            <w:vAlign w:val="center"/>
          </w:tcPr>
          <w:p w14:paraId="1CA45698">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11.1</w:t>
            </w:r>
          </w:p>
        </w:tc>
        <w:tc>
          <w:tcPr>
            <w:tcW w:w="7380" w:type="dxa"/>
            <w:noWrap/>
            <w:vAlign w:val="center"/>
          </w:tcPr>
          <w:p w14:paraId="582DF8A9">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投标有效期：投标截止之日起</w:t>
            </w:r>
            <w:r>
              <w:rPr>
                <w:rFonts w:hint="eastAsia" w:ascii="宋体" w:hAnsi="宋体" w:cs="宋体"/>
                <w:color w:val="auto"/>
                <w:sz w:val="24"/>
                <w:szCs w:val="24"/>
                <w:highlight w:val="none"/>
                <w:u w:val="single"/>
              </w:rPr>
              <w:t>90</w:t>
            </w:r>
            <w:r>
              <w:rPr>
                <w:rFonts w:hint="eastAsia" w:ascii="宋体" w:hAnsi="宋体" w:cs="宋体"/>
                <w:color w:val="auto"/>
                <w:sz w:val="24"/>
                <w:szCs w:val="24"/>
                <w:highlight w:val="none"/>
              </w:rPr>
              <w:t>个日历日。</w:t>
            </w:r>
          </w:p>
          <w:p w14:paraId="614EF26E">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有效期不足将导致其投标文件被拒绝。</w:t>
            </w:r>
          </w:p>
        </w:tc>
      </w:tr>
      <w:tr w14:paraId="113FAB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noWrap/>
            <w:vAlign w:val="center"/>
          </w:tcPr>
          <w:p w14:paraId="33453A7C">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4</w:t>
            </w:r>
          </w:p>
        </w:tc>
        <w:tc>
          <w:tcPr>
            <w:tcW w:w="1080" w:type="dxa"/>
            <w:noWrap/>
            <w:vAlign w:val="center"/>
          </w:tcPr>
          <w:p w14:paraId="7756B657">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12</w:t>
            </w:r>
          </w:p>
        </w:tc>
        <w:tc>
          <w:tcPr>
            <w:tcW w:w="7380" w:type="dxa"/>
            <w:noWrap/>
            <w:vAlign w:val="center"/>
          </w:tcPr>
          <w:p w14:paraId="3D1F714C">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投标保证金：</w:t>
            </w:r>
            <w:r>
              <w:rPr>
                <w:rFonts w:hint="eastAsia" w:ascii="宋体" w:hAnsi="宋体" w:cs="宋体"/>
                <w:color w:val="auto"/>
                <w:sz w:val="24"/>
                <w:szCs w:val="24"/>
                <w:highlight w:val="none"/>
                <w:u w:val="single"/>
              </w:rPr>
              <w:t xml:space="preserve">    0元      </w:t>
            </w:r>
          </w:p>
          <w:p w14:paraId="51127C4D">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①投标保证金以转账、电汇两种形式提交（不收取现金、现金支票，不能用个人卡在银联支付系统转账，否则作未提交投标保证金处理）。</w:t>
            </w:r>
          </w:p>
          <w:p w14:paraId="3F531343">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②若项目存在分合同包采购的，则投标保证金应按不同的合同包号分别提交。</w:t>
            </w:r>
          </w:p>
          <w:p w14:paraId="3737A724">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③经评审，若所有采购标的均为中小企业（含个体工商户）制造的货物，或者监狱企业提供本单位制造的货物；或者残疾人福利性单位提供本单位制造的货物（或提供其他残疾人福利性单位制造的货物），投标保证金全免交纳。全免交纳投标保证金的投标人应按照招标文件格式要求在投标文件中提供《中小企业声明函》。</w:t>
            </w:r>
          </w:p>
          <w:p w14:paraId="2ECBA050">
            <w:pPr>
              <w:spacing w:line="360" w:lineRule="auto"/>
              <w:rPr>
                <w:rFonts w:ascii="宋体" w:hAnsi="宋体" w:cs="宋体"/>
                <w:color w:val="auto"/>
                <w:kern w:val="0"/>
                <w:sz w:val="24"/>
                <w:szCs w:val="24"/>
                <w:highlight w:val="none"/>
              </w:rPr>
            </w:pPr>
            <w:r>
              <w:rPr>
                <w:rFonts w:hint="eastAsia" w:ascii="宋体" w:hAnsi="宋体" w:cs="宋体"/>
                <w:color w:val="auto"/>
                <w:sz w:val="24"/>
                <w:szCs w:val="24"/>
                <w:highlight w:val="none"/>
              </w:rPr>
              <w:t>④</w:t>
            </w:r>
            <w:r>
              <w:rPr>
                <w:rFonts w:hint="eastAsia" w:ascii="宋体" w:hAnsi="宋体" w:cs="宋体"/>
                <w:color w:val="auto"/>
                <w:kern w:val="0"/>
                <w:sz w:val="24"/>
                <w:szCs w:val="24"/>
                <w:highlight w:val="none"/>
              </w:rPr>
              <w:t>投标保证金应在投标截止时间前到账。</w:t>
            </w:r>
          </w:p>
          <w:p w14:paraId="5613C959">
            <w:pPr>
              <w:spacing w:line="360" w:lineRule="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未按前述规定缴交投标保证金的，投标无效。</w:t>
            </w:r>
          </w:p>
          <w:p w14:paraId="10CE19E2">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⑤投标保证金按投标人缴交账号原路退回，遇投标人账号变更、非投标保证金款项误转进投标保证金专户等特殊情况确实无法原路退回的，需经同级政府采购监管部门核实后方可退回。</w:t>
            </w:r>
          </w:p>
        </w:tc>
      </w:tr>
      <w:tr w14:paraId="0D7908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noWrap/>
            <w:vAlign w:val="center"/>
          </w:tcPr>
          <w:p w14:paraId="5650ED2C">
            <w:pPr>
              <w:spacing w:line="360" w:lineRule="auto"/>
              <w:ind w:firstLine="240" w:firstLineChars="100"/>
              <w:rPr>
                <w:rFonts w:ascii="宋体" w:hAnsi="宋体" w:cs="宋体"/>
                <w:color w:val="auto"/>
                <w:sz w:val="24"/>
                <w:szCs w:val="24"/>
                <w:highlight w:val="none"/>
              </w:rPr>
            </w:pPr>
            <w:r>
              <w:rPr>
                <w:rFonts w:hint="eastAsia" w:ascii="宋体" w:hAnsi="宋体" w:cs="宋体"/>
                <w:color w:val="auto"/>
                <w:sz w:val="24"/>
                <w:szCs w:val="24"/>
                <w:highlight w:val="none"/>
              </w:rPr>
              <w:t>5</w:t>
            </w:r>
          </w:p>
        </w:tc>
        <w:tc>
          <w:tcPr>
            <w:tcW w:w="1080" w:type="dxa"/>
            <w:noWrap/>
            <w:vAlign w:val="center"/>
          </w:tcPr>
          <w:p w14:paraId="72BA160E">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19.1</w:t>
            </w:r>
          </w:p>
        </w:tc>
        <w:tc>
          <w:tcPr>
            <w:tcW w:w="7380" w:type="dxa"/>
            <w:noWrap/>
            <w:vAlign w:val="center"/>
          </w:tcPr>
          <w:p w14:paraId="659BCCCB">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评标方法、标准及定标原则(含推荐中标候选供应商数量)：</w:t>
            </w:r>
          </w:p>
          <w:p w14:paraId="22FA9FD6">
            <w:pPr>
              <w:pStyle w:val="8"/>
              <w:spacing w:line="360" w:lineRule="auto"/>
              <w:rPr>
                <w:rFonts w:hAnsi="宋体" w:cs="宋体"/>
                <w:color w:val="auto"/>
                <w:sz w:val="24"/>
                <w:szCs w:val="24"/>
                <w:highlight w:val="none"/>
              </w:rPr>
            </w:pPr>
            <w:r>
              <w:rPr>
                <w:rFonts w:hint="eastAsia" w:hAnsi="宋体" w:cs="宋体"/>
                <w:color w:val="auto"/>
                <w:sz w:val="24"/>
                <w:szCs w:val="24"/>
                <w:highlight w:val="none"/>
              </w:rPr>
              <w:t>详见《投标人须知前附表3》。</w:t>
            </w:r>
          </w:p>
        </w:tc>
      </w:tr>
      <w:tr w14:paraId="56705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noWrap/>
            <w:vAlign w:val="center"/>
          </w:tcPr>
          <w:p w14:paraId="11DECD15">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6</w:t>
            </w:r>
          </w:p>
        </w:tc>
        <w:tc>
          <w:tcPr>
            <w:tcW w:w="1080" w:type="dxa"/>
            <w:noWrap/>
            <w:vAlign w:val="center"/>
          </w:tcPr>
          <w:p w14:paraId="55A8DB1C">
            <w:pPr>
              <w:spacing w:line="360" w:lineRule="auto"/>
              <w:ind w:right="-63" w:rightChars="-30"/>
              <w:rPr>
                <w:rFonts w:ascii="宋体" w:hAnsi="宋体" w:cs="宋体"/>
                <w:color w:val="auto"/>
                <w:sz w:val="24"/>
                <w:szCs w:val="24"/>
                <w:highlight w:val="none"/>
              </w:rPr>
            </w:pPr>
            <w:r>
              <w:rPr>
                <w:rFonts w:hint="eastAsia" w:ascii="宋体" w:hAnsi="宋体" w:cs="宋体"/>
                <w:color w:val="auto"/>
                <w:sz w:val="24"/>
                <w:szCs w:val="24"/>
                <w:highlight w:val="none"/>
              </w:rPr>
              <w:t>12.9</w:t>
            </w:r>
          </w:p>
        </w:tc>
        <w:tc>
          <w:tcPr>
            <w:tcW w:w="7380" w:type="dxa"/>
            <w:noWrap/>
            <w:vAlign w:val="center"/>
          </w:tcPr>
          <w:p w14:paraId="2C25DE41">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代理服务费：</w:t>
            </w:r>
          </w:p>
          <w:p w14:paraId="298E40A8">
            <w:pPr>
              <w:adjustRightInd w:val="0"/>
              <w:snapToGrid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1、代理服务费收费标准：</w:t>
            </w:r>
          </w:p>
          <w:tbl>
            <w:tblPr>
              <w:tblStyle w:val="16"/>
              <w:tblW w:w="0" w:type="auto"/>
              <w:tblInd w:w="2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21"/>
              <w:gridCol w:w="2700"/>
            </w:tblGrid>
            <w:tr w14:paraId="6663E3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321" w:type="dxa"/>
                  <w:noWrap/>
                </w:tcPr>
                <w:p w14:paraId="682900A9">
                  <w:pPr>
                    <w:adjustRightInd w:val="0"/>
                    <w:snapToGrid w:val="0"/>
                    <w:spacing w:line="360" w:lineRule="auto"/>
                    <w:ind w:firstLine="120" w:firstLineChars="50"/>
                    <w:rPr>
                      <w:rFonts w:ascii="宋体" w:hAnsi="宋体" w:cs="宋体"/>
                      <w:color w:val="auto"/>
                      <w:sz w:val="24"/>
                      <w:szCs w:val="24"/>
                      <w:highlight w:val="none"/>
                    </w:rPr>
                  </w:pPr>
                  <w:r>
                    <w:rPr>
                      <w:rFonts w:hint="eastAsia" w:ascii="宋体" w:hAnsi="宋体" w:cs="宋体"/>
                      <w:color w:val="auto"/>
                      <w:sz w:val="24"/>
                      <w:szCs w:val="24"/>
                      <w:highlight w:val="none"/>
                    </w:rPr>
                    <w:t>中标金额(万元)</w:t>
                  </w:r>
                </w:p>
              </w:tc>
              <w:tc>
                <w:tcPr>
                  <w:tcW w:w="2700" w:type="dxa"/>
                  <w:noWrap/>
                </w:tcPr>
                <w:p w14:paraId="179C7739">
                  <w:pPr>
                    <w:adjustRightInd w:val="0"/>
                    <w:snapToGrid w:val="0"/>
                    <w:spacing w:line="360" w:lineRule="auto"/>
                    <w:ind w:firstLine="120" w:firstLineChars="50"/>
                    <w:rPr>
                      <w:rFonts w:ascii="宋体" w:hAnsi="宋体" w:cs="宋体"/>
                      <w:color w:val="auto"/>
                      <w:sz w:val="24"/>
                      <w:szCs w:val="24"/>
                      <w:highlight w:val="none"/>
                    </w:rPr>
                  </w:pPr>
                  <w:r>
                    <w:rPr>
                      <w:rFonts w:hint="eastAsia" w:ascii="宋体" w:hAnsi="宋体" w:cs="宋体"/>
                      <w:color w:val="auto"/>
                      <w:sz w:val="24"/>
                      <w:szCs w:val="24"/>
                      <w:highlight w:val="none"/>
                    </w:rPr>
                    <w:t>费率</w:t>
                  </w:r>
                </w:p>
              </w:tc>
            </w:tr>
            <w:tr w14:paraId="7FBF76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tcPr>
                <w:p w14:paraId="6D5D5B01">
                  <w:pPr>
                    <w:adjustRightInd w:val="0"/>
                    <w:snapToGrid w:val="0"/>
                    <w:spacing w:line="360" w:lineRule="auto"/>
                    <w:ind w:firstLine="120" w:firstLineChars="50"/>
                    <w:rPr>
                      <w:rFonts w:ascii="宋体" w:hAnsi="宋体" w:cs="宋体"/>
                      <w:color w:val="auto"/>
                      <w:sz w:val="24"/>
                      <w:szCs w:val="24"/>
                      <w:highlight w:val="none"/>
                    </w:rPr>
                  </w:pPr>
                  <w:r>
                    <w:rPr>
                      <w:rFonts w:hint="eastAsia" w:ascii="宋体" w:hAnsi="宋体" w:cs="宋体"/>
                      <w:color w:val="auto"/>
                      <w:sz w:val="24"/>
                      <w:szCs w:val="24"/>
                      <w:highlight w:val="none"/>
                    </w:rPr>
                    <w:t>[0―100]</w:t>
                  </w:r>
                </w:p>
              </w:tc>
              <w:tc>
                <w:tcPr>
                  <w:tcW w:w="2700" w:type="dxa"/>
                  <w:noWrap/>
                </w:tcPr>
                <w:p w14:paraId="07D2D980">
                  <w:pPr>
                    <w:adjustRightInd w:val="0"/>
                    <w:snapToGrid w:val="0"/>
                    <w:spacing w:line="360" w:lineRule="auto"/>
                    <w:ind w:firstLine="120" w:firstLineChars="50"/>
                    <w:rPr>
                      <w:rFonts w:ascii="宋体" w:hAnsi="宋体" w:cs="宋体"/>
                      <w:color w:val="auto"/>
                      <w:sz w:val="24"/>
                      <w:szCs w:val="24"/>
                      <w:highlight w:val="none"/>
                    </w:rPr>
                  </w:pPr>
                  <w:r>
                    <w:rPr>
                      <w:rFonts w:hint="eastAsia" w:ascii="宋体" w:hAnsi="宋体" w:cs="宋体"/>
                      <w:color w:val="auto"/>
                      <w:sz w:val="24"/>
                      <w:szCs w:val="24"/>
                      <w:highlight w:val="none"/>
                    </w:rPr>
                    <w:t>1.5%</w:t>
                  </w:r>
                </w:p>
              </w:tc>
            </w:tr>
            <w:tr w14:paraId="02872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tcPr>
                <w:p w14:paraId="3DFA0B45">
                  <w:pPr>
                    <w:adjustRightInd w:val="0"/>
                    <w:snapToGrid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（100－500]</w:t>
                  </w:r>
                </w:p>
              </w:tc>
              <w:tc>
                <w:tcPr>
                  <w:tcW w:w="2700" w:type="dxa"/>
                  <w:noWrap/>
                </w:tcPr>
                <w:p w14:paraId="074B6E9F">
                  <w:pPr>
                    <w:adjustRightInd w:val="0"/>
                    <w:snapToGrid w:val="0"/>
                    <w:spacing w:line="360" w:lineRule="auto"/>
                    <w:ind w:firstLine="120" w:firstLineChars="50"/>
                    <w:rPr>
                      <w:rFonts w:ascii="宋体" w:hAnsi="宋体" w:cs="宋体"/>
                      <w:color w:val="auto"/>
                      <w:sz w:val="24"/>
                      <w:szCs w:val="24"/>
                      <w:highlight w:val="none"/>
                    </w:rPr>
                  </w:pPr>
                  <w:r>
                    <w:rPr>
                      <w:rFonts w:hint="eastAsia" w:ascii="宋体" w:hAnsi="宋体" w:cs="宋体"/>
                      <w:color w:val="auto"/>
                      <w:sz w:val="24"/>
                      <w:szCs w:val="24"/>
                      <w:highlight w:val="none"/>
                    </w:rPr>
                    <w:t>1.1%</w:t>
                  </w:r>
                </w:p>
              </w:tc>
            </w:tr>
            <w:tr w14:paraId="36E162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tcPr>
                <w:p w14:paraId="5437ADC8">
                  <w:pPr>
                    <w:adjustRightInd w:val="0"/>
                    <w:snapToGrid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（500-1000]</w:t>
                  </w:r>
                </w:p>
              </w:tc>
              <w:tc>
                <w:tcPr>
                  <w:tcW w:w="2700" w:type="dxa"/>
                  <w:noWrap/>
                </w:tcPr>
                <w:p w14:paraId="183E2D36">
                  <w:pPr>
                    <w:adjustRightInd w:val="0"/>
                    <w:snapToGrid w:val="0"/>
                    <w:spacing w:line="360" w:lineRule="auto"/>
                    <w:ind w:firstLine="120" w:firstLineChars="50"/>
                    <w:rPr>
                      <w:rFonts w:ascii="宋体" w:hAnsi="宋体" w:cs="宋体"/>
                      <w:color w:val="auto"/>
                      <w:sz w:val="24"/>
                      <w:szCs w:val="24"/>
                      <w:highlight w:val="none"/>
                    </w:rPr>
                  </w:pPr>
                  <w:r>
                    <w:rPr>
                      <w:rFonts w:hint="eastAsia" w:ascii="宋体" w:hAnsi="宋体" w:cs="宋体"/>
                      <w:color w:val="auto"/>
                      <w:sz w:val="24"/>
                      <w:szCs w:val="24"/>
                      <w:highlight w:val="none"/>
                    </w:rPr>
                    <w:t>0.8%</w:t>
                  </w:r>
                </w:p>
              </w:tc>
            </w:tr>
            <w:tr w14:paraId="2B89E9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tcPr>
                <w:p w14:paraId="23B2DF10">
                  <w:pPr>
                    <w:adjustRightInd w:val="0"/>
                    <w:snapToGrid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（1000-5000]</w:t>
                  </w:r>
                </w:p>
              </w:tc>
              <w:tc>
                <w:tcPr>
                  <w:tcW w:w="2700" w:type="dxa"/>
                  <w:noWrap/>
                </w:tcPr>
                <w:p w14:paraId="13A1F52A">
                  <w:pPr>
                    <w:adjustRightInd w:val="0"/>
                    <w:snapToGrid w:val="0"/>
                    <w:spacing w:line="360" w:lineRule="auto"/>
                    <w:ind w:firstLine="120" w:firstLineChars="50"/>
                    <w:rPr>
                      <w:rFonts w:ascii="宋体" w:hAnsi="宋体" w:cs="宋体"/>
                      <w:color w:val="auto"/>
                      <w:sz w:val="24"/>
                      <w:szCs w:val="24"/>
                      <w:highlight w:val="none"/>
                    </w:rPr>
                  </w:pPr>
                  <w:r>
                    <w:rPr>
                      <w:rFonts w:hint="eastAsia" w:ascii="宋体" w:hAnsi="宋体" w:cs="宋体"/>
                      <w:color w:val="auto"/>
                      <w:sz w:val="24"/>
                      <w:szCs w:val="24"/>
                      <w:highlight w:val="none"/>
                    </w:rPr>
                    <w:t>0.5%</w:t>
                  </w:r>
                </w:p>
              </w:tc>
            </w:tr>
            <w:tr w14:paraId="26768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tcPr>
                <w:p w14:paraId="095783B7">
                  <w:pPr>
                    <w:adjustRightInd w:val="0"/>
                    <w:snapToGrid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（5000-10000]</w:t>
                  </w:r>
                </w:p>
              </w:tc>
              <w:tc>
                <w:tcPr>
                  <w:tcW w:w="2700" w:type="dxa"/>
                  <w:noWrap/>
                </w:tcPr>
                <w:p w14:paraId="2DC534A6">
                  <w:pPr>
                    <w:adjustRightInd w:val="0"/>
                    <w:snapToGrid w:val="0"/>
                    <w:spacing w:line="360" w:lineRule="auto"/>
                    <w:ind w:firstLine="120" w:firstLineChars="50"/>
                    <w:rPr>
                      <w:rFonts w:ascii="宋体" w:hAnsi="宋体" w:cs="宋体"/>
                      <w:color w:val="auto"/>
                      <w:sz w:val="24"/>
                      <w:szCs w:val="24"/>
                      <w:highlight w:val="none"/>
                    </w:rPr>
                  </w:pPr>
                  <w:r>
                    <w:rPr>
                      <w:rFonts w:hint="eastAsia" w:ascii="宋体" w:hAnsi="宋体" w:cs="宋体"/>
                      <w:color w:val="auto"/>
                      <w:sz w:val="24"/>
                      <w:szCs w:val="24"/>
                      <w:highlight w:val="none"/>
                    </w:rPr>
                    <w:t>0.25%</w:t>
                  </w:r>
                </w:p>
              </w:tc>
            </w:tr>
            <w:tr w14:paraId="64AAAE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tcPr>
                <w:p w14:paraId="4810C51C">
                  <w:pPr>
                    <w:adjustRightInd w:val="0"/>
                    <w:snapToGrid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（10000-50000]</w:t>
                  </w:r>
                </w:p>
              </w:tc>
              <w:tc>
                <w:tcPr>
                  <w:tcW w:w="2700" w:type="dxa"/>
                  <w:noWrap/>
                </w:tcPr>
                <w:p w14:paraId="51309273">
                  <w:pPr>
                    <w:adjustRightInd w:val="0"/>
                    <w:snapToGrid w:val="0"/>
                    <w:spacing w:line="360" w:lineRule="auto"/>
                    <w:ind w:firstLine="120" w:firstLineChars="50"/>
                    <w:rPr>
                      <w:rFonts w:ascii="宋体" w:hAnsi="宋体" w:cs="宋体"/>
                      <w:color w:val="auto"/>
                      <w:sz w:val="24"/>
                      <w:szCs w:val="24"/>
                      <w:highlight w:val="none"/>
                    </w:rPr>
                  </w:pPr>
                  <w:r>
                    <w:rPr>
                      <w:rFonts w:hint="eastAsia" w:ascii="宋体" w:hAnsi="宋体" w:cs="宋体"/>
                      <w:color w:val="auto"/>
                      <w:sz w:val="24"/>
                      <w:szCs w:val="24"/>
                      <w:highlight w:val="none"/>
                    </w:rPr>
                    <w:t>0.05%</w:t>
                  </w:r>
                </w:p>
              </w:tc>
            </w:tr>
            <w:tr w14:paraId="4097EA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tcPr>
                <w:p w14:paraId="48BA0FFC">
                  <w:pPr>
                    <w:adjustRightInd w:val="0"/>
                    <w:snapToGrid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（50000-100000]</w:t>
                  </w:r>
                </w:p>
              </w:tc>
              <w:tc>
                <w:tcPr>
                  <w:tcW w:w="2700" w:type="dxa"/>
                  <w:noWrap/>
                </w:tcPr>
                <w:p w14:paraId="3F60FB90">
                  <w:pPr>
                    <w:adjustRightInd w:val="0"/>
                    <w:snapToGrid w:val="0"/>
                    <w:spacing w:line="360" w:lineRule="auto"/>
                    <w:ind w:firstLine="120" w:firstLineChars="50"/>
                    <w:rPr>
                      <w:rFonts w:ascii="宋体" w:hAnsi="宋体" w:cs="宋体"/>
                      <w:color w:val="auto"/>
                      <w:sz w:val="24"/>
                      <w:szCs w:val="24"/>
                      <w:highlight w:val="none"/>
                    </w:rPr>
                  </w:pPr>
                  <w:r>
                    <w:rPr>
                      <w:rFonts w:hint="eastAsia" w:ascii="宋体" w:hAnsi="宋体" w:cs="宋体"/>
                      <w:color w:val="auto"/>
                      <w:sz w:val="24"/>
                      <w:szCs w:val="24"/>
                      <w:highlight w:val="none"/>
                    </w:rPr>
                    <w:t>0.035%</w:t>
                  </w:r>
                </w:p>
              </w:tc>
            </w:tr>
          </w:tbl>
          <w:p w14:paraId="59634EB1">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注：1、代理服务费的收取按差额定率累进法计算,由中标供应商支付。</w:t>
            </w:r>
          </w:p>
          <w:p w14:paraId="66BA9E58">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2、中标供应商以转账或汇款方式提交。</w:t>
            </w:r>
          </w:p>
          <w:p w14:paraId="4079D3CB">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3、经评审，若所有采购标的均为中小企业（含个体工商户）制造的货物，或者监狱企业提供本单位制造的货物；或者残疾人福利性单位提供本单位制造的货物（或提供其他残疾人福利性单位制造的货物），代理服务费按照上述服务收费标准下浮10%进行支付。</w:t>
            </w:r>
          </w:p>
        </w:tc>
      </w:tr>
      <w:tr w14:paraId="4F2325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tcBorders>
              <w:top w:val="single" w:color="auto" w:sz="4" w:space="0"/>
              <w:left w:val="single" w:color="auto" w:sz="4" w:space="0"/>
              <w:bottom w:val="single" w:color="auto" w:sz="4" w:space="0"/>
              <w:right w:val="single" w:color="auto" w:sz="4" w:space="0"/>
            </w:tcBorders>
            <w:noWrap/>
            <w:vAlign w:val="center"/>
          </w:tcPr>
          <w:p w14:paraId="776A49B9">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7</w:t>
            </w:r>
          </w:p>
        </w:tc>
        <w:tc>
          <w:tcPr>
            <w:tcW w:w="1080" w:type="dxa"/>
            <w:tcBorders>
              <w:top w:val="single" w:color="auto" w:sz="4" w:space="0"/>
              <w:left w:val="single" w:color="auto" w:sz="4" w:space="0"/>
              <w:bottom w:val="single" w:color="auto" w:sz="4" w:space="0"/>
              <w:right w:val="single" w:color="auto" w:sz="4" w:space="0"/>
            </w:tcBorders>
            <w:noWrap/>
            <w:vAlign w:val="center"/>
          </w:tcPr>
          <w:p w14:paraId="1CA690C6">
            <w:pPr>
              <w:spacing w:line="360" w:lineRule="auto"/>
              <w:jc w:val="center"/>
              <w:rPr>
                <w:rFonts w:ascii="宋体" w:hAnsi="宋体" w:cs="宋体"/>
                <w:color w:val="auto"/>
                <w:sz w:val="24"/>
                <w:szCs w:val="24"/>
                <w:highlight w:val="none"/>
              </w:rPr>
            </w:pPr>
          </w:p>
        </w:tc>
        <w:tc>
          <w:tcPr>
            <w:tcW w:w="7380" w:type="dxa"/>
            <w:tcBorders>
              <w:top w:val="single" w:color="auto" w:sz="4" w:space="0"/>
              <w:left w:val="single" w:color="auto" w:sz="4" w:space="0"/>
              <w:bottom w:val="single" w:color="auto" w:sz="4" w:space="0"/>
              <w:right w:val="single" w:color="auto" w:sz="4" w:space="0"/>
            </w:tcBorders>
            <w:noWrap/>
            <w:vAlign w:val="center"/>
          </w:tcPr>
          <w:p w14:paraId="7A445BD7">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监督管理部门：厦门市财政局。</w:t>
            </w:r>
          </w:p>
        </w:tc>
      </w:tr>
      <w:tr w14:paraId="18F182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tcBorders>
              <w:top w:val="single" w:color="auto" w:sz="4" w:space="0"/>
              <w:left w:val="single" w:color="auto" w:sz="4" w:space="0"/>
              <w:bottom w:val="single" w:color="auto" w:sz="4" w:space="0"/>
              <w:right w:val="single" w:color="auto" w:sz="4" w:space="0"/>
            </w:tcBorders>
            <w:noWrap/>
            <w:vAlign w:val="center"/>
          </w:tcPr>
          <w:p w14:paraId="3834AAC5">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8</w:t>
            </w:r>
          </w:p>
        </w:tc>
        <w:tc>
          <w:tcPr>
            <w:tcW w:w="1080" w:type="dxa"/>
            <w:tcBorders>
              <w:top w:val="single" w:color="auto" w:sz="4" w:space="0"/>
              <w:left w:val="single" w:color="auto" w:sz="4" w:space="0"/>
              <w:bottom w:val="single" w:color="auto" w:sz="4" w:space="0"/>
              <w:right w:val="single" w:color="auto" w:sz="4" w:space="0"/>
            </w:tcBorders>
            <w:noWrap/>
            <w:vAlign w:val="center"/>
          </w:tcPr>
          <w:p w14:paraId="6AF67ED6">
            <w:pPr>
              <w:spacing w:line="360" w:lineRule="auto"/>
              <w:jc w:val="center"/>
              <w:rPr>
                <w:rFonts w:ascii="宋体" w:hAnsi="宋体" w:cs="宋体"/>
                <w:color w:val="auto"/>
                <w:sz w:val="24"/>
                <w:szCs w:val="24"/>
                <w:highlight w:val="none"/>
              </w:rPr>
            </w:pPr>
          </w:p>
        </w:tc>
        <w:tc>
          <w:tcPr>
            <w:tcW w:w="7380" w:type="dxa"/>
            <w:tcBorders>
              <w:top w:val="single" w:color="auto" w:sz="4" w:space="0"/>
              <w:left w:val="single" w:color="auto" w:sz="4" w:space="0"/>
              <w:bottom w:val="single" w:color="auto" w:sz="4" w:space="0"/>
              <w:right w:val="single" w:color="auto" w:sz="4" w:space="0"/>
            </w:tcBorders>
            <w:noWrap/>
            <w:vAlign w:val="center"/>
          </w:tcPr>
          <w:p w14:paraId="2DF0C5E5">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是否允许进口产品参加本采购项目：</w:t>
            </w:r>
            <w:r>
              <w:rPr>
                <w:rFonts w:hint="eastAsia" w:ascii="宋体" w:hAnsi="宋体" w:cs="宋体"/>
                <w:b/>
                <w:color w:val="auto"/>
                <w:sz w:val="24"/>
                <w:szCs w:val="24"/>
                <w:highlight w:val="none"/>
              </w:rPr>
              <w:t>□</w:t>
            </w:r>
            <w:r>
              <w:rPr>
                <w:rFonts w:hint="eastAsia" w:ascii="宋体" w:hAnsi="宋体" w:cs="宋体"/>
                <w:color w:val="auto"/>
                <w:sz w:val="24"/>
                <w:szCs w:val="24"/>
                <w:highlight w:val="none"/>
              </w:rPr>
              <w:t xml:space="preserve">是/ </w:t>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eq \o\ac(</w:instrText>
            </w:r>
            <w:r>
              <w:rPr>
                <w:rFonts w:hint="eastAsia" w:ascii="宋体" w:hAnsi="宋体" w:cs="宋体"/>
                <w:color w:val="auto"/>
                <w:position w:val="-4"/>
                <w:sz w:val="36"/>
                <w:szCs w:val="24"/>
                <w:highlight w:val="none"/>
              </w:rPr>
              <w:instrText xml:space="preserve">□</w:instrText>
            </w:r>
            <w:r>
              <w:rPr>
                <w:rFonts w:hint="eastAsia" w:ascii="宋体" w:hAnsi="宋体" w:cs="宋体"/>
                <w:color w:val="auto"/>
                <w:sz w:val="24"/>
                <w:szCs w:val="24"/>
                <w:highlight w:val="none"/>
              </w:rPr>
              <w:instrText xml:space="preserve">,√)</w:instrTex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t>否</w:t>
            </w:r>
          </w:p>
        </w:tc>
      </w:tr>
      <w:tr w14:paraId="715D5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tcBorders>
              <w:top w:val="single" w:color="auto" w:sz="4" w:space="0"/>
              <w:left w:val="single" w:color="auto" w:sz="4" w:space="0"/>
              <w:bottom w:val="single" w:color="auto" w:sz="4" w:space="0"/>
              <w:right w:val="single" w:color="auto" w:sz="4" w:space="0"/>
            </w:tcBorders>
            <w:noWrap/>
            <w:vAlign w:val="center"/>
          </w:tcPr>
          <w:p w14:paraId="08D7BFA1">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9</w:t>
            </w:r>
          </w:p>
        </w:tc>
        <w:tc>
          <w:tcPr>
            <w:tcW w:w="1080" w:type="dxa"/>
            <w:tcBorders>
              <w:top w:val="single" w:color="auto" w:sz="4" w:space="0"/>
              <w:left w:val="single" w:color="auto" w:sz="4" w:space="0"/>
              <w:bottom w:val="single" w:color="auto" w:sz="4" w:space="0"/>
              <w:right w:val="single" w:color="auto" w:sz="4" w:space="0"/>
            </w:tcBorders>
            <w:noWrap/>
            <w:vAlign w:val="center"/>
          </w:tcPr>
          <w:p w14:paraId="1C36628A">
            <w:pPr>
              <w:spacing w:line="360" w:lineRule="auto"/>
              <w:jc w:val="center"/>
              <w:rPr>
                <w:rFonts w:ascii="宋体" w:hAnsi="宋体" w:cs="宋体"/>
                <w:color w:val="auto"/>
                <w:sz w:val="24"/>
                <w:szCs w:val="24"/>
                <w:highlight w:val="none"/>
              </w:rPr>
            </w:pPr>
          </w:p>
        </w:tc>
        <w:tc>
          <w:tcPr>
            <w:tcW w:w="7380" w:type="dxa"/>
            <w:tcBorders>
              <w:top w:val="single" w:color="auto" w:sz="4" w:space="0"/>
              <w:left w:val="single" w:color="auto" w:sz="4" w:space="0"/>
              <w:bottom w:val="single" w:color="auto" w:sz="4" w:space="0"/>
              <w:right w:val="single" w:color="auto" w:sz="4" w:space="0"/>
            </w:tcBorders>
            <w:noWrap/>
            <w:vAlign w:val="center"/>
          </w:tcPr>
          <w:p w14:paraId="5B78CC32">
            <w:pPr>
              <w:spacing w:line="360" w:lineRule="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1、关于证明材料或资料：</w:t>
            </w:r>
          </w:p>
          <w:p w14:paraId="1241E872">
            <w:pPr>
              <w:spacing w:line="360" w:lineRule="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14:paraId="35218F4B">
            <w:pPr>
              <w:spacing w:line="360" w:lineRule="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b.若投标人提供注明“复印件无效”或“复印无效”的证明材料或资料，应结合上文a条款进行判定，若招标文件未要求投标人提供原件，投标人提供原件，复印件（含扫描件）均视为满足招标文件要求。</w:t>
            </w:r>
          </w:p>
          <w:p w14:paraId="66042386">
            <w:pPr>
              <w:spacing w:line="360" w:lineRule="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2、关于“全称”、“投标人代表签字”及“加盖单位公章”：</w:t>
            </w:r>
          </w:p>
          <w:p w14:paraId="5B2E6A58">
            <w:pPr>
              <w:spacing w:line="360" w:lineRule="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a.在电子投标文件中，涉及“全称”和“投标人代表签字”的内容可使用打字录入方式完成。</w:t>
            </w:r>
          </w:p>
          <w:p w14:paraId="6B7845F2">
            <w:pPr>
              <w:spacing w:line="360" w:lineRule="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b.在电子投标文件中，涉及“加盖单位公章”的内容应使用投标人的CA证书完成，否则投标无效。</w:t>
            </w:r>
          </w:p>
          <w:p w14:paraId="0C825688">
            <w:pPr>
              <w:spacing w:line="360" w:lineRule="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c.在电子投标文件中，若投标人按照第b项规定加盖其单位公章，则出现无全称、或投标人代表未签字等情形，不视为投标无效。</w:t>
            </w:r>
          </w:p>
          <w:p w14:paraId="157223F9">
            <w:pPr>
              <w:spacing w:line="360" w:lineRule="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3、关于投标截止时间过后，有下列情形之一的，其投标无效,其保证金不予退还：</w:t>
            </w:r>
          </w:p>
          <w:p w14:paraId="28CC4BE5">
            <w:pPr>
              <w:spacing w:line="360" w:lineRule="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a.不同投标人的电子投标文件具有相同内部识别码；</w:t>
            </w:r>
          </w:p>
          <w:p w14:paraId="1F81AC0F">
            <w:pPr>
              <w:spacing w:line="360" w:lineRule="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b.投标人的投标保证金同一采购包下有其他投标人提交的投标保证金；</w:t>
            </w:r>
          </w:p>
          <w:p w14:paraId="4259146C">
            <w:pPr>
              <w:spacing w:line="360" w:lineRule="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c.不同投标人存在串通投标的其他情形。</w:t>
            </w:r>
          </w:p>
          <w:p w14:paraId="4A6CC132">
            <w:pPr>
              <w:spacing w:line="360" w:lineRule="auto"/>
              <w:rPr>
                <w:rFonts w:ascii="宋体" w:hAnsi="宋体" w:cs="宋体"/>
                <w:color w:val="auto"/>
                <w:sz w:val="24"/>
                <w:szCs w:val="24"/>
                <w:highlight w:val="none"/>
              </w:rPr>
            </w:pPr>
          </w:p>
        </w:tc>
      </w:tr>
    </w:tbl>
    <w:p w14:paraId="7D18CC67">
      <w:pPr>
        <w:tabs>
          <w:tab w:val="left" w:pos="-1080"/>
          <w:tab w:val="left" w:pos="180"/>
          <w:tab w:val="left" w:pos="1080"/>
        </w:tabs>
        <w:spacing w:line="360" w:lineRule="auto"/>
        <w:rPr>
          <w:rFonts w:ascii="宋体" w:hAnsi="宋体" w:cs="宋体"/>
          <w:b/>
          <w:color w:val="auto"/>
          <w:sz w:val="24"/>
          <w:szCs w:val="24"/>
          <w:highlight w:val="none"/>
        </w:rPr>
      </w:pPr>
    </w:p>
    <w:p w14:paraId="2808386F">
      <w:pPr>
        <w:spacing w:line="360" w:lineRule="auto"/>
        <w:jc w:val="center"/>
        <w:rPr>
          <w:rFonts w:ascii="宋体" w:hAnsi="宋体" w:cs="宋体"/>
          <w:b/>
          <w:bCs/>
          <w:color w:val="auto"/>
          <w:sz w:val="24"/>
          <w:szCs w:val="24"/>
          <w:highlight w:val="none"/>
          <w:u w:val="single"/>
        </w:rPr>
      </w:pPr>
    </w:p>
    <w:p w14:paraId="511E039E">
      <w:pPr>
        <w:spacing w:line="360" w:lineRule="auto"/>
        <w:jc w:val="center"/>
        <w:rPr>
          <w:rFonts w:ascii="宋体" w:hAnsi="宋体" w:cs="宋体"/>
          <w:b/>
          <w:bCs/>
          <w:color w:val="auto"/>
          <w:sz w:val="24"/>
          <w:szCs w:val="24"/>
          <w:highlight w:val="none"/>
          <w:u w:val="single"/>
        </w:rPr>
      </w:pPr>
    </w:p>
    <w:p w14:paraId="2E5C929D">
      <w:pPr>
        <w:spacing w:line="360" w:lineRule="auto"/>
        <w:jc w:val="center"/>
        <w:rPr>
          <w:rFonts w:ascii="宋体" w:hAnsi="宋体" w:cs="宋体"/>
          <w:b/>
          <w:bCs/>
          <w:color w:val="auto"/>
          <w:sz w:val="24"/>
          <w:szCs w:val="24"/>
          <w:highlight w:val="none"/>
          <w:u w:val="single"/>
        </w:rPr>
      </w:pPr>
    </w:p>
    <w:p w14:paraId="69E2F334">
      <w:pPr>
        <w:spacing w:line="360" w:lineRule="auto"/>
        <w:jc w:val="center"/>
        <w:rPr>
          <w:rFonts w:ascii="宋体" w:hAnsi="宋体" w:cs="宋体"/>
          <w:b/>
          <w:bCs/>
          <w:color w:val="auto"/>
          <w:sz w:val="24"/>
          <w:szCs w:val="24"/>
          <w:highlight w:val="none"/>
          <w:u w:val="single"/>
        </w:rPr>
      </w:pPr>
    </w:p>
    <w:p w14:paraId="7C9CCAD2">
      <w:pPr>
        <w:spacing w:line="360" w:lineRule="auto"/>
        <w:jc w:val="center"/>
        <w:rPr>
          <w:rFonts w:ascii="宋体" w:hAnsi="宋体" w:cs="宋体"/>
          <w:b/>
          <w:bCs/>
          <w:color w:val="auto"/>
          <w:sz w:val="24"/>
          <w:szCs w:val="24"/>
          <w:highlight w:val="none"/>
          <w:u w:val="single"/>
        </w:rPr>
      </w:pPr>
    </w:p>
    <w:p w14:paraId="46B5F80C">
      <w:pPr>
        <w:spacing w:line="360" w:lineRule="auto"/>
        <w:jc w:val="center"/>
        <w:rPr>
          <w:rFonts w:ascii="宋体" w:hAnsi="宋体" w:cs="宋体"/>
          <w:b/>
          <w:bCs/>
          <w:color w:val="auto"/>
          <w:sz w:val="24"/>
          <w:szCs w:val="24"/>
          <w:highlight w:val="none"/>
          <w:u w:val="single"/>
        </w:rPr>
      </w:pPr>
    </w:p>
    <w:p w14:paraId="0BDC3261">
      <w:pPr>
        <w:spacing w:line="360" w:lineRule="auto"/>
        <w:jc w:val="center"/>
        <w:rPr>
          <w:rFonts w:ascii="宋体" w:hAnsi="宋体" w:cs="宋体"/>
          <w:b/>
          <w:bCs/>
          <w:color w:val="auto"/>
          <w:sz w:val="32"/>
          <w:szCs w:val="32"/>
          <w:highlight w:val="none"/>
          <w:u w:val="single"/>
        </w:rPr>
      </w:pPr>
    </w:p>
    <w:p w14:paraId="1BF5329C">
      <w:pPr>
        <w:spacing w:line="360" w:lineRule="auto"/>
        <w:jc w:val="center"/>
        <w:rPr>
          <w:rFonts w:ascii="宋体" w:hAnsi="宋体" w:cs="宋体"/>
          <w:b/>
          <w:bCs/>
          <w:color w:val="auto"/>
          <w:sz w:val="32"/>
          <w:szCs w:val="32"/>
          <w:highlight w:val="none"/>
          <w:u w:val="single"/>
        </w:rPr>
      </w:pPr>
    </w:p>
    <w:p w14:paraId="2E0A30DB">
      <w:pPr>
        <w:spacing w:line="360" w:lineRule="auto"/>
        <w:ind w:firstLine="1285" w:firstLineChars="400"/>
        <w:rPr>
          <w:rFonts w:ascii="宋体" w:hAnsi="宋体" w:cs="宋体"/>
          <w:b/>
          <w:bCs/>
          <w:color w:val="auto"/>
          <w:sz w:val="32"/>
          <w:szCs w:val="32"/>
          <w:highlight w:val="none"/>
          <w:u w:val="single"/>
        </w:rPr>
      </w:pPr>
    </w:p>
    <w:p w14:paraId="51B1736F">
      <w:pPr>
        <w:spacing w:line="360" w:lineRule="auto"/>
        <w:ind w:firstLine="1285" w:firstLineChars="400"/>
        <w:rPr>
          <w:rFonts w:ascii="宋体" w:hAnsi="宋体" w:cs="宋体"/>
          <w:b/>
          <w:bCs/>
          <w:color w:val="auto"/>
          <w:sz w:val="32"/>
          <w:szCs w:val="32"/>
          <w:highlight w:val="none"/>
          <w:u w:val="single"/>
        </w:rPr>
      </w:pPr>
    </w:p>
    <w:p w14:paraId="0A25E6D0">
      <w:pPr>
        <w:spacing w:line="360" w:lineRule="auto"/>
        <w:ind w:firstLine="1285" w:firstLineChars="400"/>
        <w:rPr>
          <w:rFonts w:ascii="宋体" w:hAnsi="宋体" w:cs="宋体"/>
          <w:b/>
          <w:bCs/>
          <w:color w:val="auto"/>
          <w:sz w:val="32"/>
          <w:szCs w:val="32"/>
          <w:highlight w:val="none"/>
          <w:u w:val="single"/>
        </w:rPr>
      </w:pPr>
      <w:r>
        <w:rPr>
          <w:rFonts w:hint="eastAsia" w:ascii="宋体" w:hAnsi="宋体" w:cs="宋体"/>
          <w:b/>
          <w:bCs/>
          <w:color w:val="auto"/>
          <w:sz w:val="32"/>
          <w:szCs w:val="32"/>
          <w:highlight w:val="none"/>
          <w:u w:val="single"/>
        </w:rPr>
        <w:t>投标人须知前附表2:资格性、符合性检查表</w:t>
      </w:r>
    </w:p>
    <w:p w14:paraId="3B447836">
      <w:pPr>
        <w:spacing w:line="360" w:lineRule="auto"/>
        <w:ind w:firstLine="527"/>
        <w:rPr>
          <w:rFonts w:ascii="宋体" w:hAnsi="宋体" w:cs="宋体"/>
          <w:color w:val="auto"/>
          <w:sz w:val="24"/>
          <w:szCs w:val="24"/>
          <w:highlight w:val="none"/>
        </w:rPr>
      </w:pPr>
      <w:r>
        <w:rPr>
          <w:rFonts w:hint="eastAsia" w:ascii="宋体" w:hAnsi="宋体" w:cs="宋体"/>
          <w:color w:val="auto"/>
          <w:sz w:val="24"/>
          <w:szCs w:val="24"/>
          <w:highlight w:val="none"/>
        </w:rPr>
        <w:t>本须知前附表2集中列示了符合性检查的所有条款，其内容是评标委员会在评审过程中判断投标人的投标是否有效的重要依据。本须知前附表</w:t>
      </w:r>
      <w:r>
        <w:rPr>
          <w:rFonts w:ascii="宋体" w:hAnsi="宋体" w:cs="宋体"/>
          <w:color w:val="auto"/>
          <w:sz w:val="24"/>
          <w:szCs w:val="24"/>
          <w:highlight w:val="none"/>
        </w:rPr>
        <w:t>2</w:t>
      </w:r>
      <w:r>
        <w:rPr>
          <w:rFonts w:hint="eastAsia" w:ascii="宋体" w:hAnsi="宋体" w:cs="宋体"/>
          <w:color w:val="auto"/>
          <w:sz w:val="24"/>
          <w:szCs w:val="24"/>
          <w:highlight w:val="none"/>
        </w:rPr>
        <w:t>的条款号是与</w:t>
      </w:r>
      <w:r>
        <w:rPr>
          <w:rFonts w:ascii="宋体" w:hAnsi="宋体" w:cs="宋体"/>
          <w:color w:val="auto"/>
          <w:sz w:val="24"/>
          <w:szCs w:val="24"/>
          <w:highlight w:val="none"/>
        </w:rPr>
        <w:t>固定部分第二章</w:t>
      </w:r>
      <w:r>
        <w:rPr>
          <w:rFonts w:hint="eastAsia" w:ascii="宋体" w:hAnsi="宋体" w:cs="宋体"/>
          <w:color w:val="auto"/>
          <w:sz w:val="24"/>
          <w:szCs w:val="24"/>
          <w:highlight w:val="none"/>
        </w:rPr>
        <w:t xml:space="preserve">《投标人须知》中条款的项号相对应的。如有矛盾，应以本须知前附表为准。 </w:t>
      </w:r>
    </w:p>
    <w:p w14:paraId="2D24DD0C">
      <w:pPr>
        <w:spacing w:line="360" w:lineRule="auto"/>
        <w:ind w:firstLine="495"/>
        <w:rPr>
          <w:rFonts w:ascii="宋体" w:hAnsi="宋体" w:cs="宋体"/>
          <w:color w:val="auto"/>
          <w:sz w:val="24"/>
          <w:szCs w:val="24"/>
          <w:highlight w:val="none"/>
        </w:rPr>
      </w:pPr>
    </w:p>
    <w:tbl>
      <w:tblPr>
        <w:tblStyle w:val="16"/>
        <w:tblW w:w="8739" w:type="dxa"/>
        <w:tblInd w:w="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6"/>
        <w:gridCol w:w="696"/>
        <w:gridCol w:w="1422"/>
        <w:gridCol w:w="5925"/>
      </w:tblGrid>
      <w:tr w14:paraId="0E3EBE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39" w:type="dxa"/>
            <w:gridSpan w:val="4"/>
            <w:noWrap/>
          </w:tcPr>
          <w:p w14:paraId="4039E276">
            <w:pPr>
              <w:spacing w:line="360" w:lineRule="auto"/>
              <w:jc w:val="center"/>
              <w:rPr>
                <w:rFonts w:ascii="宋体" w:hAnsi="宋体" w:cs="宋体"/>
                <w:b/>
                <w:color w:val="auto"/>
                <w:sz w:val="24"/>
                <w:szCs w:val="24"/>
                <w:highlight w:val="none"/>
              </w:rPr>
            </w:pPr>
            <w:r>
              <w:rPr>
                <w:rFonts w:hint="eastAsia" w:ascii="宋体" w:hAnsi="宋体" w:cs="宋体"/>
                <w:b/>
                <w:color w:val="auto"/>
                <w:sz w:val="24"/>
                <w:szCs w:val="24"/>
                <w:highlight w:val="none"/>
              </w:rPr>
              <w:t>资格性要求</w:t>
            </w:r>
          </w:p>
        </w:tc>
      </w:tr>
      <w:tr w14:paraId="76CB4E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bottom w:val="single" w:color="auto" w:sz="4" w:space="0"/>
            </w:tcBorders>
            <w:noWrap/>
            <w:vAlign w:val="center"/>
          </w:tcPr>
          <w:p w14:paraId="6E4B822A">
            <w:pPr>
              <w:spacing w:line="360" w:lineRule="auto"/>
              <w:jc w:val="center"/>
              <w:rPr>
                <w:rFonts w:ascii="宋体" w:hAnsi="宋体" w:cs="宋体"/>
                <w:b/>
                <w:color w:val="auto"/>
                <w:sz w:val="24"/>
                <w:szCs w:val="24"/>
                <w:highlight w:val="none"/>
              </w:rPr>
            </w:pPr>
            <w:r>
              <w:rPr>
                <w:rFonts w:hint="eastAsia" w:ascii="宋体" w:hAnsi="宋体" w:cs="宋体"/>
                <w:b/>
                <w:color w:val="auto"/>
                <w:sz w:val="24"/>
                <w:szCs w:val="24"/>
                <w:highlight w:val="none"/>
              </w:rPr>
              <w:t>项</w:t>
            </w:r>
          </w:p>
          <w:p w14:paraId="09A9FCCE">
            <w:pPr>
              <w:spacing w:line="360" w:lineRule="auto"/>
              <w:jc w:val="center"/>
              <w:rPr>
                <w:rFonts w:ascii="宋体" w:hAnsi="宋体" w:cs="宋体"/>
                <w:b/>
                <w:color w:val="auto"/>
                <w:sz w:val="24"/>
                <w:szCs w:val="24"/>
                <w:highlight w:val="none"/>
              </w:rPr>
            </w:pPr>
            <w:r>
              <w:rPr>
                <w:rFonts w:hint="eastAsia" w:ascii="宋体" w:hAnsi="宋体" w:cs="宋体"/>
                <w:b/>
                <w:color w:val="auto"/>
                <w:sz w:val="24"/>
                <w:szCs w:val="24"/>
                <w:highlight w:val="none"/>
              </w:rPr>
              <w:t>号</w:t>
            </w:r>
          </w:p>
        </w:tc>
        <w:tc>
          <w:tcPr>
            <w:tcW w:w="696" w:type="dxa"/>
            <w:tcBorders>
              <w:bottom w:val="single" w:color="auto" w:sz="4" w:space="0"/>
            </w:tcBorders>
            <w:noWrap/>
            <w:vAlign w:val="center"/>
          </w:tcPr>
          <w:p w14:paraId="695461B2">
            <w:pPr>
              <w:spacing w:line="360" w:lineRule="auto"/>
              <w:jc w:val="center"/>
              <w:rPr>
                <w:rFonts w:ascii="宋体" w:hAnsi="宋体" w:cs="宋体"/>
                <w:b/>
                <w:color w:val="auto"/>
                <w:sz w:val="24"/>
                <w:szCs w:val="24"/>
                <w:highlight w:val="none"/>
              </w:rPr>
            </w:pPr>
            <w:r>
              <w:rPr>
                <w:rFonts w:hint="eastAsia" w:ascii="宋体" w:hAnsi="宋体" w:cs="宋体"/>
                <w:b/>
                <w:color w:val="auto"/>
                <w:sz w:val="24"/>
                <w:szCs w:val="24"/>
                <w:highlight w:val="none"/>
              </w:rPr>
              <w:t>章</w:t>
            </w:r>
          </w:p>
        </w:tc>
        <w:tc>
          <w:tcPr>
            <w:tcW w:w="1422" w:type="dxa"/>
            <w:tcBorders>
              <w:bottom w:val="single" w:color="auto" w:sz="4" w:space="0"/>
            </w:tcBorders>
            <w:noWrap/>
            <w:vAlign w:val="center"/>
          </w:tcPr>
          <w:p w14:paraId="3D69C6DA">
            <w:pPr>
              <w:spacing w:line="360" w:lineRule="auto"/>
              <w:jc w:val="center"/>
              <w:rPr>
                <w:rFonts w:ascii="宋体" w:hAnsi="宋体" w:cs="宋体"/>
                <w:b/>
                <w:color w:val="auto"/>
                <w:sz w:val="24"/>
                <w:szCs w:val="24"/>
                <w:highlight w:val="none"/>
              </w:rPr>
            </w:pPr>
            <w:r>
              <w:rPr>
                <w:rFonts w:hint="eastAsia" w:ascii="宋体" w:hAnsi="宋体" w:cs="宋体"/>
                <w:b/>
                <w:color w:val="auto"/>
                <w:sz w:val="24"/>
                <w:szCs w:val="24"/>
                <w:highlight w:val="none"/>
              </w:rPr>
              <w:t>条款号</w:t>
            </w:r>
          </w:p>
        </w:tc>
        <w:tc>
          <w:tcPr>
            <w:tcW w:w="5925" w:type="dxa"/>
            <w:tcBorders>
              <w:bottom w:val="single" w:color="auto" w:sz="4" w:space="0"/>
            </w:tcBorders>
            <w:noWrap/>
            <w:vAlign w:val="center"/>
          </w:tcPr>
          <w:p w14:paraId="27C5660C">
            <w:pPr>
              <w:tabs>
                <w:tab w:val="left" w:pos="2848"/>
              </w:tabs>
              <w:spacing w:line="360" w:lineRule="auto"/>
              <w:jc w:val="center"/>
              <w:rPr>
                <w:rFonts w:ascii="宋体" w:hAnsi="宋体" w:cs="宋体"/>
                <w:b/>
                <w:color w:val="auto"/>
                <w:sz w:val="24"/>
                <w:szCs w:val="24"/>
                <w:highlight w:val="none"/>
              </w:rPr>
            </w:pPr>
            <w:r>
              <w:rPr>
                <w:rFonts w:hint="eastAsia" w:ascii="宋体" w:hAnsi="宋体" w:cs="宋体"/>
                <w:b/>
                <w:color w:val="auto"/>
                <w:sz w:val="24"/>
                <w:szCs w:val="24"/>
                <w:highlight w:val="none"/>
              </w:rPr>
              <w:t>具体内容</w:t>
            </w:r>
          </w:p>
        </w:tc>
      </w:tr>
      <w:tr w14:paraId="5E6C9F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ign w:val="center"/>
          </w:tcPr>
          <w:p w14:paraId="44EFB536">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w:t>
            </w:r>
          </w:p>
        </w:tc>
        <w:tc>
          <w:tcPr>
            <w:tcW w:w="696" w:type="dxa"/>
            <w:tcBorders>
              <w:top w:val="single" w:color="auto" w:sz="4" w:space="0"/>
              <w:left w:val="single" w:color="auto" w:sz="4" w:space="0"/>
              <w:bottom w:val="single" w:color="auto" w:sz="4" w:space="0"/>
              <w:right w:val="single" w:color="auto" w:sz="4" w:space="0"/>
            </w:tcBorders>
            <w:noWrap/>
            <w:vAlign w:val="center"/>
          </w:tcPr>
          <w:p w14:paraId="523A1448">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ign w:val="center"/>
          </w:tcPr>
          <w:p w14:paraId="6AA8295E">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w:t>
            </w:r>
          </w:p>
        </w:tc>
        <w:tc>
          <w:tcPr>
            <w:tcW w:w="5925" w:type="dxa"/>
            <w:tcBorders>
              <w:top w:val="single" w:color="auto" w:sz="4" w:space="0"/>
              <w:left w:val="single" w:color="auto" w:sz="4" w:space="0"/>
              <w:bottom w:val="single" w:color="auto" w:sz="4" w:space="0"/>
              <w:right w:val="single" w:color="auto" w:sz="4" w:space="0"/>
            </w:tcBorders>
            <w:noWrap/>
            <w:vAlign w:val="center"/>
          </w:tcPr>
          <w:p w14:paraId="74862BF6">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合格的投标人</w:t>
            </w:r>
          </w:p>
          <w:p w14:paraId="58625E94">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具体内容详见第二章第3条“合格的投标人”。</w:t>
            </w:r>
          </w:p>
        </w:tc>
      </w:tr>
      <w:tr w14:paraId="4DA2AC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ign w:val="center"/>
          </w:tcPr>
          <w:p w14:paraId="0AC1C762">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2</w:t>
            </w:r>
          </w:p>
        </w:tc>
        <w:tc>
          <w:tcPr>
            <w:tcW w:w="696" w:type="dxa"/>
            <w:tcBorders>
              <w:top w:val="single" w:color="auto" w:sz="4" w:space="0"/>
              <w:left w:val="single" w:color="auto" w:sz="4" w:space="0"/>
              <w:bottom w:val="single" w:color="auto" w:sz="4" w:space="0"/>
              <w:right w:val="single" w:color="auto" w:sz="4" w:space="0"/>
            </w:tcBorders>
            <w:noWrap/>
            <w:vAlign w:val="center"/>
          </w:tcPr>
          <w:p w14:paraId="5760B0D9">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ign w:val="center"/>
          </w:tcPr>
          <w:p w14:paraId="39169EAD">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3.1</w:t>
            </w:r>
          </w:p>
        </w:tc>
        <w:tc>
          <w:tcPr>
            <w:tcW w:w="5925" w:type="dxa"/>
            <w:tcBorders>
              <w:top w:val="single" w:color="auto" w:sz="4" w:space="0"/>
              <w:left w:val="single" w:color="auto" w:sz="4" w:space="0"/>
              <w:bottom w:val="single" w:color="auto" w:sz="4" w:space="0"/>
              <w:right w:val="single" w:color="auto" w:sz="4" w:space="0"/>
            </w:tcBorders>
            <w:noWrap/>
            <w:vAlign w:val="center"/>
          </w:tcPr>
          <w:p w14:paraId="20875D18">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3.1凡有能力提供本招标文件所述货物及服务的，具备《中华人民共和国政府采购法》第二十二条第一款规定的条件且符合本招标文件规定资格要求的境内供货商或制造商均可能成为合格的投标人。</w:t>
            </w:r>
          </w:p>
          <w:p w14:paraId="73AC6F8C">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投标人应具备《中华人民共和国政府采购法》第二十二条第一款规定的条件，并提供以下材料：</w:t>
            </w:r>
          </w:p>
          <w:p w14:paraId="60235B4C">
            <w:pPr>
              <w:spacing w:line="360" w:lineRule="auto"/>
              <w:ind w:firstLine="319" w:firstLineChars="133"/>
              <w:rPr>
                <w:rFonts w:ascii="宋体" w:hAnsi="宋体" w:cs="宋体"/>
                <w:color w:val="auto"/>
                <w:sz w:val="24"/>
                <w:szCs w:val="24"/>
                <w:highlight w:val="none"/>
              </w:rPr>
            </w:pPr>
            <w:r>
              <w:rPr>
                <w:rFonts w:hint="eastAsia" w:ascii="宋体" w:hAnsi="宋体" w:cs="宋体"/>
                <w:color w:val="auto"/>
                <w:sz w:val="24"/>
                <w:szCs w:val="24"/>
                <w:highlight w:val="none"/>
              </w:rPr>
              <w:t>（1）法人或者其他组织的营业执照等证明文件，自然人的身份证明；</w:t>
            </w:r>
          </w:p>
          <w:p w14:paraId="2B89FED3">
            <w:pPr>
              <w:spacing w:line="360" w:lineRule="auto"/>
              <w:ind w:firstLine="360" w:firstLineChars="150"/>
              <w:rPr>
                <w:rFonts w:ascii="宋体" w:hAnsi="宋体" w:cs="宋体"/>
                <w:color w:val="auto"/>
                <w:sz w:val="24"/>
                <w:szCs w:val="24"/>
                <w:highlight w:val="none"/>
              </w:rPr>
            </w:pPr>
            <w:r>
              <w:rPr>
                <w:rFonts w:hint="eastAsia" w:ascii="宋体" w:hAnsi="宋体" w:cs="宋体"/>
                <w:color w:val="auto"/>
                <w:sz w:val="24"/>
                <w:szCs w:val="24"/>
                <w:highlight w:val="none"/>
              </w:rPr>
              <w:t>投标人是法人或者其他组织的应提供营业执照等证明文件，投标人是自然人的应提供有效的自然人身份证明。</w:t>
            </w:r>
          </w:p>
          <w:p w14:paraId="69A92112">
            <w:pPr>
              <w:spacing w:line="360" w:lineRule="auto"/>
              <w:ind w:firstLine="240" w:firstLineChars="100"/>
              <w:rPr>
                <w:rFonts w:ascii="宋体" w:hAnsi="宋体" w:cs="宋体"/>
                <w:color w:val="auto"/>
                <w:sz w:val="24"/>
                <w:szCs w:val="24"/>
                <w:highlight w:val="none"/>
              </w:rPr>
            </w:pPr>
            <w:r>
              <w:rPr>
                <w:rFonts w:hint="eastAsia" w:ascii="宋体" w:hAnsi="宋体" w:cs="宋体"/>
                <w:color w:val="auto"/>
                <w:sz w:val="24"/>
                <w:szCs w:val="24"/>
                <w:highlight w:val="none"/>
              </w:rPr>
              <w:t>（2）投标人已提供加载有统一社会信用代码营业执照的，视为已提供税务登记证和组织机构代码证。</w:t>
            </w:r>
          </w:p>
          <w:p w14:paraId="70881900">
            <w:pPr>
              <w:spacing w:line="360" w:lineRule="auto"/>
              <w:ind w:firstLine="240" w:firstLineChars="100"/>
              <w:rPr>
                <w:rFonts w:ascii="宋体" w:hAnsi="宋体" w:cs="宋体"/>
                <w:color w:val="auto"/>
                <w:sz w:val="24"/>
                <w:szCs w:val="24"/>
                <w:highlight w:val="none"/>
              </w:rPr>
            </w:pPr>
            <w:r>
              <w:rPr>
                <w:rFonts w:hint="eastAsia" w:ascii="宋体" w:hAnsi="宋体" w:cs="宋体"/>
                <w:color w:val="auto"/>
                <w:sz w:val="24"/>
                <w:szCs w:val="24"/>
                <w:highlight w:val="none"/>
              </w:rPr>
              <w:t xml:space="preserve"> （3）按要求提供福建省政府采购供应商资格承诺函。</w:t>
            </w:r>
          </w:p>
        </w:tc>
      </w:tr>
      <w:tr w14:paraId="39CBB4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ign w:val="center"/>
          </w:tcPr>
          <w:p w14:paraId="53119625">
            <w:pPr>
              <w:spacing w:line="360" w:lineRule="auto"/>
              <w:ind w:firstLine="120" w:firstLineChars="50"/>
              <w:rPr>
                <w:rFonts w:ascii="宋体" w:hAnsi="宋体" w:cs="宋体"/>
                <w:color w:val="auto"/>
                <w:sz w:val="24"/>
                <w:szCs w:val="24"/>
                <w:highlight w:val="none"/>
              </w:rPr>
            </w:pPr>
            <w:r>
              <w:rPr>
                <w:rFonts w:hint="eastAsia" w:ascii="宋体" w:hAnsi="宋体" w:cs="宋体"/>
                <w:color w:val="auto"/>
                <w:sz w:val="24"/>
                <w:szCs w:val="24"/>
                <w:highlight w:val="none"/>
              </w:rPr>
              <w:t>3</w:t>
            </w:r>
          </w:p>
        </w:tc>
        <w:tc>
          <w:tcPr>
            <w:tcW w:w="696" w:type="dxa"/>
            <w:tcBorders>
              <w:top w:val="single" w:color="auto" w:sz="4" w:space="0"/>
              <w:left w:val="single" w:color="auto" w:sz="4" w:space="0"/>
              <w:bottom w:val="single" w:color="auto" w:sz="4" w:space="0"/>
              <w:right w:val="single" w:color="auto" w:sz="4" w:space="0"/>
            </w:tcBorders>
            <w:noWrap/>
            <w:vAlign w:val="center"/>
          </w:tcPr>
          <w:p w14:paraId="29AA60B7">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ign w:val="center"/>
          </w:tcPr>
          <w:p w14:paraId="11C37E6E">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3.5</w:t>
            </w:r>
          </w:p>
        </w:tc>
        <w:tc>
          <w:tcPr>
            <w:tcW w:w="5925" w:type="dxa"/>
            <w:tcBorders>
              <w:top w:val="single" w:color="auto" w:sz="4" w:space="0"/>
              <w:left w:val="single" w:color="auto" w:sz="4" w:space="0"/>
              <w:bottom w:val="single" w:color="auto" w:sz="4" w:space="0"/>
              <w:right w:val="single" w:color="auto" w:sz="4" w:space="0"/>
            </w:tcBorders>
            <w:noWrap/>
            <w:vAlign w:val="center"/>
          </w:tcPr>
          <w:p w14:paraId="719649B2">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3.5如本项目接受联合体投标，则两个或者两个以上投标人可以组成一个投标联合体，以一个投标人的身份投标。</w:t>
            </w:r>
          </w:p>
          <w:p w14:paraId="27B2FD66">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以联合体形式参加投标的，联合体各方均应当符合合格的投标人相关规定。采购单位根据采购项目的特殊要求规定投标人特定条件的，联合体各方中至少应当有一方符合采购单位规定的特定条件，如联合体各方中没有一方符合特定条件的，该联合体投标无效。</w:t>
            </w:r>
          </w:p>
          <w:p w14:paraId="5DC0B703">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联合体各方之间应当签订共同投标协议，明确约定联合体各方承担的工作和相应的责任，并将共同投标协议连同投标文件一并提交招标代理机构。联合体各方签订共同投标协议后，不得再以自己名义单独在同一项目中投标，也不得组成新的联合体参加同一项目投标。</w:t>
            </w:r>
          </w:p>
          <w:p w14:paraId="60F93FDC">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（3）项目如涉及资质要求，该部分内容应由联合体中具有该资质要求的投标人承担。联合体协议及签订的采购合同应包含此项内容。</w:t>
            </w:r>
          </w:p>
          <w:p w14:paraId="42064889">
            <w:pPr>
              <w:spacing w:line="360" w:lineRule="auto"/>
              <w:ind w:firstLine="360" w:firstLineChars="150"/>
              <w:rPr>
                <w:rFonts w:ascii="宋体" w:hAnsi="宋体" w:cs="宋体"/>
                <w:color w:val="auto"/>
                <w:sz w:val="24"/>
                <w:szCs w:val="24"/>
                <w:highlight w:val="none"/>
              </w:rPr>
            </w:pPr>
            <w:r>
              <w:rPr>
                <w:rFonts w:hint="eastAsia" w:ascii="宋体" w:hAnsi="宋体" w:cs="宋体"/>
                <w:color w:val="auto"/>
                <w:sz w:val="24"/>
                <w:szCs w:val="24"/>
                <w:highlight w:val="none"/>
              </w:rPr>
              <w:t>（4）联合体中有同类资质的投标人按照联合体分工承担相同工作的，应当按照资质等级较低的投标人确定资质等级。</w:t>
            </w:r>
          </w:p>
        </w:tc>
      </w:tr>
      <w:tr w14:paraId="26349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ign w:val="center"/>
          </w:tcPr>
          <w:p w14:paraId="0C606FE3">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4</w:t>
            </w:r>
          </w:p>
        </w:tc>
        <w:tc>
          <w:tcPr>
            <w:tcW w:w="696" w:type="dxa"/>
            <w:tcBorders>
              <w:top w:val="single" w:color="auto" w:sz="4" w:space="0"/>
              <w:left w:val="single" w:color="auto" w:sz="4" w:space="0"/>
              <w:bottom w:val="single" w:color="auto" w:sz="4" w:space="0"/>
              <w:right w:val="single" w:color="auto" w:sz="4" w:space="0"/>
            </w:tcBorders>
            <w:noWrap/>
            <w:vAlign w:val="center"/>
          </w:tcPr>
          <w:p w14:paraId="664DF254">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ign w:val="center"/>
          </w:tcPr>
          <w:p w14:paraId="3262FEB7">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3.6</w:t>
            </w:r>
          </w:p>
        </w:tc>
        <w:tc>
          <w:tcPr>
            <w:tcW w:w="5925" w:type="dxa"/>
            <w:tcBorders>
              <w:top w:val="single" w:color="auto" w:sz="4" w:space="0"/>
              <w:left w:val="single" w:color="auto" w:sz="4" w:space="0"/>
              <w:bottom w:val="single" w:color="auto" w:sz="4" w:space="0"/>
              <w:right w:val="single" w:color="auto" w:sz="4" w:space="0"/>
            </w:tcBorders>
            <w:noWrap/>
            <w:vAlign w:val="center"/>
          </w:tcPr>
          <w:p w14:paraId="7C9915C6">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3.6属于联合体投标的，由联合体中的一方负责网上投标事宜，该方的网上投标行为及其递交的投标文件等资料对联合体各方均具有约束力。</w:t>
            </w:r>
          </w:p>
        </w:tc>
      </w:tr>
      <w:tr w14:paraId="5BB4CA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ign w:val="center"/>
          </w:tcPr>
          <w:p w14:paraId="1DC63B44">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5</w:t>
            </w:r>
          </w:p>
        </w:tc>
        <w:tc>
          <w:tcPr>
            <w:tcW w:w="696" w:type="dxa"/>
            <w:tcBorders>
              <w:top w:val="single" w:color="auto" w:sz="4" w:space="0"/>
              <w:left w:val="single" w:color="auto" w:sz="4" w:space="0"/>
              <w:bottom w:val="single" w:color="auto" w:sz="4" w:space="0"/>
              <w:right w:val="single" w:color="auto" w:sz="4" w:space="0"/>
            </w:tcBorders>
            <w:noWrap/>
            <w:vAlign w:val="center"/>
          </w:tcPr>
          <w:p w14:paraId="4D978580">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ign w:val="center"/>
          </w:tcPr>
          <w:p w14:paraId="0A854609">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3.7</w:t>
            </w:r>
          </w:p>
        </w:tc>
        <w:tc>
          <w:tcPr>
            <w:tcW w:w="5925" w:type="dxa"/>
            <w:tcBorders>
              <w:top w:val="single" w:color="auto" w:sz="4" w:space="0"/>
              <w:left w:val="single" w:color="auto" w:sz="4" w:space="0"/>
              <w:bottom w:val="single" w:color="auto" w:sz="4" w:space="0"/>
              <w:right w:val="single" w:color="auto" w:sz="4" w:space="0"/>
            </w:tcBorders>
            <w:noWrap/>
            <w:vAlign w:val="center"/>
          </w:tcPr>
          <w:p w14:paraId="289D144B">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3.7投标代理人在同一个项目中只能接受一个投标人的委托参加投标。</w:t>
            </w:r>
          </w:p>
        </w:tc>
      </w:tr>
      <w:tr w14:paraId="62A3FD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ign w:val="center"/>
          </w:tcPr>
          <w:p w14:paraId="72677E04">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6</w:t>
            </w:r>
          </w:p>
        </w:tc>
        <w:tc>
          <w:tcPr>
            <w:tcW w:w="696" w:type="dxa"/>
            <w:tcBorders>
              <w:top w:val="single" w:color="auto" w:sz="4" w:space="0"/>
              <w:left w:val="single" w:color="auto" w:sz="4" w:space="0"/>
              <w:bottom w:val="single" w:color="auto" w:sz="4" w:space="0"/>
              <w:right w:val="single" w:color="auto" w:sz="4" w:space="0"/>
            </w:tcBorders>
            <w:noWrap/>
            <w:vAlign w:val="center"/>
          </w:tcPr>
          <w:p w14:paraId="4FF98B1A">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ign w:val="center"/>
          </w:tcPr>
          <w:p w14:paraId="039F776A">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3.9</w:t>
            </w:r>
          </w:p>
        </w:tc>
        <w:tc>
          <w:tcPr>
            <w:tcW w:w="5925" w:type="dxa"/>
            <w:tcBorders>
              <w:top w:val="single" w:color="auto" w:sz="4" w:space="0"/>
              <w:left w:val="single" w:color="auto" w:sz="4" w:space="0"/>
              <w:bottom w:val="single" w:color="auto" w:sz="4" w:space="0"/>
              <w:right w:val="single" w:color="auto" w:sz="4" w:space="0"/>
            </w:tcBorders>
            <w:noWrap/>
            <w:vAlign w:val="center"/>
          </w:tcPr>
          <w:p w14:paraId="7B0DB6CC">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3.9投标人必须在招标文件购买截止时间前，上网点击相关费用缴交，并将相关费用缴交至收款单位账户。否则投标人将无权下载招标文件，且不具备投标资格。</w:t>
            </w:r>
          </w:p>
        </w:tc>
      </w:tr>
      <w:tr w14:paraId="6F7221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ign w:val="center"/>
          </w:tcPr>
          <w:p w14:paraId="56B915AB">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7</w:t>
            </w:r>
          </w:p>
        </w:tc>
        <w:tc>
          <w:tcPr>
            <w:tcW w:w="696" w:type="dxa"/>
            <w:tcBorders>
              <w:top w:val="single" w:color="auto" w:sz="4" w:space="0"/>
              <w:left w:val="single" w:color="auto" w:sz="4" w:space="0"/>
              <w:bottom w:val="single" w:color="auto" w:sz="4" w:space="0"/>
              <w:right w:val="single" w:color="auto" w:sz="4" w:space="0"/>
            </w:tcBorders>
            <w:noWrap/>
            <w:vAlign w:val="center"/>
          </w:tcPr>
          <w:p w14:paraId="65BCF20A">
            <w:pPr>
              <w:spacing w:line="360" w:lineRule="auto"/>
              <w:jc w:val="center"/>
              <w:rPr>
                <w:rFonts w:ascii="宋体" w:hAnsi="宋体" w:cs="宋体"/>
                <w:color w:val="auto"/>
                <w:sz w:val="24"/>
                <w:szCs w:val="24"/>
                <w:highlight w:val="none"/>
              </w:rPr>
            </w:pPr>
          </w:p>
        </w:tc>
        <w:tc>
          <w:tcPr>
            <w:tcW w:w="1422" w:type="dxa"/>
            <w:tcBorders>
              <w:top w:val="single" w:color="auto" w:sz="4" w:space="0"/>
              <w:left w:val="single" w:color="auto" w:sz="4" w:space="0"/>
              <w:bottom w:val="single" w:color="auto" w:sz="4" w:space="0"/>
              <w:right w:val="single" w:color="auto" w:sz="4" w:space="0"/>
            </w:tcBorders>
            <w:noWrap/>
            <w:vAlign w:val="center"/>
          </w:tcPr>
          <w:p w14:paraId="46D2E96E">
            <w:pPr>
              <w:spacing w:line="360" w:lineRule="auto"/>
              <w:jc w:val="center"/>
              <w:rPr>
                <w:rFonts w:ascii="宋体" w:hAnsi="宋体" w:cs="宋体"/>
                <w:color w:val="auto"/>
                <w:sz w:val="24"/>
                <w:szCs w:val="24"/>
                <w:highlight w:val="none"/>
              </w:rPr>
            </w:pPr>
          </w:p>
        </w:tc>
        <w:tc>
          <w:tcPr>
            <w:tcW w:w="5925" w:type="dxa"/>
            <w:tcBorders>
              <w:top w:val="single" w:color="auto" w:sz="4" w:space="0"/>
              <w:left w:val="single" w:color="auto" w:sz="4" w:space="0"/>
              <w:bottom w:val="single" w:color="auto" w:sz="4" w:space="0"/>
              <w:right w:val="single" w:color="auto" w:sz="4" w:space="0"/>
            </w:tcBorders>
            <w:noWrap/>
            <w:vAlign w:val="center"/>
          </w:tcPr>
          <w:p w14:paraId="766565D9">
            <w:pPr>
              <w:tabs>
                <w:tab w:val="left" w:pos="630"/>
              </w:tabs>
              <w:spacing w:line="360" w:lineRule="auto"/>
              <w:ind w:firstLine="560"/>
              <w:rPr>
                <w:rFonts w:ascii="宋体" w:hAnsi="宋体" w:cs="宋体"/>
                <w:color w:val="auto"/>
                <w:sz w:val="24"/>
                <w:szCs w:val="24"/>
                <w:highlight w:val="none"/>
              </w:rPr>
            </w:pPr>
            <w:r>
              <w:rPr>
                <w:rFonts w:hint="eastAsia" w:ascii="宋体" w:hAnsi="宋体" w:cs="宋体"/>
                <w:color w:val="auto"/>
                <w:sz w:val="24"/>
                <w:szCs w:val="24"/>
                <w:highlight w:val="none"/>
              </w:rPr>
              <w:t>信用记录按照下列规定执行：信用记录的查询及审查：①由资格审查小组评审当日通过“信用中国”网站（www.creditchina.gov.cn）、中国政府采购网（www.ccgp.gov.cn）、信用中国(福建厦门)（credit.xm.gov.cn）查询并打印投标人信用记录（以下简称：“资格审查小组的查询结果”）。②查询结果存在投标人（包括联合体各方，联合体成员存在不良记录的，视同联合体存在不良信用记录，认定联合体资格审查不合格）应被拒绝参与政府采购活动相关信息的，其资格审查不合格。</w:t>
            </w:r>
          </w:p>
        </w:tc>
      </w:tr>
      <w:tr w14:paraId="287401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ign w:val="center"/>
          </w:tcPr>
          <w:p w14:paraId="37D3E4ED">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8</w:t>
            </w:r>
          </w:p>
        </w:tc>
        <w:tc>
          <w:tcPr>
            <w:tcW w:w="696" w:type="dxa"/>
            <w:tcBorders>
              <w:top w:val="single" w:color="auto" w:sz="4" w:space="0"/>
              <w:left w:val="single" w:color="auto" w:sz="4" w:space="0"/>
              <w:bottom w:val="single" w:color="auto" w:sz="4" w:space="0"/>
              <w:right w:val="single" w:color="auto" w:sz="4" w:space="0"/>
            </w:tcBorders>
            <w:noWrap/>
          </w:tcPr>
          <w:p w14:paraId="714B06C5">
            <w:pPr>
              <w:spacing w:line="360" w:lineRule="auto"/>
              <w:jc w:val="center"/>
              <w:rPr>
                <w:rFonts w:ascii="宋体" w:hAnsi="宋体" w:cs="宋体"/>
                <w:color w:val="auto"/>
                <w:sz w:val="24"/>
                <w:szCs w:val="24"/>
                <w:highlight w:val="none"/>
              </w:rPr>
            </w:pPr>
          </w:p>
        </w:tc>
        <w:tc>
          <w:tcPr>
            <w:tcW w:w="1422" w:type="dxa"/>
            <w:tcBorders>
              <w:top w:val="single" w:color="auto" w:sz="4" w:space="0"/>
              <w:left w:val="single" w:color="auto" w:sz="4" w:space="0"/>
              <w:bottom w:val="single" w:color="auto" w:sz="4" w:space="0"/>
              <w:right w:val="single" w:color="auto" w:sz="4" w:space="0"/>
            </w:tcBorders>
            <w:noWrap/>
          </w:tcPr>
          <w:p w14:paraId="5711640F">
            <w:pPr>
              <w:spacing w:line="360" w:lineRule="auto"/>
              <w:jc w:val="center"/>
              <w:rPr>
                <w:rFonts w:ascii="宋体" w:hAnsi="宋体" w:cs="宋体"/>
                <w:color w:val="auto"/>
                <w:sz w:val="24"/>
                <w:szCs w:val="24"/>
                <w:highlight w:val="none"/>
              </w:rPr>
            </w:pPr>
          </w:p>
        </w:tc>
        <w:tc>
          <w:tcPr>
            <w:tcW w:w="5925" w:type="dxa"/>
            <w:tcBorders>
              <w:top w:val="single" w:color="auto" w:sz="4" w:space="0"/>
              <w:left w:val="single" w:color="auto" w:sz="4" w:space="0"/>
              <w:bottom w:val="single" w:color="auto" w:sz="4" w:space="0"/>
              <w:right w:val="single" w:color="auto" w:sz="4" w:space="0"/>
            </w:tcBorders>
            <w:noWrap/>
          </w:tcPr>
          <w:p w14:paraId="4897EA79">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w:t>
            </w:r>
            <w:r>
              <w:rPr>
                <w:rFonts w:hint="eastAsia" w:ascii="宋体" w:hAnsi="宋体" w:cs="宋体"/>
                <w:b/>
                <w:bCs/>
                <w:color w:val="auto"/>
                <w:sz w:val="24"/>
                <w:szCs w:val="24"/>
                <w:highlight w:val="none"/>
              </w:rPr>
              <w:t>1、投标人应提供工商营业执照（副本）（加盖公章）的扫描件。</w:t>
            </w:r>
          </w:p>
        </w:tc>
      </w:tr>
      <w:tr w14:paraId="644EA3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ign w:val="center"/>
          </w:tcPr>
          <w:p w14:paraId="11A363D4">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9</w:t>
            </w:r>
          </w:p>
        </w:tc>
        <w:tc>
          <w:tcPr>
            <w:tcW w:w="696" w:type="dxa"/>
            <w:tcBorders>
              <w:top w:val="single" w:color="auto" w:sz="4" w:space="0"/>
              <w:left w:val="single" w:color="auto" w:sz="4" w:space="0"/>
              <w:bottom w:val="single" w:color="auto" w:sz="4" w:space="0"/>
              <w:right w:val="single" w:color="auto" w:sz="4" w:space="0"/>
            </w:tcBorders>
            <w:noWrap/>
          </w:tcPr>
          <w:p w14:paraId="6ABDFFF3">
            <w:pPr>
              <w:spacing w:line="360" w:lineRule="auto"/>
              <w:jc w:val="center"/>
              <w:rPr>
                <w:rFonts w:ascii="宋体" w:hAnsi="宋体" w:cs="宋体"/>
                <w:color w:val="auto"/>
                <w:sz w:val="24"/>
                <w:szCs w:val="24"/>
                <w:highlight w:val="none"/>
              </w:rPr>
            </w:pPr>
          </w:p>
        </w:tc>
        <w:tc>
          <w:tcPr>
            <w:tcW w:w="1422" w:type="dxa"/>
            <w:tcBorders>
              <w:top w:val="single" w:color="auto" w:sz="4" w:space="0"/>
              <w:left w:val="single" w:color="auto" w:sz="4" w:space="0"/>
              <w:bottom w:val="single" w:color="auto" w:sz="4" w:space="0"/>
              <w:right w:val="single" w:color="auto" w:sz="4" w:space="0"/>
            </w:tcBorders>
            <w:noWrap/>
          </w:tcPr>
          <w:p w14:paraId="0D4AAD1A">
            <w:pPr>
              <w:spacing w:line="360" w:lineRule="auto"/>
              <w:jc w:val="center"/>
              <w:rPr>
                <w:rFonts w:ascii="宋体" w:hAnsi="宋体" w:cs="宋体"/>
                <w:color w:val="auto"/>
                <w:sz w:val="24"/>
                <w:szCs w:val="24"/>
                <w:highlight w:val="none"/>
              </w:rPr>
            </w:pPr>
          </w:p>
        </w:tc>
        <w:tc>
          <w:tcPr>
            <w:tcW w:w="5925" w:type="dxa"/>
            <w:tcBorders>
              <w:top w:val="single" w:color="auto" w:sz="4" w:space="0"/>
              <w:left w:val="single" w:color="auto" w:sz="4" w:space="0"/>
              <w:bottom w:val="single" w:color="auto" w:sz="4" w:space="0"/>
              <w:right w:val="single" w:color="auto" w:sz="4" w:space="0"/>
            </w:tcBorders>
            <w:noWrap/>
          </w:tcPr>
          <w:p w14:paraId="30733049">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w:t>
            </w:r>
            <w:r>
              <w:rPr>
                <w:rFonts w:hint="eastAsia" w:ascii="宋体" w:hAnsi="宋体" w:cs="宋体"/>
                <w:b/>
                <w:bCs/>
                <w:color w:val="auto"/>
                <w:sz w:val="24"/>
                <w:szCs w:val="24"/>
                <w:highlight w:val="none"/>
              </w:rPr>
              <w:t>2、投标人全权代表若不是单位负责人或法定代表人，应提供单位授权书原件，并提供被授权代表身份证扫描件。</w:t>
            </w:r>
          </w:p>
        </w:tc>
      </w:tr>
      <w:tr w14:paraId="300896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39" w:type="dxa"/>
            <w:gridSpan w:val="4"/>
            <w:tcBorders>
              <w:top w:val="single" w:color="auto" w:sz="4" w:space="0"/>
              <w:left w:val="single" w:color="auto" w:sz="4" w:space="0"/>
              <w:bottom w:val="single" w:color="auto" w:sz="4" w:space="0"/>
              <w:right w:val="single" w:color="auto" w:sz="4" w:space="0"/>
            </w:tcBorders>
            <w:noWrap/>
            <w:vAlign w:val="center"/>
          </w:tcPr>
          <w:p w14:paraId="33B62671">
            <w:pPr>
              <w:spacing w:line="360" w:lineRule="auto"/>
              <w:ind w:firstLine="3373" w:firstLineChars="1400"/>
              <w:rPr>
                <w:rFonts w:ascii="宋体" w:hAnsi="宋体" w:cs="宋体"/>
                <w:color w:val="auto"/>
                <w:sz w:val="24"/>
                <w:szCs w:val="24"/>
                <w:highlight w:val="none"/>
              </w:rPr>
            </w:pPr>
            <w:r>
              <w:rPr>
                <w:rFonts w:hint="eastAsia" w:ascii="宋体" w:hAnsi="宋体" w:cs="宋体"/>
                <w:b/>
                <w:color w:val="auto"/>
                <w:sz w:val="24"/>
                <w:szCs w:val="24"/>
                <w:highlight w:val="none"/>
              </w:rPr>
              <w:t>符合性要求</w:t>
            </w:r>
          </w:p>
        </w:tc>
      </w:tr>
      <w:tr w14:paraId="3D4877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ign w:val="center"/>
          </w:tcPr>
          <w:p w14:paraId="1DB596CF">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项号</w:t>
            </w:r>
          </w:p>
        </w:tc>
        <w:tc>
          <w:tcPr>
            <w:tcW w:w="696" w:type="dxa"/>
            <w:tcBorders>
              <w:top w:val="single" w:color="auto" w:sz="4" w:space="0"/>
              <w:left w:val="single" w:color="auto" w:sz="4" w:space="0"/>
              <w:bottom w:val="single" w:color="auto" w:sz="4" w:space="0"/>
              <w:right w:val="single" w:color="auto" w:sz="4" w:space="0"/>
            </w:tcBorders>
            <w:noWrap/>
            <w:vAlign w:val="center"/>
          </w:tcPr>
          <w:p w14:paraId="1F499FFE">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章</w:t>
            </w:r>
          </w:p>
        </w:tc>
        <w:tc>
          <w:tcPr>
            <w:tcW w:w="1422" w:type="dxa"/>
            <w:tcBorders>
              <w:top w:val="single" w:color="auto" w:sz="4" w:space="0"/>
              <w:left w:val="single" w:color="auto" w:sz="4" w:space="0"/>
              <w:bottom w:val="single" w:color="auto" w:sz="4" w:space="0"/>
              <w:right w:val="single" w:color="auto" w:sz="4" w:space="0"/>
            </w:tcBorders>
            <w:noWrap/>
            <w:vAlign w:val="center"/>
          </w:tcPr>
          <w:p w14:paraId="70D2EEC0">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条款号</w:t>
            </w:r>
          </w:p>
        </w:tc>
        <w:tc>
          <w:tcPr>
            <w:tcW w:w="5925" w:type="dxa"/>
            <w:tcBorders>
              <w:top w:val="single" w:color="auto" w:sz="4" w:space="0"/>
              <w:left w:val="single" w:color="auto" w:sz="4" w:space="0"/>
              <w:bottom w:val="single" w:color="auto" w:sz="4" w:space="0"/>
              <w:right w:val="single" w:color="auto" w:sz="4" w:space="0"/>
            </w:tcBorders>
            <w:noWrap/>
            <w:vAlign w:val="center"/>
          </w:tcPr>
          <w:p w14:paraId="58118435">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具体内容</w:t>
            </w:r>
          </w:p>
        </w:tc>
      </w:tr>
      <w:tr w14:paraId="6F45C3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ign w:val="center"/>
          </w:tcPr>
          <w:p w14:paraId="48719DD3">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w:t>
            </w:r>
          </w:p>
        </w:tc>
        <w:tc>
          <w:tcPr>
            <w:tcW w:w="696" w:type="dxa"/>
            <w:tcBorders>
              <w:top w:val="single" w:color="auto" w:sz="4" w:space="0"/>
              <w:left w:val="single" w:color="auto" w:sz="4" w:space="0"/>
              <w:bottom w:val="single" w:color="auto" w:sz="4" w:space="0"/>
              <w:right w:val="single" w:color="auto" w:sz="4" w:space="0"/>
            </w:tcBorders>
            <w:noWrap/>
            <w:vAlign w:val="center"/>
          </w:tcPr>
          <w:p w14:paraId="4D83156E">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一</w:t>
            </w:r>
          </w:p>
        </w:tc>
        <w:tc>
          <w:tcPr>
            <w:tcW w:w="1422" w:type="dxa"/>
            <w:tcBorders>
              <w:top w:val="single" w:color="auto" w:sz="4" w:space="0"/>
              <w:left w:val="single" w:color="auto" w:sz="4" w:space="0"/>
              <w:bottom w:val="single" w:color="auto" w:sz="4" w:space="0"/>
              <w:right w:val="single" w:color="auto" w:sz="4" w:space="0"/>
            </w:tcBorders>
            <w:noWrap/>
            <w:vAlign w:val="center"/>
          </w:tcPr>
          <w:p w14:paraId="6D266CE2">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5</w:t>
            </w:r>
          </w:p>
        </w:tc>
        <w:tc>
          <w:tcPr>
            <w:tcW w:w="5925" w:type="dxa"/>
            <w:tcBorders>
              <w:top w:val="single" w:color="auto" w:sz="4" w:space="0"/>
              <w:left w:val="single" w:color="auto" w:sz="4" w:space="0"/>
              <w:bottom w:val="single" w:color="auto" w:sz="4" w:space="0"/>
              <w:right w:val="single" w:color="auto" w:sz="4" w:space="0"/>
            </w:tcBorders>
            <w:noWrap/>
          </w:tcPr>
          <w:p w14:paraId="3418F6C4">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投标人的投标文件未按规定的投标截止时间之前提交的，其投标将被拒绝。</w:t>
            </w:r>
          </w:p>
        </w:tc>
      </w:tr>
      <w:tr w14:paraId="761A1C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ign w:val="center"/>
          </w:tcPr>
          <w:p w14:paraId="38FC0217">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2</w:t>
            </w:r>
          </w:p>
        </w:tc>
        <w:tc>
          <w:tcPr>
            <w:tcW w:w="696" w:type="dxa"/>
            <w:tcBorders>
              <w:top w:val="single" w:color="auto" w:sz="4" w:space="0"/>
              <w:left w:val="single" w:color="auto" w:sz="4" w:space="0"/>
              <w:bottom w:val="single" w:color="auto" w:sz="4" w:space="0"/>
              <w:right w:val="single" w:color="auto" w:sz="4" w:space="0"/>
            </w:tcBorders>
            <w:noWrap/>
            <w:vAlign w:val="center"/>
          </w:tcPr>
          <w:p w14:paraId="445339D9">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ign w:val="center"/>
          </w:tcPr>
          <w:p w14:paraId="79FE8934">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3.2</w:t>
            </w:r>
          </w:p>
        </w:tc>
        <w:tc>
          <w:tcPr>
            <w:tcW w:w="5925" w:type="dxa"/>
            <w:tcBorders>
              <w:top w:val="single" w:color="auto" w:sz="4" w:space="0"/>
              <w:left w:val="single" w:color="auto" w:sz="4" w:space="0"/>
              <w:bottom w:val="single" w:color="auto" w:sz="4" w:space="0"/>
              <w:right w:val="single" w:color="auto" w:sz="4" w:space="0"/>
            </w:tcBorders>
            <w:noWrap/>
            <w:vAlign w:val="center"/>
          </w:tcPr>
          <w:p w14:paraId="73277ED0">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3.2投标人应遵守并符合中国的有关法律、法规和规章的规定，同时其投标货物或服务也应符合中国的有关法律、法规和规章的规定。认可本须知中的规定。</w:t>
            </w:r>
          </w:p>
        </w:tc>
      </w:tr>
      <w:tr w14:paraId="049AF4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ign w:val="center"/>
          </w:tcPr>
          <w:p w14:paraId="28E344A6">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w:t>
            </w:r>
          </w:p>
        </w:tc>
        <w:tc>
          <w:tcPr>
            <w:tcW w:w="696" w:type="dxa"/>
            <w:tcBorders>
              <w:top w:val="single" w:color="auto" w:sz="4" w:space="0"/>
              <w:left w:val="single" w:color="auto" w:sz="4" w:space="0"/>
              <w:bottom w:val="single" w:color="auto" w:sz="4" w:space="0"/>
              <w:right w:val="single" w:color="auto" w:sz="4" w:space="0"/>
            </w:tcBorders>
            <w:noWrap/>
            <w:vAlign w:val="center"/>
          </w:tcPr>
          <w:p w14:paraId="30F89CDB">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ign w:val="center"/>
          </w:tcPr>
          <w:p w14:paraId="3506CCB9">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3.3</w:t>
            </w:r>
          </w:p>
        </w:tc>
        <w:tc>
          <w:tcPr>
            <w:tcW w:w="5925" w:type="dxa"/>
            <w:tcBorders>
              <w:top w:val="single" w:color="auto" w:sz="4" w:space="0"/>
              <w:left w:val="single" w:color="auto" w:sz="4" w:space="0"/>
              <w:bottom w:val="single" w:color="auto" w:sz="4" w:space="0"/>
              <w:right w:val="single" w:color="auto" w:sz="4" w:space="0"/>
            </w:tcBorders>
            <w:noWrap/>
            <w:vAlign w:val="center"/>
          </w:tcPr>
          <w:p w14:paraId="398AC02F">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3.3一个投标人只能提交一个投标文件。如果投标人之间存在下列互为关联关系的情形之一的，不得同时参加本项目同一合同包投标：</w:t>
            </w:r>
          </w:p>
          <w:p w14:paraId="539CE65B">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(1)法定代表人、单位负责人为同一人或夫妻关系的不同投标人；</w:t>
            </w:r>
          </w:p>
          <w:p w14:paraId="693BA4D1">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(2)存在直接控股、管理关系的不同投标人；</w:t>
            </w:r>
          </w:p>
          <w:p w14:paraId="6F822F42">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(3)均为同一家母公司直接或间接持股50％及以上的被投资公司。</w:t>
            </w:r>
          </w:p>
        </w:tc>
      </w:tr>
      <w:tr w14:paraId="050F2F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ign w:val="center"/>
          </w:tcPr>
          <w:p w14:paraId="183CB0AA">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4</w:t>
            </w:r>
          </w:p>
        </w:tc>
        <w:tc>
          <w:tcPr>
            <w:tcW w:w="696" w:type="dxa"/>
            <w:tcBorders>
              <w:top w:val="single" w:color="auto" w:sz="4" w:space="0"/>
              <w:left w:val="single" w:color="auto" w:sz="4" w:space="0"/>
              <w:bottom w:val="single" w:color="auto" w:sz="4" w:space="0"/>
              <w:right w:val="single" w:color="auto" w:sz="4" w:space="0"/>
            </w:tcBorders>
            <w:noWrap/>
            <w:vAlign w:val="center"/>
          </w:tcPr>
          <w:p w14:paraId="7383F369">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ign w:val="center"/>
          </w:tcPr>
          <w:p w14:paraId="7EBAC289">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3.4</w:t>
            </w:r>
          </w:p>
        </w:tc>
        <w:tc>
          <w:tcPr>
            <w:tcW w:w="5925" w:type="dxa"/>
            <w:tcBorders>
              <w:top w:val="single" w:color="auto" w:sz="4" w:space="0"/>
              <w:left w:val="single" w:color="auto" w:sz="4" w:space="0"/>
              <w:bottom w:val="single" w:color="auto" w:sz="4" w:space="0"/>
              <w:right w:val="single" w:color="auto" w:sz="4" w:space="0"/>
            </w:tcBorders>
            <w:noWrap/>
            <w:vAlign w:val="center"/>
          </w:tcPr>
          <w:p w14:paraId="25DA1F48">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3.4投标人不得与本次招标项下设计、编制技术规格和其他文件的公司或提供咨询服务的公司包括其附属机构有关联关系，关联关系指：(1) 法定代表人、单位负责人为同一人或夫妻关系的不同公司；(2) 存在直接控股、管理关系的不同公司；(3) 均为同一家母公司直接或间接持股50％及以上的被投资公司。</w:t>
            </w:r>
          </w:p>
        </w:tc>
      </w:tr>
      <w:tr w14:paraId="5C4941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ign w:val="center"/>
          </w:tcPr>
          <w:p w14:paraId="086A9B86">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5</w:t>
            </w:r>
          </w:p>
        </w:tc>
        <w:tc>
          <w:tcPr>
            <w:tcW w:w="696" w:type="dxa"/>
            <w:tcBorders>
              <w:top w:val="single" w:color="auto" w:sz="4" w:space="0"/>
              <w:left w:val="single" w:color="auto" w:sz="4" w:space="0"/>
              <w:bottom w:val="single" w:color="auto" w:sz="4" w:space="0"/>
              <w:right w:val="single" w:color="auto" w:sz="4" w:space="0"/>
            </w:tcBorders>
            <w:noWrap/>
            <w:vAlign w:val="center"/>
          </w:tcPr>
          <w:p w14:paraId="67405CBB">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ign w:val="center"/>
          </w:tcPr>
          <w:p w14:paraId="56035C7C">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3.8</w:t>
            </w:r>
          </w:p>
        </w:tc>
        <w:tc>
          <w:tcPr>
            <w:tcW w:w="5925" w:type="dxa"/>
            <w:tcBorders>
              <w:top w:val="single" w:color="auto" w:sz="4" w:space="0"/>
              <w:left w:val="single" w:color="auto" w:sz="4" w:space="0"/>
              <w:bottom w:val="single" w:color="auto" w:sz="4" w:space="0"/>
              <w:right w:val="single" w:color="auto" w:sz="4" w:space="0"/>
            </w:tcBorders>
            <w:noWrap/>
            <w:vAlign w:val="center"/>
          </w:tcPr>
          <w:p w14:paraId="1F5E52E6">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3.8投标人存在下列情形之一的，将被认定为串通投标行为并作无效投标处理：</w:t>
            </w:r>
          </w:p>
          <w:p w14:paraId="101BDDD7">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（1）投标人之间协商投标报价等投标文件的实质性内容；</w:t>
            </w:r>
          </w:p>
          <w:p w14:paraId="3579024F">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（2）投标人之间约定中标供应商；</w:t>
            </w:r>
          </w:p>
          <w:p w14:paraId="05F14444">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（3）投标人之间约定部分投标人放弃投标或者中标；</w:t>
            </w:r>
          </w:p>
          <w:p w14:paraId="58F1AFDF">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（4）属于同一集团、协会、商会等组织成员的投标人按照该组织要求协同投标；</w:t>
            </w:r>
          </w:p>
          <w:p w14:paraId="31A0AFE5">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（5）投标人之间为谋取中标或者排斥特定投标人而采取的其他联合行动；</w:t>
            </w:r>
          </w:p>
          <w:p w14:paraId="75FCFC3E">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（6）不同投标人的投标文件由同一单位或者个人编制；</w:t>
            </w:r>
          </w:p>
          <w:p w14:paraId="32557761">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（7）不同投标人委托同一单位或者个人办理投标事宜；</w:t>
            </w:r>
          </w:p>
          <w:p w14:paraId="2E6079D0">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（8）不同投标人的投标文件载明的项目管理成员或者联系人员为同一人；</w:t>
            </w:r>
          </w:p>
          <w:p w14:paraId="4509B48C">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（9）不同投标人的投标文件异常一致或者投标报价呈规律性差异；</w:t>
            </w:r>
          </w:p>
          <w:p w14:paraId="7BD0030E">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（10）不同投标人的投标文件相互混装；</w:t>
            </w:r>
          </w:p>
          <w:p w14:paraId="46A27451">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（11）不同投标人的投标保证金从同一单位或者个人的账户转出。</w:t>
            </w:r>
          </w:p>
          <w:p w14:paraId="7DA02601">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（12）不同投标人的投标文件错、漏之处一致或雷同，且不能合理解释的；</w:t>
            </w:r>
          </w:p>
          <w:p w14:paraId="21C63071">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（13）不同的投标人的法定代表人、委托代理人等由同一个单位缴纳社会保险的；</w:t>
            </w:r>
          </w:p>
          <w:p w14:paraId="5231186E">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（14）由同一人或分别由几个有利害关系的人携带两个以上（含两个）投标人的企业资料参与资格审查、领取招标资料，或代表两个以上（含两个）投标人参加招标答疑会、交纳或退还投标保证金、开标的；</w:t>
            </w:r>
          </w:p>
          <w:p w14:paraId="1A16AC4E">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（15）有关法律、法规或规章规定的其他串通投标行为。</w:t>
            </w:r>
          </w:p>
        </w:tc>
      </w:tr>
      <w:tr w14:paraId="6892C6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ign w:val="center"/>
          </w:tcPr>
          <w:p w14:paraId="7DD91532">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6</w:t>
            </w:r>
          </w:p>
        </w:tc>
        <w:tc>
          <w:tcPr>
            <w:tcW w:w="696" w:type="dxa"/>
            <w:tcBorders>
              <w:top w:val="single" w:color="auto" w:sz="4" w:space="0"/>
              <w:left w:val="single" w:color="auto" w:sz="4" w:space="0"/>
              <w:bottom w:val="single" w:color="auto" w:sz="4" w:space="0"/>
              <w:right w:val="single" w:color="auto" w:sz="4" w:space="0"/>
            </w:tcBorders>
            <w:noWrap/>
            <w:vAlign w:val="center"/>
          </w:tcPr>
          <w:p w14:paraId="61FA3668">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ign w:val="center"/>
          </w:tcPr>
          <w:p w14:paraId="6583CE7A">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8.1</w:t>
            </w:r>
          </w:p>
        </w:tc>
        <w:tc>
          <w:tcPr>
            <w:tcW w:w="5925" w:type="dxa"/>
            <w:tcBorders>
              <w:top w:val="single" w:color="auto" w:sz="4" w:space="0"/>
              <w:left w:val="single" w:color="auto" w:sz="4" w:space="0"/>
              <w:bottom w:val="single" w:color="auto" w:sz="4" w:space="0"/>
              <w:right w:val="single" w:color="auto" w:sz="4" w:space="0"/>
            </w:tcBorders>
            <w:noWrap/>
          </w:tcPr>
          <w:p w14:paraId="5343409B">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8.1投标人应仔细阅读供应商操作手册和招标文件的所有内容，按照相关要求提交投标文件。</w:t>
            </w:r>
            <w:r>
              <w:rPr>
                <w:rFonts w:hint="eastAsia" w:ascii="宋体" w:hAnsi="宋体" w:cs="宋体"/>
                <w:b/>
                <w:color w:val="auto"/>
                <w:sz w:val="24"/>
                <w:szCs w:val="24"/>
                <w:highlight w:val="none"/>
              </w:rPr>
              <w:t>投标文件应对招标文件的要求作出实质性响应，并保证所提供的全部资料的真实性，否则其投标将被拒绝。</w:t>
            </w:r>
          </w:p>
        </w:tc>
      </w:tr>
      <w:tr w14:paraId="6CC517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ign w:val="center"/>
          </w:tcPr>
          <w:p w14:paraId="58BA1DED">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7</w:t>
            </w:r>
          </w:p>
        </w:tc>
        <w:tc>
          <w:tcPr>
            <w:tcW w:w="696" w:type="dxa"/>
            <w:tcBorders>
              <w:top w:val="single" w:color="auto" w:sz="4" w:space="0"/>
              <w:left w:val="single" w:color="auto" w:sz="4" w:space="0"/>
              <w:bottom w:val="single" w:color="auto" w:sz="4" w:space="0"/>
              <w:right w:val="single" w:color="auto" w:sz="4" w:space="0"/>
            </w:tcBorders>
            <w:noWrap/>
            <w:vAlign w:val="center"/>
          </w:tcPr>
          <w:p w14:paraId="497FF416">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ign w:val="center"/>
          </w:tcPr>
          <w:p w14:paraId="2EC75423">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8.2</w:t>
            </w:r>
          </w:p>
        </w:tc>
        <w:tc>
          <w:tcPr>
            <w:tcW w:w="5925" w:type="dxa"/>
            <w:tcBorders>
              <w:top w:val="single" w:color="auto" w:sz="4" w:space="0"/>
              <w:left w:val="single" w:color="auto" w:sz="4" w:space="0"/>
              <w:bottom w:val="single" w:color="auto" w:sz="4" w:space="0"/>
              <w:right w:val="single" w:color="auto" w:sz="4" w:space="0"/>
            </w:tcBorders>
            <w:noWrap/>
          </w:tcPr>
          <w:p w14:paraId="03480E4B">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8.2 除非有另外的规定，投标人可对招标货物（服务）一览表所列的全部合同包或部分合同包进行投标。招标采购单位不接受有任何可选择性的报价，每一种货物（服务）只能有一个报价，否则其投标将被拒绝。</w:t>
            </w:r>
          </w:p>
        </w:tc>
      </w:tr>
      <w:tr w14:paraId="581D90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ign w:val="center"/>
          </w:tcPr>
          <w:p w14:paraId="18EBA66D">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8</w:t>
            </w:r>
          </w:p>
        </w:tc>
        <w:tc>
          <w:tcPr>
            <w:tcW w:w="696" w:type="dxa"/>
            <w:tcBorders>
              <w:top w:val="single" w:color="auto" w:sz="4" w:space="0"/>
              <w:left w:val="single" w:color="auto" w:sz="4" w:space="0"/>
              <w:bottom w:val="single" w:color="auto" w:sz="4" w:space="0"/>
              <w:right w:val="single" w:color="auto" w:sz="4" w:space="0"/>
            </w:tcBorders>
            <w:noWrap/>
            <w:vAlign w:val="center"/>
          </w:tcPr>
          <w:p w14:paraId="31077DC2">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ign w:val="center"/>
          </w:tcPr>
          <w:p w14:paraId="39B44163">
            <w:pPr>
              <w:spacing w:line="360" w:lineRule="auto"/>
              <w:jc w:val="center"/>
              <w:rPr>
                <w:rFonts w:ascii="宋体" w:hAnsi="宋体" w:cs="宋体"/>
                <w:color w:val="auto"/>
                <w:sz w:val="24"/>
                <w:szCs w:val="24"/>
                <w:highlight w:val="none"/>
              </w:rPr>
            </w:pPr>
            <w:r>
              <w:rPr>
                <w:rFonts w:hint="eastAsia" w:ascii="宋体" w:hAnsi="宋体" w:cs="宋体"/>
                <w:b/>
                <w:color w:val="auto"/>
                <w:sz w:val="24"/>
                <w:szCs w:val="24"/>
                <w:highlight w:val="none"/>
              </w:rPr>
              <w:t>10.2</w:t>
            </w:r>
          </w:p>
        </w:tc>
        <w:tc>
          <w:tcPr>
            <w:tcW w:w="5925" w:type="dxa"/>
            <w:tcBorders>
              <w:top w:val="single" w:color="auto" w:sz="4" w:space="0"/>
              <w:left w:val="single" w:color="auto" w:sz="4" w:space="0"/>
              <w:bottom w:val="single" w:color="auto" w:sz="4" w:space="0"/>
              <w:right w:val="single" w:color="auto" w:sz="4" w:space="0"/>
            </w:tcBorders>
            <w:noWrap/>
            <w:vAlign w:val="center"/>
          </w:tcPr>
          <w:p w14:paraId="787359C0">
            <w:pPr>
              <w:spacing w:line="360" w:lineRule="auto"/>
              <w:ind w:firstLine="482" w:firstLineChars="200"/>
              <w:rPr>
                <w:rFonts w:ascii="宋体" w:hAnsi="宋体" w:cs="宋体"/>
                <w:b/>
                <w:color w:val="auto"/>
                <w:sz w:val="24"/>
                <w:szCs w:val="24"/>
                <w:highlight w:val="none"/>
              </w:rPr>
            </w:pPr>
            <w:r>
              <w:rPr>
                <w:rFonts w:hint="eastAsia" w:ascii="宋体" w:hAnsi="宋体" w:cs="宋体"/>
                <w:b/>
                <w:color w:val="auto"/>
                <w:sz w:val="24"/>
                <w:szCs w:val="24"/>
                <w:highlight w:val="none"/>
              </w:rPr>
              <w:t>10.2投标文件必须包括下列部分，否则其投标将按照无效投标处理：</w:t>
            </w:r>
          </w:p>
          <w:p w14:paraId="07ED3DF9">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 开标一览表</w:t>
            </w:r>
          </w:p>
          <w:p w14:paraId="41DBCE30">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 商务条款响应书</w:t>
            </w:r>
          </w:p>
          <w:p w14:paraId="3682313D">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 技术条款响应书</w:t>
            </w:r>
          </w:p>
          <w:p w14:paraId="2FE13E57">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 投标书</w:t>
            </w:r>
          </w:p>
          <w:p w14:paraId="0AB576F5">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(5) 投标分项报价表</w:t>
            </w:r>
          </w:p>
          <w:p w14:paraId="4A98F26F">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 货物说明一览表</w:t>
            </w:r>
          </w:p>
          <w:p w14:paraId="73F882AD">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(7) 供货范围清单</w:t>
            </w:r>
          </w:p>
          <w:p w14:paraId="6A5C5EB6">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(8) 技术规格和商务响应表</w:t>
            </w:r>
          </w:p>
          <w:p w14:paraId="604C0FE4">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(9) 代理服务费承诺书</w:t>
            </w:r>
          </w:p>
          <w:p w14:paraId="047447D4">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(10) 投标保证金</w:t>
            </w:r>
          </w:p>
        </w:tc>
      </w:tr>
      <w:tr w14:paraId="602C63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ign w:val="center"/>
          </w:tcPr>
          <w:p w14:paraId="6526B70D">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9</w:t>
            </w:r>
          </w:p>
        </w:tc>
        <w:tc>
          <w:tcPr>
            <w:tcW w:w="696" w:type="dxa"/>
            <w:tcBorders>
              <w:top w:val="single" w:color="auto" w:sz="4" w:space="0"/>
              <w:left w:val="single" w:color="auto" w:sz="4" w:space="0"/>
              <w:bottom w:val="single" w:color="auto" w:sz="4" w:space="0"/>
              <w:right w:val="single" w:color="auto" w:sz="4" w:space="0"/>
            </w:tcBorders>
            <w:noWrap/>
            <w:vAlign w:val="center"/>
          </w:tcPr>
          <w:p w14:paraId="3E720938">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ign w:val="center"/>
          </w:tcPr>
          <w:p w14:paraId="20354C73">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11.1</w:t>
            </w:r>
          </w:p>
        </w:tc>
        <w:tc>
          <w:tcPr>
            <w:tcW w:w="5925" w:type="dxa"/>
            <w:tcBorders>
              <w:top w:val="single" w:color="auto" w:sz="4" w:space="0"/>
              <w:left w:val="single" w:color="auto" w:sz="4" w:space="0"/>
              <w:bottom w:val="single" w:color="auto" w:sz="4" w:space="0"/>
              <w:right w:val="single" w:color="auto" w:sz="4" w:space="0"/>
            </w:tcBorders>
            <w:noWrap/>
            <w:vAlign w:val="center"/>
          </w:tcPr>
          <w:p w14:paraId="57ED3339">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11.1投标有效期：投标截止之日起</w:t>
            </w:r>
            <w:r>
              <w:rPr>
                <w:rFonts w:hint="eastAsia" w:ascii="宋体" w:hAnsi="宋体" w:cs="宋体"/>
                <w:color w:val="auto"/>
                <w:sz w:val="24"/>
                <w:szCs w:val="24"/>
                <w:highlight w:val="none"/>
                <w:u w:val="single"/>
              </w:rPr>
              <w:t>90</w:t>
            </w:r>
            <w:r>
              <w:rPr>
                <w:rFonts w:hint="eastAsia" w:ascii="宋体" w:hAnsi="宋体" w:cs="宋体"/>
                <w:color w:val="auto"/>
                <w:sz w:val="24"/>
                <w:szCs w:val="24"/>
                <w:highlight w:val="none"/>
              </w:rPr>
              <w:t>个日历日。有效期不足将导致其投标文件被拒绝。</w:t>
            </w:r>
          </w:p>
        </w:tc>
      </w:tr>
      <w:tr w14:paraId="2059B6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ign w:val="center"/>
          </w:tcPr>
          <w:p w14:paraId="23CA5826">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10</w:t>
            </w:r>
          </w:p>
        </w:tc>
        <w:tc>
          <w:tcPr>
            <w:tcW w:w="696" w:type="dxa"/>
            <w:tcBorders>
              <w:top w:val="single" w:color="auto" w:sz="4" w:space="0"/>
              <w:left w:val="single" w:color="auto" w:sz="4" w:space="0"/>
              <w:bottom w:val="single" w:color="auto" w:sz="4" w:space="0"/>
              <w:right w:val="single" w:color="auto" w:sz="4" w:space="0"/>
            </w:tcBorders>
            <w:noWrap/>
            <w:vAlign w:val="center"/>
          </w:tcPr>
          <w:p w14:paraId="5E39FEF1">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ign w:val="center"/>
          </w:tcPr>
          <w:p w14:paraId="1BE9CEDD">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12.5</w:t>
            </w:r>
          </w:p>
        </w:tc>
        <w:tc>
          <w:tcPr>
            <w:tcW w:w="5925" w:type="dxa"/>
            <w:tcBorders>
              <w:top w:val="single" w:color="auto" w:sz="4" w:space="0"/>
              <w:left w:val="single" w:color="auto" w:sz="4" w:space="0"/>
              <w:bottom w:val="single" w:color="auto" w:sz="4" w:space="0"/>
              <w:right w:val="single" w:color="auto" w:sz="4" w:space="0"/>
            </w:tcBorders>
            <w:noWrap/>
            <w:vAlign w:val="center"/>
          </w:tcPr>
          <w:p w14:paraId="1A3AA0AC">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12.5未按要求缴交投标保证金的投标，将被视为无效投标。</w:t>
            </w:r>
          </w:p>
        </w:tc>
      </w:tr>
      <w:tr w14:paraId="3BC4F5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ign w:val="center"/>
          </w:tcPr>
          <w:p w14:paraId="76CCC786">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11</w:t>
            </w:r>
          </w:p>
        </w:tc>
        <w:tc>
          <w:tcPr>
            <w:tcW w:w="696" w:type="dxa"/>
            <w:tcBorders>
              <w:top w:val="single" w:color="auto" w:sz="4" w:space="0"/>
              <w:left w:val="single" w:color="auto" w:sz="4" w:space="0"/>
              <w:bottom w:val="single" w:color="auto" w:sz="4" w:space="0"/>
              <w:right w:val="single" w:color="auto" w:sz="4" w:space="0"/>
            </w:tcBorders>
            <w:noWrap/>
            <w:vAlign w:val="center"/>
          </w:tcPr>
          <w:p w14:paraId="0011BEA8">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ign w:val="center"/>
          </w:tcPr>
          <w:p w14:paraId="15D1CC32">
            <w:pPr>
              <w:spacing w:line="360" w:lineRule="auto"/>
              <w:jc w:val="center"/>
              <w:rPr>
                <w:rFonts w:ascii="宋体" w:hAnsi="宋体" w:cs="宋体"/>
                <w:color w:val="auto"/>
                <w:sz w:val="24"/>
                <w:szCs w:val="24"/>
                <w:highlight w:val="none"/>
              </w:rPr>
            </w:pPr>
            <w:r>
              <w:rPr>
                <w:rFonts w:hint="eastAsia" w:ascii="宋体" w:hAnsi="宋体" w:cs="宋体"/>
                <w:b/>
                <w:color w:val="auto"/>
                <w:sz w:val="24"/>
                <w:szCs w:val="24"/>
                <w:highlight w:val="none"/>
              </w:rPr>
              <w:t>14.3</w:t>
            </w:r>
          </w:p>
        </w:tc>
        <w:tc>
          <w:tcPr>
            <w:tcW w:w="5925" w:type="dxa"/>
            <w:tcBorders>
              <w:top w:val="single" w:color="auto" w:sz="4" w:space="0"/>
              <w:left w:val="single" w:color="auto" w:sz="4" w:space="0"/>
              <w:bottom w:val="single" w:color="auto" w:sz="4" w:space="0"/>
              <w:right w:val="single" w:color="auto" w:sz="4" w:space="0"/>
            </w:tcBorders>
            <w:noWrap/>
          </w:tcPr>
          <w:p w14:paraId="1C401CFD">
            <w:pPr>
              <w:spacing w:line="360" w:lineRule="auto"/>
              <w:ind w:firstLine="482" w:firstLineChars="200"/>
              <w:rPr>
                <w:rFonts w:ascii="宋体" w:hAnsi="宋体" w:cs="宋体"/>
                <w:b/>
                <w:color w:val="auto"/>
                <w:sz w:val="24"/>
                <w:szCs w:val="24"/>
                <w:highlight w:val="none"/>
              </w:rPr>
            </w:pPr>
            <w:r>
              <w:rPr>
                <w:rFonts w:hint="eastAsia" w:ascii="宋体" w:hAnsi="宋体" w:cs="宋体"/>
                <w:b/>
                <w:color w:val="auto"/>
                <w:sz w:val="24"/>
                <w:szCs w:val="24"/>
                <w:highlight w:val="none"/>
              </w:rPr>
              <w:t>14.3投标文件应在投标截止时间前上传成功，已上传但未提示上传成功的投标无效。</w:t>
            </w:r>
          </w:p>
        </w:tc>
      </w:tr>
      <w:tr w14:paraId="5011F7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ign w:val="center"/>
          </w:tcPr>
          <w:p w14:paraId="575228CD">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12</w:t>
            </w:r>
          </w:p>
        </w:tc>
        <w:tc>
          <w:tcPr>
            <w:tcW w:w="696" w:type="dxa"/>
            <w:tcBorders>
              <w:top w:val="single" w:color="auto" w:sz="4" w:space="0"/>
              <w:left w:val="single" w:color="auto" w:sz="4" w:space="0"/>
              <w:bottom w:val="single" w:color="auto" w:sz="4" w:space="0"/>
              <w:right w:val="single" w:color="auto" w:sz="4" w:space="0"/>
            </w:tcBorders>
            <w:noWrap/>
            <w:vAlign w:val="center"/>
          </w:tcPr>
          <w:p w14:paraId="55FDDA4E">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ign w:val="center"/>
          </w:tcPr>
          <w:p w14:paraId="08A3414F">
            <w:pPr>
              <w:spacing w:line="360" w:lineRule="auto"/>
              <w:jc w:val="center"/>
              <w:rPr>
                <w:rFonts w:ascii="宋体" w:hAnsi="宋体" w:cs="宋体"/>
                <w:b/>
                <w:color w:val="auto"/>
                <w:sz w:val="24"/>
                <w:szCs w:val="24"/>
                <w:highlight w:val="none"/>
              </w:rPr>
            </w:pPr>
            <w:r>
              <w:rPr>
                <w:rFonts w:hint="eastAsia" w:ascii="宋体" w:hAnsi="宋体" w:cs="宋体"/>
                <w:b/>
                <w:color w:val="auto"/>
                <w:sz w:val="24"/>
                <w:szCs w:val="24"/>
                <w:highlight w:val="none"/>
              </w:rPr>
              <w:t>15.3.2</w:t>
            </w:r>
          </w:p>
        </w:tc>
        <w:tc>
          <w:tcPr>
            <w:tcW w:w="5925" w:type="dxa"/>
            <w:tcBorders>
              <w:top w:val="single" w:color="auto" w:sz="4" w:space="0"/>
              <w:left w:val="single" w:color="auto" w:sz="4" w:space="0"/>
              <w:bottom w:val="single" w:color="auto" w:sz="4" w:space="0"/>
              <w:right w:val="single" w:color="auto" w:sz="4" w:space="0"/>
            </w:tcBorders>
            <w:noWrap/>
          </w:tcPr>
          <w:p w14:paraId="3DB066FC">
            <w:pPr>
              <w:spacing w:line="360" w:lineRule="auto"/>
              <w:ind w:firstLine="482" w:firstLineChars="200"/>
              <w:rPr>
                <w:rFonts w:ascii="宋体" w:hAnsi="宋体" w:cs="宋体"/>
                <w:b/>
                <w:color w:val="auto"/>
                <w:sz w:val="24"/>
                <w:szCs w:val="24"/>
                <w:highlight w:val="none"/>
              </w:rPr>
            </w:pPr>
            <w:r>
              <w:rPr>
                <w:rFonts w:hint="eastAsia" w:ascii="宋体" w:hAnsi="宋体" w:cs="宋体"/>
                <w:b/>
                <w:color w:val="auto"/>
                <w:sz w:val="24"/>
                <w:szCs w:val="24"/>
                <w:highlight w:val="none"/>
              </w:rPr>
              <w:t>15.3.2上传成功但解密失败或读取失败的“开标一览表”，其投标人的投标无效。</w:t>
            </w:r>
          </w:p>
        </w:tc>
      </w:tr>
      <w:tr w14:paraId="0B00CD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ign w:val="center"/>
          </w:tcPr>
          <w:p w14:paraId="019F17E2">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13</w:t>
            </w:r>
          </w:p>
        </w:tc>
        <w:tc>
          <w:tcPr>
            <w:tcW w:w="696" w:type="dxa"/>
            <w:tcBorders>
              <w:top w:val="single" w:color="auto" w:sz="4" w:space="0"/>
              <w:left w:val="single" w:color="auto" w:sz="4" w:space="0"/>
              <w:bottom w:val="single" w:color="auto" w:sz="4" w:space="0"/>
              <w:right w:val="single" w:color="auto" w:sz="4" w:space="0"/>
            </w:tcBorders>
            <w:noWrap/>
            <w:vAlign w:val="center"/>
          </w:tcPr>
          <w:p w14:paraId="102FCB86">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ign w:val="center"/>
          </w:tcPr>
          <w:p w14:paraId="4ECB72C5">
            <w:pPr>
              <w:spacing w:line="360" w:lineRule="auto"/>
              <w:jc w:val="center"/>
              <w:rPr>
                <w:rFonts w:ascii="宋体" w:hAnsi="宋体" w:cs="宋体"/>
                <w:b/>
                <w:color w:val="auto"/>
                <w:sz w:val="24"/>
                <w:szCs w:val="24"/>
                <w:highlight w:val="none"/>
              </w:rPr>
            </w:pPr>
            <w:r>
              <w:rPr>
                <w:rFonts w:hint="eastAsia" w:ascii="宋体" w:hAnsi="宋体" w:cs="宋体"/>
                <w:b/>
                <w:color w:val="auto"/>
                <w:sz w:val="24"/>
                <w:szCs w:val="24"/>
                <w:highlight w:val="none"/>
              </w:rPr>
              <w:t>15.3.3</w:t>
            </w:r>
          </w:p>
        </w:tc>
        <w:tc>
          <w:tcPr>
            <w:tcW w:w="5925" w:type="dxa"/>
            <w:tcBorders>
              <w:top w:val="single" w:color="auto" w:sz="4" w:space="0"/>
              <w:left w:val="single" w:color="auto" w:sz="4" w:space="0"/>
              <w:bottom w:val="single" w:color="auto" w:sz="4" w:space="0"/>
              <w:right w:val="single" w:color="auto" w:sz="4" w:space="0"/>
            </w:tcBorders>
            <w:noWrap/>
          </w:tcPr>
          <w:p w14:paraId="1E80E57E">
            <w:pPr>
              <w:spacing w:line="360" w:lineRule="auto"/>
              <w:ind w:firstLine="482" w:firstLineChars="200"/>
              <w:rPr>
                <w:rFonts w:ascii="宋体" w:hAnsi="宋体" w:cs="宋体"/>
                <w:b/>
                <w:color w:val="auto"/>
                <w:sz w:val="24"/>
                <w:szCs w:val="24"/>
                <w:highlight w:val="none"/>
              </w:rPr>
            </w:pPr>
            <w:r>
              <w:rPr>
                <w:rFonts w:hint="eastAsia" w:ascii="宋体" w:hAnsi="宋体" w:cs="宋体"/>
                <w:b/>
                <w:color w:val="auto"/>
                <w:sz w:val="24"/>
                <w:szCs w:val="24"/>
                <w:highlight w:val="none"/>
              </w:rPr>
              <w:t>15.3.3若由于投标人未按开标一览表模板制作导致招标代理机构公布其开标一览表时其表格内容无法显示的，视为读取失败，该投标人的投标无效。</w:t>
            </w:r>
          </w:p>
        </w:tc>
      </w:tr>
      <w:tr w14:paraId="6AE6D1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ign w:val="center"/>
          </w:tcPr>
          <w:p w14:paraId="59FF3E06">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14</w:t>
            </w:r>
          </w:p>
        </w:tc>
        <w:tc>
          <w:tcPr>
            <w:tcW w:w="696" w:type="dxa"/>
            <w:tcBorders>
              <w:top w:val="single" w:color="auto" w:sz="4" w:space="0"/>
              <w:left w:val="single" w:color="auto" w:sz="4" w:space="0"/>
              <w:bottom w:val="single" w:color="auto" w:sz="4" w:space="0"/>
              <w:right w:val="single" w:color="auto" w:sz="4" w:space="0"/>
            </w:tcBorders>
            <w:noWrap/>
            <w:vAlign w:val="center"/>
          </w:tcPr>
          <w:p w14:paraId="6BF8AE1E">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ign w:val="center"/>
          </w:tcPr>
          <w:p w14:paraId="232EF1FC">
            <w:pPr>
              <w:spacing w:line="360" w:lineRule="auto"/>
              <w:jc w:val="center"/>
              <w:rPr>
                <w:rFonts w:ascii="宋体" w:hAnsi="宋体" w:cs="宋体"/>
                <w:b/>
                <w:color w:val="auto"/>
                <w:sz w:val="24"/>
                <w:szCs w:val="24"/>
                <w:highlight w:val="none"/>
              </w:rPr>
            </w:pPr>
            <w:r>
              <w:rPr>
                <w:rFonts w:hint="eastAsia" w:ascii="宋体" w:hAnsi="宋体" w:cs="宋体"/>
                <w:b/>
                <w:color w:val="auto"/>
                <w:sz w:val="24"/>
                <w:szCs w:val="24"/>
                <w:highlight w:val="none"/>
              </w:rPr>
              <w:t>17.</w:t>
            </w:r>
          </w:p>
        </w:tc>
        <w:tc>
          <w:tcPr>
            <w:tcW w:w="5925" w:type="dxa"/>
            <w:tcBorders>
              <w:top w:val="single" w:color="auto" w:sz="4" w:space="0"/>
              <w:left w:val="single" w:color="auto" w:sz="4" w:space="0"/>
              <w:bottom w:val="single" w:color="auto" w:sz="4" w:space="0"/>
              <w:right w:val="single" w:color="auto" w:sz="4" w:space="0"/>
            </w:tcBorders>
            <w:noWrap/>
          </w:tcPr>
          <w:p w14:paraId="1F79473D">
            <w:pPr>
              <w:spacing w:line="360" w:lineRule="auto"/>
              <w:ind w:firstLine="482" w:firstLineChars="200"/>
              <w:rPr>
                <w:rFonts w:ascii="宋体" w:hAnsi="宋体" w:cs="宋体"/>
                <w:b/>
                <w:color w:val="auto"/>
                <w:sz w:val="24"/>
                <w:szCs w:val="24"/>
                <w:highlight w:val="none"/>
              </w:rPr>
            </w:pPr>
            <w:r>
              <w:rPr>
                <w:rFonts w:hint="eastAsia" w:ascii="宋体" w:hAnsi="宋体" w:cs="宋体"/>
                <w:b/>
                <w:color w:val="auto"/>
                <w:sz w:val="24"/>
                <w:szCs w:val="24"/>
                <w:highlight w:val="none"/>
              </w:rPr>
              <w:t>17.投标人任何试图影响评委会对投标文件的评估、比较或者推荐候选人的行为，都将导致其投标按照无效投标处理，并被没收投标保证金。</w:t>
            </w:r>
          </w:p>
        </w:tc>
      </w:tr>
      <w:tr w14:paraId="21BD9B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ign w:val="center"/>
          </w:tcPr>
          <w:p w14:paraId="27E24589">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15</w:t>
            </w:r>
          </w:p>
        </w:tc>
        <w:tc>
          <w:tcPr>
            <w:tcW w:w="696" w:type="dxa"/>
            <w:tcBorders>
              <w:top w:val="single" w:color="auto" w:sz="4" w:space="0"/>
              <w:left w:val="single" w:color="auto" w:sz="4" w:space="0"/>
              <w:bottom w:val="single" w:color="auto" w:sz="4" w:space="0"/>
              <w:right w:val="single" w:color="auto" w:sz="4" w:space="0"/>
            </w:tcBorders>
            <w:noWrap/>
            <w:vAlign w:val="center"/>
          </w:tcPr>
          <w:p w14:paraId="590A8E7F">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ign w:val="center"/>
          </w:tcPr>
          <w:p w14:paraId="3B907D96">
            <w:pPr>
              <w:spacing w:line="360" w:lineRule="auto"/>
              <w:jc w:val="center"/>
              <w:rPr>
                <w:rFonts w:ascii="宋体" w:hAnsi="宋体" w:cs="宋体"/>
                <w:b/>
                <w:color w:val="auto"/>
                <w:sz w:val="24"/>
                <w:szCs w:val="24"/>
                <w:highlight w:val="none"/>
              </w:rPr>
            </w:pPr>
            <w:r>
              <w:rPr>
                <w:rFonts w:hint="eastAsia" w:ascii="宋体" w:hAnsi="宋体" w:cs="宋体"/>
                <w:color w:val="auto"/>
                <w:sz w:val="24"/>
                <w:szCs w:val="24"/>
                <w:highlight w:val="none"/>
              </w:rPr>
              <w:t>17.2</w:t>
            </w:r>
          </w:p>
        </w:tc>
        <w:tc>
          <w:tcPr>
            <w:tcW w:w="5925" w:type="dxa"/>
            <w:tcBorders>
              <w:top w:val="single" w:color="auto" w:sz="4" w:space="0"/>
              <w:left w:val="single" w:color="auto" w:sz="4" w:space="0"/>
              <w:bottom w:val="single" w:color="auto" w:sz="4" w:space="0"/>
              <w:right w:val="single" w:color="auto" w:sz="4" w:space="0"/>
            </w:tcBorders>
            <w:noWrap/>
          </w:tcPr>
          <w:p w14:paraId="55F15FC1">
            <w:pPr>
              <w:spacing w:line="360" w:lineRule="auto"/>
              <w:ind w:firstLine="480" w:firstLineChars="200"/>
              <w:rPr>
                <w:rFonts w:ascii="宋体" w:hAnsi="宋体" w:cs="宋体"/>
                <w:b/>
                <w:color w:val="auto"/>
                <w:sz w:val="24"/>
                <w:szCs w:val="24"/>
                <w:highlight w:val="none"/>
              </w:rPr>
            </w:pPr>
            <w:r>
              <w:rPr>
                <w:rFonts w:hint="eastAsia" w:ascii="宋体" w:hAnsi="宋体" w:cs="宋体"/>
                <w:color w:val="auto"/>
                <w:sz w:val="24"/>
                <w:szCs w:val="24"/>
                <w:highlight w:val="none"/>
              </w:rPr>
              <w:t>17.2</w:t>
            </w:r>
            <w:r>
              <w:rPr>
                <w:rFonts w:hint="eastAsia" w:ascii="宋体" w:hAnsi="宋体" w:cs="宋体"/>
                <w:b/>
                <w:color w:val="auto"/>
                <w:sz w:val="24"/>
                <w:szCs w:val="24"/>
                <w:highlight w:val="none"/>
              </w:rPr>
              <w:t>如果投标人不接受按上述方法对投标文件中的算术错误进行更正，其投标将按照无效投标处理并被没收投标保证金。</w:t>
            </w:r>
          </w:p>
        </w:tc>
      </w:tr>
      <w:tr w14:paraId="3A1D38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ign w:val="center"/>
          </w:tcPr>
          <w:p w14:paraId="48C53041">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16</w:t>
            </w:r>
          </w:p>
        </w:tc>
        <w:tc>
          <w:tcPr>
            <w:tcW w:w="696" w:type="dxa"/>
            <w:tcBorders>
              <w:top w:val="single" w:color="auto" w:sz="4" w:space="0"/>
              <w:left w:val="single" w:color="auto" w:sz="4" w:space="0"/>
              <w:bottom w:val="single" w:color="auto" w:sz="4" w:space="0"/>
              <w:right w:val="single" w:color="auto" w:sz="4" w:space="0"/>
            </w:tcBorders>
            <w:noWrap/>
            <w:vAlign w:val="center"/>
          </w:tcPr>
          <w:p w14:paraId="7603A367">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ign w:val="center"/>
          </w:tcPr>
          <w:p w14:paraId="0C38331A">
            <w:pPr>
              <w:spacing w:line="360" w:lineRule="auto"/>
              <w:jc w:val="center"/>
              <w:rPr>
                <w:rFonts w:ascii="宋体" w:hAnsi="宋体" w:cs="宋体"/>
                <w:b/>
                <w:color w:val="auto"/>
                <w:sz w:val="24"/>
                <w:szCs w:val="24"/>
                <w:highlight w:val="none"/>
              </w:rPr>
            </w:pPr>
            <w:r>
              <w:rPr>
                <w:rFonts w:hint="eastAsia" w:ascii="宋体" w:hAnsi="宋体" w:cs="宋体"/>
                <w:color w:val="auto"/>
                <w:sz w:val="24"/>
                <w:szCs w:val="24"/>
                <w:highlight w:val="none"/>
              </w:rPr>
              <w:t>17.3.2</w:t>
            </w:r>
          </w:p>
        </w:tc>
        <w:tc>
          <w:tcPr>
            <w:tcW w:w="5925" w:type="dxa"/>
            <w:tcBorders>
              <w:top w:val="single" w:color="auto" w:sz="4" w:space="0"/>
              <w:left w:val="single" w:color="auto" w:sz="4" w:space="0"/>
              <w:bottom w:val="single" w:color="auto" w:sz="4" w:space="0"/>
              <w:right w:val="single" w:color="auto" w:sz="4" w:space="0"/>
            </w:tcBorders>
            <w:noWrap/>
          </w:tcPr>
          <w:p w14:paraId="327F40E5">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17.3.2依据招标文件的规定，评标委员会还将从投标文件的有效性、完整性和对招标文件的响应程度等方面进行审查，以确定其是否符合对招标文件的实质性要求作出响应。（采购单位可根据具体项目的情况对实质性要求作特别的规定。）实质性偏离是指：（1）实质性影响合同的范围、质量和履行；（2）实质性违背招标文件，限制了采购单位的权利和中标供应商合同项下的义务；（3）不公正地影响了其它作出实质性响应的投标人的竞争地位。对没有实质性响应的投标文件将不进行评估，其投标将按照无效投标处理。凡有下列情况之一者，投标文件也将被视为未实质性响应招标文件要求：</w:t>
            </w:r>
          </w:p>
          <w:p w14:paraId="7D30E915">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 未按规定提交投标保证金的；</w:t>
            </w:r>
          </w:p>
          <w:p w14:paraId="3FA47C57">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(2)投标有效期不满足招标文件要求的；</w:t>
            </w:r>
          </w:p>
          <w:p w14:paraId="69D8F527">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(3)投标内容与招标内容及要求有重大偏离或保留的；</w:t>
            </w:r>
          </w:p>
          <w:p w14:paraId="07B89561">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(4)投标人提交的是可选择的报价；</w:t>
            </w:r>
          </w:p>
          <w:p w14:paraId="1DA8A0C3">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(5)投标人未按招标文件要求对投标进行分项报价；</w:t>
            </w:r>
          </w:p>
          <w:p w14:paraId="30BA69D7">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(6)投标文件中提供虚假或失实资料的；</w:t>
            </w:r>
          </w:p>
          <w:p w14:paraId="7F26D42A">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 xml:space="preserve">(7)不符合招标文件中规定的其它实质性条款。 </w:t>
            </w:r>
          </w:p>
          <w:p w14:paraId="39ACB969">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评标委员会决定投标的响应性只根据投标文件本身的内容，而不寻求其他的外部证据。</w:t>
            </w:r>
          </w:p>
        </w:tc>
      </w:tr>
      <w:tr w14:paraId="5229D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ign w:val="center"/>
          </w:tcPr>
          <w:p w14:paraId="3D0DFAA5">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17</w:t>
            </w:r>
          </w:p>
        </w:tc>
        <w:tc>
          <w:tcPr>
            <w:tcW w:w="696" w:type="dxa"/>
            <w:tcBorders>
              <w:top w:val="single" w:color="auto" w:sz="4" w:space="0"/>
              <w:left w:val="single" w:color="auto" w:sz="4" w:space="0"/>
              <w:bottom w:val="single" w:color="auto" w:sz="4" w:space="0"/>
              <w:right w:val="single" w:color="auto" w:sz="4" w:space="0"/>
            </w:tcBorders>
            <w:noWrap/>
            <w:vAlign w:val="center"/>
          </w:tcPr>
          <w:p w14:paraId="67D8DB1F">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ign w:val="center"/>
          </w:tcPr>
          <w:p w14:paraId="26C25234">
            <w:pPr>
              <w:spacing w:line="360" w:lineRule="auto"/>
              <w:jc w:val="center"/>
              <w:rPr>
                <w:rFonts w:ascii="宋体" w:hAnsi="宋体" w:cs="宋体"/>
                <w:color w:val="auto"/>
                <w:sz w:val="24"/>
                <w:szCs w:val="24"/>
                <w:highlight w:val="none"/>
              </w:rPr>
            </w:pPr>
            <w:r>
              <w:rPr>
                <w:rFonts w:hint="eastAsia" w:ascii="宋体" w:hAnsi="宋体" w:cs="宋体"/>
                <w:b/>
                <w:color w:val="auto"/>
                <w:sz w:val="24"/>
                <w:szCs w:val="24"/>
                <w:highlight w:val="none"/>
              </w:rPr>
              <w:t>17.3.3</w:t>
            </w:r>
          </w:p>
        </w:tc>
        <w:tc>
          <w:tcPr>
            <w:tcW w:w="5925" w:type="dxa"/>
            <w:tcBorders>
              <w:top w:val="single" w:color="auto" w:sz="4" w:space="0"/>
              <w:left w:val="single" w:color="auto" w:sz="4" w:space="0"/>
              <w:bottom w:val="single" w:color="auto" w:sz="4" w:space="0"/>
              <w:right w:val="single" w:color="auto" w:sz="4" w:space="0"/>
            </w:tcBorders>
            <w:noWrap/>
          </w:tcPr>
          <w:p w14:paraId="32AFFAA7">
            <w:pPr>
              <w:spacing w:line="360" w:lineRule="auto"/>
              <w:ind w:firstLine="482" w:firstLineChars="200"/>
              <w:rPr>
                <w:rFonts w:ascii="宋体" w:hAnsi="宋体" w:cs="宋体"/>
                <w:color w:val="auto"/>
                <w:sz w:val="24"/>
                <w:szCs w:val="24"/>
                <w:highlight w:val="none"/>
              </w:rPr>
            </w:pPr>
            <w:r>
              <w:rPr>
                <w:rFonts w:hint="eastAsia" w:ascii="宋体" w:hAnsi="宋体" w:cs="宋体"/>
                <w:b/>
                <w:color w:val="auto"/>
                <w:sz w:val="24"/>
                <w:szCs w:val="24"/>
                <w:highlight w:val="none"/>
              </w:rPr>
              <w:t>17.3.3投标产品必须满足中华人民共和国相关法律法规及行业的强制性要求，否则该投标人的投标将按照无效投标处理。</w:t>
            </w:r>
          </w:p>
        </w:tc>
      </w:tr>
      <w:tr w14:paraId="43A157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ign w:val="center"/>
          </w:tcPr>
          <w:p w14:paraId="3D4FE563">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18</w:t>
            </w:r>
          </w:p>
        </w:tc>
        <w:tc>
          <w:tcPr>
            <w:tcW w:w="696" w:type="dxa"/>
            <w:tcBorders>
              <w:top w:val="single" w:color="auto" w:sz="4" w:space="0"/>
              <w:left w:val="single" w:color="auto" w:sz="4" w:space="0"/>
              <w:bottom w:val="single" w:color="auto" w:sz="4" w:space="0"/>
              <w:right w:val="single" w:color="auto" w:sz="4" w:space="0"/>
            </w:tcBorders>
            <w:noWrap/>
            <w:vAlign w:val="center"/>
          </w:tcPr>
          <w:p w14:paraId="1C56C8CF">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ign w:val="center"/>
          </w:tcPr>
          <w:p w14:paraId="7029F960">
            <w:pPr>
              <w:spacing w:line="360" w:lineRule="auto"/>
              <w:jc w:val="center"/>
              <w:rPr>
                <w:rFonts w:ascii="宋体" w:hAnsi="宋体" w:cs="宋体"/>
                <w:color w:val="auto"/>
                <w:sz w:val="24"/>
                <w:szCs w:val="24"/>
                <w:highlight w:val="none"/>
              </w:rPr>
            </w:pPr>
            <w:r>
              <w:rPr>
                <w:rFonts w:hint="eastAsia" w:ascii="宋体" w:hAnsi="宋体" w:cs="宋体"/>
                <w:b/>
                <w:color w:val="auto"/>
                <w:sz w:val="24"/>
                <w:szCs w:val="24"/>
                <w:highlight w:val="none"/>
              </w:rPr>
              <w:t>17.3.4</w:t>
            </w:r>
          </w:p>
        </w:tc>
        <w:tc>
          <w:tcPr>
            <w:tcW w:w="5925" w:type="dxa"/>
            <w:tcBorders>
              <w:top w:val="single" w:color="auto" w:sz="4" w:space="0"/>
              <w:left w:val="single" w:color="auto" w:sz="4" w:space="0"/>
              <w:bottom w:val="single" w:color="auto" w:sz="4" w:space="0"/>
              <w:right w:val="single" w:color="auto" w:sz="4" w:space="0"/>
            </w:tcBorders>
            <w:noWrap/>
            <w:vAlign w:val="center"/>
          </w:tcPr>
          <w:p w14:paraId="793AABAC">
            <w:pPr>
              <w:spacing w:line="360" w:lineRule="auto"/>
              <w:ind w:firstLine="482" w:firstLineChars="200"/>
              <w:rPr>
                <w:rFonts w:ascii="宋体" w:hAnsi="宋体" w:cs="宋体"/>
                <w:b/>
                <w:color w:val="auto"/>
                <w:sz w:val="24"/>
                <w:szCs w:val="24"/>
                <w:highlight w:val="none"/>
              </w:rPr>
            </w:pPr>
            <w:r>
              <w:rPr>
                <w:rFonts w:hint="eastAsia" w:ascii="宋体" w:hAnsi="宋体" w:cs="宋体"/>
                <w:b/>
                <w:color w:val="auto"/>
                <w:sz w:val="24"/>
                <w:szCs w:val="24"/>
                <w:highlight w:val="none"/>
              </w:rPr>
              <w:t>17.3.4投标人以他人名义投标或使用自己的数字证书上传其他投标人的投标文件，</w:t>
            </w:r>
            <w:r>
              <w:rPr>
                <w:rFonts w:hint="eastAsia" w:ascii="宋体" w:hAnsi="宋体" w:cs="宋体"/>
                <w:b/>
                <w:color w:val="auto"/>
                <w:kern w:val="0"/>
                <w:sz w:val="24"/>
                <w:szCs w:val="24"/>
                <w:highlight w:val="none"/>
              </w:rPr>
              <w:t>则</w:t>
            </w:r>
            <w:r>
              <w:rPr>
                <w:rFonts w:hint="eastAsia" w:ascii="宋体" w:hAnsi="宋体" w:cs="宋体"/>
                <w:b/>
                <w:color w:val="auto"/>
                <w:sz w:val="24"/>
                <w:szCs w:val="24"/>
                <w:highlight w:val="none"/>
              </w:rPr>
              <w:t>该投标人的投标将按照无效投标处理。</w:t>
            </w:r>
          </w:p>
        </w:tc>
      </w:tr>
      <w:tr w14:paraId="4B700F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trPr>
        <w:tc>
          <w:tcPr>
            <w:tcW w:w="696" w:type="dxa"/>
            <w:tcBorders>
              <w:top w:val="single" w:color="auto" w:sz="4" w:space="0"/>
            </w:tcBorders>
            <w:noWrap/>
            <w:vAlign w:val="center"/>
          </w:tcPr>
          <w:p w14:paraId="4CA53547">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19</w:t>
            </w:r>
          </w:p>
        </w:tc>
        <w:tc>
          <w:tcPr>
            <w:tcW w:w="696" w:type="dxa"/>
            <w:tcBorders>
              <w:top w:val="single" w:color="auto" w:sz="4" w:space="0"/>
            </w:tcBorders>
            <w:noWrap/>
            <w:vAlign w:val="center"/>
          </w:tcPr>
          <w:p w14:paraId="0779CCA2">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tcBorders>
              <w:top w:val="single" w:color="auto" w:sz="4" w:space="0"/>
            </w:tcBorders>
            <w:noWrap/>
            <w:vAlign w:val="center"/>
          </w:tcPr>
          <w:p w14:paraId="4695ECF3">
            <w:pPr>
              <w:spacing w:line="360" w:lineRule="auto"/>
              <w:jc w:val="center"/>
              <w:rPr>
                <w:rFonts w:ascii="宋体" w:hAnsi="宋体" w:cs="宋体"/>
                <w:color w:val="auto"/>
                <w:sz w:val="24"/>
                <w:szCs w:val="24"/>
                <w:highlight w:val="none"/>
              </w:rPr>
            </w:pPr>
            <w:r>
              <w:rPr>
                <w:rFonts w:hint="eastAsia" w:ascii="宋体" w:hAnsi="宋体" w:cs="宋体"/>
                <w:b/>
                <w:color w:val="auto"/>
                <w:sz w:val="24"/>
                <w:szCs w:val="24"/>
                <w:highlight w:val="none"/>
              </w:rPr>
              <w:t>17.3.5</w:t>
            </w:r>
          </w:p>
        </w:tc>
        <w:tc>
          <w:tcPr>
            <w:tcW w:w="5925" w:type="dxa"/>
            <w:tcBorders>
              <w:top w:val="single" w:color="auto" w:sz="4" w:space="0"/>
            </w:tcBorders>
            <w:noWrap/>
            <w:vAlign w:val="center"/>
          </w:tcPr>
          <w:p w14:paraId="6EB34357">
            <w:pPr>
              <w:spacing w:line="360" w:lineRule="auto"/>
              <w:ind w:firstLine="482" w:firstLineChars="200"/>
              <w:rPr>
                <w:rFonts w:ascii="宋体" w:hAnsi="宋体" w:cs="宋体"/>
                <w:b/>
                <w:color w:val="auto"/>
                <w:sz w:val="24"/>
                <w:szCs w:val="24"/>
                <w:highlight w:val="none"/>
              </w:rPr>
            </w:pPr>
            <w:r>
              <w:rPr>
                <w:rFonts w:hint="eastAsia" w:ascii="宋体" w:hAnsi="宋体" w:cs="宋体"/>
                <w:b/>
                <w:color w:val="auto"/>
                <w:sz w:val="24"/>
                <w:szCs w:val="24"/>
                <w:highlight w:val="none"/>
              </w:rPr>
              <w:t>17.3.5采购单位（或使用单位）、招标代理机构有下列情形之一的，将被认定为采购单位（或使用单位）、招标代理机构与投标人有串通投标行为，该投标人投标作无效投标处理：</w:t>
            </w:r>
          </w:p>
          <w:p w14:paraId="0DFF5469">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（1）在开标前开启投标文件并将有关信息泄露给其他投标人;</w:t>
            </w:r>
          </w:p>
          <w:p w14:paraId="7B51FA7F">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（2）评审结果公告前，直接或者间接向投标人泄露评标委员会成员等信息；</w:t>
            </w:r>
          </w:p>
          <w:p w14:paraId="71824BBD">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（3）明示或者暗示投标人压低或者抬高投标报价；</w:t>
            </w:r>
          </w:p>
          <w:p w14:paraId="14058D1A">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（4）授意投标人撤换、修改投标文件（按18条进行的澄清除外）；</w:t>
            </w:r>
          </w:p>
          <w:p w14:paraId="4225284E">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（5）明示或者暗示投标人为特定投标人中标提供方便；</w:t>
            </w:r>
          </w:p>
          <w:p w14:paraId="11FA17DD">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（6）为谋求特定投标人中标而采取的其他串通行为。</w:t>
            </w:r>
          </w:p>
        </w:tc>
      </w:tr>
      <w:tr w14:paraId="550630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ign w:val="center"/>
          </w:tcPr>
          <w:p w14:paraId="78AEA57F">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20</w:t>
            </w:r>
          </w:p>
        </w:tc>
        <w:tc>
          <w:tcPr>
            <w:tcW w:w="696" w:type="dxa"/>
            <w:noWrap/>
            <w:vAlign w:val="center"/>
          </w:tcPr>
          <w:p w14:paraId="4A4538BF">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noWrap/>
            <w:vAlign w:val="center"/>
          </w:tcPr>
          <w:p w14:paraId="59C962A5">
            <w:pPr>
              <w:spacing w:line="360" w:lineRule="auto"/>
              <w:jc w:val="center"/>
              <w:rPr>
                <w:rFonts w:ascii="宋体" w:hAnsi="宋体" w:cs="宋体"/>
                <w:color w:val="auto"/>
                <w:sz w:val="24"/>
                <w:szCs w:val="24"/>
                <w:highlight w:val="none"/>
              </w:rPr>
            </w:pPr>
            <w:r>
              <w:rPr>
                <w:rFonts w:hint="eastAsia" w:ascii="宋体" w:hAnsi="宋体" w:cs="宋体"/>
                <w:b/>
                <w:color w:val="auto"/>
                <w:kern w:val="0"/>
                <w:sz w:val="24"/>
                <w:szCs w:val="24"/>
                <w:highlight w:val="none"/>
              </w:rPr>
              <w:t>17.3.6</w:t>
            </w:r>
          </w:p>
        </w:tc>
        <w:tc>
          <w:tcPr>
            <w:tcW w:w="5925" w:type="dxa"/>
            <w:noWrap/>
            <w:vAlign w:val="center"/>
          </w:tcPr>
          <w:p w14:paraId="177DA5FF">
            <w:pPr>
              <w:spacing w:line="360" w:lineRule="auto"/>
              <w:jc w:val="left"/>
              <w:rPr>
                <w:rFonts w:ascii="宋体" w:hAnsi="宋体" w:cs="宋体"/>
                <w:color w:val="auto"/>
                <w:sz w:val="24"/>
                <w:szCs w:val="24"/>
                <w:highlight w:val="none"/>
              </w:rPr>
            </w:pPr>
            <w:r>
              <w:rPr>
                <w:rFonts w:hint="eastAsia" w:ascii="宋体" w:hAnsi="宋体" w:cs="宋体"/>
                <w:b/>
                <w:color w:val="auto"/>
                <w:kern w:val="0"/>
                <w:sz w:val="24"/>
                <w:szCs w:val="24"/>
                <w:highlight w:val="none"/>
              </w:rPr>
              <w:t>17.3.6出现17.3.4、17.3.5情形之一的，作无效投标处理的</w:t>
            </w:r>
            <w:r>
              <w:rPr>
                <w:rFonts w:hint="eastAsia" w:ascii="宋体" w:hAnsi="宋体" w:cs="宋体"/>
                <w:b/>
                <w:color w:val="auto"/>
                <w:sz w:val="24"/>
                <w:szCs w:val="24"/>
                <w:highlight w:val="none"/>
              </w:rPr>
              <w:t>投标人的投标保证金将予以没收，招标代理机构有权上报财政部门取消其采购供应商资格、并按有关规定予以处罚。</w:t>
            </w:r>
          </w:p>
        </w:tc>
      </w:tr>
      <w:tr w14:paraId="2A995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ign w:val="center"/>
          </w:tcPr>
          <w:p w14:paraId="5B336042">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21</w:t>
            </w:r>
          </w:p>
        </w:tc>
        <w:tc>
          <w:tcPr>
            <w:tcW w:w="696" w:type="dxa"/>
            <w:noWrap/>
            <w:vAlign w:val="center"/>
          </w:tcPr>
          <w:p w14:paraId="2C0FD25B">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noWrap/>
            <w:vAlign w:val="center"/>
          </w:tcPr>
          <w:p w14:paraId="66CBC85C">
            <w:pPr>
              <w:spacing w:line="360" w:lineRule="auto"/>
              <w:jc w:val="center"/>
              <w:rPr>
                <w:rFonts w:ascii="宋体" w:hAnsi="宋体" w:cs="宋体"/>
                <w:color w:val="auto"/>
                <w:sz w:val="24"/>
                <w:szCs w:val="24"/>
                <w:highlight w:val="none"/>
              </w:rPr>
            </w:pPr>
            <w:r>
              <w:rPr>
                <w:rFonts w:hint="eastAsia" w:ascii="宋体" w:hAnsi="宋体" w:cs="宋体"/>
                <w:b/>
                <w:color w:val="auto"/>
                <w:sz w:val="24"/>
                <w:szCs w:val="24"/>
                <w:highlight w:val="none"/>
              </w:rPr>
              <w:t>19.3</w:t>
            </w:r>
          </w:p>
        </w:tc>
        <w:tc>
          <w:tcPr>
            <w:tcW w:w="5925" w:type="dxa"/>
            <w:noWrap/>
            <w:vAlign w:val="center"/>
          </w:tcPr>
          <w:p w14:paraId="2835238C">
            <w:pPr>
              <w:spacing w:line="360" w:lineRule="auto"/>
              <w:ind w:firstLine="482" w:firstLineChars="200"/>
              <w:rPr>
                <w:rFonts w:ascii="宋体" w:hAnsi="宋体" w:cs="宋体"/>
                <w:b/>
                <w:color w:val="auto"/>
                <w:sz w:val="24"/>
                <w:szCs w:val="24"/>
                <w:highlight w:val="none"/>
              </w:rPr>
            </w:pPr>
            <w:r>
              <w:rPr>
                <w:rFonts w:hint="eastAsia" w:ascii="宋体" w:hAnsi="宋体" w:cs="宋体"/>
                <w:b/>
                <w:color w:val="auto"/>
                <w:sz w:val="24"/>
                <w:szCs w:val="24"/>
                <w:highlight w:val="none"/>
              </w:rPr>
              <w:t>19.3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tc>
      </w:tr>
      <w:tr w14:paraId="73D64F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ign w:val="center"/>
          </w:tcPr>
          <w:p w14:paraId="4B3B66C0">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22</w:t>
            </w:r>
          </w:p>
        </w:tc>
        <w:tc>
          <w:tcPr>
            <w:tcW w:w="696" w:type="dxa"/>
            <w:noWrap/>
            <w:vAlign w:val="center"/>
          </w:tcPr>
          <w:p w14:paraId="24413778">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noWrap/>
            <w:vAlign w:val="center"/>
          </w:tcPr>
          <w:p w14:paraId="714A1736">
            <w:pPr>
              <w:spacing w:line="360" w:lineRule="auto"/>
              <w:jc w:val="center"/>
              <w:rPr>
                <w:rFonts w:ascii="宋体" w:hAnsi="宋体" w:cs="宋体"/>
                <w:b/>
                <w:color w:val="auto"/>
                <w:sz w:val="24"/>
                <w:szCs w:val="24"/>
                <w:highlight w:val="none"/>
              </w:rPr>
            </w:pPr>
            <w:r>
              <w:rPr>
                <w:rFonts w:hint="eastAsia" w:ascii="宋体" w:hAnsi="宋体" w:cs="宋体"/>
                <w:b/>
                <w:color w:val="auto"/>
                <w:sz w:val="24"/>
                <w:szCs w:val="24"/>
                <w:highlight w:val="none"/>
              </w:rPr>
              <w:t>22</w:t>
            </w:r>
          </w:p>
        </w:tc>
        <w:tc>
          <w:tcPr>
            <w:tcW w:w="5925" w:type="dxa"/>
            <w:noWrap/>
            <w:vAlign w:val="center"/>
          </w:tcPr>
          <w:p w14:paraId="61F46834">
            <w:pPr>
              <w:spacing w:line="360" w:lineRule="auto"/>
              <w:ind w:firstLine="480" w:firstLineChars="200"/>
              <w:rPr>
                <w:rFonts w:ascii="宋体" w:hAnsi="宋体" w:cs="宋体"/>
                <w:b/>
                <w:color w:val="auto"/>
                <w:sz w:val="24"/>
                <w:szCs w:val="24"/>
                <w:highlight w:val="none"/>
              </w:rPr>
            </w:pPr>
            <w:r>
              <w:rPr>
                <w:rFonts w:hint="eastAsia" w:ascii="宋体" w:hAnsi="宋体" w:cs="宋体"/>
                <w:color w:val="auto"/>
                <w:sz w:val="24"/>
                <w:szCs w:val="24"/>
                <w:highlight w:val="none"/>
              </w:rPr>
              <w:t>投标人一旦中标，应在规定时间内凭中标通知书原件按第四章合同文本要求签订合同，并且凭中标供应商开具的本单位一般纳税人增值税专用发票（13%税点）向厦门万翔网络商务有限公司申请支付相应货款。</w:t>
            </w:r>
            <w:r>
              <w:rPr>
                <w:rFonts w:hint="eastAsia" w:ascii="宋体" w:hAnsi="宋体" w:cs="宋体"/>
                <w:bCs/>
                <w:color w:val="auto"/>
                <w:sz w:val="24"/>
                <w:szCs w:val="24"/>
                <w:highlight w:val="none"/>
              </w:rPr>
              <w:t>否则作无效投标处理。</w:t>
            </w:r>
            <w:r>
              <w:rPr>
                <w:rFonts w:hint="eastAsia" w:ascii="宋体" w:hAnsi="宋体" w:cs="宋体"/>
                <w:color w:val="auto"/>
                <w:sz w:val="24"/>
                <w:szCs w:val="24"/>
                <w:highlight w:val="none"/>
              </w:rPr>
              <w:t>经评审，若所有采购标的均为中小企业（含个体工商户）制造的货物，或者监狱企业提供本单位制造的货物；或者残疾人福利性单位提供本单位制造的货物（或提供其他残疾人福利性单位制造的货物），如需支付履约保证金的，按约定比例的50%支付。</w:t>
            </w:r>
          </w:p>
        </w:tc>
      </w:tr>
      <w:tr w14:paraId="65853A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ign w:val="center"/>
          </w:tcPr>
          <w:p w14:paraId="495894F9">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23</w:t>
            </w:r>
          </w:p>
        </w:tc>
        <w:tc>
          <w:tcPr>
            <w:tcW w:w="696" w:type="dxa"/>
            <w:noWrap/>
            <w:vAlign w:val="center"/>
          </w:tcPr>
          <w:p w14:paraId="0B7E6039">
            <w:pPr>
              <w:spacing w:line="360" w:lineRule="auto"/>
              <w:jc w:val="center"/>
              <w:rPr>
                <w:rFonts w:ascii="宋体" w:hAnsi="宋体" w:cs="宋体"/>
                <w:color w:val="auto"/>
                <w:sz w:val="24"/>
                <w:szCs w:val="24"/>
                <w:highlight w:val="none"/>
              </w:rPr>
            </w:pPr>
          </w:p>
        </w:tc>
        <w:tc>
          <w:tcPr>
            <w:tcW w:w="1422" w:type="dxa"/>
            <w:noWrap/>
            <w:vAlign w:val="center"/>
          </w:tcPr>
          <w:p w14:paraId="1A6627F4">
            <w:pPr>
              <w:spacing w:line="360" w:lineRule="auto"/>
              <w:jc w:val="center"/>
              <w:rPr>
                <w:rFonts w:ascii="宋体" w:hAnsi="宋体" w:cs="宋体"/>
                <w:color w:val="auto"/>
                <w:sz w:val="24"/>
                <w:szCs w:val="24"/>
                <w:highlight w:val="none"/>
              </w:rPr>
            </w:pPr>
          </w:p>
        </w:tc>
        <w:tc>
          <w:tcPr>
            <w:tcW w:w="5925" w:type="dxa"/>
            <w:noWrap/>
            <w:vAlign w:val="center"/>
          </w:tcPr>
          <w:p w14:paraId="4F3C80FF">
            <w:pPr>
              <w:spacing w:line="360" w:lineRule="auto"/>
              <w:rPr>
                <w:rFonts w:ascii="宋体" w:hAnsi="宋体" w:cs="宋体"/>
                <w:bCs/>
                <w:color w:val="auto"/>
                <w:sz w:val="24"/>
                <w:szCs w:val="24"/>
                <w:highlight w:val="none"/>
              </w:rPr>
            </w:pPr>
            <w:r>
              <w:rPr>
                <w:rFonts w:hint="eastAsia" w:ascii="宋体" w:hAnsi="宋体" w:cs="宋体"/>
                <w:bCs/>
                <w:color w:val="auto"/>
                <w:sz w:val="24"/>
                <w:szCs w:val="24"/>
                <w:highlight w:val="none"/>
              </w:rPr>
              <w:t>投标人如果为联合体投标，则必须同时满足下列要求，否则</w:t>
            </w:r>
            <w:r>
              <w:rPr>
                <w:rFonts w:hint="eastAsia" w:ascii="宋体" w:hAnsi="宋体" w:cs="宋体"/>
                <w:color w:val="auto"/>
                <w:sz w:val="24"/>
                <w:szCs w:val="24"/>
                <w:highlight w:val="none"/>
              </w:rPr>
              <w:t>该投标人的投标将按照无效投标处理</w:t>
            </w:r>
            <w:r>
              <w:rPr>
                <w:rFonts w:hint="eastAsia" w:ascii="宋体" w:hAnsi="宋体" w:cs="宋体"/>
                <w:bCs/>
                <w:color w:val="auto"/>
                <w:sz w:val="24"/>
                <w:szCs w:val="24"/>
                <w:highlight w:val="none"/>
              </w:rPr>
              <w:t>：</w:t>
            </w:r>
          </w:p>
          <w:p w14:paraId="4649A37B">
            <w:pPr>
              <w:spacing w:line="360" w:lineRule="auto"/>
              <w:rPr>
                <w:rFonts w:ascii="宋体" w:hAnsi="宋体" w:cs="宋体"/>
                <w:bCs/>
                <w:color w:val="auto"/>
                <w:sz w:val="24"/>
                <w:szCs w:val="24"/>
                <w:highlight w:val="none"/>
              </w:rPr>
            </w:pPr>
            <w:r>
              <w:rPr>
                <w:rFonts w:hint="eastAsia" w:ascii="宋体" w:hAnsi="宋体" w:cs="宋体"/>
                <w:bCs/>
                <w:color w:val="auto"/>
                <w:sz w:val="24"/>
                <w:szCs w:val="24"/>
                <w:highlight w:val="none"/>
              </w:rPr>
              <w:t>①在开标一览表中注明是否联合体投标、联合体组成单位；</w:t>
            </w:r>
          </w:p>
          <w:p w14:paraId="61E924EB">
            <w:pPr>
              <w:spacing w:line="360" w:lineRule="auto"/>
              <w:jc w:val="left"/>
              <w:rPr>
                <w:rFonts w:ascii="宋体" w:hAnsi="宋体" w:cs="宋体"/>
                <w:color w:val="auto"/>
                <w:sz w:val="24"/>
                <w:szCs w:val="24"/>
                <w:highlight w:val="none"/>
              </w:rPr>
            </w:pPr>
            <w:r>
              <w:rPr>
                <w:rFonts w:hint="eastAsia" w:ascii="宋体" w:hAnsi="宋体" w:cs="宋体"/>
                <w:bCs/>
                <w:color w:val="auto"/>
                <w:sz w:val="24"/>
                <w:szCs w:val="24"/>
                <w:highlight w:val="none"/>
              </w:rPr>
              <w:t>②在投标文件中提供各方盖章签署的共同投标协议扫描件。</w:t>
            </w:r>
          </w:p>
        </w:tc>
      </w:tr>
      <w:tr w14:paraId="6EC9B3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ign w:val="center"/>
          </w:tcPr>
          <w:p w14:paraId="37189CAA">
            <w:pPr>
              <w:pStyle w:val="4"/>
              <w:snapToGrid w:val="0"/>
              <w:spacing w:line="360" w:lineRule="auto"/>
              <w:ind w:firstLine="0"/>
              <w:jc w:val="center"/>
              <w:rPr>
                <w:rFonts w:ascii="宋体" w:hAnsi="宋体" w:cs="宋体"/>
                <w:color w:val="auto"/>
                <w:sz w:val="24"/>
                <w:szCs w:val="24"/>
                <w:highlight w:val="none"/>
              </w:rPr>
            </w:pPr>
            <w:r>
              <w:rPr>
                <w:rFonts w:hint="eastAsia" w:ascii="宋体" w:hAnsi="宋体" w:cs="宋体"/>
                <w:color w:val="auto"/>
                <w:sz w:val="24"/>
                <w:szCs w:val="24"/>
                <w:highlight w:val="none"/>
              </w:rPr>
              <w:t>24</w:t>
            </w:r>
          </w:p>
        </w:tc>
        <w:tc>
          <w:tcPr>
            <w:tcW w:w="696" w:type="dxa"/>
            <w:noWrap/>
            <w:vAlign w:val="center"/>
          </w:tcPr>
          <w:p w14:paraId="72CAAD3B">
            <w:pPr>
              <w:spacing w:line="360" w:lineRule="auto"/>
              <w:jc w:val="center"/>
              <w:rPr>
                <w:rFonts w:ascii="宋体" w:hAnsi="宋体" w:cs="宋体"/>
                <w:color w:val="auto"/>
                <w:sz w:val="24"/>
                <w:szCs w:val="24"/>
                <w:highlight w:val="none"/>
              </w:rPr>
            </w:pPr>
          </w:p>
        </w:tc>
        <w:tc>
          <w:tcPr>
            <w:tcW w:w="1422" w:type="dxa"/>
            <w:noWrap/>
            <w:vAlign w:val="center"/>
          </w:tcPr>
          <w:p w14:paraId="66ADC5CE">
            <w:pPr>
              <w:spacing w:line="360" w:lineRule="auto"/>
              <w:jc w:val="center"/>
              <w:rPr>
                <w:rFonts w:ascii="宋体" w:hAnsi="宋体" w:cs="宋体"/>
                <w:color w:val="auto"/>
                <w:sz w:val="24"/>
                <w:szCs w:val="24"/>
                <w:highlight w:val="none"/>
              </w:rPr>
            </w:pPr>
          </w:p>
        </w:tc>
        <w:tc>
          <w:tcPr>
            <w:tcW w:w="5925" w:type="dxa"/>
            <w:noWrap/>
            <w:vAlign w:val="center"/>
          </w:tcPr>
          <w:p w14:paraId="3960B213">
            <w:pPr>
              <w:spacing w:line="360" w:lineRule="auto"/>
              <w:jc w:val="left"/>
              <w:rPr>
                <w:rFonts w:ascii="宋体" w:hAnsi="宋体" w:cs="宋体"/>
                <w:color w:val="auto"/>
                <w:sz w:val="24"/>
                <w:szCs w:val="24"/>
                <w:highlight w:val="none"/>
              </w:rPr>
            </w:pPr>
            <w:r>
              <w:rPr>
                <w:rFonts w:hint="eastAsia" w:ascii="宋体" w:hAnsi="宋体" w:cs="宋体"/>
                <w:bCs/>
                <w:color w:val="auto"/>
                <w:sz w:val="24"/>
                <w:szCs w:val="24"/>
                <w:highlight w:val="none"/>
              </w:rPr>
              <w:t>投标文件中不得附有采购单位（或使用单位）不能接受的条款，</w:t>
            </w:r>
            <w:r>
              <w:rPr>
                <w:rFonts w:hint="eastAsia" w:ascii="宋体" w:hAnsi="宋体" w:cs="宋体"/>
                <w:color w:val="auto"/>
                <w:sz w:val="24"/>
                <w:szCs w:val="24"/>
                <w:highlight w:val="none"/>
              </w:rPr>
              <w:t>否则该投标人的投标将按照无效投标处理。</w:t>
            </w:r>
          </w:p>
        </w:tc>
      </w:tr>
      <w:tr w14:paraId="219295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ign w:val="center"/>
          </w:tcPr>
          <w:p w14:paraId="2191A473">
            <w:pPr>
              <w:pStyle w:val="4"/>
              <w:snapToGrid w:val="0"/>
              <w:spacing w:line="360" w:lineRule="auto"/>
              <w:ind w:firstLine="0"/>
              <w:jc w:val="center"/>
              <w:rPr>
                <w:rFonts w:ascii="宋体" w:hAnsi="宋体" w:cs="宋体"/>
                <w:color w:val="auto"/>
                <w:sz w:val="24"/>
                <w:szCs w:val="24"/>
                <w:highlight w:val="none"/>
              </w:rPr>
            </w:pPr>
            <w:r>
              <w:rPr>
                <w:rFonts w:hint="eastAsia" w:ascii="宋体" w:hAnsi="宋体" w:cs="宋体"/>
                <w:color w:val="auto"/>
                <w:sz w:val="24"/>
                <w:szCs w:val="24"/>
                <w:highlight w:val="none"/>
              </w:rPr>
              <w:t>25</w:t>
            </w:r>
          </w:p>
        </w:tc>
        <w:tc>
          <w:tcPr>
            <w:tcW w:w="696" w:type="dxa"/>
            <w:noWrap/>
            <w:vAlign w:val="center"/>
          </w:tcPr>
          <w:p w14:paraId="35DF8DDB">
            <w:pPr>
              <w:pStyle w:val="4"/>
              <w:snapToGrid w:val="0"/>
              <w:spacing w:line="360" w:lineRule="auto"/>
              <w:ind w:firstLine="0"/>
              <w:jc w:val="center"/>
              <w:rPr>
                <w:rFonts w:ascii="宋体" w:hAnsi="宋体" w:cs="宋体"/>
                <w:color w:val="auto"/>
                <w:sz w:val="24"/>
                <w:szCs w:val="24"/>
                <w:highlight w:val="none"/>
              </w:rPr>
            </w:pPr>
          </w:p>
        </w:tc>
        <w:tc>
          <w:tcPr>
            <w:tcW w:w="1422" w:type="dxa"/>
            <w:noWrap/>
            <w:vAlign w:val="center"/>
          </w:tcPr>
          <w:p w14:paraId="469780DA">
            <w:pPr>
              <w:pStyle w:val="4"/>
              <w:snapToGrid w:val="0"/>
              <w:spacing w:line="360" w:lineRule="auto"/>
              <w:ind w:firstLine="0"/>
              <w:jc w:val="center"/>
              <w:rPr>
                <w:rFonts w:ascii="宋体" w:hAnsi="宋体" w:cs="宋体"/>
                <w:b/>
                <w:color w:val="auto"/>
                <w:sz w:val="24"/>
                <w:szCs w:val="24"/>
                <w:highlight w:val="none"/>
              </w:rPr>
            </w:pPr>
          </w:p>
        </w:tc>
        <w:tc>
          <w:tcPr>
            <w:tcW w:w="5925" w:type="dxa"/>
            <w:noWrap/>
            <w:vAlign w:val="center"/>
          </w:tcPr>
          <w:p w14:paraId="7751CFC0">
            <w:pPr>
              <w:pStyle w:val="4"/>
              <w:snapToGrid w:val="0"/>
              <w:spacing w:line="360" w:lineRule="auto"/>
              <w:ind w:firstLine="0"/>
              <w:jc w:val="left"/>
              <w:rPr>
                <w:rFonts w:ascii="宋体" w:hAnsi="宋体" w:cs="宋体"/>
                <w:b/>
                <w:color w:val="auto"/>
                <w:sz w:val="24"/>
                <w:szCs w:val="24"/>
                <w:highlight w:val="none"/>
              </w:rPr>
            </w:pPr>
            <w:r>
              <w:rPr>
                <w:rFonts w:hint="eastAsia" w:ascii="宋体" w:hAnsi="宋体" w:cs="宋体"/>
                <w:bCs/>
                <w:color w:val="auto"/>
                <w:sz w:val="24"/>
                <w:szCs w:val="24"/>
                <w:highlight w:val="none"/>
              </w:rPr>
              <w:t>本项目以合同包为单位，对于每个合同包，投标人必须完整地提供合同包要求的所有货物和服务，否则</w:t>
            </w:r>
            <w:r>
              <w:rPr>
                <w:rFonts w:hint="eastAsia" w:ascii="宋体" w:hAnsi="宋体" w:cs="宋体"/>
                <w:color w:val="auto"/>
                <w:sz w:val="24"/>
                <w:szCs w:val="24"/>
                <w:highlight w:val="none"/>
              </w:rPr>
              <w:t>该投标人针对该合同包的投标将按照无效投标处理</w:t>
            </w:r>
            <w:r>
              <w:rPr>
                <w:rFonts w:hint="eastAsia" w:ascii="宋体" w:hAnsi="宋体" w:cs="宋体"/>
                <w:bCs/>
                <w:color w:val="auto"/>
                <w:sz w:val="24"/>
                <w:szCs w:val="24"/>
                <w:highlight w:val="none"/>
              </w:rPr>
              <w:t>。</w:t>
            </w:r>
          </w:p>
        </w:tc>
      </w:tr>
      <w:tr w14:paraId="22F0D7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ign w:val="center"/>
          </w:tcPr>
          <w:p w14:paraId="33204FDD">
            <w:pPr>
              <w:pStyle w:val="4"/>
              <w:snapToGrid w:val="0"/>
              <w:spacing w:line="360" w:lineRule="auto"/>
              <w:ind w:firstLine="0"/>
              <w:jc w:val="center"/>
              <w:rPr>
                <w:rFonts w:ascii="宋体" w:hAnsi="宋体" w:cs="宋体"/>
                <w:color w:val="auto"/>
                <w:sz w:val="24"/>
                <w:szCs w:val="24"/>
                <w:highlight w:val="none"/>
              </w:rPr>
            </w:pPr>
            <w:r>
              <w:rPr>
                <w:rFonts w:hint="eastAsia" w:ascii="宋体" w:hAnsi="宋体" w:cs="宋体"/>
                <w:color w:val="auto"/>
                <w:sz w:val="24"/>
                <w:szCs w:val="24"/>
                <w:highlight w:val="none"/>
              </w:rPr>
              <w:t>26</w:t>
            </w:r>
          </w:p>
        </w:tc>
        <w:tc>
          <w:tcPr>
            <w:tcW w:w="696" w:type="dxa"/>
            <w:noWrap/>
            <w:vAlign w:val="center"/>
          </w:tcPr>
          <w:p w14:paraId="5CAB46A7">
            <w:pPr>
              <w:pStyle w:val="4"/>
              <w:snapToGrid w:val="0"/>
              <w:spacing w:line="360" w:lineRule="auto"/>
              <w:ind w:firstLine="0"/>
              <w:jc w:val="center"/>
              <w:rPr>
                <w:rFonts w:ascii="宋体" w:hAnsi="宋体" w:cs="宋体"/>
                <w:b/>
                <w:color w:val="auto"/>
                <w:sz w:val="24"/>
                <w:szCs w:val="24"/>
                <w:highlight w:val="none"/>
              </w:rPr>
            </w:pPr>
          </w:p>
        </w:tc>
        <w:tc>
          <w:tcPr>
            <w:tcW w:w="1422" w:type="dxa"/>
            <w:noWrap/>
            <w:vAlign w:val="center"/>
          </w:tcPr>
          <w:p w14:paraId="30361B13">
            <w:pPr>
              <w:pStyle w:val="4"/>
              <w:snapToGrid w:val="0"/>
              <w:spacing w:line="360" w:lineRule="auto"/>
              <w:ind w:firstLine="0"/>
              <w:jc w:val="center"/>
              <w:rPr>
                <w:rFonts w:ascii="宋体" w:hAnsi="宋体" w:cs="宋体"/>
                <w:b/>
                <w:color w:val="auto"/>
                <w:sz w:val="24"/>
                <w:szCs w:val="24"/>
                <w:highlight w:val="none"/>
              </w:rPr>
            </w:pPr>
          </w:p>
        </w:tc>
        <w:tc>
          <w:tcPr>
            <w:tcW w:w="5925" w:type="dxa"/>
            <w:noWrap/>
            <w:vAlign w:val="center"/>
          </w:tcPr>
          <w:p w14:paraId="7539326F">
            <w:pPr>
              <w:spacing w:line="360" w:lineRule="auto"/>
              <w:rPr>
                <w:rFonts w:ascii="宋体" w:hAnsi="宋体" w:cs="宋体"/>
                <w:bCs/>
                <w:color w:val="auto"/>
                <w:sz w:val="24"/>
                <w:szCs w:val="24"/>
                <w:highlight w:val="none"/>
              </w:rPr>
            </w:pPr>
            <w:r>
              <w:rPr>
                <w:rFonts w:hint="eastAsia" w:ascii="宋体" w:hAnsi="宋体" w:cs="宋体"/>
                <w:bCs/>
                <w:color w:val="auto"/>
                <w:sz w:val="24"/>
                <w:szCs w:val="24"/>
                <w:highlight w:val="none"/>
              </w:rPr>
              <w:t>投标人应对其在投标文件中声明的关于中小企业事项的真实性负责，存在以下情形之一的，经评标委员会查实，应认定存在虚假的：</w:t>
            </w:r>
          </w:p>
          <w:p w14:paraId="3C716288">
            <w:pPr>
              <w:spacing w:line="360" w:lineRule="auto"/>
              <w:rPr>
                <w:rFonts w:ascii="宋体" w:hAnsi="宋体" w:cs="宋体"/>
                <w:bCs/>
                <w:color w:val="auto"/>
                <w:sz w:val="24"/>
                <w:szCs w:val="24"/>
                <w:highlight w:val="none"/>
              </w:rPr>
            </w:pPr>
            <w:r>
              <w:rPr>
                <w:rFonts w:hint="eastAsia" w:ascii="宋体" w:hAnsi="宋体" w:cs="宋体"/>
                <w:bCs/>
                <w:color w:val="auto"/>
                <w:sz w:val="24"/>
                <w:szCs w:val="24"/>
                <w:highlight w:val="none"/>
              </w:rPr>
              <w:t>（1）投标人（包括联合体任一方）不符合“工信部联企业[2011]300号”规定的中小企业标准的；</w:t>
            </w:r>
          </w:p>
          <w:p w14:paraId="06EF5A67">
            <w:pPr>
              <w:spacing w:line="360" w:lineRule="auto"/>
              <w:rPr>
                <w:rFonts w:ascii="宋体" w:hAnsi="宋体" w:cs="宋体"/>
                <w:bCs/>
                <w:color w:val="auto"/>
                <w:sz w:val="24"/>
                <w:szCs w:val="24"/>
                <w:highlight w:val="none"/>
              </w:rPr>
            </w:pPr>
            <w:r>
              <w:rPr>
                <w:rFonts w:hint="eastAsia" w:ascii="宋体" w:hAnsi="宋体" w:cs="宋体"/>
                <w:bCs/>
                <w:color w:val="auto"/>
                <w:sz w:val="24"/>
                <w:szCs w:val="24"/>
                <w:highlight w:val="none"/>
              </w:rPr>
              <w:t>（2）投标货物全部或部分为使用大型企业注册商标的货物的；</w:t>
            </w:r>
          </w:p>
          <w:p w14:paraId="6437F9D8">
            <w:pPr>
              <w:spacing w:line="360" w:lineRule="auto"/>
              <w:rPr>
                <w:rFonts w:ascii="宋体" w:hAnsi="宋体" w:cs="宋体"/>
                <w:bCs/>
                <w:color w:val="auto"/>
                <w:sz w:val="24"/>
                <w:szCs w:val="24"/>
                <w:highlight w:val="none"/>
              </w:rPr>
            </w:pPr>
            <w:r>
              <w:rPr>
                <w:rFonts w:hint="eastAsia" w:ascii="宋体" w:hAnsi="宋体" w:cs="宋体"/>
                <w:bCs/>
                <w:color w:val="auto"/>
                <w:sz w:val="24"/>
                <w:szCs w:val="24"/>
                <w:highlight w:val="none"/>
              </w:rPr>
              <w:t>（3）投标文件中标明的小型或微型企业产品的制造商不符合“工信部联企业[2011]300号”规定的小型和微型企业标准的。</w:t>
            </w:r>
          </w:p>
          <w:p w14:paraId="12FDCFA4">
            <w:pPr>
              <w:pStyle w:val="4"/>
              <w:snapToGrid w:val="0"/>
              <w:spacing w:line="360" w:lineRule="auto"/>
              <w:ind w:firstLine="0"/>
              <w:jc w:val="left"/>
              <w:rPr>
                <w:rFonts w:ascii="宋体" w:hAnsi="宋体" w:cs="宋体"/>
                <w:b/>
                <w:color w:val="auto"/>
                <w:sz w:val="24"/>
                <w:szCs w:val="24"/>
                <w:highlight w:val="none"/>
              </w:rPr>
            </w:pPr>
            <w:r>
              <w:rPr>
                <w:rFonts w:hint="eastAsia" w:ascii="宋体" w:hAnsi="宋体" w:cs="宋体"/>
                <w:bCs/>
                <w:color w:val="auto"/>
                <w:sz w:val="24"/>
                <w:szCs w:val="24"/>
                <w:highlight w:val="none"/>
              </w:rPr>
              <w:t>在评审过程中发现上述虚假情形的，该投标人的投标作无效投标处理。</w:t>
            </w:r>
          </w:p>
        </w:tc>
      </w:tr>
      <w:tr w14:paraId="697BDD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ign w:val="center"/>
          </w:tcPr>
          <w:p w14:paraId="0A8ED357">
            <w:pPr>
              <w:pStyle w:val="4"/>
              <w:snapToGrid w:val="0"/>
              <w:spacing w:line="360" w:lineRule="auto"/>
              <w:ind w:firstLine="0"/>
              <w:jc w:val="center"/>
              <w:rPr>
                <w:rFonts w:ascii="宋体" w:hAnsi="宋体" w:cs="宋体"/>
                <w:color w:val="auto"/>
                <w:sz w:val="24"/>
                <w:szCs w:val="24"/>
                <w:highlight w:val="none"/>
              </w:rPr>
            </w:pPr>
            <w:r>
              <w:rPr>
                <w:rFonts w:hint="eastAsia" w:ascii="宋体" w:hAnsi="宋体" w:cs="宋体"/>
                <w:color w:val="auto"/>
                <w:sz w:val="24"/>
                <w:szCs w:val="24"/>
                <w:highlight w:val="none"/>
              </w:rPr>
              <w:t>27</w:t>
            </w:r>
          </w:p>
        </w:tc>
        <w:tc>
          <w:tcPr>
            <w:tcW w:w="696" w:type="dxa"/>
            <w:noWrap/>
            <w:vAlign w:val="center"/>
          </w:tcPr>
          <w:p w14:paraId="08E3C88B">
            <w:pPr>
              <w:pStyle w:val="4"/>
              <w:snapToGrid w:val="0"/>
              <w:spacing w:line="360" w:lineRule="auto"/>
              <w:ind w:firstLine="0"/>
              <w:jc w:val="center"/>
              <w:rPr>
                <w:rFonts w:ascii="宋体" w:hAnsi="宋体" w:cs="宋体"/>
                <w:b/>
                <w:color w:val="auto"/>
                <w:sz w:val="24"/>
                <w:szCs w:val="24"/>
                <w:highlight w:val="none"/>
              </w:rPr>
            </w:pPr>
          </w:p>
        </w:tc>
        <w:tc>
          <w:tcPr>
            <w:tcW w:w="1422" w:type="dxa"/>
            <w:noWrap/>
            <w:vAlign w:val="center"/>
          </w:tcPr>
          <w:p w14:paraId="414A263B">
            <w:pPr>
              <w:pStyle w:val="4"/>
              <w:snapToGrid w:val="0"/>
              <w:spacing w:line="360" w:lineRule="auto"/>
              <w:ind w:firstLine="0"/>
              <w:jc w:val="center"/>
              <w:rPr>
                <w:rFonts w:ascii="宋体" w:hAnsi="宋体" w:cs="宋体"/>
                <w:b/>
                <w:color w:val="auto"/>
                <w:sz w:val="24"/>
                <w:szCs w:val="24"/>
                <w:highlight w:val="none"/>
              </w:rPr>
            </w:pPr>
          </w:p>
        </w:tc>
        <w:tc>
          <w:tcPr>
            <w:tcW w:w="5925" w:type="dxa"/>
            <w:noWrap/>
            <w:vAlign w:val="center"/>
          </w:tcPr>
          <w:p w14:paraId="18DDB773">
            <w:pPr>
              <w:pStyle w:val="4"/>
              <w:snapToGrid w:val="0"/>
              <w:spacing w:line="360" w:lineRule="auto"/>
              <w:ind w:firstLine="0"/>
              <w:jc w:val="left"/>
              <w:rPr>
                <w:rFonts w:ascii="宋体" w:hAnsi="宋体" w:cs="宋体"/>
                <w:color w:val="auto"/>
                <w:sz w:val="24"/>
                <w:szCs w:val="24"/>
                <w:highlight w:val="none"/>
              </w:rPr>
            </w:pPr>
            <w:r>
              <w:rPr>
                <w:rFonts w:hint="eastAsia" w:ascii="宋体" w:hAnsi="宋体" w:cs="宋体"/>
                <w:bCs/>
                <w:color w:val="auto"/>
                <w:sz w:val="24"/>
                <w:szCs w:val="24"/>
                <w:highlight w:val="none"/>
              </w:rPr>
              <w:t>全免交纳投标保证金的投标人未按照招标文件格式要求在投标文件中提供《中小企业声明函》的，其投标作无效投标处理。</w:t>
            </w:r>
          </w:p>
        </w:tc>
      </w:tr>
      <w:tr w14:paraId="28628F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bottom w:val="single" w:color="auto" w:sz="4" w:space="0"/>
            </w:tcBorders>
            <w:noWrap/>
            <w:vAlign w:val="center"/>
          </w:tcPr>
          <w:p w14:paraId="0B97A1E4">
            <w:pPr>
              <w:pStyle w:val="4"/>
              <w:snapToGrid w:val="0"/>
              <w:spacing w:line="360" w:lineRule="auto"/>
              <w:ind w:firstLine="0"/>
              <w:jc w:val="center"/>
              <w:rPr>
                <w:rFonts w:ascii="宋体" w:hAnsi="宋体" w:cs="宋体"/>
                <w:color w:val="auto"/>
                <w:sz w:val="24"/>
                <w:szCs w:val="24"/>
                <w:highlight w:val="none"/>
              </w:rPr>
            </w:pPr>
            <w:r>
              <w:rPr>
                <w:rFonts w:hint="eastAsia" w:ascii="宋体" w:hAnsi="宋体" w:cs="宋体"/>
                <w:color w:val="auto"/>
                <w:sz w:val="24"/>
                <w:szCs w:val="24"/>
                <w:highlight w:val="none"/>
              </w:rPr>
              <w:t>28</w:t>
            </w:r>
          </w:p>
        </w:tc>
        <w:tc>
          <w:tcPr>
            <w:tcW w:w="696" w:type="dxa"/>
            <w:tcBorders>
              <w:bottom w:val="single" w:color="auto" w:sz="4" w:space="0"/>
            </w:tcBorders>
            <w:noWrap/>
            <w:vAlign w:val="center"/>
          </w:tcPr>
          <w:p w14:paraId="0000C659">
            <w:pPr>
              <w:pStyle w:val="4"/>
              <w:snapToGrid w:val="0"/>
              <w:spacing w:line="360" w:lineRule="auto"/>
              <w:ind w:firstLine="0"/>
              <w:jc w:val="center"/>
              <w:rPr>
                <w:rFonts w:ascii="宋体" w:hAnsi="宋体" w:cs="宋体"/>
                <w:b/>
                <w:color w:val="auto"/>
                <w:sz w:val="24"/>
                <w:szCs w:val="24"/>
                <w:highlight w:val="none"/>
              </w:rPr>
            </w:pPr>
          </w:p>
        </w:tc>
        <w:tc>
          <w:tcPr>
            <w:tcW w:w="1422" w:type="dxa"/>
            <w:tcBorders>
              <w:bottom w:val="single" w:color="auto" w:sz="4" w:space="0"/>
            </w:tcBorders>
            <w:noWrap/>
            <w:vAlign w:val="center"/>
          </w:tcPr>
          <w:p w14:paraId="6ED78259">
            <w:pPr>
              <w:pStyle w:val="4"/>
              <w:snapToGrid w:val="0"/>
              <w:spacing w:line="360" w:lineRule="auto"/>
              <w:ind w:firstLine="0"/>
              <w:jc w:val="center"/>
              <w:rPr>
                <w:rFonts w:ascii="宋体" w:hAnsi="宋体" w:cs="宋体"/>
                <w:b/>
                <w:color w:val="auto"/>
                <w:sz w:val="24"/>
                <w:szCs w:val="24"/>
                <w:highlight w:val="none"/>
              </w:rPr>
            </w:pPr>
          </w:p>
        </w:tc>
        <w:tc>
          <w:tcPr>
            <w:tcW w:w="5925" w:type="dxa"/>
            <w:tcBorders>
              <w:bottom w:val="single" w:color="auto" w:sz="4" w:space="0"/>
            </w:tcBorders>
            <w:noWrap/>
            <w:vAlign w:val="center"/>
          </w:tcPr>
          <w:p w14:paraId="5A6D1A23">
            <w:pPr>
              <w:pStyle w:val="4"/>
              <w:snapToGrid w:val="0"/>
              <w:spacing w:line="360" w:lineRule="auto"/>
              <w:ind w:firstLine="0"/>
              <w:rPr>
                <w:rFonts w:ascii="宋体" w:hAnsi="宋体" w:cs="宋体"/>
                <w:b/>
                <w:color w:val="auto"/>
                <w:sz w:val="24"/>
                <w:szCs w:val="24"/>
                <w:highlight w:val="none"/>
              </w:rPr>
            </w:pPr>
            <w:r>
              <w:rPr>
                <w:rFonts w:hint="eastAsia" w:ascii="宋体" w:hAnsi="宋体" w:cs="宋体"/>
                <w:bCs/>
                <w:color w:val="auto"/>
                <w:sz w:val="24"/>
                <w:szCs w:val="24"/>
                <w:highlight w:val="none"/>
              </w:rPr>
              <w:t>投标人应按照招标文件格式要求在投标文件中提供《廉洁承诺书》原件扫描件（投标人为联合体的，联合体各方均应提供《廉洁承诺书》原件扫描件），否则作无效投标处理。</w:t>
            </w:r>
          </w:p>
        </w:tc>
      </w:tr>
      <w:tr w14:paraId="4DD17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bottom w:val="single" w:color="auto" w:sz="4" w:space="0"/>
            </w:tcBorders>
            <w:noWrap/>
            <w:vAlign w:val="center"/>
          </w:tcPr>
          <w:p w14:paraId="42C824A0">
            <w:pPr>
              <w:pStyle w:val="4"/>
              <w:snapToGrid w:val="0"/>
              <w:spacing w:line="360" w:lineRule="auto"/>
              <w:ind w:firstLine="0"/>
              <w:jc w:val="center"/>
              <w:rPr>
                <w:rFonts w:ascii="宋体" w:hAnsi="宋体" w:cs="宋体"/>
                <w:color w:val="auto"/>
                <w:sz w:val="24"/>
                <w:szCs w:val="24"/>
                <w:highlight w:val="none"/>
              </w:rPr>
            </w:pPr>
            <w:r>
              <w:rPr>
                <w:rFonts w:hint="eastAsia" w:ascii="宋体" w:hAnsi="宋体" w:cs="宋体"/>
                <w:color w:val="auto"/>
                <w:sz w:val="24"/>
                <w:szCs w:val="24"/>
                <w:highlight w:val="none"/>
              </w:rPr>
              <w:t>29</w:t>
            </w:r>
          </w:p>
        </w:tc>
        <w:tc>
          <w:tcPr>
            <w:tcW w:w="696" w:type="dxa"/>
            <w:tcBorders>
              <w:bottom w:val="single" w:color="auto" w:sz="4" w:space="0"/>
            </w:tcBorders>
            <w:noWrap/>
            <w:vAlign w:val="center"/>
          </w:tcPr>
          <w:p w14:paraId="2BD0D45B">
            <w:pPr>
              <w:pStyle w:val="4"/>
              <w:snapToGrid w:val="0"/>
              <w:spacing w:line="360" w:lineRule="auto"/>
              <w:ind w:firstLine="0"/>
              <w:jc w:val="center"/>
              <w:rPr>
                <w:rFonts w:ascii="宋体" w:hAnsi="宋体" w:cs="宋体"/>
                <w:b/>
                <w:color w:val="auto"/>
                <w:sz w:val="24"/>
                <w:szCs w:val="24"/>
                <w:highlight w:val="none"/>
              </w:rPr>
            </w:pPr>
          </w:p>
        </w:tc>
        <w:tc>
          <w:tcPr>
            <w:tcW w:w="1422" w:type="dxa"/>
            <w:tcBorders>
              <w:bottom w:val="single" w:color="auto" w:sz="4" w:space="0"/>
            </w:tcBorders>
            <w:noWrap/>
            <w:vAlign w:val="center"/>
          </w:tcPr>
          <w:p w14:paraId="6230F9DC">
            <w:pPr>
              <w:pStyle w:val="4"/>
              <w:snapToGrid w:val="0"/>
              <w:spacing w:line="360" w:lineRule="auto"/>
              <w:ind w:firstLine="0"/>
              <w:jc w:val="center"/>
              <w:rPr>
                <w:rFonts w:ascii="宋体" w:hAnsi="宋体" w:cs="宋体"/>
                <w:b/>
                <w:color w:val="auto"/>
                <w:sz w:val="24"/>
                <w:szCs w:val="24"/>
                <w:highlight w:val="none"/>
              </w:rPr>
            </w:pPr>
          </w:p>
        </w:tc>
        <w:tc>
          <w:tcPr>
            <w:tcW w:w="5925" w:type="dxa"/>
            <w:tcBorders>
              <w:bottom w:val="single" w:color="auto" w:sz="4" w:space="0"/>
            </w:tcBorders>
            <w:noWrap/>
            <w:vAlign w:val="center"/>
          </w:tcPr>
          <w:p w14:paraId="53F593FD">
            <w:pPr>
              <w:spacing w:line="360" w:lineRule="auto"/>
              <w:rPr>
                <w:rFonts w:ascii="宋体" w:hAnsi="宋体" w:cs="宋体"/>
                <w:b/>
                <w:color w:val="auto"/>
                <w:sz w:val="24"/>
                <w:szCs w:val="24"/>
                <w:highlight w:val="none"/>
              </w:rPr>
            </w:pPr>
            <w:r>
              <w:rPr>
                <w:rFonts w:hint="eastAsia" w:ascii="宋体" w:hAnsi="宋体" w:cs="宋体"/>
                <w:bCs/>
                <w:color w:val="auto"/>
                <w:sz w:val="24"/>
                <w:szCs w:val="24"/>
                <w:highlight w:val="none"/>
              </w:rPr>
              <w:t>其他不满足招标文件要求经评标委员会认定须作无效投标处理的。</w:t>
            </w:r>
          </w:p>
        </w:tc>
      </w:tr>
      <w:tr w14:paraId="77DF2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bottom w:val="single" w:color="auto" w:sz="4" w:space="0"/>
            </w:tcBorders>
            <w:noWrap/>
            <w:vAlign w:val="center"/>
          </w:tcPr>
          <w:p w14:paraId="4445CAF4">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30</w:t>
            </w:r>
          </w:p>
        </w:tc>
        <w:tc>
          <w:tcPr>
            <w:tcW w:w="696" w:type="dxa"/>
            <w:tcBorders>
              <w:bottom w:val="single" w:color="auto" w:sz="4" w:space="0"/>
            </w:tcBorders>
            <w:noWrap/>
            <w:vAlign w:val="center"/>
          </w:tcPr>
          <w:p w14:paraId="48C5C614">
            <w:pPr>
              <w:spacing w:line="360" w:lineRule="auto"/>
              <w:jc w:val="center"/>
              <w:rPr>
                <w:rFonts w:ascii="宋体" w:hAnsi="宋体" w:cs="宋体"/>
                <w:color w:val="auto"/>
                <w:sz w:val="24"/>
                <w:szCs w:val="24"/>
                <w:highlight w:val="none"/>
              </w:rPr>
            </w:pPr>
          </w:p>
        </w:tc>
        <w:tc>
          <w:tcPr>
            <w:tcW w:w="1422" w:type="dxa"/>
            <w:tcBorders>
              <w:bottom w:val="single" w:color="auto" w:sz="4" w:space="0"/>
            </w:tcBorders>
            <w:noWrap/>
            <w:vAlign w:val="center"/>
          </w:tcPr>
          <w:p w14:paraId="1C7015B7">
            <w:pPr>
              <w:spacing w:line="360" w:lineRule="auto"/>
              <w:jc w:val="center"/>
              <w:rPr>
                <w:rFonts w:ascii="宋体" w:hAnsi="宋体" w:cs="宋体"/>
                <w:color w:val="auto"/>
                <w:sz w:val="24"/>
                <w:szCs w:val="24"/>
                <w:highlight w:val="none"/>
              </w:rPr>
            </w:pPr>
          </w:p>
        </w:tc>
        <w:tc>
          <w:tcPr>
            <w:tcW w:w="5925" w:type="dxa"/>
            <w:tcBorders>
              <w:bottom w:val="single" w:color="auto" w:sz="4" w:space="0"/>
            </w:tcBorders>
            <w:noWrap/>
            <w:vAlign w:val="center"/>
          </w:tcPr>
          <w:p w14:paraId="56D7E42C">
            <w:pPr>
              <w:pStyle w:val="39"/>
              <w:spacing w:line="360" w:lineRule="auto"/>
              <w:rPr>
                <w:rFonts w:hAnsi="宋体" w:cs="宋体"/>
                <w:color w:val="auto"/>
                <w:highlight w:val="none"/>
              </w:rPr>
            </w:pPr>
            <w:r>
              <w:rPr>
                <w:rFonts w:hint="eastAsia" w:hAnsi="宋体" w:cs="宋体"/>
                <w:color w:val="auto"/>
                <w:highlight w:val="none"/>
              </w:rPr>
              <w:t>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123号）规定的包装要求，其他包装需求详见招标文件具体规定。采购单位、中标供应商双方签订合同及验收环节，应包含上述包装要求的条款。</w:t>
            </w:r>
          </w:p>
          <w:p w14:paraId="2179186A">
            <w:pPr>
              <w:spacing w:line="360" w:lineRule="auto"/>
              <w:rPr>
                <w:rFonts w:ascii="宋体" w:hAnsi="宋体" w:cs="宋体"/>
                <w:color w:val="auto"/>
                <w:sz w:val="24"/>
                <w:szCs w:val="24"/>
                <w:highlight w:val="none"/>
              </w:rPr>
            </w:pPr>
          </w:p>
        </w:tc>
      </w:tr>
      <w:tr w14:paraId="4C118D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bottom w:val="single" w:color="auto" w:sz="4" w:space="0"/>
            </w:tcBorders>
            <w:noWrap/>
            <w:vAlign w:val="center"/>
          </w:tcPr>
          <w:p w14:paraId="6D90D852">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31</w:t>
            </w:r>
          </w:p>
        </w:tc>
        <w:tc>
          <w:tcPr>
            <w:tcW w:w="696" w:type="dxa"/>
            <w:tcBorders>
              <w:bottom w:val="single" w:color="auto" w:sz="4" w:space="0"/>
            </w:tcBorders>
            <w:noWrap/>
            <w:vAlign w:val="center"/>
          </w:tcPr>
          <w:p w14:paraId="6DF8CE23">
            <w:pPr>
              <w:spacing w:line="360" w:lineRule="auto"/>
              <w:jc w:val="center"/>
              <w:rPr>
                <w:rFonts w:ascii="宋体" w:hAnsi="宋体" w:cs="宋体"/>
                <w:color w:val="auto"/>
                <w:sz w:val="24"/>
                <w:szCs w:val="24"/>
                <w:highlight w:val="none"/>
              </w:rPr>
            </w:pPr>
          </w:p>
        </w:tc>
        <w:tc>
          <w:tcPr>
            <w:tcW w:w="1422" w:type="dxa"/>
            <w:tcBorders>
              <w:bottom w:val="single" w:color="auto" w:sz="4" w:space="0"/>
            </w:tcBorders>
            <w:noWrap/>
            <w:vAlign w:val="center"/>
          </w:tcPr>
          <w:p w14:paraId="71BAA592">
            <w:pPr>
              <w:spacing w:line="360" w:lineRule="auto"/>
              <w:jc w:val="center"/>
              <w:rPr>
                <w:rFonts w:ascii="宋体" w:hAnsi="宋体" w:cs="宋体"/>
                <w:color w:val="auto"/>
                <w:sz w:val="24"/>
                <w:szCs w:val="24"/>
                <w:highlight w:val="none"/>
              </w:rPr>
            </w:pPr>
          </w:p>
        </w:tc>
        <w:tc>
          <w:tcPr>
            <w:tcW w:w="5925" w:type="dxa"/>
            <w:tcBorders>
              <w:bottom w:val="single" w:color="auto" w:sz="4" w:space="0"/>
            </w:tcBorders>
            <w:noWrap/>
            <w:vAlign w:val="center"/>
          </w:tcPr>
          <w:p w14:paraId="52D80230">
            <w:pPr>
              <w:adjustRightInd w:val="0"/>
              <w:snapToGrid w:val="0"/>
              <w:spacing w:line="360" w:lineRule="auto"/>
              <w:rPr>
                <w:rFonts w:ascii="宋体" w:hAnsi="宋体" w:cs="宋体"/>
                <w:color w:val="auto"/>
                <w:sz w:val="24"/>
                <w:szCs w:val="24"/>
                <w:highlight w:val="none"/>
              </w:rPr>
            </w:pPr>
            <w:r>
              <w:rPr>
                <w:rFonts w:hint="eastAsia" w:ascii="宋体" w:hAnsi="宋体" w:cs="宋体"/>
                <w:b/>
                <w:color w:val="auto"/>
                <w:sz w:val="24"/>
                <w:szCs w:val="24"/>
                <w:highlight w:val="none"/>
              </w:rPr>
              <w:t>1）★CPU型号必须为通过中国信息安全测评中心安全可靠测评的型号；整机不接受组装，签订合同前要求提供计算机生产厂家的规格说明文件。提供书面承诺函，格式自拟。</w:t>
            </w:r>
          </w:p>
        </w:tc>
      </w:tr>
      <w:tr w14:paraId="13000C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bottom w:val="single" w:color="auto" w:sz="4" w:space="0"/>
            </w:tcBorders>
            <w:noWrap/>
            <w:vAlign w:val="center"/>
          </w:tcPr>
          <w:p w14:paraId="0623ABAF">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32</w:t>
            </w:r>
          </w:p>
        </w:tc>
        <w:tc>
          <w:tcPr>
            <w:tcW w:w="696" w:type="dxa"/>
            <w:tcBorders>
              <w:bottom w:val="single" w:color="auto" w:sz="4" w:space="0"/>
            </w:tcBorders>
            <w:noWrap/>
            <w:vAlign w:val="center"/>
          </w:tcPr>
          <w:p w14:paraId="487C7D8A">
            <w:pPr>
              <w:spacing w:line="360" w:lineRule="auto"/>
              <w:jc w:val="center"/>
              <w:rPr>
                <w:rFonts w:ascii="宋体" w:hAnsi="宋体" w:cs="宋体"/>
                <w:color w:val="auto"/>
                <w:sz w:val="24"/>
                <w:szCs w:val="24"/>
                <w:highlight w:val="none"/>
              </w:rPr>
            </w:pPr>
          </w:p>
        </w:tc>
        <w:tc>
          <w:tcPr>
            <w:tcW w:w="1422" w:type="dxa"/>
            <w:tcBorders>
              <w:bottom w:val="single" w:color="auto" w:sz="4" w:space="0"/>
            </w:tcBorders>
            <w:noWrap/>
            <w:vAlign w:val="center"/>
          </w:tcPr>
          <w:p w14:paraId="6E448C21">
            <w:pPr>
              <w:spacing w:line="360" w:lineRule="auto"/>
              <w:jc w:val="center"/>
              <w:rPr>
                <w:rFonts w:ascii="宋体" w:hAnsi="宋体" w:cs="宋体"/>
                <w:color w:val="auto"/>
                <w:sz w:val="24"/>
                <w:szCs w:val="24"/>
                <w:highlight w:val="none"/>
              </w:rPr>
            </w:pPr>
          </w:p>
        </w:tc>
        <w:tc>
          <w:tcPr>
            <w:tcW w:w="5925" w:type="dxa"/>
            <w:tcBorders>
              <w:bottom w:val="single" w:color="auto" w:sz="4" w:space="0"/>
            </w:tcBorders>
            <w:noWrap/>
            <w:vAlign w:val="center"/>
          </w:tcPr>
          <w:p w14:paraId="7E933DF2">
            <w:pPr>
              <w:spacing w:line="360" w:lineRule="auto"/>
              <w:rPr>
                <w:rFonts w:ascii="宋体" w:hAnsi="宋体" w:cs="宋体"/>
                <w:color w:val="auto"/>
                <w:sz w:val="24"/>
                <w:szCs w:val="24"/>
                <w:highlight w:val="none"/>
              </w:rPr>
            </w:pPr>
            <w:r>
              <w:rPr>
                <w:rFonts w:hint="eastAsia" w:ascii="宋体" w:hAnsi="宋体" w:cs="宋体"/>
                <w:b/>
                <w:color w:val="auto"/>
                <w:sz w:val="24"/>
                <w:szCs w:val="24"/>
                <w:highlight w:val="none"/>
              </w:rPr>
              <w:t>★</w:t>
            </w:r>
            <w:r>
              <w:rPr>
                <w:rFonts w:hint="eastAsia" w:ascii="宋体" w:hAnsi="宋体" w:cs="宋体"/>
                <w:b/>
                <w:color w:val="auto"/>
                <w:sz w:val="24"/>
                <w:szCs w:val="24"/>
                <w:highlight w:val="none"/>
                <w:lang w:val="en-US" w:eastAsia="zh-CN"/>
              </w:rPr>
              <w:t>满足</w:t>
            </w:r>
            <w:r>
              <w:rPr>
                <w:rFonts w:hint="eastAsia" w:ascii="宋体" w:hAnsi="宋体" w:cs="宋体"/>
                <w:b/>
                <w:color w:val="auto"/>
                <w:sz w:val="24"/>
                <w:szCs w:val="24"/>
                <w:highlight w:val="none"/>
              </w:rPr>
              <w:t>HYGON 3350 3.0G 8C 16T；16GB DDR4 3200 UDIMM；固态硬盘大于1TB， M.2接口NVME协议SSD，M.2接口≥3个，其中2个支持M.2 SSD；支持机械硬盘扩展；≥RTX3050 6GB G6 96b DVI+H+DP HP；</w:t>
            </w:r>
          </w:p>
        </w:tc>
      </w:tr>
      <w:tr w14:paraId="24744B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bottom w:val="single" w:color="auto" w:sz="4" w:space="0"/>
            </w:tcBorders>
            <w:noWrap/>
            <w:vAlign w:val="center"/>
          </w:tcPr>
          <w:p w14:paraId="0D90B27D">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33</w:t>
            </w:r>
          </w:p>
        </w:tc>
        <w:tc>
          <w:tcPr>
            <w:tcW w:w="696" w:type="dxa"/>
            <w:tcBorders>
              <w:bottom w:val="single" w:color="auto" w:sz="4" w:space="0"/>
            </w:tcBorders>
            <w:noWrap/>
            <w:vAlign w:val="center"/>
          </w:tcPr>
          <w:p w14:paraId="544E9F27">
            <w:pPr>
              <w:spacing w:line="360" w:lineRule="auto"/>
              <w:jc w:val="center"/>
              <w:rPr>
                <w:rFonts w:ascii="宋体" w:hAnsi="宋体" w:cs="宋体"/>
                <w:color w:val="auto"/>
                <w:sz w:val="24"/>
                <w:szCs w:val="24"/>
                <w:highlight w:val="none"/>
              </w:rPr>
            </w:pPr>
          </w:p>
        </w:tc>
        <w:tc>
          <w:tcPr>
            <w:tcW w:w="1422" w:type="dxa"/>
            <w:tcBorders>
              <w:bottom w:val="single" w:color="auto" w:sz="4" w:space="0"/>
            </w:tcBorders>
            <w:noWrap/>
            <w:vAlign w:val="center"/>
          </w:tcPr>
          <w:p w14:paraId="6D99E1E1">
            <w:pPr>
              <w:spacing w:line="360" w:lineRule="auto"/>
              <w:jc w:val="center"/>
              <w:rPr>
                <w:rFonts w:ascii="宋体" w:hAnsi="宋体" w:cs="宋体"/>
                <w:color w:val="auto"/>
                <w:sz w:val="24"/>
                <w:szCs w:val="24"/>
                <w:highlight w:val="none"/>
              </w:rPr>
            </w:pPr>
          </w:p>
        </w:tc>
        <w:tc>
          <w:tcPr>
            <w:tcW w:w="5925" w:type="dxa"/>
            <w:tcBorders>
              <w:bottom w:val="single" w:color="auto" w:sz="4" w:space="0"/>
            </w:tcBorders>
            <w:noWrap/>
            <w:vAlign w:val="center"/>
          </w:tcPr>
          <w:p w14:paraId="35CE191D">
            <w:pPr>
              <w:adjustRightInd w:val="0"/>
              <w:snapToGrid w:val="0"/>
              <w:spacing w:line="360" w:lineRule="auto"/>
              <w:rPr>
                <w:rFonts w:ascii="宋体" w:hAnsi="宋体" w:cs="宋体"/>
                <w:color w:val="auto"/>
                <w:sz w:val="24"/>
                <w:szCs w:val="24"/>
                <w:highlight w:val="none"/>
              </w:rPr>
            </w:pPr>
            <w:r>
              <w:rPr>
                <w:rFonts w:hint="eastAsia" w:ascii="宋体" w:hAnsi="宋体" w:cs="宋体"/>
                <w:b/>
                <w:color w:val="auto"/>
                <w:sz w:val="24"/>
                <w:szCs w:val="24"/>
                <w:highlight w:val="none"/>
              </w:rPr>
              <w:t>13）★具备对终端端口进行分类控制，包括但不限于控制 USB 存储接口、各类驱动器接口等；具备大数据展示。可展示包括但不限于资产统计、设备详情、日志、系统使用情况等信息。（须提供所投产品软件功能截图）。</w:t>
            </w:r>
          </w:p>
        </w:tc>
      </w:tr>
      <w:tr w14:paraId="34DBEA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bottom w:val="single" w:color="auto" w:sz="4" w:space="0"/>
            </w:tcBorders>
            <w:noWrap/>
            <w:vAlign w:val="center"/>
          </w:tcPr>
          <w:p w14:paraId="33C846E0">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34</w:t>
            </w:r>
          </w:p>
        </w:tc>
        <w:tc>
          <w:tcPr>
            <w:tcW w:w="696" w:type="dxa"/>
            <w:tcBorders>
              <w:bottom w:val="single" w:color="auto" w:sz="4" w:space="0"/>
            </w:tcBorders>
            <w:noWrap/>
            <w:vAlign w:val="center"/>
          </w:tcPr>
          <w:p w14:paraId="2196228E">
            <w:pPr>
              <w:spacing w:line="360" w:lineRule="auto"/>
              <w:jc w:val="center"/>
              <w:rPr>
                <w:rFonts w:ascii="宋体" w:hAnsi="宋体" w:cs="宋体"/>
                <w:color w:val="auto"/>
                <w:sz w:val="24"/>
                <w:szCs w:val="24"/>
                <w:highlight w:val="none"/>
              </w:rPr>
            </w:pPr>
          </w:p>
        </w:tc>
        <w:tc>
          <w:tcPr>
            <w:tcW w:w="1422" w:type="dxa"/>
            <w:tcBorders>
              <w:bottom w:val="single" w:color="auto" w:sz="4" w:space="0"/>
            </w:tcBorders>
            <w:noWrap/>
            <w:vAlign w:val="center"/>
          </w:tcPr>
          <w:p w14:paraId="1B0D00B6">
            <w:pPr>
              <w:spacing w:line="360" w:lineRule="auto"/>
              <w:jc w:val="center"/>
              <w:rPr>
                <w:rFonts w:ascii="宋体" w:hAnsi="宋体" w:cs="宋体"/>
                <w:color w:val="auto"/>
                <w:sz w:val="24"/>
                <w:szCs w:val="24"/>
                <w:highlight w:val="none"/>
              </w:rPr>
            </w:pPr>
          </w:p>
        </w:tc>
        <w:tc>
          <w:tcPr>
            <w:tcW w:w="5925" w:type="dxa"/>
            <w:tcBorders>
              <w:bottom w:val="single" w:color="auto" w:sz="4" w:space="0"/>
            </w:tcBorders>
            <w:noWrap/>
            <w:vAlign w:val="center"/>
          </w:tcPr>
          <w:p w14:paraId="3EEB13E4">
            <w:pPr>
              <w:spacing w:line="360" w:lineRule="auto"/>
              <w:rPr>
                <w:rFonts w:ascii="宋体" w:hAnsi="宋体" w:cs="宋体"/>
                <w:color w:val="auto"/>
                <w:sz w:val="24"/>
                <w:szCs w:val="24"/>
                <w:highlight w:val="none"/>
              </w:rPr>
            </w:pPr>
            <w:r>
              <w:rPr>
                <w:rFonts w:hint="eastAsia" w:ascii="宋体" w:hAnsi="宋体" w:cs="宋体"/>
                <w:b/>
                <w:color w:val="auto"/>
                <w:sz w:val="24"/>
                <w:szCs w:val="24"/>
                <w:highlight w:val="none"/>
              </w:rPr>
              <w:t>★</w:t>
            </w:r>
            <w:r>
              <w:rPr>
                <w:rFonts w:hint="eastAsia" w:ascii="宋体" w:hAnsi="宋体" w:cs="宋体"/>
                <w:b/>
                <w:color w:val="auto"/>
                <w:sz w:val="24"/>
                <w:szCs w:val="24"/>
                <w:highlight w:val="none"/>
                <w:lang w:val="en-US" w:eastAsia="zh-CN"/>
              </w:rPr>
              <w:t>满足</w:t>
            </w:r>
            <w:r>
              <w:rPr>
                <w:rFonts w:hint="eastAsia" w:ascii="宋体" w:hAnsi="宋体" w:cs="宋体"/>
                <w:b/>
                <w:color w:val="auto"/>
                <w:sz w:val="24"/>
                <w:szCs w:val="24"/>
                <w:highlight w:val="none"/>
              </w:rPr>
              <w:t>HYGON 3490 2.8G 16C 32T；32GB DDR5 5200 UDIMM；固态硬盘≥1TB ；≥RTXA5000 24GB 384b GDDR6X DVI+H+DP HP；</w:t>
            </w:r>
          </w:p>
        </w:tc>
      </w:tr>
      <w:tr w14:paraId="44A5E9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bottom w:val="single" w:color="auto" w:sz="4" w:space="0"/>
            </w:tcBorders>
            <w:noWrap/>
            <w:vAlign w:val="center"/>
          </w:tcPr>
          <w:p w14:paraId="728DAC71">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35</w:t>
            </w:r>
          </w:p>
        </w:tc>
        <w:tc>
          <w:tcPr>
            <w:tcW w:w="696" w:type="dxa"/>
            <w:tcBorders>
              <w:bottom w:val="single" w:color="auto" w:sz="4" w:space="0"/>
            </w:tcBorders>
            <w:noWrap/>
            <w:vAlign w:val="center"/>
          </w:tcPr>
          <w:p w14:paraId="5505EA83">
            <w:pPr>
              <w:spacing w:line="360" w:lineRule="auto"/>
              <w:jc w:val="center"/>
              <w:rPr>
                <w:rFonts w:ascii="宋体" w:hAnsi="宋体" w:cs="宋体"/>
                <w:color w:val="auto"/>
                <w:sz w:val="24"/>
                <w:szCs w:val="24"/>
                <w:highlight w:val="none"/>
              </w:rPr>
            </w:pPr>
          </w:p>
        </w:tc>
        <w:tc>
          <w:tcPr>
            <w:tcW w:w="1422" w:type="dxa"/>
            <w:tcBorders>
              <w:bottom w:val="single" w:color="auto" w:sz="4" w:space="0"/>
            </w:tcBorders>
            <w:noWrap/>
            <w:vAlign w:val="center"/>
          </w:tcPr>
          <w:p w14:paraId="53A5F6BF">
            <w:pPr>
              <w:spacing w:line="360" w:lineRule="auto"/>
              <w:jc w:val="center"/>
              <w:rPr>
                <w:rFonts w:ascii="宋体" w:hAnsi="宋体" w:cs="宋体"/>
                <w:color w:val="auto"/>
                <w:sz w:val="24"/>
                <w:szCs w:val="24"/>
                <w:highlight w:val="none"/>
              </w:rPr>
            </w:pPr>
          </w:p>
        </w:tc>
        <w:tc>
          <w:tcPr>
            <w:tcW w:w="5925" w:type="dxa"/>
            <w:tcBorders>
              <w:bottom w:val="single" w:color="auto" w:sz="4" w:space="0"/>
            </w:tcBorders>
            <w:noWrap/>
            <w:vAlign w:val="center"/>
          </w:tcPr>
          <w:p w14:paraId="2969DD15">
            <w:pPr>
              <w:adjustRightInd w:val="0"/>
              <w:snapToGrid w:val="0"/>
              <w:spacing w:line="360" w:lineRule="auto"/>
              <w:jc w:val="left"/>
              <w:rPr>
                <w:rFonts w:ascii="宋体" w:hAnsi="宋体" w:cs="宋体"/>
                <w:color w:val="auto"/>
                <w:sz w:val="24"/>
                <w:szCs w:val="24"/>
                <w:highlight w:val="none"/>
              </w:rPr>
            </w:pPr>
            <w:r>
              <w:rPr>
                <w:rFonts w:hint="eastAsia" w:ascii="宋体" w:hAnsi="宋体" w:cs="宋体"/>
                <w:b/>
                <w:color w:val="auto"/>
                <w:sz w:val="24"/>
                <w:szCs w:val="24"/>
                <w:highlight w:val="none"/>
              </w:rPr>
              <w:t>2）★(CX6)-MCX653105A-ECAT≥100GIB单口网卡，实现100GB以上高速互联的分布式训练框架和资源调度服务，并提供必要网络连接线和匹配的交换机；</w:t>
            </w:r>
          </w:p>
        </w:tc>
      </w:tr>
      <w:tr w14:paraId="5B2FD1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ign w:val="center"/>
          </w:tcPr>
          <w:p w14:paraId="2DC0ECBB">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36</w:t>
            </w:r>
          </w:p>
        </w:tc>
        <w:tc>
          <w:tcPr>
            <w:tcW w:w="696" w:type="dxa"/>
            <w:noWrap/>
          </w:tcPr>
          <w:p w14:paraId="7720481C">
            <w:pPr>
              <w:spacing w:line="360" w:lineRule="auto"/>
              <w:jc w:val="center"/>
              <w:rPr>
                <w:rFonts w:ascii="宋体" w:hAnsi="宋体" w:cs="宋体"/>
                <w:color w:val="auto"/>
                <w:sz w:val="24"/>
                <w:szCs w:val="24"/>
                <w:highlight w:val="none"/>
              </w:rPr>
            </w:pPr>
          </w:p>
        </w:tc>
        <w:tc>
          <w:tcPr>
            <w:tcW w:w="1422" w:type="dxa"/>
            <w:noWrap/>
          </w:tcPr>
          <w:p w14:paraId="6B968208">
            <w:pPr>
              <w:spacing w:line="360" w:lineRule="auto"/>
              <w:jc w:val="center"/>
              <w:rPr>
                <w:rFonts w:ascii="宋体" w:hAnsi="宋体" w:cs="宋体"/>
                <w:color w:val="auto"/>
                <w:sz w:val="24"/>
                <w:szCs w:val="24"/>
                <w:highlight w:val="none"/>
              </w:rPr>
            </w:pPr>
          </w:p>
        </w:tc>
        <w:tc>
          <w:tcPr>
            <w:tcW w:w="5925" w:type="dxa"/>
            <w:noWrap/>
          </w:tcPr>
          <w:p w14:paraId="1929F274">
            <w:pPr>
              <w:spacing w:line="360" w:lineRule="auto"/>
              <w:rPr>
                <w:rFonts w:ascii="宋体" w:hAnsi="宋体" w:cs="宋体"/>
                <w:bCs/>
                <w:color w:val="auto"/>
                <w:sz w:val="24"/>
                <w:szCs w:val="24"/>
                <w:highlight w:val="none"/>
              </w:rPr>
            </w:pPr>
            <w:r>
              <w:rPr>
                <w:rFonts w:hint="eastAsia" w:ascii="宋体" w:hAnsi="宋体" w:cs="宋体"/>
                <w:b/>
                <w:color w:val="auto"/>
                <w:sz w:val="24"/>
                <w:szCs w:val="24"/>
                <w:highlight w:val="none"/>
              </w:rPr>
              <w:t>★</w:t>
            </w:r>
            <w:r>
              <w:rPr>
                <w:rFonts w:hint="eastAsia" w:ascii="宋体" w:hAnsi="宋体" w:cs="宋体"/>
                <w:b/>
                <w:color w:val="auto"/>
                <w:sz w:val="24"/>
                <w:szCs w:val="24"/>
                <w:highlight w:val="none"/>
                <w:lang w:val="en-US" w:eastAsia="zh-CN"/>
              </w:rPr>
              <w:t>满足</w:t>
            </w:r>
            <w:r>
              <w:rPr>
                <w:rFonts w:hint="eastAsia" w:ascii="宋体" w:hAnsi="宋体" w:cs="宋体"/>
                <w:b/>
                <w:color w:val="auto"/>
                <w:sz w:val="24"/>
                <w:szCs w:val="24"/>
                <w:highlight w:val="none"/>
              </w:rPr>
              <w:t>HYGON 3350 3.0G 8C 16T；32GB DDR4 3200 UDIMM；固态硬盘≥1TB；≥RTX3060 6GB G6 96b DVI+H+DP HP；</w:t>
            </w:r>
          </w:p>
        </w:tc>
      </w:tr>
      <w:tr w14:paraId="4B2390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ign w:val="center"/>
          </w:tcPr>
          <w:p w14:paraId="3C480D17">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37</w:t>
            </w:r>
          </w:p>
        </w:tc>
        <w:tc>
          <w:tcPr>
            <w:tcW w:w="696" w:type="dxa"/>
            <w:noWrap/>
          </w:tcPr>
          <w:p w14:paraId="7A81FEF5">
            <w:pPr>
              <w:spacing w:line="360" w:lineRule="auto"/>
              <w:jc w:val="center"/>
              <w:rPr>
                <w:rFonts w:ascii="宋体" w:hAnsi="宋体" w:cs="宋体"/>
                <w:color w:val="auto"/>
                <w:sz w:val="24"/>
                <w:szCs w:val="24"/>
                <w:highlight w:val="none"/>
              </w:rPr>
            </w:pPr>
          </w:p>
        </w:tc>
        <w:tc>
          <w:tcPr>
            <w:tcW w:w="1422" w:type="dxa"/>
            <w:noWrap/>
          </w:tcPr>
          <w:p w14:paraId="1388417C">
            <w:pPr>
              <w:spacing w:line="360" w:lineRule="auto"/>
              <w:jc w:val="center"/>
              <w:rPr>
                <w:rFonts w:ascii="宋体" w:hAnsi="宋体" w:cs="宋体"/>
                <w:color w:val="auto"/>
                <w:sz w:val="24"/>
                <w:szCs w:val="24"/>
                <w:highlight w:val="none"/>
              </w:rPr>
            </w:pPr>
          </w:p>
        </w:tc>
        <w:tc>
          <w:tcPr>
            <w:tcW w:w="5925" w:type="dxa"/>
            <w:noWrap/>
          </w:tcPr>
          <w:p w14:paraId="3217EF49">
            <w:pPr>
              <w:spacing w:line="360" w:lineRule="auto"/>
              <w:rPr>
                <w:rFonts w:ascii="宋体" w:hAnsi="宋体" w:cs="宋体"/>
                <w:bCs/>
                <w:color w:val="auto"/>
                <w:sz w:val="24"/>
                <w:szCs w:val="24"/>
                <w:highlight w:val="none"/>
              </w:rPr>
            </w:pPr>
            <w:r>
              <w:rPr>
                <w:rFonts w:hint="eastAsia" w:ascii="宋体" w:hAnsi="宋体" w:cs="宋体"/>
                <w:b/>
                <w:color w:val="auto"/>
                <w:sz w:val="24"/>
                <w:szCs w:val="24"/>
                <w:highlight w:val="none"/>
              </w:rPr>
              <w:t>★</w:t>
            </w:r>
            <w:r>
              <w:rPr>
                <w:rFonts w:hint="eastAsia" w:ascii="宋体" w:hAnsi="宋体" w:cs="宋体"/>
                <w:b/>
                <w:color w:val="auto"/>
                <w:sz w:val="24"/>
                <w:szCs w:val="24"/>
                <w:highlight w:val="none"/>
                <w:lang w:val="en-US" w:eastAsia="zh-CN"/>
              </w:rPr>
              <w:t>满足</w:t>
            </w:r>
            <w:r>
              <w:rPr>
                <w:rFonts w:hint="eastAsia" w:ascii="宋体" w:hAnsi="宋体" w:cs="宋体"/>
                <w:b/>
                <w:color w:val="auto"/>
                <w:sz w:val="24"/>
                <w:szCs w:val="24"/>
                <w:highlight w:val="none"/>
              </w:rPr>
              <w:t>HYGON 3350 3.0G 8C 16T；16GB DDR4 3200 UDIMM；固态硬盘≥1TB；≥RTXA400 4GB G6 64b 4mDP HP；</w:t>
            </w:r>
          </w:p>
        </w:tc>
      </w:tr>
      <w:tr w14:paraId="1673B3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ign w:val="center"/>
          </w:tcPr>
          <w:p w14:paraId="22A407E2">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38</w:t>
            </w:r>
          </w:p>
        </w:tc>
        <w:tc>
          <w:tcPr>
            <w:tcW w:w="696" w:type="dxa"/>
            <w:noWrap/>
          </w:tcPr>
          <w:p w14:paraId="2FF97F10">
            <w:pPr>
              <w:spacing w:line="360" w:lineRule="auto"/>
              <w:jc w:val="center"/>
              <w:rPr>
                <w:rFonts w:ascii="宋体" w:hAnsi="宋体" w:cs="宋体"/>
                <w:color w:val="auto"/>
                <w:sz w:val="24"/>
                <w:szCs w:val="24"/>
                <w:highlight w:val="none"/>
              </w:rPr>
            </w:pPr>
          </w:p>
        </w:tc>
        <w:tc>
          <w:tcPr>
            <w:tcW w:w="1422" w:type="dxa"/>
            <w:noWrap/>
          </w:tcPr>
          <w:p w14:paraId="058841FE">
            <w:pPr>
              <w:spacing w:line="360" w:lineRule="auto"/>
              <w:jc w:val="center"/>
              <w:rPr>
                <w:rFonts w:ascii="宋体" w:hAnsi="宋体" w:cs="宋体"/>
                <w:color w:val="auto"/>
                <w:sz w:val="24"/>
                <w:szCs w:val="24"/>
                <w:highlight w:val="none"/>
              </w:rPr>
            </w:pPr>
          </w:p>
        </w:tc>
        <w:tc>
          <w:tcPr>
            <w:tcW w:w="5925" w:type="dxa"/>
            <w:noWrap/>
          </w:tcPr>
          <w:p w14:paraId="759CCFAC">
            <w:pPr>
              <w:adjustRightInd w:val="0"/>
              <w:snapToGrid w:val="0"/>
              <w:spacing w:line="360" w:lineRule="auto"/>
              <w:rPr>
                <w:rFonts w:ascii="宋体" w:hAnsi="宋体" w:cs="宋体"/>
                <w:bCs/>
                <w:color w:val="auto"/>
                <w:sz w:val="24"/>
                <w:szCs w:val="24"/>
                <w:highlight w:val="none"/>
              </w:rPr>
            </w:pPr>
            <w:r>
              <w:rPr>
                <w:rFonts w:hint="eastAsia" w:ascii="宋体" w:hAnsi="宋体" w:cs="宋体"/>
                <w:b/>
                <w:color w:val="auto"/>
                <w:sz w:val="24"/>
                <w:szCs w:val="24"/>
                <w:highlight w:val="none"/>
              </w:rPr>
              <w:t>13）★具备对终端端口进行分类控制，包括但不限于控制 USB 存储接口、各类驱动器接口等；具备大数据展示。可展示包括但不限于资产统计、设备详情、日志、系统使用情况等信息。（须提供所投产品软件功能截图）。</w:t>
            </w:r>
          </w:p>
        </w:tc>
      </w:tr>
      <w:tr w14:paraId="38AF4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ign w:val="center"/>
          </w:tcPr>
          <w:p w14:paraId="2186197C">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39</w:t>
            </w:r>
          </w:p>
        </w:tc>
        <w:tc>
          <w:tcPr>
            <w:tcW w:w="696" w:type="dxa"/>
            <w:noWrap/>
          </w:tcPr>
          <w:p w14:paraId="6296DB80">
            <w:pPr>
              <w:spacing w:line="360" w:lineRule="auto"/>
              <w:jc w:val="center"/>
              <w:rPr>
                <w:rFonts w:ascii="宋体" w:hAnsi="宋体" w:cs="宋体"/>
                <w:color w:val="auto"/>
                <w:sz w:val="24"/>
                <w:szCs w:val="24"/>
                <w:highlight w:val="none"/>
              </w:rPr>
            </w:pPr>
          </w:p>
        </w:tc>
        <w:tc>
          <w:tcPr>
            <w:tcW w:w="1422" w:type="dxa"/>
            <w:noWrap/>
          </w:tcPr>
          <w:p w14:paraId="7BD3733D">
            <w:pPr>
              <w:spacing w:line="360" w:lineRule="auto"/>
              <w:jc w:val="center"/>
              <w:rPr>
                <w:rFonts w:ascii="宋体" w:hAnsi="宋体" w:cs="宋体"/>
                <w:color w:val="auto"/>
                <w:sz w:val="24"/>
                <w:szCs w:val="24"/>
                <w:highlight w:val="none"/>
              </w:rPr>
            </w:pPr>
          </w:p>
        </w:tc>
        <w:tc>
          <w:tcPr>
            <w:tcW w:w="5925" w:type="dxa"/>
            <w:noWrap/>
          </w:tcPr>
          <w:p w14:paraId="7F482424">
            <w:pPr>
              <w:spacing w:line="360" w:lineRule="auto"/>
              <w:rPr>
                <w:rFonts w:ascii="宋体" w:hAnsi="宋体" w:cs="宋体"/>
                <w:bCs/>
                <w:color w:val="auto"/>
                <w:sz w:val="24"/>
                <w:szCs w:val="24"/>
                <w:highlight w:val="none"/>
              </w:rPr>
            </w:pPr>
            <w:r>
              <w:rPr>
                <w:rFonts w:hint="eastAsia" w:ascii="宋体" w:hAnsi="宋体" w:cs="宋体"/>
                <w:b/>
                <w:bCs/>
                <w:color w:val="auto"/>
                <w:sz w:val="24"/>
                <w:szCs w:val="24"/>
                <w:highlight w:val="none"/>
              </w:rPr>
              <w:t>★</w:t>
            </w:r>
            <w:r>
              <w:rPr>
                <w:rFonts w:hint="eastAsia" w:ascii="宋体" w:hAnsi="宋体" w:cs="宋体"/>
                <w:b/>
                <w:color w:val="auto"/>
                <w:sz w:val="24"/>
                <w:szCs w:val="24"/>
                <w:highlight w:val="none"/>
                <w:lang w:val="en-US" w:eastAsia="zh-CN"/>
              </w:rPr>
              <w:t>满足</w:t>
            </w:r>
            <w:r>
              <w:rPr>
                <w:rFonts w:hint="eastAsia" w:ascii="宋体" w:hAnsi="宋体" w:cs="宋体"/>
                <w:b/>
                <w:bCs/>
                <w:color w:val="auto"/>
                <w:sz w:val="24"/>
                <w:szCs w:val="24"/>
                <w:highlight w:val="none"/>
              </w:rPr>
              <w:t>HYGON 3350 3.0G 8C 16T；32GB DDR4 3200 UDIMM；固态硬盘≥1TB ；≥RTX3060 6GB G6 96b DVI+H+DP HP；</w:t>
            </w:r>
          </w:p>
        </w:tc>
      </w:tr>
      <w:tr w14:paraId="7CE1F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ign w:val="center"/>
          </w:tcPr>
          <w:p w14:paraId="135CBEBF">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40</w:t>
            </w:r>
          </w:p>
        </w:tc>
        <w:tc>
          <w:tcPr>
            <w:tcW w:w="696" w:type="dxa"/>
            <w:noWrap/>
          </w:tcPr>
          <w:p w14:paraId="2DD364AD">
            <w:pPr>
              <w:spacing w:line="360" w:lineRule="auto"/>
              <w:jc w:val="center"/>
              <w:rPr>
                <w:rFonts w:ascii="宋体" w:hAnsi="宋体" w:cs="宋体"/>
                <w:color w:val="auto"/>
                <w:sz w:val="24"/>
                <w:szCs w:val="24"/>
                <w:highlight w:val="none"/>
              </w:rPr>
            </w:pPr>
          </w:p>
        </w:tc>
        <w:tc>
          <w:tcPr>
            <w:tcW w:w="1422" w:type="dxa"/>
            <w:noWrap/>
          </w:tcPr>
          <w:p w14:paraId="0D087130">
            <w:pPr>
              <w:spacing w:line="360" w:lineRule="auto"/>
              <w:jc w:val="center"/>
              <w:rPr>
                <w:rFonts w:ascii="宋体" w:hAnsi="宋体" w:cs="宋体"/>
                <w:color w:val="auto"/>
                <w:sz w:val="24"/>
                <w:szCs w:val="24"/>
                <w:highlight w:val="none"/>
              </w:rPr>
            </w:pPr>
          </w:p>
        </w:tc>
        <w:tc>
          <w:tcPr>
            <w:tcW w:w="5925" w:type="dxa"/>
            <w:noWrap/>
          </w:tcPr>
          <w:p w14:paraId="2C9425C0">
            <w:pPr>
              <w:spacing w:line="360" w:lineRule="auto"/>
              <w:rPr>
                <w:rFonts w:ascii="宋体" w:hAnsi="宋体" w:cs="宋体"/>
                <w:b/>
                <w:bCs/>
                <w:color w:val="auto"/>
                <w:sz w:val="24"/>
                <w:szCs w:val="24"/>
                <w:highlight w:val="none"/>
              </w:rPr>
            </w:pPr>
            <w:r>
              <w:rPr>
                <w:rFonts w:hint="eastAsia" w:ascii="宋体" w:hAnsi="宋体" w:cs="宋体"/>
                <w:b/>
                <w:bCs/>
                <w:color w:val="auto"/>
                <w:spacing w:val="4"/>
                <w:sz w:val="24"/>
                <w:szCs w:val="24"/>
                <w:highlight w:val="none"/>
              </w:rPr>
              <w:t>★</w:t>
            </w:r>
            <w:r>
              <w:rPr>
                <w:rFonts w:hint="eastAsia" w:ascii="宋体" w:hAnsi="宋体" w:cs="宋体"/>
                <w:b/>
                <w:bCs/>
                <w:color w:val="auto"/>
                <w:sz w:val="24"/>
                <w:szCs w:val="24"/>
                <w:highlight w:val="none"/>
              </w:rPr>
              <w:t>备注：</w:t>
            </w:r>
          </w:p>
          <w:p w14:paraId="6BEFFDC5">
            <w:pPr>
              <w:numPr>
                <w:ilvl w:val="0"/>
                <w:numId w:val="1"/>
              </w:numPr>
              <w:spacing w:line="360" w:lineRule="auto"/>
              <w:rPr>
                <w:rFonts w:ascii="宋体" w:hAnsi="宋体" w:cs="宋体"/>
                <w:b/>
                <w:bCs/>
                <w:color w:val="auto"/>
                <w:spacing w:val="4"/>
                <w:sz w:val="24"/>
                <w:highlight w:val="none"/>
              </w:rPr>
            </w:pPr>
            <w:r>
              <w:rPr>
                <w:rFonts w:hint="eastAsia" w:ascii="宋体" w:hAnsi="宋体" w:cs="宋体"/>
                <w:b/>
                <w:bCs/>
                <w:color w:val="auto"/>
                <w:spacing w:val="4"/>
                <w:sz w:val="24"/>
                <w:highlight w:val="none"/>
              </w:rPr>
              <w:t>投标人需承诺：所投产品CPU和操作系统等关键部件应当符合安全可靠测评要求。所投产品需满足财政部《台式计算机政府采购需求标准》、《工作站政府采购需求标准》中规定的其他*内容。提供书面承诺函，格式自拟。</w:t>
            </w:r>
          </w:p>
          <w:p w14:paraId="46E47C41">
            <w:pPr>
              <w:numPr>
                <w:ilvl w:val="255"/>
                <w:numId w:val="0"/>
              </w:numPr>
              <w:spacing w:line="360" w:lineRule="auto"/>
              <w:rPr>
                <w:rFonts w:ascii="宋体" w:hAnsi="宋体" w:cs="宋体"/>
                <w:b/>
                <w:bCs/>
                <w:color w:val="auto"/>
                <w:spacing w:val="4"/>
                <w:sz w:val="24"/>
                <w:highlight w:val="none"/>
              </w:rPr>
            </w:pPr>
            <w:r>
              <w:rPr>
                <w:rFonts w:hint="eastAsia" w:ascii="宋体" w:hAnsi="宋体" w:cs="宋体"/>
                <w:b/>
                <w:bCs/>
                <w:color w:val="auto"/>
                <w:spacing w:val="4"/>
                <w:sz w:val="24"/>
                <w:highlight w:val="none"/>
              </w:rPr>
              <w:t>2、响应的台式计算机需通过节能认证，投标人必须提供节能认证证书的扫描件。</w:t>
            </w:r>
          </w:p>
          <w:p w14:paraId="3D48E2C5">
            <w:pPr>
              <w:spacing w:line="360" w:lineRule="auto"/>
              <w:rPr>
                <w:rFonts w:ascii="宋体" w:hAnsi="宋体" w:cs="宋体"/>
                <w:bCs/>
                <w:color w:val="auto"/>
                <w:sz w:val="24"/>
                <w:szCs w:val="24"/>
                <w:highlight w:val="none"/>
              </w:rPr>
            </w:pPr>
            <w:r>
              <w:rPr>
                <w:rFonts w:hint="eastAsia" w:ascii="宋体" w:hAnsi="宋体" w:cs="宋体"/>
                <w:b/>
                <w:bCs/>
                <w:color w:val="auto"/>
                <w:spacing w:val="4"/>
                <w:sz w:val="24"/>
                <w:szCs w:val="24"/>
                <w:highlight w:val="none"/>
              </w:rPr>
              <w:t>3、针对“三、</w:t>
            </w:r>
            <w:r>
              <w:rPr>
                <w:rFonts w:hint="eastAsia" w:ascii="宋体" w:hAnsi="宋体" w:cs="宋体"/>
                <w:b/>
                <w:bCs/>
                <w:color w:val="auto"/>
                <w:sz w:val="24"/>
                <w:szCs w:val="24"/>
                <w:highlight w:val="none"/>
              </w:rPr>
              <w:t>技术规格及要求”中</w:t>
            </w:r>
            <w:r>
              <w:rPr>
                <w:rFonts w:hint="eastAsia" w:ascii="宋体" w:hAnsi="宋体" w:cs="宋体"/>
                <w:b/>
                <w:bCs/>
                <w:color w:val="auto"/>
                <w:spacing w:val="4"/>
                <w:sz w:val="24"/>
                <w:szCs w:val="24"/>
                <w:highlight w:val="none"/>
              </w:rPr>
              <w:t>带星号（“</w:t>
            </w:r>
            <w:r>
              <w:rPr>
                <w:rFonts w:hint="eastAsia" w:ascii="宋体" w:hAnsi="宋体" w:cs="宋体"/>
                <w:b/>
                <w:bCs/>
                <w:color w:val="auto"/>
                <w:sz w:val="24"/>
                <w:szCs w:val="24"/>
                <w:highlight w:val="none"/>
              </w:rPr>
              <w:t>★</w:t>
            </w:r>
            <w:r>
              <w:rPr>
                <w:rFonts w:hint="eastAsia" w:ascii="宋体" w:hAnsi="宋体" w:cs="宋体"/>
                <w:b/>
                <w:bCs/>
                <w:color w:val="auto"/>
                <w:spacing w:val="4"/>
                <w:sz w:val="24"/>
                <w:szCs w:val="24"/>
                <w:highlight w:val="none"/>
              </w:rPr>
              <w:t>”）的技术条款，若未明确证明材料的，投标人必须在投标文件中提供产品彩页或DATA SHEET或产品样本或说明书或检测机构出具的检测报告扫描件予以证明（加盖投标人公章）。</w:t>
            </w:r>
          </w:p>
        </w:tc>
      </w:tr>
      <w:tr w14:paraId="4B222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ign w:val="center"/>
          </w:tcPr>
          <w:p w14:paraId="0D7DE5C6">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41</w:t>
            </w:r>
          </w:p>
        </w:tc>
        <w:tc>
          <w:tcPr>
            <w:tcW w:w="696" w:type="dxa"/>
            <w:noWrap/>
          </w:tcPr>
          <w:p w14:paraId="5755F4E0">
            <w:pPr>
              <w:spacing w:line="360" w:lineRule="auto"/>
              <w:jc w:val="center"/>
              <w:rPr>
                <w:rFonts w:ascii="宋体" w:hAnsi="宋体" w:cs="宋体"/>
                <w:color w:val="auto"/>
                <w:sz w:val="24"/>
                <w:szCs w:val="24"/>
                <w:highlight w:val="none"/>
              </w:rPr>
            </w:pPr>
          </w:p>
        </w:tc>
        <w:tc>
          <w:tcPr>
            <w:tcW w:w="1422" w:type="dxa"/>
            <w:noWrap/>
          </w:tcPr>
          <w:p w14:paraId="56219253">
            <w:pPr>
              <w:spacing w:line="360" w:lineRule="auto"/>
              <w:jc w:val="center"/>
              <w:rPr>
                <w:rFonts w:ascii="宋体" w:hAnsi="宋体" w:cs="宋体"/>
                <w:color w:val="auto"/>
                <w:sz w:val="24"/>
                <w:szCs w:val="24"/>
                <w:highlight w:val="none"/>
              </w:rPr>
            </w:pPr>
          </w:p>
        </w:tc>
        <w:tc>
          <w:tcPr>
            <w:tcW w:w="5925" w:type="dxa"/>
            <w:noWrap/>
          </w:tcPr>
          <w:p w14:paraId="014881D6">
            <w:pPr>
              <w:spacing w:line="360" w:lineRule="auto"/>
              <w:rPr>
                <w:rFonts w:ascii="宋体" w:hAnsi="宋体" w:cs="宋体"/>
                <w:b/>
                <w:bCs/>
                <w:color w:val="auto"/>
                <w:spacing w:val="4"/>
                <w:sz w:val="24"/>
                <w:szCs w:val="24"/>
                <w:highlight w:val="none"/>
              </w:rPr>
            </w:pPr>
            <w:r>
              <w:rPr>
                <w:rFonts w:hint="eastAsia" w:ascii="宋体" w:hAnsi="宋体" w:cs="宋体"/>
                <w:color w:val="auto"/>
                <w:sz w:val="24"/>
                <w:szCs w:val="24"/>
                <w:highlight w:val="none"/>
              </w:rPr>
              <w:t>★</w:t>
            </w:r>
            <w:r>
              <w:rPr>
                <w:rFonts w:hint="eastAsia" w:ascii="宋体" w:hAnsi="宋体" w:cs="宋体"/>
                <w:b/>
                <w:color w:val="auto"/>
                <w:sz w:val="24"/>
                <w:szCs w:val="24"/>
                <w:highlight w:val="none"/>
              </w:rPr>
              <w:t>1、投标人应提供产品及其配置清单（含数量、品 牌、规格、型号）、价格、主要技术参数、性能说明及功能介绍等，提供的产品必须为原厂原装，若为软件应为正版软件且应符合我国现行有关标准以及相关法律法规及行业的强制性要求；且投标人应同时提供书面承诺，格式自拟：“如后续供货、验收时发现所提供的产品不符合上述要求的，视为中标供应商构成根本违约，采购单位有权提前解除合同并追究中标供应商的相关责任（包括但不限于不退还履约保证金，并要求中标供应商支付采购合同价款总额30%的违约金）；如在产品已经投入使用后才发现其不符合上述要求的，采购单位仍有权解除合同，按照前述约定追究中标供应商的相关责任，并要求中标供应商全额退还已收合同价款。”</w:t>
            </w:r>
          </w:p>
        </w:tc>
      </w:tr>
      <w:tr w14:paraId="3BEF2F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ign w:val="center"/>
          </w:tcPr>
          <w:p w14:paraId="12D16E27">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42</w:t>
            </w:r>
          </w:p>
        </w:tc>
        <w:tc>
          <w:tcPr>
            <w:tcW w:w="696" w:type="dxa"/>
            <w:noWrap/>
          </w:tcPr>
          <w:p w14:paraId="7EA30C89">
            <w:pPr>
              <w:spacing w:line="360" w:lineRule="auto"/>
              <w:jc w:val="center"/>
              <w:rPr>
                <w:rFonts w:ascii="宋体" w:hAnsi="宋体" w:cs="宋体"/>
                <w:color w:val="auto"/>
                <w:sz w:val="24"/>
                <w:szCs w:val="24"/>
                <w:highlight w:val="none"/>
              </w:rPr>
            </w:pPr>
          </w:p>
        </w:tc>
        <w:tc>
          <w:tcPr>
            <w:tcW w:w="1422" w:type="dxa"/>
            <w:noWrap/>
          </w:tcPr>
          <w:p w14:paraId="056D2E35">
            <w:pPr>
              <w:spacing w:line="360" w:lineRule="auto"/>
              <w:jc w:val="center"/>
              <w:rPr>
                <w:rFonts w:ascii="宋体" w:hAnsi="宋体" w:cs="宋体"/>
                <w:color w:val="auto"/>
                <w:sz w:val="24"/>
                <w:szCs w:val="24"/>
                <w:highlight w:val="none"/>
              </w:rPr>
            </w:pPr>
          </w:p>
        </w:tc>
        <w:tc>
          <w:tcPr>
            <w:tcW w:w="5925" w:type="dxa"/>
            <w:noWrap/>
          </w:tcPr>
          <w:p w14:paraId="7F5B85BA">
            <w:pPr>
              <w:spacing w:line="360" w:lineRule="auto"/>
              <w:rPr>
                <w:rFonts w:ascii="宋体" w:hAnsi="宋体" w:cs="宋体"/>
                <w:b/>
                <w:bCs/>
                <w:color w:val="auto"/>
                <w:spacing w:val="4"/>
                <w:sz w:val="24"/>
                <w:szCs w:val="24"/>
                <w:highlight w:val="none"/>
              </w:rPr>
            </w:pPr>
            <w:r>
              <w:rPr>
                <w:rFonts w:hint="eastAsia" w:ascii="宋体" w:hAnsi="宋体" w:cs="宋体"/>
                <w:color w:val="auto"/>
                <w:sz w:val="24"/>
                <w:szCs w:val="24"/>
                <w:highlight w:val="none"/>
              </w:rPr>
              <w:t>★</w:t>
            </w:r>
            <w:r>
              <w:rPr>
                <w:rFonts w:hint="eastAsia" w:ascii="宋体" w:hAnsi="宋体" w:cs="宋体"/>
                <w:b/>
                <w:bCs/>
                <w:color w:val="auto"/>
                <w:sz w:val="24"/>
                <w:szCs w:val="24"/>
                <w:highlight w:val="none"/>
              </w:rPr>
              <w:t>8.2、质保期：（软硬件产品）质保期自验收合格之日起计算“整机3年原厂保修”，质保期内中标供应商应免费提供包括但不限于因投标货物本身缺陷所导致故障的技术服务和设备维修、部件更换、维护保养，所需的费用应包含在报价中。（投标人需在投标文件中响应满足上述条款要求）</w:t>
            </w:r>
          </w:p>
        </w:tc>
      </w:tr>
      <w:tr w14:paraId="64476D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ign w:val="center"/>
          </w:tcPr>
          <w:p w14:paraId="16E07BC4">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43</w:t>
            </w:r>
          </w:p>
        </w:tc>
        <w:tc>
          <w:tcPr>
            <w:tcW w:w="696" w:type="dxa"/>
            <w:noWrap/>
          </w:tcPr>
          <w:p w14:paraId="09BFC4C2">
            <w:pPr>
              <w:spacing w:line="360" w:lineRule="auto"/>
              <w:jc w:val="center"/>
              <w:rPr>
                <w:rFonts w:ascii="宋体" w:hAnsi="宋体" w:cs="宋体"/>
                <w:color w:val="auto"/>
                <w:sz w:val="24"/>
                <w:szCs w:val="24"/>
                <w:highlight w:val="none"/>
              </w:rPr>
            </w:pPr>
          </w:p>
        </w:tc>
        <w:tc>
          <w:tcPr>
            <w:tcW w:w="1422" w:type="dxa"/>
            <w:noWrap/>
          </w:tcPr>
          <w:p w14:paraId="3937FCCF">
            <w:pPr>
              <w:spacing w:line="360" w:lineRule="auto"/>
              <w:jc w:val="center"/>
              <w:rPr>
                <w:rFonts w:ascii="宋体" w:hAnsi="宋体" w:cs="宋体"/>
                <w:color w:val="auto"/>
                <w:sz w:val="24"/>
                <w:szCs w:val="24"/>
                <w:highlight w:val="none"/>
              </w:rPr>
            </w:pPr>
          </w:p>
        </w:tc>
        <w:tc>
          <w:tcPr>
            <w:tcW w:w="5925" w:type="dxa"/>
            <w:noWrap/>
          </w:tcPr>
          <w:p w14:paraId="403B70F5">
            <w:pPr>
              <w:spacing w:line="360" w:lineRule="auto"/>
              <w:rPr>
                <w:rFonts w:ascii="宋体" w:hAnsi="宋体" w:cs="宋体"/>
                <w:b/>
                <w:bCs/>
                <w:color w:val="auto"/>
                <w:spacing w:val="4"/>
                <w:sz w:val="24"/>
                <w:szCs w:val="24"/>
                <w:highlight w:val="none"/>
              </w:rPr>
            </w:pPr>
            <w:r>
              <w:rPr>
                <w:rFonts w:hint="eastAsia" w:ascii="宋体" w:hAnsi="宋体" w:cs="宋体"/>
                <w:color w:val="auto"/>
                <w:sz w:val="24"/>
                <w:szCs w:val="24"/>
                <w:highlight w:val="none"/>
              </w:rPr>
              <w:t>★</w:t>
            </w:r>
            <w:r>
              <w:rPr>
                <w:rFonts w:hint="eastAsia" w:ascii="宋体" w:hAnsi="宋体" w:cs="宋体"/>
                <w:b/>
                <w:bCs/>
                <w:color w:val="auto"/>
                <w:sz w:val="24"/>
                <w:szCs w:val="24"/>
                <w:highlight w:val="none"/>
              </w:rPr>
              <w:t>9</w:t>
            </w:r>
            <w:r>
              <w:rPr>
                <w:rFonts w:hint="eastAsia" w:ascii="宋体" w:hAnsi="宋体" w:cs="宋体"/>
                <w:color w:val="auto"/>
                <w:sz w:val="24"/>
                <w:szCs w:val="24"/>
                <w:highlight w:val="none"/>
              </w:rPr>
              <w:t>.</w:t>
            </w:r>
            <w:r>
              <w:rPr>
                <w:rFonts w:hint="eastAsia" w:ascii="宋体" w:hAnsi="宋体" w:cs="宋体"/>
                <w:b/>
                <w:color w:val="auto"/>
                <w:kern w:val="0"/>
                <w:sz w:val="24"/>
                <w:szCs w:val="24"/>
                <w:highlight w:val="none"/>
              </w:rPr>
              <w:t>5.</w:t>
            </w:r>
            <w:r>
              <w:rPr>
                <w:rFonts w:hint="eastAsia" w:ascii="宋体" w:hAnsi="宋体" w:cs="宋体"/>
                <w:b/>
                <w:color w:val="auto"/>
                <w:sz w:val="24"/>
                <w:szCs w:val="24"/>
                <w:highlight w:val="none"/>
              </w:rPr>
              <w:t>本</w:t>
            </w:r>
            <w:r>
              <w:rPr>
                <w:rFonts w:hint="eastAsia" w:ascii="宋体" w:hAnsi="宋体" w:cs="宋体"/>
                <w:b/>
                <w:color w:val="auto"/>
                <w:spacing w:val="4"/>
                <w:sz w:val="24"/>
                <w:szCs w:val="24"/>
                <w:highlight w:val="none"/>
              </w:rPr>
              <w:t>项目的采购预算为人民币191万元，采购预算为总报价的最高限价，总报价超过采购预算的属无效投标。</w:t>
            </w:r>
          </w:p>
        </w:tc>
      </w:tr>
      <w:tr w14:paraId="7011F6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ign w:val="center"/>
          </w:tcPr>
          <w:p w14:paraId="4B836DD6">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44</w:t>
            </w:r>
          </w:p>
        </w:tc>
        <w:tc>
          <w:tcPr>
            <w:tcW w:w="696" w:type="dxa"/>
            <w:noWrap/>
          </w:tcPr>
          <w:p w14:paraId="22025D32">
            <w:pPr>
              <w:spacing w:line="360" w:lineRule="auto"/>
              <w:jc w:val="center"/>
              <w:rPr>
                <w:rFonts w:ascii="宋体" w:hAnsi="宋体" w:cs="宋体"/>
                <w:color w:val="auto"/>
                <w:sz w:val="24"/>
                <w:szCs w:val="24"/>
                <w:highlight w:val="none"/>
              </w:rPr>
            </w:pPr>
          </w:p>
        </w:tc>
        <w:tc>
          <w:tcPr>
            <w:tcW w:w="1422" w:type="dxa"/>
            <w:noWrap/>
          </w:tcPr>
          <w:p w14:paraId="57CC7B19">
            <w:pPr>
              <w:spacing w:line="360" w:lineRule="auto"/>
              <w:jc w:val="center"/>
              <w:rPr>
                <w:rFonts w:ascii="宋体" w:hAnsi="宋体" w:cs="宋体"/>
                <w:color w:val="auto"/>
                <w:sz w:val="24"/>
                <w:szCs w:val="24"/>
                <w:highlight w:val="none"/>
              </w:rPr>
            </w:pPr>
          </w:p>
        </w:tc>
        <w:tc>
          <w:tcPr>
            <w:tcW w:w="5925" w:type="dxa"/>
            <w:noWrap/>
          </w:tcPr>
          <w:p w14:paraId="01C82C3E">
            <w:pPr>
              <w:spacing w:line="360" w:lineRule="auto"/>
              <w:rPr>
                <w:rFonts w:ascii="宋体" w:hAnsi="宋体" w:cs="宋体"/>
                <w:b/>
                <w:bCs/>
                <w:color w:val="auto"/>
                <w:spacing w:val="4"/>
                <w:sz w:val="24"/>
                <w:szCs w:val="24"/>
                <w:highlight w:val="none"/>
              </w:rPr>
            </w:pPr>
            <w:r>
              <w:rPr>
                <w:rFonts w:hint="eastAsia" w:ascii="宋体" w:hAnsi="宋体" w:cs="宋体"/>
                <w:color w:val="auto"/>
                <w:sz w:val="24"/>
                <w:szCs w:val="24"/>
                <w:highlight w:val="none"/>
              </w:rPr>
              <w:t>★</w:t>
            </w:r>
            <w:r>
              <w:rPr>
                <w:rFonts w:hint="eastAsia" w:ascii="宋体" w:hAnsi="宋体" w:cs="宋体"/>
                <w:b/>
                <w:color w:val="auto"/>
                <w:sz w:val="24"/>
                <w:szCs w:val="24"/>
                <w:highlight w:val="none"/>
              </w:rPr>
              <w:t>10.1、投标人须提供书面承诺函，格式自拟：“我司未挂靠、借用资质或提供虚假材料参加本项目的投标，未与其他投标供应商或采购代理机构相互串通，如我司中标，不违规转包或分包。一经发现，采购单位有权取消我司的中标资格，或决定中标无效，或提前解除合同,并追究我司相关责任。”</w:t>
            </w:r>
          </w:p>
        </w:tc>
      </w:tr>
    </w:tbl>
    <w:p w14:paraId="2752BD5A">
      <w:pPr>
        <w:spacing w:line="360" w:lineRule="auto"/>
        <w:rPr>
          <w:rFonts w:ascii="宋体" w:hAnsi="宋体" w:cs="宋体"/>
          <w:bCs/>
          <w:color w:val="auto"/>
          <w:sz w:val="24"/>
          <w:szCs w:val="24"/>
          <w:highlight w:val="none"/>
        </w:rPr>
      </w:pPr>
      <w:r>
        <w:rPr>
          <w:rFonts w:hint="eastAsia" w:ascii="宋体" w:hAnsi="宋体" w:cs="宋体"/>
          <w:bCs/>
          <w:color w:val="auto"/>
          <w:sz w:val="24"/>
          <w:szCs w:val="24"/>
          <w:highlight w:val="none"/>
        </w:rPr>
        <w:t>备注：由于编排顺序混乱而导致投标文件被误读或漏读，该投标人的投标可能被视为无效投标或承担不利的评标结果。</w:t>
      </w:r>
    </w:p>
    <w:p w14:paraId="36A28833">
      <w:pPr>
        <w:spacing w:line="360" w:lineRule="auto"/>
        <w:rPr>
          <w:rFonts w:ascii="宋体" w:hAnsi="宋体" w:cs="宋体"/>
          <w:bCs/>
          <w:color w:val="auto"/>
          <w:sz w:val="24"/>
          <w:szCs w:val="24"/>
          <w:highlight w:val="none"/>
        </w:rPr>
      </w:pPr>
    </w:p>
    <w:p w14:paraId="01216AF7">
      <w:pPr>
        <w:pStyle w:val="2"/>
        <w:rPr>
          <w:bCs/>
          <w:color w:val="auto"/>
          <w:highlight w:val="none"/>
        </w:rPr>
      </w:pPr>
    </w:p>
    <w:p w14:paraId="20A55935">
      <w:pPr>
        <w:pStyle w:val="2"/>
        <w:rPr>
          <w:bCs/>
          <w:color w:val="auto"/>
          <w:highlight w:val="none"/>
        </w:rPr>
      </w:pPr>
    </w:p>
    <w:p w14:paraId="076390DF">
      <w:pPr>
        <w:pStyle w:val="2"/>
        <w:rPr>
          <w:bCs/>
          <w:color w:val="auto"/>
          <w:highlight w:val="none"/>
        </w:rPr>
      </w:pPr>
    </w:p>
    <w:p w14:paraId="11CCFBE5">
      <w:pPr>
        <w:pStyle w:val="2"/>
        <w:rPr>
          <w:bCs/>
          <w:color w:val="auto"/>
          <w:highlight w:val="none"/>
        </w:rPr>
      </w:pPr>
    </w:p>
    <w:p w14:paraId="7C7217B3">
      <w:pPr>
        <w:pStyle w:val="2"/>
        <w:rPr>
          <w:bCs/>
          <w:color w:val="auto"/>
          <w:highlight w:val="none"/>
        </w:rPr>
      </w:pPr>
    </w:p>
    <w:p w14:paraId="2D937769">
      <w:pPr>
        <w:pStyle w:val="2"/>
        <w:rPr>
          <w:bCs/>
          <w:color w:val="auto"/>
          <w:highlight w:val="none"/>
        </w:rPr>
      </w:pPr>
    </w:p>
    <w:p w14:paraId="5C1866E5">
      <w:pPr>
        <w:pStyle w:val="2"/>
        <w:rPr>
          <w:bCs/>
          <w:color w:val="auto"/>
          <w:highlight w:val="none"/>
        </w:rPr>
      </w:pPr>
    </w:p>
    <w:p w14:paraId="14C42828">
      <w:pPr>
        <w:pStyle w:val="2"/>
        <w:rPr>
          <w:bCs/>
          <w:color w:val="auto"/>
          <w:highlight w:val="none"/>
        </w:rPr>
      </w:pPr>
    </w:p>
    <w:p w14:paraId="60201123">
      <w:pPr>
        <w:pStyle w:val="2"/>
        <w:rPr>
          <w:bCs/>
          <w:color w:val="auto"/>
          <w:highlight w:val="none"/>
        </w:rPr>
      </w:pPr>
    </w:p>
    <w:p w14:paraId="54220C29">
      <w:pPr>
        <w:pStyle w:val="2"/>
        <w:rPr>
          <w:bCs/>
          <w:color w:val="auto"/>
          <w:highlight w:val="none"/>
        </w:rPr>
      </w:pPr>
    </w:p>
    <w:p w14:paraId="16FF0E5A">
      <w:pPr>
        <w:pStyle w:val="2"/>
        <w:rPr>
          <w:bCs/>
          <w:color w:val="auto"/>
          <w:highlight w:val="none"/>
        </w:rPr>
      </w:pPr>
    </w:p>
    <w:p w14:paraId="3C01764D">
      <w:pPr>
        <w:pStyle w:val="2"/>
        <w:rPr>
          <w:bCs/>
          <w:color w:val="auto"/>
          <w:highlight w:val="none"/>
        </w:rPr>
      </w:pPr>
    </w:p>
    <w:p w14:paraId="08D75E10">
      <w:pPr>
        <w:pStyle w:val="2"/>
        <w:rPr>
          <w:bCs/>
          <w:color w:val="auto"/>
          <w:highlight w:val="none"/>
        </w:rPr>
      </w:pPr>
    </w:p>
    <w:p w14:paraId="13BF3D19">
      <w:pPr>
        <w:pStyle w:val="2"/>
        <w:rPr>
          <w:bCs/>
          <w:color w:val="auto"/>
          <w:highlight w:val="none"/>
        </w:rPr>
      </w:pPr>
    </w:p>
    <w:p w14:paraId="76713FB8">
      <w:pPr>
        <w:pStyle w:val="2"/>
        <w:rPr>
          <w:bCs/>
          <w:color w:val="auto"/>
          <w:highlight w:val="none"/>
        </w:rPr>
      </w:pPr>
    </w:p>
    <w:p w14:paraId="16BBE700">
      <w:pPr>
        <w:pStyle w:val="2"/>
        <w:rPr>
          <w:bCs/>
          <w:color w:val="auto"/>
          <w:highlight w:val="none"/>
        </w:rPr>
      </w:pPr>
    </w:p>
    <w:p w14:paraId="67147896">
      <w:pPr>
        <w:pStyle w:val="2"/>
        <w:rPr>
          <w:bCs/>
          <w:color w:val="auto"/>
          <w:highlight w:val="none"/>
        </w:rPr>
      </w:pPr>
    </w:p>
    <w:p w14:paraId="20533302">
      <w:pPr>
        <w:pStyle w:val="2"/>
        <w:rPr>
          <w:bCs/>
          <w:color w:val="auto"/>
          <w:highlight w:val="none"/>
        </w:rPr>
      </w:pPr>
    </w:p>
    <w:p w14:paraId="44986E32">
      <w:pPr>
        <w:spacing w:line="360" w:lineRule="auto"/>
        <w:rPr>
          <w:rFonts w:ascii="宋体" w:hAnsi="宋体" w:cs="宋体"/>
          <w:bCs/>
          <w:color w:val="auto"/>
          <w:sz w:val="24"/>
          <w:szCs w:val="24"/>
          <w:highlight w:val="none"/>
        </w:rPr>
      </w:pPr>
    </w:p>
    <w:p w14:paraId="1B6CE89C">
      <w:pPr>
        <w:spacing w:line="360" w:lineRule="auto"/>
        <w:ind w:firstLine="640" w:firstLineChars="200"/>
        <w:rPr>
          <w:rFonts w:ascii="宋体" w:hAnsi="宋体" w:cs="宋体"/>
          <w:b/>
          <w:color w:val="auto"/>
          <w:sz w:val="32"/>
          <w:szCs w:val="32"/>
          <w:highlight w:val="none"/>
          <w:u w:val="single"/>
        </w:rPr>
      </w:pPr>
      <w:r>
        <w:rPr>
          <w:rFonts w:hint="eastAsia" w:ascii="宋体" w:hAnsi="宋体" w:cs="宋体"/>
          <w:color w:val="auto"/>
          <w:sz w:val="32"/>
          <w:szCs w:val="32"/>
          <w:highlight w:val="none"/>
        </w:rPr>
        <w:t>投标人须知前附表3：评标方法、评标标准、定标原则</w:t>
      </w:r>
    </w:p>
    <w:tbl>
      <w:tblPr>
        <w:tblStyle w:val="16"/>
        <w:tblW w:w="0" w:type="auto"/>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00"/>
      </w:tblGrid>
      <w:tr w14:paraId="64775F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100" w:type="dxa"/>
            <w:tcBorders>
              <w:top w:val="single" w:color="auto" w:sz="4" w:space="0"/>
              <w:left w:val="single" w:color="auto" w:sz="4" w:space="0"/>
              <w:bottom w:val="single" w:color="auto" w:sz="4" w:space="0"/>
              <w:right w:val="single" w:color="auto" w:sz="4" w:space="0"/>
            </w:tcBorders>
            <w:noWrap/>
          </w:tcPr>
          <w:p w14:paraId="1C31E681">
            <w:pPr>
              <w:pStyle w:val="4"/>
              <w:numPr>
                <w:ilvl w:val="0"/>
                <w:numId w:val="2"/>
              </w:numPr>
              <w:snapToGrid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评标方法：</w:t>
            </w:r>
          </w:p>
          <w:p w14:paraId="6A23A970">
            <w:pPr>
              <w:pStyle w:val="4"/>
              <w:snapToGrid w:val="0"/>
              <w:spacing w:line="360" w:lineRule="auto"/>
              <w:ind w:left="480" w:firstLine="0"/>
              <w:rPr>
                <w:rFonts w:ascii="宋体" w:hAnsi="宋体" w:cs="宋体"/>
                <w:color w:val="auto"/>
                <w:sz w:val="24"/>
                <w:szCs w:val="24"/>
                <w:highlight w:val="none"/>
              </w:rPr>
            </w:pPr>
            <w:r>
              <w:rPr>
                <w:rFonts w:hint="eastAsia" w:ascii="宋体" w:hAnsi="宋体" w:cs="宋体"/>
                <w:b/>
                <w:color w:val="auto"/>
                <w:sz w:val="24"/>
                <w:szCs w:val="24"/>
                <w:highlight w:val="none"/>
              </w:rPr>
              <w:fldChar w:fldCharType="begin"/>
            </w:r>
            <w:r>
              <w:rPr>
                <w:rFonts w:hint="eastAsia" w:ascii="宋体" w:hAnsi="宋体" w:cs="宋体"/>
                <w:b/>
                <w:color w:val="auto"/>
                <w:sz w:val="24"/>
                <w:szCs w:val="24"/>
                <w:highlight w:val="none"/>
              </w:rPr>
              <w:instrText xml:space="preserve"> eq \o\ac(</w:instrText>
            </w:r>
            <w:r>
              <w:rPr>
                <w:rFonts w:hint="eastAsia" w:ascii="宋体" w:hAnsi="宋体" w:cs="宋体"/>
                <w:b/>
                <w:color w:val="auto"/>
                <w:position w:val="-4"/>
                <w:sz w:val="36"/>
                <w:szCs w:val="24"/>
                <w:highlight w:val="none"/>
              </w:rPr>
              <w:instrText xml:space="preserve">□</w:instrText>
            </w:r>
            <w:r>
              <w:rPr>
                <w:rFonts w:hint="eastAsia" w:ascii="宋体" w:hAnsi="宋体" w:cs="宋体"/>
                <w:b/>
                <w:color w:val="auto"/>
                <w:sz w:val="24"/>
                <w:szCs w:val="24"/>
                <w:highlight w:val="none"/>
              </w:rPr>
              <w:instrText xml:space="preserve">,√)</w:instrText>
            </w:r>
            <w:r>
              <w:rPr>
                <w:rFonts w:hint="eastAsia" w:ascii="宋体" w:hAnsi="宋体" w:cs="宋体"/>
                <w:b/>
                <w:color w:val="auto"/>
                <w:sz w:val="24"/>
                <w:szCs w:val="24"/>
                <w:highlight w:val="none"/>
              </w:rPr>
              <w:fldChar w:fldCharType="end"/>
            </w:r>
            <w:r>
              <w:rPr>
                <w:rFonts w:hint="eastAsia" w:ascii="宋体" w:hAnsi="宋体" w:cs="宋体"/>
                <w:color w:val="auto"/>
                <w:sz w:val="24"/>
                <w:szCs w:val="24"/>
                <w:highlight w:val="none"/>
              </w:rPr>
              <w:t xml:space="preserve">综合评分法  □ 最低评标价法  </w:t>
            </w:r>
          </w:p>
        </w:tc>
      </w:tr>
      <w:tr w14:paraId="3ACEAA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00" w:type="dxa"/>
            <w:tcBorders>
              <w:top w:val="single" w:color="auto" w:sz="4" w:space="0"/>
              <w:left w:val="single" w:color="auto" w:sz="4" w:space="0"/>
              <w:bottom w:val="single" w:color="auto" w:sz="4" w:space="0"/>
              <w:right w:val="single" w:color="auto" w:sz="4" w:space="0"/>
            </w:tcBorders>
            <w:noWrap/>
          </w:tcPr>
          <w:p w14:paraId="6CE96662">
            <w:pPr>
              <w:pStyle w:val="4"/>
              <w:snapToGrid w:val="0"/>
              <w:spacing w:line="360" w:lineRule="auto"/>
              <w:ind w:firstLine="0"/>
              <w:rPr>
                <w:rFonts w:ascii="宋体" w:hAnsi="宋体" w:cs="宋体"/>
                <w:color w:val="auto"/>
                <w:sz w:val="24"/>
                <w:szCs w:val="24"/>
                <w:highlight w:val="none"/>
              </w:rPr>
            </w:pPr>
            <w:r>
              <w:rPr>
                <w:rFonts w:hint="eastAsia" w:ascii="宋体" w:hAnsi="宋体" w:cs="宋体"/>
                <w:color w:val="auto"/>
                <w:sz w:val="24"/>
                <w:szCs w:val="24"/>
                <w:highlight w:val="none"/>
              </w:rPr>
              <w:t>二、评标标准：</w:t>
            </w:r>
          </w:p>
          <w:p w14:paraId="054287D9">
            <w:pPr>
              <w:pStyle w:val="4"/>
              <w:snapToGrid w:val="0"/>
              <w:spacing w:line="360" w:lineRule="auto"/>
              <w:ind w:firstLine="0"/>
              <w:rPr>
                <w:rFonts w:ascii="宋体" w:hAnsi="宋体" w:cs="宋体"/>
                <w:color w:val="auto"/>
                <w:sz w:val="24"/>
                <w:szCs w:val="24"/>
                <w:highlight w:val="none"/>
              </w:rPr>
            </w:pPr>
            <w:r>
              <w:rPr>
                <w:rFonts w:hint="eastAsia" w:ascii="宋体" w:hAnsi="宋体" w:cs="宋体"/>
                <w:color w:val="auto"/>
                <w:sz w:val="24"/>
                <w:szCs w:val="24"/>
                <w:highlight w:val="none"/>
              </w:rPr>
              <w:t>（一）具体的评标标准、权重。</w:t>
            </w:r>
          </w:p>
          <w:p w14:paraId="7C3B3C67">
            <w:pPr>
              <w:pStyle w:val="4"/>
              <w:snapToGrid w:val="0"/>
              <w:spacing w:line="360" w:lineRule="auto"/>
              <w:ind w:firstLine="720" w:firstLineChars="300"/>
              <w:rPr>
                <w:rFonts w:ascii="宋体" w:hAnsi="宋体" w:cs="宋体"/>
                <w:color w:val="auto"/>
                <w:sz w:val="24"/>
                <w:szCs w:val="24"/>
                <w:highlight w:val="none"/>
              </w:rPr>
            </w:pPr>
            <w:r>
              <w:rPr>
                <w:rFonts w:hint="eastAsia" w:ascii="宋体" w:hAnsi="宋体" w:cs="宋体"/>
                <w:color w:val="auto"/>
                <w:sz w:val="24"/>
                <w:szCs w:val="24"/>
                <w:highlight w:val="none"/>
              </w:rPr>
              <w:t>详见附件</w:t>
            </w:r>
          </w:p>
          <w:p w14:paraId="18373B10">
            <w:pPr>
              <w:pStyle w:val="4"/>
              <w:snapToGrid w:val="0"/>
              <w:spacing w:line="360" w:lineRule="auto"/>
              <w:ind w:firstLine="0"/>
              <w:rPr>
                <w:rFonts w:ascii="宋体" w:hAnsi="宋体" w:cs="宋体"/>
                <w:color w:val="auto"/>
                <w:sz w:val="24"/>
                <w:szCs w:val="24"/>
                <w:highlight w:val="none"/>
              </w:rPr>
            </w:pPr>
            <w:r>
              <w:rPr>
                <w:rFonts w:hint="eastAsia" w:ascii="宋体" w:hAnsi="宋体" w:cs="宋体"/>
                <w:color w:val="auto"/>
                <w:sz w:val="24"/>
                <w:szCs w:val="24"/>
                <w:highlight w:val="none"/>
              </w:rPr>
              <w:t>（二）推荐中标候选供应商名单。</w:t>
            </w:r>
          </w:p>
          <w:p w14:paraId="46108493">
            <w:pPr>
              <w:pStyle w:val="4"/>
              <w:snapToGrid w:val="0"/>
              <w:spacing w:line="360" w:lineRule="auto"/>
              <w:ind w:firstLine="360" w:firstLineChars="150"/>
              <w:rPr>
                <w:rFonts w:ascii="宋体" w:hAnsi="宋体" w:cs="宋体"/>
                <w:color w:val="auto"/>
                <w:sz w:val="24"/>
                <w:szCs w:val="24"/>
                <w:highlight w:val="none"/>
              </w:rPr>
            </w:pPr>
            <w:r>
              <w:rPr>
                <w:rFonts w:hint="eastAsia" w:ascii="宋体" w:hAnsi="宋体" w:cs="宋体"/>
                <w:color w:val="auto"/>
                <w:sz w:val="24"/>
                <w:szCs w:val="24"/>
                <w:highlight w:val="none"/>
              </w:rPr>
              <w:t>1、中标候选供应商数量：</w:t>
            </w:r>
            <w:r>
              <w:rPr>
                <w:rFonts w:hint="eastAsia" w:ascii="宋体" w:hAnsi="宋体" w:cs="宋体"/>
                <w:color w:val="auto"/>
                <w:sz w:val="24"/>
                <w:szCs w:val="24"/>
                <w:highlight w:val="none"/>
                <w:u w:val="single"/>
              </w:rPr>
              <w:t>3</w:t>
            </w:r>
            <w:r>
              <w:rPr>
                <w:rFonts w:hint="eastAsia" w:ascii="宋体" w:hAnsi="宋体" w:cs="宋体"/>
                <w:color w:val="auto"/>
                <w:sz w:val="24"/>
                <w:szCs w:val="24"/>
                <w:highlight w:val="none"/>
              </w:rPr>
              <w:t xml:space="preserve"> 个。</w:t>
            </w:r>
          </w:p>
          <w:p w14:paraId="2E1F888A">
            <w:pPr>
              <w:pStyle w:val="4"/>
              <w:snapToGrid w:val="0"/>
              <w:spacing w:line="360" w:lineRule="auto"/>
              <w:ind w:firstLine="360" w:firstLineChars="150"/>
              <w:rPr>
                <w:rFonts w:ascii="宋体" w:hAnsi="宋体" w:cs="宋体"/>
                <w:color w:val="auto"/>
                <w:sz w:val="24"/>
                <w:szCs w:val="24"/>
                <w:highlight w:val="none"/>
              </w:rPr>
            </w:pPr>
            <w:r>
              <w:rPr>
                <w:rFonts w:hint="eastAsia" w:ascii="宋体" w:hAnsi="宋体" w:cs="宋体"/>
                <w:color w:val="auto"/>
                <w:sz w:val="24"/>
                <w:szCs w:val="24"/>
                <w:highlight w:val="none"/>
              </w:rPr>
              <w:t>2、中标候选供应商排列顺序。经投标文件初审、澄清有关问题、比较与评价评标程序后，按以下办法推荐中标候选供应商名单的排列顺序（请按采购项目的评标方法从以下两项中选择一项打“√”）：</w:t>
            </w:r>
          </w:p>
          <w:p w14:paraId="555E5716">
            <w:pPr>
              <w:pStyle w:val="4"/>
              <w:snapToGrid w:val="0"/>
              <w:spacing w:line="360" w:lineRule="auto"/>
              <w:ind w:firstLine="0"/>
              <w:rPr>
                <w:rFonts w:ascii="宋体" w:hAnsi="宋体" w:cs="宋体"/>
                <w:color w:val="auto"/>
                <w:sz w:val="24"/>
                <w:szCs w:val="24"/>
                <w:highlight w:val="none"/>
              </w:rPr>
            </w:pPr>
            <w:r>
              <w:rPr>
                <w:rFonts w:hint="eastAsia" w:ascii="宋体" w:hAnsi="宋体" w:cs="宋体"/>
                <w:color w:val="auto"/>
                <w:sz w:val="24"/>
                <w:szCs w:val="24"/>
                <w:highlight w:val="none"/>
              </w:rPr>
              <w:t xml:space="preserve">    □采用最低评标价法的，按投标报价由低到高顺序排列。投标报价相同的，按技术指标优劣顺序排列。</w:t>
            </w:r>
          </w:p>
          <w:p w14:paraId="0A6BE67F">
            <w:pPr>
              <w:pStyle w:val="4"/>
              <w:snapToGrid w:val="0"/>
              <w:spacing w:line="360" w:lineRule="auto"/>
              <w:ind w:firstLine="0"/>
              <w:rPr>
                <w:rFonts w:ascii="宋体" w:hAnsi="宋体" w:cs="宋体"/>
                <w:color w:val="auto"/>
                <w:sz w:val="24"/>
                <w:szCs w:val="24"/>
                <w:highlight w:val="none"/>
              </w:rPr>
            </w:pPr>
            <w:r>
              <w:rPr>
                <w:rFonts w:hint="eastAsia" w:ascii="宋体" w:hAnsi="宋体" w:cs="宋体"/>
                <w:b/>
                <w:color w:val="auto"/>
                <w:sz w:val="24"/>
                <w:szCs w:val="24"/>
                <w:highlight w:val="none"/>
              </w:rPr>
              <w:fldChar w:fldCharType="begin"/>
            </w:r>
            <w:r>
              <w:rPr>
                <w:rFonts w:hint="eastAsia" w:ascii="宋体" w:hAnsi="宋体" w:cs="宋体"/>
                <w:b/>
                <w:color w:val="auto"/>
                <w:sz w:val="24"/>
                <w:szCs w:val="24"/>
                <w:highlight w:val="none"/>
              </w:rPr>
              <w:instrText xml:space="preserve"> eq \o\ac(</w:instrText>
            </w:r>
            <w:r>
              <w:rPr>
                <w:rFonts w:hint="eastAsia" w:ascii="宋体" w:hAnsi="宋体" w:cs="宋体"/>
                <w:b/>
                <w:color w:val="auto"/>
                <w:position w:val="-4"/>
                <w:sz w:val="36"/>
                <w:szCs w:val="24"/>
                <w:highlight w:val="none"/>
              </w:rPr>
              <w:instrText xml:space="preserve">□</w:instrText>
            </w:r>
            <w:r>
              <w:rPr>
                <w:rFonts w:hint="eastAsia" w:ascii="宋体" w:hAnsi="宋体" w:cs="宋体"/>
                <w:b/>
                <w:color w:val="auto"/>
                <w:sz w:val="24"/>
                <w:szCs w:val="24"/>
                <w:highlight w:val="none"/>
              </w:rPr>
              <w:instrText xml:space="preserve">,√)</w:instrText>
            </w:r>
            <w:r>
              <w:rPr>
                <w:rFonts w:hint="eastAsia" w:ascii="宋体" w:hAnsi="宋体" w:cs="宋体"/>
                <w:b/>
                <w:color w:val="auto"/>
                <w:sz w:val="24"/>
                <w:szCs w:val="24"/>
                <w:highlight w:val="none"/>
              </w:rPr>
              <w:fldChar w:fldCharType="end"/>
            </w:r>
            <w:r>
              <w:rPr>
                <w:rFonts w:hint="eastAsia" w:ascii="宋体" w:hAnsi="宋体" w:cs="宋体"/>
                <w:color w:val="auto"/>
                <w:sz w:val="24"/>
                <w:szCs w:val="24"/>
                <w:highlight w:val="none"/>
              </w:rPr>
              <w:t>采用综合评分法的，按评审后得分由高到低顺序排列。得分相同的，按投标报价由低到高顺序排列。得分且投标报价相同的，按技术指标优劣顺序排列。</w:t>
            </w:r>
          </w:p>
          <w:p w14:paraId="59AA756A">
            <w:pPr>
              <w:pStyle w:val="4"/>
              <w:snapToGrid w:val="0"/>
              <w:spacing w:line="360" w:lineRule="auto"/>
              <w:ind w:firstLineChars="175"/>
              <w:rPr>
                <w:rFonts w:ascii="宋体" w:hAnsi="宋体" w:cs="宋体"/>
                <w:color w:val="auto"/>
                <w:sz w:val="24"/>
                <w:szCs w:val="24"/>
                <w:highlight w:val="none"/>
              </w:rPr>
            </w:pPr>
            <w:r>
              <w:rPr>
                <w:rFonts w:hint="eastAsia" w:ascii="宋体" w:hAnsi="宋体" w:cs="宋体"/>
                <w:color w:val="auto"/>
                <w:sz w:val="24"/>
                <w:szCs w:val="24"/>
                <w:highlight w:val="none"/>
              </w:rPr>
              <w:t>3、综合评分法特别无效投标认定</w:t>
            </w:r>
          </w:p>
          <w:p w14:paraId="76C09BC9">
            <w:pPr>
              <w:pStyle w:val="4"/>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对技术部分评分，无论是采用负偏离扣分、或不满足不得分、或按指标优劣程度评分的评分标准，投标人技术部分的实际得分少于招标文件设定的技术部分总分50%的认定为无效投标。</w:t>
            </w:r>
          </w:p>
          <w:p w14:paraId="1B065330">
            <w:pPr>
              <w:pStyle w:val="9"/>
              <w:spacing w:after="0" w:line="360" w:lineRule="auto"/>
              <w:ind w:left="0" w:firstLine="360" w:firstLineChars="150"/>
              <w:rPr>
                <w:rFonts w:ascii="宋体" w:hAnsi="宋体" w:cs="宋体"/>
                <w:color w:val="auto"/>
                <w:sz w:val="24"/>
                <w:szCs w:val="24"/>
                <w:highlight w:val="none"/>
              </w:rPr>
            </w:pPr>
            <w:r>
              <w:rPr>
                <w:rFonts w:hint="eastAsia" w:ascii="宋体" w:hAnsi="宋体" w:cs="宋体"/>
                <w:color w:val="auto"/>
                <w:sz w:val="24"/>
                <w:szCs w:val="24"/>
                <w:highlight w:val="none"/>
              </w:rPr>
              <w:t>4、关于同一品牌产品投标的相关规定</w:t>
            </w:r>
          </w:p>
          <w:p w14:paraId="4E04E573">
            <w:pPr>
              <w:pStyle w:val="9"/>
              <w:spacing w:after="0" w:line="360" w:lineRule="auto"/>
              <w:ind w:left="0" w:firstLine="360" w:firstLineChars="150"/>
              <w:rPr>
                <w:rFonts w:ascii="宋体" w:hAnsi="宋体" w:cs="宋体"/>
                <w:color w:val="auto"/>
                <w:sz w:val="24"/>
                <w:szCs w:val="24"/>
                <w:highlight w:val="none"/>
              </w:rPr>
            </w:pPr>
            <w:r>
              <w:rPr>
                <w:rFonts w:hint="eastAsia" w:ascii="宋体" w:hAnsi="宋体" w:cs="宋体"/>
                <w:color w:val="auto"/>
                <w:sz w:val="24"/>
                <w:szCs w:val="24"/>
                <w:highlight w:val="none"/>
              </w:rPr>
              <w:t>如果有多家投标人以同一品牌的产品参加投标，只能视为一家。</w:t>
            </w:r>
          </w:p>
          <w:p w14:paraId="1B45A0D5">
            <w:pPr>
              <w:spacing w:line="360" w:lineRule="auto"/>
              <w:ind w:firstLine="360" w:firstLineChars="150"/>
              <w:rPr>
                <w:rFonts w:ascii="宋体" w:hAnsi="宋体" w:cs="宋体"/>
                <w:color w:val="auto"/>
                <w:sz w:val="24"/>
                <w:szCs w:val="24"/>
                <w:highlight w:val="none"/>
              </w:rPr>
            </w:pPr>
            <w:r>
              <w:rPr>
                <w:rFonts w:hint="eastAsia" w:ascii="宋体" w:hAnsi="宋体" w:cs="宋体"/>
                <w:color w:val="auto"/>
                <w:sz w:val="24"/>
                <w:szCs w:val="24"/>
                <w:highlight w:val="none"/>
              </w:rPr>
              <w:t>采用</w:t>
            </w:r>
            <w:r>
              <w:rPr>
                <w:color w:val="auto"/>
                <w:highlight w:val="none"/>
              </w:rPr>
              <w:fldChar w:fldCharType="begin"/>
            </w:r>
            <w:r>
              <w:rPr>
                <w:color w:val="auto"/>
                <w:highlight w:val="none"/>
              </w:rPr>
              <w:instrText xml:space="preserve"> HYPERLINK "http://lilun.caigou2003.com/recijiedu/2365668.html" \t "_blank" </w:instrText>
            </w:r>
            <w:r>
              <w:rPr>
                <w:color w:val="auto"/>
                <w:highlight w:val="none"/>
              </w:rPr>
              <w:fldChar w:fldCharType="separate"/>
            </w:r>
            <w:r>
              <w:rPr>
                <w:rFonts w:hint="eastAsia" w:ascii="宋体" w:hAnsi="宋体" w:cs="宋体"/>
                <w:color w:val="auto"/>
                <w:sz w:val="24"/>
                <w:szCs w:val="24"/>
                <w:highlight w:val="none"/>
              </w:rPr>
              <w:t>最低评标价法</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t>的采购项目，提供相同品牌产品的不同投标人参加同一合同项下投标的，以其中通过资格审查、符合性审查且报价最低的参加评标；报价相同的，由采购单位委托</w:t>
            </w:r>
            <w:r>
              <w:rPr>
                <w:color w:val="auto"/>
                <w:highlight w:val="none"/>
              </w:rPr>
              <w:fldChar w:fldCharType="begin"/>
            </w:r>
            <w:r>
              <w:rPr>
                <w:color w:val="auto"/>
                <w:highlight w:val="none"/>
              </w:rPr>
              <w:instrText xml:space="preserve"> HYPERLINK "http://lilun.caigou2003.com/recijiedu/2539165.html" \t "_blank" </w:instrText>
            </w:r>
            <w:r>
              <w:rPr>
                <w:color w:val="auto"/>
                <w:highlight w:val="none"/>
              </w:rPr>
              <w:fldChar w:fldCharType="separate"/>
            </w:r>
            <w:r>
              <w:rPr>
                <w:rFonts w:hint="eastAsia" w:ascii="宋体" w:hAnsi="宋体" w:cs="宋体"/>
                <w:color w:val="auto"/>
                <w:sz w:val="24"/>
                <w:szCs w:val="24"/>
                <w:highlight w:val="none"/>
              </w:rPr>
              <w:t>评标委员会</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t>按照招标文件规定的方式确定一个参加评标的投标人，招标文件未规定的采取随机抽取方式确定，其他投标无效。</w:t>
            </w:r>
          </w:p>
          <w:p w14:paraId="53ABACFB">
            <w:pPr>
              <w:spacing w:line="360" w:lineRule="auto"/>
              <w:ind w:firstLine="324"/>
              <w:rPr>
                <w:rFonts w:ascii="宋体" w:hAnsi="宋体" w:cs="宋体"/>
                <w:color w:val="auto"/>
                <w:sz w:val="24"/>
                <w:szCs w:val="24"/>
                <w:highlight w:val="none"/>
              </w:rPr>
            </w:pPr>
            <w:r>
              <w:rPr>
                <w:rFonts w:hint="eastAsia" w:ascii="宋体" w:hAnsi="宋体" w:cs="宋体"/>
                <w:color w:val="auto"/>
                <w:sz w:val="24"/>
                <w:szCs w:val="24"/>
                <w:highlight w:val="none"/>
              </w:rPr>
              <w:t>使用</w:t>
            </w:r>
            <w:r>
              <w:rPr>
                <w:color w:val="auto"/>
                <w:highlight w:val="none"/>
              </w:rPr>
              <w:fldChar w:fldCharType="begin"/>
            </w:r>
            <w:r>
              <w:rPr>
                <w:color w:val="auto"/>
                <w:highlight w:val="none"/>
              </w:rPr>
              <w:instrText xml:space="preserve"> HYPERLINK "http://lilun.caigou2003.com/recijiedu/2365667.html" \t "_blank" </w:instrText>
            </w:r>
            <w:r>
              <w:rPr>
                <w:color w:val="auto"/>
                <w:highlight w:val="none"/>
              </w:rPr>
              <w:fldChar w:fldCharType="separate"/>
            </w:r>
            <w:r>
              <w:rPr>
                <w:rFonts w:hint="eastAsia" w:ascii="宋体" w:hAnsi="宋体" w:cs="宋体"/>
                <w:color w:val="auto"/>
                <w:sz w:val="24"/>
                <w:szCs w:val="24"/>
                <w:highlight w:val="none"/>
              </w:rPr>
              <w:t>综合评分法</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t>的采购项目，提供相同品牌产品且通过资格审查、符合性审查的不同投标人参加同一合同项下投标的，按一家投标人计算，评审后得分最高的同品牌投标人获得中标供应商推荐资格；评审得分相同的，由采购单位委托评标委员会按照招标文件规定的方式确定一个投标人获得中标供应商推荐资格，招标文件未规定的采取随机抽取方式确定，其他同品牌投标人不作为中标候选人。</w:t>
            </w:r>
          </w:p>
          <w:p w14:paraId="233A18A8">
            <w:pPr>
              <w:pStyle w:val="4"/>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非单一产品采购项目，采购单位应当根据采购项目技术构成、产品价格比重等合理确定核心产品，并在招标文件中载明。多家投标人提供的核心产品品牌相同的，按前两款规定处理。</w:t>
            </w:r>
          </w:p>
        </w:tc>
      </w:tr>
      <w:tr w14:paraId="202197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00" w:type="dxa"/>
            <w:tcBorders>
              <w:top w:val="single" w:color="auto" w:sz="4" w:space="0"/>
              <w:left w:val="single" w:color="auto" w:sz="4" w:space="0"/>
              <w:bottom w:val="single" w:color="auto" w:sz="4" w:space="0"/>
              <w:right w:val="single" w:color="auto" w:sz="4" w:space="0"/>
            </w:tcBorders>
            <w:noWrap/>
          </w:tcPr>
          <w:p w14:paraId="4F160F56">
            <w:pPr>
              <w:pStyle w:val="4"/>
              <w:snapToGrid w:val="0"/>
              <w:spacing w:line="360" w:lineRule="auto"/>
              <w:ind w:firstLine="0"/>
              <w:rPr>
                <w:rFonts w:ascii="宋体" w:hAnsi="宋体" w:cs="宋体"/>
                <w:color w:val="auto"/>
                <w:sz w:val="24"/>
                <w:szCs w:val="24"/>
                <w:highlight w:val="none"/>
              </w:rPr>
            </w:pPr>
            <w:r>
              <w:rPr>
                <w:rFonts w:hint="eastAsia" w:ascii="宋体" w:hAnsi="宋体" w:cs="宋体"/>
                <w:color w:val="auto"/>
                <w:sz w:val="24"/>
                <w:szCs w:val="24"/>
                <w:highlight w:val="none"/>
              </w:rPr>
              <w:t>三、定标原则（确定中标供应商数量：</w:t>
            </w:r>
            <w:r>
              <w:rPr>
                <w:rFonts w:hint="eastAsia" w:ascii="宋体" w:hAnsi="宋体" w:cs="宋体"/>
                <w:color w:val="auto"/>
                <w:sz w:val="24"/>
                <w:szCs w:val="24"/>
                <w:highlight w:val="none"/>
                <w:u w:val="single"/>
              </w:rPr>
              <w:t>1</w:t>
            </w:r>
            <w:r>
              <w:rPr>
                <w:rFonts w:hint="eastAsia" w:ascii="宋体" w:hAnsi="宋体" w:cs="宋体"/>
                <w:color w:val="auto"/>
                <w:sz w:val="24"/>
                <w:szCs w:val="24"/>
                <w:highlight w:val="none"/>
              </w:rPr>
              <w:t>个）：</w:t>
            </w:r>
          </w:p>
          <w:p w14:paraId="2F421490">
            <w:pPr>
              <w:pStyle w:val="4"/>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□采购单位委托招标代理机构招标，在收到评标报告后五个工作日内，按照评标报告中推荐的中标候选供应商顺序确定中标供应商。</w:t>
            </w:r>
          </w:p>
          <w:p w14:paraId="789EE373">
            <w:pPr>
              <w:pStyle w:val="4"/>
              <w:snapToGrid w:val="0"/>
              <w:spacing w:line="360" w:lineRule="auto"/>
              <w:ind w:firstLine="482" w:firstLineChars="200"/>
              <w:rPr>
                <w:rFonts w:ascii="宋体" w:hAnsi="宋体" w:cs="宋体"/>
                <w:color w:val="auto"/>
                <w:sz w:val="24"/>
                <w:szCs w:val="24"/>
                <w:highlight w:val="none"/>
              </w:rPr>
            </w:pPr>
            <w:r>
              <w:rPr>
                <w:rFonts w:hint="eastAsia" w:ascii="宋体" w:hAnsi="宋体" w:cs="宋体"/>
                <w:b/>
                <w:color w:val="auto"/>
                <w:sz w:val="24"/>
                <w:szCs w:val="24"/>
                <w:highlight w:val="none"/>
              </w:rPr>
              <w:fldChar w:fldCharType="begin"/>
            </w:r>
            <w:r>
              <w:rPr>
                <w:rFonts w:hint="eastAsia" w:ascii="宋体" w:hAnsi="宋体" w:cs="宋体"/>
                <w:b/>
                <w:color w:val="auto"/>
                <w:sz w:val="24"/>
                <w:szCs w:val="24"/>
                <w:highlight w:val="none"/>
              </w:rPr>
              <w:instrText xml:space="preserve"> eq \o\ac(</w:instrText>
            </w:r>
            <w:r>
              <w:rPr>
                <w:rFonts w:hint="eastAsia" w:ascii="宋体" w:hAnsi="宋体" w:cs="宋体"/>
                <w:b/>
                <w:color w:val="auto"/>
                <w:position w:val="-4"/>
                <w:sz w:val="36"/>
                <w:szCs w:val="24"/>
                <w:highlight w:val="none"/>
              </w:rPr>
              <w:instrText xml:space="preserve">□</w:instrText>
            </w:r>
            <w:r>
              <w:rPr>
                <w:rFonts w:hint="eastAsia" w:ascii="宋体" w:hAnsi="宋体" w:cs="宋体"/>
                <w:b/>
                <w:color w:val="auto"/>
                <w:sz w:val="24"/>
                <w:szCs w:val="24"/>
                <w:highlight w:val="none"/>
              </w:rPr>
              <w:instrText xml:space="preserve">,√)</w:instrText>
            </w:r>
            <w:r>
              <w:rPr>
                <w:rFonts w:hint="eastAsia" w:ascii="宋体" w:hAnsi="宋体" w:cs="宋体"/>
                <w:b/>
                <w:color w:val="auto"/>
                <w:sz w:val="24"/>
                <w:szCs w:val="24"/>
                <w:highlight w:val="none"/>
              </w:rPr>
              <w:fldChar w:fldCharType="end"/>
            </w:r>
            <w:r>
              <w:rPr>
                <w:rFonts w:hint="eastAsia" w:ascii="宋体" w:hAnsi="宋体" w:cs="宋体"/>
                <w:color w:val="auto"/>
                <w:sz w:val="24"/>
                <w:szCs w:val="24"/>
                <w:highlight w:val="none"/>
              </w:rPr>
              <w:t>采购单位委托招标代理机构招标，授权评标委员会直接确定中标供应商。</w:t>
            </w:r>
          </w:p>
          <w:p w14:paraId="4D3F2ADA">
            <w:pPr>
              <w:pStyle w:val="4"/>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 采购单位自行组织招标，在评标结束后五个工作日内确定中标供应商。</w:t>
            </w:r>
          </w:p>
        </w:tc>
      </w:tr>
    </w:tbl>
    <w:p w14:paraId="1752FCD6">
      <w:pPr>
        <w:pStyle w:val="4"/>
        <w:snapToGrid w:val="0"/>
        <w:spacing w:line="360" w:lineRule="auto"/>
        <w:ind w:firstLine="0"/>
        <w:rPr>
          <w:rFonts w:ascii="宋体" w:hAnsi="宋体" w:cs="宋体"/>
          <w:b/>
          <w:color w:val="auto"/>
          <w:sz w:val="24"/>
          <w:szCs w:val="24"/>
          <w:highlight w:val="none"/>
          <w:u w:val="single"/>
        </w:rPr>
      </w:pPr>
      <w:r>
        <w:rPr>
          <w:rFonts w:hint="eastAsia" w:ascii="宋体" w:hAnsi="宋体" w:cs="宋体"/>
          <w:b/>
          <w:color w:val="auto"/>
          <w:sz w:val="24"/>
          <w:szCs w:val="24"/>
          <w:highlight w:val="none"/>
          <w:u w:val="single"/>
        </w:rPr>
        <w:t>注：以联合体形式投标的，只能以联合体其中一方具备的条件作为评标依据。投标人应在投标文件中明确以联合体的确定一方的条件参与商务评分，投标人未明确的，则该投标人的该项商务评分按最低分处理。</w:t>
      </w:r>
    </w:p>
    <w:p w14:paraId="42FA209B">
      <w:pPr>
        <w:tabs>
          <w:tab w:val="left" w:pos="-1080"/>
          <w:tab w:val="left" w:pos="180"/>
          <w:tab w:val="left" w:pos="1080"/>
        </w:tabs>
        <w:spacing w:line="360" w:lineRule="auto"/>
        <w:rPr>
          <w:rFonts w:ascii="宋体" w:hAnsi="宋体" w:cs="宋体"/>
          <w:b/>
          <w:color w:val="auto"/>
          <w:sz w:val="24"/>
          <w:szCs w:val="24"/>
          <w:highlight w:val="none"/>
        </w:rPr>
      </w:pPr>
    </w:p>
    <w:p w14:paraId="2BE6F76D">
      <w:pPr>
        <w:tabs>
          <w:tab w:val="left" w:pos="-1080"/>
          <w:tab w:val="left" w:pos="180"/>
          <w:tab w:val="left" w:pos="1080"/>
        </w:tabs>
        <w:spacing w:line="360" w:lineRule="auto"/>
        <w:rPr>
          <w:rFonts w:ascii="宋体" w:hAnsi="宋体" w:cs="宋体"/>
          <w:b/>
          <w:color w:val="auto"/>
          <w:sz w:val="32"/>
          <w:szCs w:val="32"/>
          <w:highlight w:val="none"/>
        </w:rPr>
      </w:pPr>
      <w:r>
        <w:rPr>
          <w:rFonts w:hint="eastAsia" w:ascii="宋体" w:hAnsi="宋体" w:cs="宋体"/>
          <w:b/>
          <w:color w:val="auto"/>
          <w:sz w:val="32"/>
          <w:szCs w:val="32"/>
          <w:highlight w:val="none"/>
        </w:rPr>
        <w:t>附件：评标标准、权重</w:t>
      </w:r>
    </w:p>
    <w:p w14:paraId="00ABEBA8">
      <w:pPr>
        <w:tabs>
          <w:tab w:val="left" w:pos="-1080"/>
          <w:tab w:val="left" w:pos="180"/>
          <w:tab w:val="left" w:pos="1080"/>
        </w:tabs>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（一）技术评分(F1)：按</w:t>
      </w:r>
      <w:r>
        <w:rPr>
          <w:rFonts w:hint="eastAsia" w:ascii="宋体" w:hAnsi="宋体" w:cs="宋体"/>
          <w:color w:val="auto"/>
          <w:sz w:val="24"/>
          <w:szCs w:val="24"/>
          <w:highlight w:val="none"/>
          <w:u w:val="single"/>
        </w:rPr>
        <w:t>55</w:t>
      </w:r>
      <w:r>
        <w:rPr>
          <w:rFonts w:hint="eastAsia" w:ascii="宋体" w:hAnsi="宋体" w:cs="宋体"/>
          <w:color w:val="auto"/>
          <w:sz w:val="24"/>
          <w:szCs w:val="24"/>
          <w:highlight w:val="none"/>
        </w:rPr>
        <w:t>分评分法，技术评分考虑下列因素：</w:t>
      </w:r>
    </w:p>
    <w:tbl>
      <w:tblPr>
        <w:tblStyle w:val="16"/>
        <w:tblW w:w="0" w:type="auto"/>
        <w:tblInd w:w="0" w:type="dxa"/>
        <w:tblLayout w:type="fixed"/>
        <w:tblCellMar>
          <w:top w:w="0" w:type="dxa"/>
          <w:left w:w="108" w:type="dxa"/>
          <w:bottom w:w="0" w:type="dxa"/>
          <w:right w:w="108" w:type="dxa"/>
        </w:tblCellMar>
      </w:tblPr>
      <w:tblGrid>
        <w:gridCol w:w="883"/>
        <w:gridCol w:w="6838"/>
        <w:gridCol w:w="898"/>
      </w:tblGrid>
      <w:tr w14:paraId="26F2759F">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782C098C">
            <w:pPr>
              <w:spacing w:line="360" w:lineRule="auto"/>
              <w:jc w:val="center"/>
              <w:rPr>
                <w:rFonts w:ascii="宋体" w:hAnsi="宋体" w:cs="宋体"/>
                <w:bCs/>
                <w:color w:val="auto"/>
                <w:sz w:val="24"/>
                <w:szCs w:val="24"/>
                <w:highlight w:val="none"/>
              </w:rPr>
            </w:pPr>
            <w:r>
              <w:rPr>
                <w:rFonts w:hint="eastAsia" w:ascii="宋体" w:hAnsi="宋体" w:cs="宋体"/>
                <w:bCs/>
                <w:color w:val="auto"/>
                <w:sz w:val="24"/>
                <w:szCs w:val="24"/>
                <w:highlight w:val="none"/>
              </w:rPr>
              <w:t>序号</w:t>
            </w:r>
          </w:p>
        </w:tc>
        <w:tc>
          <w:tcPr>
            <w:tcW w:w="6838" w:type="dxa"/>
            <w:tcBorders>
              <w:top w:val="single" w:color="auto" w:sz="4" w:space="0"/>
              <w:left w:val="single" w:color="auto" w:sz="4" w:space="0"/>
              <w:bottom w:val="single" w:color="auto" w:sz="4" w:space="0"/>
              <w:right w:val="single" w:color="auto" w:sz="4" w:space="0"/>
            </w:tcBorders>
          </w:tcPr>
          <w:p w14:paraId="196BD7FB">
            <w:pPr>
              <w:spacing w:line="360" w:lineRule="auto"/>
              <w:jc w:val="center"/>
              <w:rPr>
                <w:rFonts w:ascii="宋体" w:hAnsi="宋体" w:cs="宋体"/>
                <w:bCs/>
                <w:color w:val="auto"/>
                <w:sz w:val="24"/>
                <w:szCs w:val="24"/>
                <w:highlight w:val="none"/>
              </w:rPr>
            </w:pPr>
            <w:r>
              <w:rPr>
                <w:rFonts w:hint="eastAsia" w:ascii="宋体" w:hAnsi="宋体" w:cs="宋体"/>
                <w:bCs/>
                <w:color w:val="auto"/>
                <w:sz w:val="24"/>
                <w:szCs w:val="24"/>
                <w:highlight w:val="none"/>
              </w:rPr>
              <w:t>细则内容</w:t>
            </w:r>
          </w:p>
        </w:tc>
        <w:tc>
          <w:tcPr>
            <w:tcW w:w="898" w:type="dxa"/>
            <w:tcBorders>
              <w:top w:val="single" w:color="auto" w:sz="4" w:space="0"/>
              <w:left w:val="single" w:color="auto" w:sz="4" w:space="0"/>
              <w:bottom w:val="single" w:color="auto" w:sz="4" w:space="0"/>
              <w:right w:val="single" w:color="auto" w:sz="4" w:space="0"/>
            </w:tcBorders>
            <w:vAlign w:val="center"/>
          </w:tcPr>
          <w:p w14:paraId="77377C7B">
            <w:pPr>
              <w:spacing w:line="360" w:lineRule="auto"/>
              <w:jc w:val="center"/>
              <w:rPr>
                <w:rFonts w:ascii="宋体" w:hAnsi="宋体" w:cs="宋体"/>
                <w:bCs/>
                <w:color w:val="auto"/>
                <w:sz w:val="24"/>
                <w:szCs w:val="24"/>
                <w:highlight w:val="none"/>
              </w:rPr>
            </w:pPr>
            <w:r>
              <w:rPr>
                <w:rFonts w:hint="eastAsia" w:ascii="宋体" w:hAnsi="宋体" w:cs="宋体"/>
                <w:bCs/>
                <w:color w:val="auto"/>
                <w:sz w:val="24"/>
                <w:szCs w:val="24"/>
                <w:highlight w:val="none"/>
              </w:rPr>
              <w:t>满分分值</w:t>
            </w:r>
          </w:p>
        </w:tc>
      </w:tr>
      <w:tr w14:paraId="16E5BBE8">
        <w:tblPrEx>
          <w:tblCellMar>
            <w:top w:w="0" w:type="dxa"/>
            <w:left w:w="108" w:type="dxa"/>
            <w:bottom w:w="0" w:type="dxa"/>
            <w:right w:w="108" w:type="dxa"/>
          </w:tblCellMar>
        </w:tblPrEx>
        <w:trPr>
          <w:trHeight w:val="90" w:hRule="atLeast"/>
        </w:trPr>
        <w:tc>
          <w:tcPr>
            <w:tcW w:w="883" w:type="dxa"/>
            <w:tcBorders>
              <w:top w:val="single" w:color="auto" w:sz="4" w:space="0"/>
              <w:left w:val="single" w:color="auto" w:sz="4" w:space="0"/>
              <w:bottom w:val="single" w:color="auto" w:sz="4" w:space="0"/>
              <w:right w:val="single" w:color="auto" w:sz="4" w:space="0"/>
            </w:tcBorders>
            <w:vAlign w:val="center"/>
          </w:tcPr>
          <w:p w14:paraId="739EFBB4">
            <w:pPr>
              <w:spacing w:line="360" w:lineRule="auto"/>
              <w:jc w:val="center"/>
              <w:rPr>
                <w:rFonts w:ascii="宋体" w:hAnsi="宋体" w:cs="宋体"/>
                <w:bCs/>
                <w:color w:val="auto"/>
                <w:sz w:val="24"/>
                <w:szCs w:val="24"/>
                <w:highlight w:val="none"/>
              </w:rPr>
            </w:pPr>
            <w:r>
              <w:rPr>
                <w:rFonts w:ascii="宋体" w:hAnsi="宋体" w:cs="宋体"/>
                <w:bCs/>
                <w:color w:val="auto"/>
                <w:sz w:val="24"/>
                <w:szCs w:val="24"/>
                <w:highlight w:val="none"/>
              </w:rPr>
              <w:t>1-1</w:t>
            </w:r>
          </w:p>
        </w:tc>
        <w:tc>
          <w:tcPr>
            <w:tcW w:w="6838" w:type="dxa"/>
            <w:tcBorders>
              <w:top w:val="single" w:color="auto" w:sz="4" w:space="0"/>
              <w:left w:val="single" w:color="auto" w:sz="4" w:space="0"/>
              <w:bottom w:val="single" w:color="auto" w:sz="4" w:space="0"/>
              <w:right w:val="single" w:color="auto" w:sz="4" w:space="0"/>
            </w:tcBorders>
          </w:tcPr>
          <w:p w14:paraId="5A929FC6">
            <w:pPr>
              <w:adjustRightInd w:val="0"/>
              <w:snapToGrid w:val="0"/>
              <w:spacing w:line="360" w:lineRule="auto"/>
              <w:jc w:val="left"/>
              <w:rPr>
                <w:rFonts w:ascii="宋体" w:hAnsi="宋体" w:cs="宋体"/>
                <w:bCs/>
                <w:color w:val="auto"/>
                <w:sz w:val="24"/>
                <w:szCs w:val="24"/>
                <w:highlight w:val="none"/>
              </w:rPr>
            </w:pPr>
            <w:r>
              <w:rPr>
                <w:rFonts w:hint="eastAsia" w:ascii="宋体" w:hAnsi="宋体" w:cs="宋体"/>
                <w:bCs/>
                <w:color w:val="auto"/>
                <w:sz w:val="24"/>
                <w:szCs w:val="24"/>
                <w:highlight w:val="none"/>
              </w:rPr>
              <w:t>投标产品“高性能计算机（品目号</w:t>
            </w:r>
            <w:r>
              <w:rPr>
                <w:rFonts w:ascii="宋体" w:hAnsi="宋体" w:cs="宋体"/>
                <w:bCs/>
                <w:color w:val="auto"/>
                <w:sz w:val="24"/>
                <w:szCs w:val="24"/>
                <w:highlight w:val="none"/>
              </w:rPr>
              <w:t>1-1）</w:t>
            </w:r>
            <w:r>
              <w:rPr>
                <w:rFonts w:hint="eastAsia" w:ascii="宋体" w:hAnsi="宋体" w:cs="宋体"/>
                <w:bCs/>
                <w:color w:val="auto"/>
                <w:sz w:val="24"/>
                <w:szCs w:val="24"/>
                <w:highlight w:val="none"/>
              </w:rPr>
              <w:t>”，“</w:t>
            </w:r>
            <w:r>
              <w:rPr>
                <w:rFonts w:hint="eastAsia" w:ascii="宋体" w:hAnsi="宋体" w:cs="宋体"/>
                <w:b/>
                <w:color w:val="auto"/>
                <w:sz w:val="24"/>
                <w:szCs w:val="24"/>
                <w:highlight w:val="none"/>
              </w:rPr>
              <w:t>总体要求</w:t>
            </w:r>
            <w:r>
              <w:rPr>
                <w:rFonts w:hint="eastAsia" w:ascii="宋体" w:hAnsi="宋体" w:cs="宋体"/>
                <w:bCs/>
                <w:color w:val="auto"/>
                <w:sz w:val="24"/>
                <w:szCs w:val="24"/>
                <w:highlight w:val="none"/>
              </w:rPr>
              <w:t>”中</w:t>
            </w:r>
            <w:r>
              <w:rPr>
                <w:rFonts w:hint="eastAsia" w:ascii="宋体" w:hAnsi="宋体" w:cs="宋体"/>
                <w:color w:val="auto"/>
                <w:sz w:val="24"/>
                <w:szCs w:val="24"/>
                <w:highlight w:val="none"/>
              </w:rPr>
              <w:t>内存≥32GB的加1.5分，硬盘≥</w:t>
            </w:r>
            <w:r>
              <w:rPr>
                <w:rFonts w:ascii="宋体" w:hAnsi="宋体" w:cs="宋体"/>
                <w:color w:val="auto"/>
                <w:sz w:val="24"/>
                <w:szCs w:val="24"/>
                <w:highlight w:val="none"/>
              </w:rPr>
              <w:t>2TB</w:t>
            </w:r>
            <w:r>
              <w:rPr>
                <w:rFonts w:hint="eastAsia" w:ascii="宋体" w:hAnsi="宋体" w:cs="宋体"/>
                <w:color w:val="auto"/>
                <w:sz w:val="24"/>
                <w:szCs w:val="24"/>
                <w:highlight w:val="none"/>
              </w:rPr>
              <w:t>的加</w:t>
            </w:r>
            <w:r>
              <w:rPr>
                <w:rFonts w:ascii="宋体" w:hAnsi="宋体" w:cs="宋体"/>
                <w:color w:val="auto"/>
                <w:sz w:val="24"/>
                <w:szCs w:val="24"/>
                <w:highlight w:val="none"/>
              </w:rPr>
              <w:t>1.5分，最多3分</w:t>
            </w:r>
            <w:r>
              <w:rPr>
                <w:rFonts w:hint="eastAsia" w:ascii="宋体" w:hAnsi="宋体" w:cs="宋体"/>
                <w:bCs/>
                <w:color w:val="auto"/>
                <w:sz w:val="24"/>
                <w:szCs w:val="24"/>
                <w:highlight w:val="none"/>
              </w:rPr>
              <w:t>。</w:t>
            </w:r>
          </w:p>
        </w:tc>
        <w:tc>
          <w:tcPr>
            <w:tcW w:w="898" w:type="dxa"/>
            <w:tcBorders>
              <w:top w:val="single" w:color="auto" w:sz="4" w:space="0"/>
              <w:left w:val="single" w:color="auto" w:sz="4" w:space="0"/>
              <w:bottom w:val="single" w:color="auto" w:sz="4" w:space="0"/>
              <w:right w:val="single" w:color="auto" w:sz="4" w:space="0"/>
            </w:tcBorders>
            <w:vAlign w:val="center"/>
          </w:tcPr>
          <w:p w14:paraId="36A6DCEE">
            <w:pPr>
              <w:spacing w:line="360" w:lineRule="auto"/>
              <w:jc w:val="center"/>
              <w:rPr>
                <w:rFonts w:ascii="宋体" w:hAnsi="宋体" w:cs="宋体"/>
                <w:bCs/>
                <w:color w:val="auto"/>
                <w:sz w:val="24"/>
                <w:szCs w:val="24"/>
                <w:highlight w:val="none"/>
              </w:rPr>
            </w:pPr>
            <w:r>
              <w:rPr>
                <w:rFonts w:ascii="宋体" w:hAnsi="宋体" w:cs="宋体"/>
                <w:bCs/>
                <w:color w:val="auto"/>
                <w:sz w:val="24"/>
                <w:szCs w:val="24"/>
                <w:highlight w:val="none"/>
              </w:rPr>
              <w:t>3</w:t>
            </w:r>
          </w:p>
        </w:tc>
      </w:tr>
      <w:tr w14:paraId="2656C255">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548CD899">
            <w:pPr>
              <w:spacing w:line="360" w:lineRule="auto"/>
              <w:jc w:val="center"/>
              <w:rPr>
                <w:rFonts w:ascii="宋体" w:hAnsi="宋体" w:cs="宋体"/>
                <w:bCs/>
                <w:color w:val="auto"/>
                <w:sz w:val="24"/>
                <w:szCs w:val="24"/>
                <w:highlight w:val="none"/>
              </w:rPr>
            </w:pPr>
            <w:r>
              <w:rPr>
                <w:rFonts w:ascii="宋体" w:hAnsi="宋体" w:cs="宋体"/>
                <w:bCs/>
                <w:color w:val="auto"/>
                <w:sz w:val="24"/>
                <w:szCs w:val="24"/>
                <w:highlight w:val="none"/>
              </w:rPr>
              <w:t>1-2</w:t>
            </w:r>
          </w:p>
        </w:tc>
        <w:tc>
          <w:tcPr>
            <w:tcW w:w="6838" w:type="dxa"/>
            <w:tcBorders>
              <w:top w:val="single" w:color="auto" w:sz="4" w:space="0"/>
              <w:left w:val="single" w:color="auto" w:sz="4" w:space="0"/>
              <w:bottom w:val="single" w:color="auto" w:sz="4" w:space="0"/>
              <w:right w:val="single" w:color="auto" w:sz="4" w:space="0"/>
            </w:tcBorders>
          </w:tcPr>
          <w:p w14:paraId="423D9994">
            <w:pPr>
              <w:adjustRightInd w:val="0"/>
              <w:snapToGrid w:val="0"/>
              <w:spacing w:line="360" w:lineRule="auto"/>
              <w:jc w:val="left"/>
              <w:rPr>
                <w:rFonts w:ascii="宋体" w:hAnsi="宋体" w:cs="宋体"/>
                <w:bCs/>
                <w:color w:val="auto"/>
                <w:sz w:val="24"/>
                <w:szCs w:val="24"/>
                <w:highlight w:val="none"/>
              </w:rPr>
            </w:pPr>
            <w:r>
              <w:rPr>
                <w:rFonts w:hint="eastAsia" w:ascii="宋体" w:hAnsi="宋体" w:cs="宋体"/>
                <w:color w:val="auto"/>
                <w:sz w:val="24"/>
                <w:szCs w:val="24"/>
                <w:highlight w:val="none"/>
              </w:rPr>
              <w:t>投标产品“高性能计算机（品目号1-1）”，“总体要求”中显卡配置RTX30</w:t>
            </w:r>
            <w:r>
              <w:rPr>
                <w:rFonts w:ascii="宋体" w:hAnsi="宋体" w:cs="宋体"/>
                <w:color w:val="auto"/>
                <w:sz w:val="24"/>
                <w:szCs w:val="24"/>
                <w:highlight w:val="none"/>
              </w:rPr>
              <w:t>6</w:t>
            </w:r>
            <w:r>
              <w:rPr>
                <w:rFonts w:hint="eastAsia" w:ascii="宋体" w:hAnsi="宋体" w:cs="宋体"/>
                <w:color w:val="auto"/>
                <w:sz w:val="24"/>
                <w:szCs w:val="24"/>
                <w:highlight w:val="none"/>
              </w:rPr>
              <w:t>0、RTX30</w:t>
            </w:r>
            <w:r>
              <w:rPr>
                <w:rFonts w:ascii="宋体" w:hAnsi="宋体" w:cs="宋体"/>
                <w:color w:val="auto"/>
                <w:sz w:val="24"/>
                <w:szCs w:val="24"/>
                <w:highlight w:val="none"/>
              </w:rPr>
              <w:t>7</w:t>
            </w:r>
            <w:r>
              <w:rPr>
                <w:rFonts w:hint="eastAsia" w:ascii="宋体" w:hAnsi="宋体" w:cs="宋体"/>
                <w:color w:val="auto"/>
                <w:sz w:val="24"/>
                <w:szCs w:val="24"/>
                <w:highlight w:val="none"/>
              </w:rPr>
              <w:t>0、RTX30</w:t>
            </w:r>
            <w:r>
              <w:rPr>
                <w:rFonts w:ascii="宋体" w:hAnsi="宋体" w:cs="宋体"/>
                <w:color w:val="auto"/>
                <w:sz w:val="24"/>
                <w:szCs w:val="24"/>
                <w:highlight w:val="none"/>
              </w:rPr>
              <w:t>8</w:t>
            </w:r>
            <w:r>
              <w:rPr>
                <w:rFonts w:hint="eastAsia" w:ascii="宋体" w:hAnsi="宋体" w:cs="宋体"/>
                <w:color w:val="auto"/>
                <w:sz w:val="24"/>
                <w:szCs w:val="24"/>
                <w:highlight w:val="none"/>
              </w:rPr>
              <w:t>0、RTX30</w:t>
            </w:r>
            <w:r>
              <w:rPr>
                <w:rFonts w:ascii="宋体" w:hAnsi="宋体" w:cs="宋体"/>
                <w:color w:val="auto"/>
                <w:sz w:val="24"/>
                <w:szCs w:val="24"/>
                <w:highlight w:val="none"/>
              </w:rPr>
              <w:t>9</w:t>
            </w:r>
            <w:r>
              <w:rPr>
                <w:rFonts w:hint="eastAsia" w:ascii="宋体" w:hAnsi="宋体" w:cs="宋体"/>
                <w:color w:val="auto"/>
                <w:sz w:val="24"/>
                <w:szCs w:val="24"/>
                <w:highlight w:val="none"/>
              </w:rPr>
              <w:t>0之一的加3分，最多3分。</w:t>
            </w:r>
          </w:p>
        </w:tc>
        <w:tc>
          <w:tcPr>
            <w:tcW w:w="898" w:type="dxa"/>
            <w:tcBorders>
              <w:top w:val="single" w:color="auto" w:sz="4" w:space="0"/>
              <w:left w:val="single" w:color="auto" w:sz="4" w:space="0"/>
              <w:bottom w:val="single" w:color="auto" w:sz="4" w:space="0"/>
              <w:right w:val="single" w:color="auto" w:sz="4" w:space="0"/>
            </w:tcBorders>
            <w:vAlign w:val="center"/>
          </w:tcPr>
          <w:p w14:paraId="2B97C95F">
            <w:pPr>
              <w:spacing w:line="360" w:lineRule="auto"/>
              <w:jc w:val="center"/>
              <w:rPr>
                <w:rFonts w:ascii="宋体" w:hAnsi="宋体" w:cs="宋体"/>
                <w:bCs/>
                <w:color w:val="auto"/>
                <w:sz w:val="24"/>
                <w:szCs w:val="24"/>
                <w:highlight w:val="none"/>
              </w:rPr>
            </w:pPr>
            <w:r>
              <w:rPr>
                <w:rFonts w:ascii="宋体" w:hAnsi="宋体" w:cs="宋体"/>
                <w:bCs/>
                <w:color w:val="auto"/>
                <w:sz w:val="24"/>
                <w:szCs w:val="24"/>
                <w:highlight w:val="none"/>
              </w:rPr>
              <w:t>3</w:t>
            </w:r>
          </w:p>
        </w:tc>
      </w:tr>
      <w:tr w14:paraId="3DC44AD1">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40886A30">
            <w:pPr>
              <w:spacing w:line="360" w:lineRule="auto"/>
              <w:jc w:val="center"/>
              <w:rPr>
                <w:rFonts w:ascii="宋体" w:hAnsi="宋体" w:cs="宋体"/>
                <w:bCs/>
                <w:color w:val="auto"/>
                <w:sz w:val="24"/>
                <w:szCs w:val="24"/>
                <w:highlight w:val="none"/>
              </w:rPr>
            </w:pPr>
            <w:r>
              <w:rPr>
                <w:rFonts w:ascii="宋体" w:hAnsi="宋体" w:cs="宋体"/>
                <w:bCs/>
                <w:color w:val="auto"/>
                <w:sz w:val="24"/>
                <w:szCs w:val="24"/>
                <w:highlight w:val="none"/>
              </w:rPr>
              <w:t>1-3</w:t>
            </w:r>
          </w:p>
        </w:tc>
        <w:tc>
          <w:tcPr>
            <w:tcW w:w="6838" w:type="dxa"/>
            <w:tcBorders>
              <w:top w:val="single" w:color="auto" w:sz="4" w:space="0"/>
              <w:left w:val="single" w:color="auto" w:sz="4" w:space="0"/>
              <w:bottom w:val="single" w:color="auto" w:sz="4" w:space="0"/>
              <w:right w:val="single" w:color="auto" w:sz="4" w:space="0"/>
            </w:tcBorders>
          </w:tcPr>
          <w:p w14:paraId="0876B945">
            <w:pPr>
              <w:adjustRightInd w:val="0"/>
              <w:snapToGrid w:val="0"/>
              <w:spacing w:line="360" w:lineRule="auto"/>
              <w:jc w:val="left"/>
              <w:rPr>
                <w:rFonts w:ascii="宋体" w:hAnsi="宋体" w:cs="宋体"/>
                <w:bCs/>
                <w:color w:val="auto"/>
                <w:sz w:val="24"/>
                <w:szCs w:val="24"/>
                <w:highlight w:val="none"/>
              </w:rPr>
            </w:pPr>
            <w:r>
              <w:rPr>
                <w:rFonts w:hint="eastAsia" w:ascii="宋体" w:hAnsi="宋体" w:cs="宋体"/>
                <w:color w:val="auto"/>
                <w:sz w:val="24"/>
                <w:szCs w:val="24"/>
                <w:highlight w:val="none"/>
              </w:rPr>
              <w:t>投标产品“高性能计算机（品目号1-1）”，“总体要求”中非★条款全部响应的得3分，有不响应的得0分。</w:t>
            </w:r>
          </w:p>
        </w:tc>
        <w:tc>
          <w:tcPr>
            <w:tcW w:w="898" w:type="dxa"/>
            <w:tcBorders>
              <w:top w:val="single" w:color="auto" w:sz="4" w:space="0"/>
              <w:left w:val="single" w:color="auto" w:sz="4" w:space="0"/>
              <w:bottom w:val="single" w:color="auto" w:sz="4" w:space="0"/>
              <w:right w:val="single" w:color="auto" w:sz="4" w:space="0"/>
            </w:tcBorders>
            <w:vAlign w:val="center"/>
          </w:tcPr>
          <w:p w14:paraId="664A78CA">
            <w:pPr>
              <w:spacing w:line="360" w:lineRule="auto"/>
              <w:jc w:val="center"/>
              <w:rPr>
                <w:rFonts w:ascii="宋体" w:hAnsi="宋体" w:cs="宋体"/>
                <w:bCs/>
                <w:color w:val="auto"/>
                <w:sz w:val="24"/>
                <w:szCs w:val="24"/>
                <w:highlight w:val="none"/>
              </w:rPr>
            </w:pPr>
            <w:r>
              <w:rPr>
                <w:rFonts w:ascii="宋体" w:hAnsi="宋体" w:cs="宋体"/>
                <w:bCs/>
                <w:color w:val="auto"/>
                <w:sz w:val="24"/>
                <w:szCs w:val="24"/>
                <w:highlight w:val="none"/>
              </w:rPr>
              <w:t>3</w:t>
            </w:r>
          </w:p>
        </w:tc>
      </w:tr>
      <w:tr w14:paraId="3D6F62F7">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19CF5B13">
            <w:pPr>
              <w:spacing w:line="360" w:lineRule="auto"/>
              <w:jc w:val="center"/>
              <w:rPr>
                <w:rFonts w:ascii="宋体" w:hAnsi="宋体" w:cs="宋体"/>
                <w:bCs/>
                <w:color w:val="auto"/>
                <w:sz w:val="24"/>
                <w:szCs w:val="24"/>
                <w:highlight w:val="none"/>
              </w:rPr>
            </w:pPr>
            <w:r>
              <w:rPr>
                <w:rFonts w:ascii="宋体" w:hAnsi="宋体" w:cs="宋体"/>
                <w:bCs/>
                <w:color w:val="auto"/>
                <w:sz w:val="24"/>
                <w:szCs w:val="24"/>
                <w:highlight w:val="none"/>
              </w:rPr>
              <w:t>1-4</w:t>
            </w:r>
          </w:p>
        </w:tc>
        <w:tc>
          <w:tcPr>
            <w:tcW w:w="6838" w:type="dxa"/>
            <w:tcBorders>
              <w:top w:val="single" w:color="auto" w:sz="4" w:space="0"/>
              <w:left w:val="single" w:color="auto" w:sz="4" w:space="0"/>
              <w:bottom w:val="single" w:color="auto" w:sz="4" w:space="0"/>
              <w:right w:val="single" w:color="auto" w:sz="4" w:space="0"/>
            </w:tcBorders>
          </w:tcPr>
          <w:p w14:paraId="15F5B327">
            <w:pPr>
              <w:adjustRightInd w:val="0"/>
              <w:snapToGrid w:val="0"/>
              <w:spacing w:line="360" w:lineRule="auto"/>
              <w:jc w:val="left"/>
              <w:rPr>
                <w:rFonts w:ascii="宋体" w:hAnsi="宋体" w:cs="宋体"/>
                <w:bCs/>
                <w:color w:val="auto"/>
                <w:sz w:val="24"/>
                <w:szCs w:val="24"/>
                <w:highlight w:val="none"/>
              </w:rPr>
            </w:pPr>
            <w:r>
              <w:rPr>
                <w:rFonts w:hint="eastAsia" w:ascii="宋体" w:hAnsi="宋体" w:cs="宋体"/>
                <w:bCs/>
                <w:color w:val="auto"/>
                <w:sz w:val="24"/>
                <w:szCs w:val="24"/>
                <w:highlight w:val="none"/>
              </w:rPr>
              <w:t>投标产品“高性能计算机（品目号</w:t>
            </w:r>
            <w:r>
              <w:rPr>
                <w:rFonts w:ascii="宋体" w:hAnsi="宋体" w:cs="宋体"/>
                <w:bCs/>
                <w:color w:val="auto"/>
                <w:sz w:val="24"/>
                <w:szCs w:val="24"/>
                <w:highlight w:val="none"/>
              </w:rPr>
              <w:t>1-1）</w:t>
            </w:r>
            <w:r>
              <w:rPr>
                <w:rFonts w:hint="eastAsia" w:ascii="宋体" w:hAnsi="宋体" w:cs="宋体"/>
                <w:bCs/>
                <w:color w:val="auto"/>
                <w:sz w:val="24"/>
                <w:szCs w:val="24"/>
                <w:highlight w:val="none"/>
              </w:rPr>
              <w:t>”，“具体要求”中非</w:t>
            </w:r>
            <w:r>
              <w:rPr>
                <w:rFonts w:ascii="宋体" w:hAnsi="宋体" w:cs="宋体"/>
                <w:bCs/>
                <w:color w:val="auto"/>
                <w:sz w:val="24"/>
                <w:szCs w:val="24"/>
                <w:highlight w:val="none"/>
              </w:rPr>
              <w:t>★</w:t>
            </w:r>
            <w:r>
              <w:rPr>
                <w:rFonts w:hint="eastAsia" w:ascii="宋体" w:hAnsi="宋体" w:cs="宋体"/>
                <w:bCs/>
                <w:color w:val="auto"/>
                <w:sz w:val="24"/>
                <w:szCs w:val="24"/>
                <w:highlight w:val="none"/>
              </w:rPr>
              <w:t>条款全部响应的得3分，有不响应的得0分。</w:t>
            </w:r>
          </w:p>
        </w:tc>
        <w:tc>
          <w:tcPr>
            <w:tcW w:w="898" w:type="dxa"/>
            <w:tcBorders>
              <w:top w:val="single" w:color="auto" w:sz="4" w:space="0"/>
              <w:left w:val="single" w:color="auto" w:sz="4" w:space="0"/>
              <w:bottom w:val="single" w:color="auto" w:sz="4" w:space="0"/>
              <w:right w:val="single" w:color="auto" w:sz="4" w:space="0"/>
            </w:tcBorders>
            <w:vAlign w:val="center"/>
          </w:tcPr>
          <w:p w14:paraId="18A34658">
            <w:pPr>
              <w:spacing w:line="360" w:lineRule="auto"/>
              <w:jc w:val="center"/>
              <w:rPr>
                <w:rFonts w:ascii="宋体" w:hAnsi="宋体" w:cs="宋体"/>
                <w:bCs/>
                <w:color w:val="auto"/>
                <w:sz w:val="24"/>
                <w:szCs w:val="24"/>
                <w:highlight w:val="none"/>
              </w:rPr>
            </w:pPr>
            <w:r>
              <w:rPr>
                <w:rFonts w:ascii="宋体" w:hAnsi="宋体" w:cs="宋体"/>
                <w:bCs/>
                <w:color w:val="auto"/>
                <w:sz w:val="24"/>
                <w:szCs w:val="24"/>
                <w:highlight w:val="none"/>
              </w:rPr>
              <w:t>3</w:t>
            </w:r>
          </w:p>
        </w:tc>
      </w:tr>
      <w:tr w14:paraId="0567D7B9">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313FE372">
            <w:pPr>
              <w:spacing w:line="360" w:lineRule="auto"/>
              <w:jc w:val="center"/>
              <w:rPr>
                <w:rFonts w:ascii="宋体" w:hAnsi="宋体" w:cs="宋体"/>
                <w:bCs/>
                <w:color w:val="auto"/>
                <w:sz w:val="24"/>
                <w:szCs w:val="24"/>
                <w:highlight w:val="none"/>
              </w:rPr>
            </w:pPr>
            <w:r>
              <w:rPr>
                <w:rFonts w:ascii="宋体" w:hAnsi="宋体" w:cs="宋体"/>
                <w:bCs/>
                <w:color w:val="auto"/>
                <w:sz w:val="24"/>
                <w:szCs w:val="24"/>
                <w:highlight w:val="none"/>
              </w:rPr>
              <w:t>1-5</w:t>
            </w:r>
          </w:p>
        </w:tc>
        <w:tc>
          <w:tcPr>
            <w:tcW w:w="6838" w:type="dxa"/>
            <w:tcBorders>
              <w:top w:val="single" w:color="auto" w:sz="4" w:space="0"/>
              <w:left w:val="single" w:color="auto" w:sz="4" w:space="0"/>
              <w:bottom w:val="single" w:color="auto" w:sz="4" w:space="0"/>
              <w:right w:val="single" w:color="auto" w:sz="4" w:space="0"/>
            </w:tcBorders>
          </w:tcPr>
          <w:p w14:paraId="1BE2DFD8">
            <w:pPr>
              <w:adjustRightInd w:val="0"/>
              <w:snapToGrid w:val="0"/>
              <w:spacing w:line="360" w:lineRule="auto"/>
              <w:jc w:val="left"/>
              <w:rPr>
                <w:rFonts w:ascii="宋体" w:hAnsi="宋体" w:cs="宋体"/>
                <w:bCs/>
                <w:color w:val="auto"/>
                <w:sz w:val="24"/>
                <w:szCs w:val="24"/>
                <w:highlight w:val="none"/>
              </w:rPr>
            </w:pPr>
            <w:r>
              <w:rPr>
                <w:rFonts w:hint="eastAsia" w:ascii="宋体" w:hAnsi="宋体" w:cs="宋体"/>
                <w:bCs/>
                <w:color w:val="auto"/>
                <w:sz w:val="24"/>
                <w:szCs w:val="24"/>
                <w:highlight w:val="none"/>
              </w:rPr>
              <w:t>投标产品“图形工作站</w:t>
            </w:r>
            <w:r>
              <w:rPr>
                <w:rFonts w:ascii="宋体" w:hAnsi="宋体" w:cs="宋体"/>
                <w:bCs/>
                <w:color w:val="auto"/>
                <w:sz w:val="24"/>
                <w:szCs w:val="24"/>
                <w:highlight w:val="none"/>
              </w:rPr>
              <w:t>1</w:t>
            </w:r>
            <w:r>
              <w:rPr>
                <w:rFonts w:hint="eastAsia" w:ascii="宋体" w:hAnsi="宋体" w:cs="宋体"/>
                <w:bCs/>
                <w:color w:val="auto"/>
                <w:sz w:val="24"/>
                <w:szCs w:val="24"/>
                <w:highlight w:val="none"/>
              </w:rPr>
              <w:t>（品目号</w:t>
            </w:r>
            <w:r>
              <w:rPr>
                <w:rFonts w:ascii="宋体" w:hAnsi="宋体" w:cs="宋体"/>
                <w:bCs/>
                <w:color w:val="auto"/>
                <w:sz w:val="24"/>
                <w:szCs w:val="24"/>
                <w:highlight w:val="none"/>
              </w:rPr>
              <w:t>1-2）</w:t>
            </w:r>
            <w:r>
              <w:rPr>
                <w:rFonts w:hint="eastAsia" w:ascii="宋体" w:hAnsi="宋体" w:cs="宋体"/>
                <w:bCs/>
                <w:color w:val="auto"/>
                <w:sz w:val="24"/>
                <w:szCs w:val="24"/>
                <w:highlight w:val="none"/>
              </w:rPr>
              <w:t>”，“总体要求”中显卡配置RTX</w:t>
            </w:r>
            <w:r>
              <w:rPr>
                <w:rFonts w:ascii="宋体" w:hAnsi="宋体" w:cs="宋体"/>
                <w:bCs/>
                <w:color w:val="auto"/>
                <w:sz w:val="24"/>
                <w:szCs w:val="24"/>
                <w:highlight w:val="none"/>
              </w:rPr>
              <w:t>409</w:t>
            </w:r>
            <w:r>
              <w:rPr>
                <w:rFonts w:hint="eastAsia" w:ascii="宋体" w:hAnsi="宋体" w:cs="宋体"/>
                <w:bCs/>
                <w:color w:val="auto"/>
                <w:sz w:val="24"/>
                <w:szCs w:val="24"/>
                <w:highlight w:val="none"/>
              </w:rPr>
              <w:t>0的加3分，最多</w:t>
            </w:r>
            <w:r>
              <w:rPr>
                <w:rFonts w:ascii="宋体" w:hAnsi="宋体" w:cs="宋体"/>
                <w:bCs/>
                <w:color w:val="auto"/>
                <w:sz w:val="24"/>
                <w:szCs w:val="24"/>
                <w:highlight w:val="none"/>
              </w:rPr>
              <w:t>3分</w:t>
            </w:r>
            <w:r>
              <w:rPr>
                <w:rFonts w:hint="eastAsia" w:ascii="宋体" w:hAnsi="宋体" w:cs="宋体"/>
                <w:bCs/>
                <w:color w:val="auto"/>
                <w:sz w:val="24"/>
                <w:szCs w:val="24"/>
                <w:highlight w:val="none"/>
              </w:rPr>
              <w:t>。</w:t>
            </w:r>
          </w:p>
        </w:tc>
        <w:tc>
          <w:tcPr>
            <w:tcW w:w="898" w:type="dxa"/>
            <w:tcBorders>
              <w:top w:val="single" w:color="auto" w:sz="4" w:space="0"/>
              <w:left w:val="single" w:color="auto" w:sz="4" w:space="0"/>
              <w:bottom w:val="single" w:color="auto" w:sz="4" w:space="0"/>
              <w:right w:val="single" w:color="auto" w:sz="4" w:space="0"/>
            </w:tcBorders>
            <w:vAlign w:val="center"/>
          </w:tcPr>
          <w:p w14:paraId="28A41792">
            <w:pPr>
              <w:spacing w:line="360" w:lineRule="auto"/>
              <w:jc w:val="center"/>
              <w:rPr>
                <w:rFonts w:ascii="宋体" w:hAnsi="宋体" w:cs="宋体"/>
                <w:bCs/>
                <w:color w:val="auto"/>
                <w:sz w:val="24"/>
                <w:szCs w:val="24"/>
                <w:highlight w:val="none"/>
              </w:rPr>
            </w:pPr>
            <w:r>
              <w:rPr>
                <w:rFonts w:ascii="宋体" w:hAnsi="宋体" w:cs="宋体"/>
                <w:bCs/>
                <w:color w:val="auto"/>
                <w:sz w:val="24"/>
                <w:szCs w:val="24"/>
                <w:highlight w:val="none"/>
              </w:rPr>
              <w:t>3</w:t>
            </w:r>
          </w:p>
        </w:tc>
      </w:tr>
      <w:tr w14:paraId="52AB8462">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14EE8645">
            <w:pPr>
              <w:spacing w:line="360" w:lineRule="auto"/>
              <w:jc w:val="center"/>
              <w:rPr>
                <w:rFonts w:ascii="宋体" w:hAnsi="宋体" w:cs="宋体"/>
                <w:bCs/>
                <w:color w:val="auto"/>
                <w:sz w:val="24"/>
                <w:szCs w:val="24"/>
                <w:highlight w:val="none"/>
              </w:rPr>
            </w:pPr>
            <w:r>
              <w:rPr>
                <w:rFonts w:ascii="宋体" w:hAnsi="宋体" w:cs="宋体"/>
                <w:bCs/>
                <w:color w:val="auto"/>
                <w:sz w:val="24"/>
                <w:szCs w:val="24"/>
                <w:highlight w:val="none"/>
              </w:rPr>
              <w:t>1-6</w:t>
            </w:r>
          </w:p>
        </w:tc>
        <w:tc>
          <w:tcPr>
            <w:tcW w:w="6838" w:type="dxa"/>
            <w:tcBorders>
              <w:top w:val="single" w:color="auto" w:sz="4" w:space="0"/>
              <w:left w:val="single" w:color="auto" w:sz="4" w:space="0"/>
              <w:bottom w:val="single" w:color="auto" w:sz="4" w:space="0"/>
              <w:right w:val="single" w:color="auto" w:sz="4" w:space="0"/>
            </w:tcBorders>
          </w:tcPr>
          <w:p w14:paraId="156B4073">
            <w:pPr>
              <w:adjustRightInd w:val="0"/>
              <w:snapToGrid w:val="0"/>
              <w:spacing w:line="360" w:lineRule="auto"/>
              <w:jc w:val="left"/>
              <w:rPr>
                <w:rFonts w:ascii="宋体" w:hAnsi="宋体" w:cs="宋体"/>
                <w:bCs/>
                <w:color w:val="auto"/>
                <w:sz w:val="24"/>
                <w:szCs w:val="24"/>
                <w:highlight w:val="none"/>
              </w:rPr>
            </w:pPr>
            <w:r>
              <w:rPr>
                <w:rFonts w:hint="eastAsia" w:ascii="宋体" w:hAnsi="宋体" w:cs="宋体"/>
                <w:bCs/>
                <w:color w:val="auto"/>
                <w:sz w:val="24"/>
                <w:szCs w:val="24"/>
                <w:highlight w:val="none"/>
              </w:rPr>
              <w:t>投标产品“图形工作站</w:t>
            </w:r>
            <w:r>
              <w:rPr>
                <w:rFonts w:ascii="宋体" w:hAnsi="宋体" w:cs="宋体"/>
                <w:bCs/>
                <w:color w:val="auto"/>
                <w:sz w:val="24"/>
                <w:szCs w:val="24"/>
                <w:highlight w:val="none"/>
              </w:rPr>
              <w:t>1</w:t>
            </w:r>
            <w:r>
              <w:rPr>
                <w:rFonts w:hint="eastAsia" w:ascii="宋体" w:hAnsi="宋体" w:cs="宋体"/>
                <w:bCs/>
                <w:color w:val="auto"/>
                <w:sz w:val="24"/>
                <w:szCs w:val="24"/>
                <w:highlight w:val="none"/>
              </w:rPr>
              <w:t>（品目号</w:t>
            </w:r>
            <w:r>
              <w:rPr>
                <w:rFonts w:ascii="宋体" w:hAnsi="宋体" w:cs="宋体"/>
                <w:bCs/>
                <w:color w:val="auto"/>
                <w:sz w:val="24"/>
                <w:szCs w:val="24"/>
                <w:highlight w:val="none"/>
              </w:rPr>
              <w:t>1-2）</w:t>
            </w:r>
            <w:r>
              <w:rPr>
                <w:rFonts w:hint="eastAsia" w:ascii="宋体" w:hAnsi="宋体" w:cs="宋体"/>
                <w:bCs/>
                <w:color w:val="auto"/>
                <w:sz w:val="24"/>
                <w:szCs w:val="24"/>
                <w:highlight w:val="none"/>
              </w:rPr>
              <w:t>”，“总体要求”中非</w:t>
            </w:r>
            <w:r>
              <w:rPr>
                <w:rFonts w:ascii="宋体" w:hAnsi="宋体" w:cs="宋体"/>
                <w:bCs/>
                <w:color w:val="auto"/>
                <w:sz w:val="24"/>
                <w:szCs w:val="24"/>
                <w:highlight w:val="none"/>
              </w:rPr>
              <w:t>★</w:t>
            </w:r>
            <w:r>
              <w:rPr>
                <w:rFonts w:hint="eastAsia" w:ascii="宋体" w:hAnsi="宋体" w:cs="宋体"/>
                <w:bCs/>
                <w:color w:val="auto"/>
                <w:sz w:val="24"/>
                <w:szCs w:val="24"/>
                <w:highlight w:val="none"/>
              </w:rPr>
              <w:t>条款全部响应的得</w:t>
            </w:r>
            <w:r>
              <w:rPr>
                <w:rFonts w:ascii="宋体" w:hAnsi="宋体" w:cs="宋体"/>
                <w:bCs/>
                <w:color w:val="auto"/>
                <w:sz w:val="24"/>
                <w:szCs w:val="24"/>
                <w:highlight w:val="none"/>
              </w:rPr>
              <w:t>3分，有</w:t>
            </w:r>
            <w:r>
              <w:rPr>
                <w:rFonts w:hint="eastAsia" w:ascii="宋体" w:hAnsi="宋体" w:cs="宋体"/>
                <w:bCs/>
                <w:color w:val="auto"/>
                <w:sz w:val="24"/>
                <w:szCs w:val="24"/>
                <w:highlight w:val="none"/>
              </w:rPr>
              <w:t>不响应的得</w:t>
            </w:r>
            <w:r>
              <w:rPr>
                <w:rFonts w:ascii="宋体" w:hAnsi="宋体" w:cs="宋体"/>
                <w:bCs/>
                <w:color w:val="auto"/>
                <w:sz w:val="24"/>
                <w:szCs w:val="24"/>
                <w:highlight w:val="none"/>
              </w:rPr>
              <w:t>0分</w:t>
            </w:r>
            <w:r>
              <w:rPr>
                <w:rFonts w:hint="eastAsia" w:ascii="宋体" w:hAnsi="宋体" w:cs="宋体"/>
                <w:bCs/>
                <w:color w:val="auto"/>
                <w:sz w:val="24"/>
                <w:szCs w:val="24"/>
                <w:highlight w:val="none"/>
              </w:rPr>
              <w:t>。</w:t>
            </w:r>
          </w:p>
        </w:tc>
        <w:tc>
          <w:tcPr>
            <w:tcW w:w="898" w:type="dxa"/>
            <w:tcBorders>
              <w:top w:val="single" w:color="auto" w:sz="4" w:space="0"/>
              <w:left w:val="single" w:color="auto" w:sz="4" w:space="0"/>
              <w:bottom w:val="single" w:color="auto" w:sz="4" w:space="0"/>
              <w:right w:val="single" w:color="auto" w:sz="4" w:space="0"/>
            </w:tcBorders>
            <w:vAlign w:val="center"/>
          </w:tcPr>
          <w:p w14:paraId="4D019FBC">
            <w:pPr>
              <w:spacing w:line="360" w:lineRule="auto"/>
              <w:jc w:val="center"/>
              <w:rPr>
                <w:rFonts w:ascii="宋体" w:hAnsi="宋体" w:cs="宋体"/>
                <w:bCs/>
                <w:color w:val="auto"/>
                <w:sz w:val="24"/>
                <w:szCs w:val="24"/>
                <w:highlight w:val="none"/>
              </w:rPr>
            </w:pPr>
            <w:r>
              <w:rPr>
                <w:rFonts w:ascii="宋体" w:hAnsi="宋体" w:cs="宋体"/>
                <w:bCs/>
                <w:color w:val="auto"/>
                <w:sz w:val="24"/>
                <w:szCs w:val="24"/>
                <w:highlight w:val="none"/>
              </w:rPr>
              <w:t>3</w:t>
            </w:r>
          </w:p>
        </w:tc>
      </w:tr>
      <w:tr w14:paraId="5621D2AF">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056C4E67">
            <w:pPr>
              <w:spacing w:line="360" w:lineRule="auto"/>
              <w:jc w:val="center"/>
              <w:rPr>
                <w:rFonts w:ascii="宋体" w:hAnsi="宋体" w:cs="宋体"/>
                <w:bCs/>
                <w:color w:val="auto"/>
                <w:sz w:val="24"/>
                <w:szCs w:val="24"/>
                <w:highlight w:val="none"/>
              </w:rPr>
            </w:pPr>
            <w:r>
              <w:rPr>
                <w:rFonts w:ascii="宋体" w:hAnsi="宋体" w:cs="宋体"/>
                <w:bCs/>
                <w:color w:val="auto"/>
                <w:sz w:val="24"/>
                <w:szCs w:val="24"/>
                <w:highlight w:val="none"/>
              </w:rPr>
              <w:t>1-7</w:t>
            </w:r>
          </w:p>
        </w:tc>
        <w:tc>
          <w:tcPr>
            <w:tcW w:w="6838" w:type="dxa"/>
            <w:tcBorders>
              <w:top w:val="single" w:color="auto" w:sz="4" w:space="0"/>
              <w:left w:val="single" w:color="auto" w:sz="4" w:space="0"/>
              <w:bottom w:val="single" w:color="auto" w:sz="4" w:space="0"/>
              <w:right w:val="single" w:color="auto" w:sz="4" w:space="0"/>
            </w:tcBorders>
          </w:tcPr>
          <w:p w14:paraId="7C2C964B">
            <w:pPr>
              <w:adjustRightInd w:val="0"/>
              <w:snapToGrid w:val="0"/>
              <w:spacing w:line="360" w:lineRule="auto"/>
              <w:jc w:val="left"/>
              <w:rPr>
                <w:rFonts w:ascii="宋体" w:hAnsi="宋体" w:cs="宋体"/>
                <w:bCs/>
                <w:color w:val="auto"/>
                <w:sz w:val="24"/>
                <w:szCs w:val="24"/>
                <w:highlight w:val="none"/>
              </w:rPr>
            </w:pPr>
            <w:r>
              <w:rPr>
                <w:rFonts w:hint="eastAsia" w:ascii="宋体" w:hAnsi="宋体" w:cs="宋体"/>
                <w:bCs/>
                <w:color w:val="auto"/>
                <w:sz w:val="24"/>
                <w:szCs w:val="24"/>
                <w:highlight w:val="none"/>
              </w:rPr>
              <w:t>投标产品“图形工作站</w:t>
            </w:r>
            <w:r>
              <w:rPr>
                <w:rFonts w:ascii="宋体" w:hAnsi="宋体" w:cs="宋体"/>
                <w:bCs/>
                <w:color w:val="auto"/>
                <w:sz w:val="24"/>
                <w:szCs w:val="24"/>
                <w:highlight w:val="none"/>
              </w:rPr>
              <w:t>2（品目号1-3）</w:t>
            </w:r>
            <w:r>
              <w:rPr>
                <w:rFonts w:hint="eastAsia" w:ascii="宋体" w:hAnsi="宋体" w:cs="宋体"/>
                <w:bCs/>
                <w:color w:val="auto"/>
                <w:sz w:val="24"/>
                <w:szCs w:val="24"/>
                <w:highlight w:val="none"/>
              </w:rPr>
              <w:t>”，</w:t>
            </w:r>
            <w:r>
              <w:rPr>
                <w:rFonts w:hint="eastAsia" w:ascii="宋体" w:hAnsi="宋体" w:cs="宋体"/>
                <w:color w:val="auto"/>
                <w:sz w:val="24"/>
                <w:szCs w:val="24"/>
                <w:highlight w:val="none"/>
              </w:rPr>
              <w:t>“总体要求”中显卡配置RTX30</w:t>
            </w:r>
            <w:r>
              <w:rPr>
                <w:rFonts w:ascii="宋体" w:hAnsi="宋体" w:cs="宋体"/>
                <w:color w:val="auto"/>
                <w:sz w:val="24"/>
                <w:szCs w:val="24"/>
                <w:highlight w:val="none"/>
              </w:rPr>
              <w:t>7</w:t>
            </w:r>
            <w:r>
              <w:rPr>
                <w:rFonts w:hint="eastAsia" w:ascii="宋体" w:hAnsi="宋体" w:cs="宋体"/>
                <w:color w:val="auto"/>
                <w:sz w:val="24"/>
                <w:szCs w:val="24"/>
                <w:highlight w:val="none"/>
              </w:rPr>
              <w:t>0、RTX30</w:t>
            </w:r>
            <w:r>
              <w:rPr>
                <w:rFonts w:ascii="宋体" w:hAnsi="宋体" w:cs="宋体"/>
                <w:color w:val="auto"/>
                <w:sz w:val="24"/>
                <w:szCs w:val="24"/>
                <w:highlight w:val="none"/>
              </w:rPr>
              <w:t>8</w:t>
            </w:r>
            <w:r>
              <w:rPr>
                <w:rFonts w:hint="eastAsia" w:ascii="宋体" w:hAnsi="宋体" w:cs="宋体"/>
                <w:color w:val="auto"/>
                <w:sz w:val="24"/>
                <w:szCs w:val="24"/>
                <w:highlight w:val="none"/>
              </w:rPr>
              <w:t>0、RTX30</w:t>
            </w:r>
            <w:r>
              <w:rPr>
                <w:rFonts w:ascii="宋体" w:hAnsi="宋体" w:cs="宋体"/>
                <w:color w:val="auto"/>
                <w:sz w:val="24"/>
                <w:szCs w:val="24"/>
                <w:highlight w:val="none"/>
              </w:rPr>
              <w:t>9</w:t>
            </w:r>
            <w:r>
              <w:rPr>
                <w:rFonts w:hint="eastAsia" w:ascii="宋体" w:hAnsi="宋体" w:cs="宋体"/>
                <w:color w:val="auto"/>
                <w:sz w:val="24"/>
                <w:szCs w:val="24"/>
                <w:highlight w:val="none"/>
              </w:rPr>
              <w:t>0之一的加3分，最多</w:t>
            </w:r>
            <w:r>
              <w:rPr>
                <w:rFonts w:ascii="宋体" w:hAnsi="宋体" w:cs="宋体"/>
                <w:color w:val="auto"/>
                <w:sz w:val="24"/>
                <w:szCs w:val="24"/>
                <w:highlight w:val="none"/>
              </w:rPr>
              <w:t>3分</w:t>
            </w:r>
            <w:r>
              <w:rPr>
                <w:rFonts w:hint="eastAsia" w:ascii="宋体" w:hAnsi="宋体" w:cs="宋体"/>
                <w:bCs/>
                <w:color w:val="auto"/>
                <w:sz w:val="24"/>
                <w:szCs w:val="24"/>
                <w:highlight w:val="none"/>
              </w:rPr>
              <w:t>。</w:t>
            </w:r>
          </w:p>
        </w:tc>
        <w:tc>
          <w:tcPr>
            <w:tcW w:w="898" w:type="dxa"/>
            <w:tcBorders>
              <w:top w:val="single" w:color="auto" w:sz="4" w:space="0"/>
              <w:left w:val="single" w:color="auto" w:sz="4" w:space="0"/>
              <w:bottom w:val="single" w:color="auto" w:sz="4" w:space="0"/>
              <w:right w:val="single" w:color="auto" w:sz="4" w:space="0"/>
            </w:tcBorders>
            <w:vAlign w:val="center"/>
          </w:tcPr>
          <w:p w14:paraId="68428D8A">
            <w:pPr>
              <w:spacing w:line="360" w:lineRule="auto"/>
              <w:jc w:val="center"/>
              <w:rPr>
                <w:rFonts w:ascii="宋体" w:hAnsi="宋体" w:cs="宋体"/>
                <w:bCs/>
                <w:color w:val="auto"/>
                <w:sz w:val="24"/>
                <w:szCs w:val="24"/>
                <w:highlight w:val="none"/>
              </w:rPr>
            </w:pPr>
            <w:r>
              <w:rPr>
                <w:rFonts w:ascii="宋体" w:hAnsi="宋体" w:cs="宋体"/>
                <w:bCs/>
                <w:color w:val="auto"/>
                <w:sz w:val="24"/>
                <w:szCs w:val="24"/>
                <w:highlight w:val="none"/>
              </w:rPr>
              <w:t>3</w:t>
            </w:r>
          </w:p>
        </w:tc>
      </w:tr>
      <w:tr w14:paraId="314A8CDA">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01B22C77">
            <w:pPr>
              <w:spacing w:line="360" w:lineRule="auto"/>
              <w:jc w:val="center"/>
              <w:rPr>
                <w:rFonts w:ascii="宋体" w:hAnsi="宋体" w:cs="宋体"/>
                <w:bCs/>
                <w:color w:val="auto"/>
                <w:sz w:val="24"/>
                <w:szCs w:val="24"/>
                <w:highlight w:val="none"/>
              </w:rPr>
            </w:pPr>
            <w:r>
              <w:rPr>
                <w:rFonts w:ascii="宋体" w:hAnsi="宋体" w:cs="宋体"/>
                <w:bCs/>
                <w:color w:val="auto"/>
                <w:sz w:val="24"/>
                <w:szCs w:val="24"/>
                <w:highlight w:val="none"/>
              </w:rPr>
              <w:t>1-8</w:t>
            </w:r>
          </w:p>
        </w:tc>
        <w:tc>
          <w:tcPr>
            <w:tcW w:w="6838" w:type="dxa"/>
            <w:tcBorders>
              <w:top w:val="single" w:color="auto" w:sz="4" w:space="0"/>
              <w:left w:val="single" w:color="auto" w:sz="4" w:space="0"/>
              <w:bottom w:val="single" w:color="auto" w:sz="4" w:space="0"/>
              <w:right w:val="single" w:color="auto" w:sz="4" w:space="0"/>
            </w:tcBorders>
          </w:tcPr>
          <w:p w14:paraId="30F987A5">
            <w:pPr>
              <w:adjustRightInd w:val="0"/>
              <w:snapToGrid w:val="0"/>
              <w:spacing w:line="360" w:lineRule="auto"/>
              <w:jc w:val="left"/>
              <w:rPr>
                <w:rFonts w:ascii="宋体" w:hAnsi="宋体" w:cs="宋体"/>
                <w:bCs/>
                <w:color w:val="auto"/>
                <w:sz w:val="24"/>
                <w:szCs w:val="24"/>
                <w:highlight w:val="none"/>
              </w:rPr>
            </w:pPr>
            <w:r>
              <w:rPr>
                <w:rFonts w:hint="eastAsia" w:ascii="宋体" w:hAnsi="宋体" w:cs="宋体"/>
                <w:bCs/>
                <w:color w:val="auto"/>
                <w:sz w:val="24"/>
                <w:szCs w:val="24"/>
                <w:highlight w:val="none"/>
              </w:rPr>
              <w:t>投标产品“图形工作站</w:t>
            </w:r>
            <w:r>
              <w:rPr>
                <w:rFonts w:ascii="宋体" w:hAnsi="宋体" w:cs="宋体"/>
                <w:bCs/>
                <w:color w:val="auto"/>
                <w:sz w:val="24"/>
                <w:szCs w:val="24"/>
                <w:highlight w:val="none"/>
              </w:rPr>
              <w:t>2（品目号1-3）</w:t>
            </w:r>
            <w:r>
              <w:rPr>
                <w:rFonts w:hint="eastAsia" w:ascii="宋体" w:hAnsi="宋体" w:cs="宋体"/>
                <w:bCs/>
                <w:color w:val="auto"/>
                <w:sz w:val="24"/>
                <w:szCs w:val="24"/>
                <w:highlight w:val="none"/>
              </w:rPr>
              <w:t>”，“总体要求”中非</w:t>
            </w:r>
            <w:r>
              <w:rPr>
                <w:rFonts w:ascii="宋体" w:hAnsi="宋体" w:cs="宋体"/>
                <w:bCs/>
                <w:color w:val="auto"/>
                <w:sz w:val="24"/>
                <w:szCs w:val="24"/>
                <w:highlight w:val="none"/>
              </w:rPr>
              <w:t>★</w:t>
            </w:r>
            <w:r>
              <w:rPr>
                <w:rFonts w:hint="eastAsia" w:ascii="宋体" w:hAnsi="宋体" w:cs="宋体"/>
                <w:bCs/>
                <w:color w:val="auto"/>
                <w:sz w:val="24"/>
                <w:szCs w:val="24"/>
                <w:highlight w:val="none"/>
              </w:rPr>
              <w:t>条款全部响应的得3分，有不响应的得0分。</w:t>
            </w:r>
          </w:p>
        </w:tc>
        <w:tc>
          <w:tcPr>
            <w:tcW w:w="898" w:type="dxa"/>
            <w:tcBorders>
              <w:top w:val="single" w:color="auto" w:sz="4" w:space="0"/>
              <w:left w:val="single" w:color="auto" w:sz="4" w:space="0"/>
              <w:bottom w:val="single" w:color="auto" w:sz="4" w:space="0"/>
              <w:right w:val="single" w:color="auto" w:sz="4" w:space="0"/>
            </w:tcBorders>
            <w:vAlign w:val="center"/>
          </w:tcPr>
          <w:p w14:paraId="676B5768">
            <w:pPr>
              <w:spacing w:line="360" w:lineRule="auto"/>
              <w:jc w:val="center"/>
              <w:rPr>
                <w:rFonts w:ascii="宋体" w:hAnsi="宋体" w:cs="宋体"/>
                <w:bCs/>
                <w:color w:val="auto"/>
                <w:sz w:val="24"/>
                <w:szCs w:val="24"/>
                <w:highlight w:val="none"/>
              </w:rPr>
            </w:pPr>
            <w:r>
              <w:rPr>
                <w:rFonts w:ascii="宋体" w:hAnsi="宋体" w:cs="宋体"/>
                <w:bCs/>
                <w:color w:val="auto"/>
                <w:sz w:val="24"/>
                <w:szCs w:val="24"/>
                <w:highlight w:val="none"/>
              </w:rPr>
              <w:t>3</w:t>
            </w:r>
          </w:p>
        </w:tc>
      </w:tr>
      <w:tr w14:paraId="1701BFEC">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107402E0">
            <w:pPr>
              <w:spacing w:line="360" w:lineRule="auto"/>
              <w:jc w:val="center"/>
              <w:rPr>
                <w:rFonts w:ascii="宋体" w:hAnsi="宋体" w:cs="宋体"/>
                <w:bCs/>
                <w:color w:val="auto"/>
                <w:sz w:val="24"/>
                <w:szCs w:val="24"/>
                <w:highlight w:val="none"/>
              </w:rPr>
            </w:pPr>
            <w:r>
              <w:rPr>
                <w:rFonts w:ascii="宋体" w:hAnsi="宋体" w:cs="宋体"/>
                <w:bCs/>
                <w:color w:val="auto"/>
                <w:sz w:val="24"/>
                <w:szCs w:val="24"/>
                <w:highlight w:val="none"/>
              </w:rPr>
              <w:t>1-9</w:t>
            </w:r>
          </w:p>
        </w:tc>
        <w:tc>
          <w:tcPr>
            <w:tcW w:w="6838" w:type="dxa"/>
            <w:tcBorders>
              <w:top w:val="single" w:color="auto" w:sz="4" w:space="0"/>
              <w:left w:val="single" w:color="auto" w:sz="4" w:space="0"/>
              <w:bottom w:val="single" w:color="auto" w:sz="4" w:space="0"/>
              <w:right w:val="single" w:color="auto" w:sz="4" w:space="0"/>
            </w:tcBorders>
          </w:tcPr>
          <w:p w14:paraId="4DFCA499">
            <w:pPr>
              <w:adjustRightInd w:val="0"/>
              <w:snapToGrid w:val="0"/>
              <w:spacing w:line="360" w:lineRule="auto"/>
              <w:jc w:val="left"/>
              <w:rPr>
                <w:rFonts w:ascii="宋体" w:hAnsi="宋体" w:cs="宋体"/>
                <w:bCs/>
                <w:color w:val="auto"/>
                <w:sz w:val="24"/>
                <w:szCs w:val="24"/>
                <w:highlight w:val="none"/>
              </w:rPr>
            </w:pPr>
            <w:r>
              <w:rPr>
                <w:rFonts w:hint="eastAsia" w:ascii="宋体" w:hAnsi="宋体" w:cs="宋体"/>
                <w:bCs/>
                <w:color w:val="auto"/>
                <w:sz w:val="24"/>
                <w:szCs w:val="24"/>
                <w:highlight w:val="none"/>
              </w:rPr>
              <w:t>投标产品“图形工作站</w:t>
            </w:r>
            <w:r>
              <w:rPr>
                <w:rFonts w:ascii="宋体" w:hAnsi="宋体" w:cs="宋体"/>
                <w:bCs/>
                <w:color w:val="auto"/>
                <w:sz w:val="24"/>
                <w:szCs w:val="24"/>
                <w:highlight w:val="none"/>
              </w:rPr>
              <w:t>3（品目号1-4）</w:t>
            </w:r>
            <w:r>
              <w:rPr>
                <w:rFonts w:hint="eastAsia" w:ascii="宋体" w:hAnsi="宋体" w:cs="宋体"/>
                <w:bCs/>
                <w:color w:val="auto"/>
                <w:sz w:val="24"/>
                <w:szCs w:val="24"/>
                <w:highlight w:val="none"/>
              </w:rPr>
              <w:t>”，“总体要求”中内存≥32GB</w:t>
            </w:r>
            <w:r>
              <w:rPr>
                <w:rFonts w:hint="eastAsia" w:ascii="宋体" w:hAnsi="宋体" w:cs="宋体"/>
                <w:color w:val="auto"/>
                <w:sz w:val="24"/>
                <w:szCs w:val="24"/>
                <w:highlight w:val="none"/>
              </w:rPr>
              <w:t>的加1.5分，</w:t>
            </w:r>
            <w:r>
              <w:rPr>
                <w:rFonts w:hint="eastAsia" w:ascii="宋体" w:hAnsi="宋体" w:cs="宋体"/>
                <w:bCs/>
                <w:color w:val="auto"/>
                <w:sz w:val="24"/>
                <w:szCs w:val="24"/>
                <w:highlight w:val="none"/>
              </w:rPr>
              <w:t>硬盘≥</w:t>
            </w:r>
            <w:r>
              <w:rPr>
                <w:rFonts w:ascii="宋体" w:hAnsi="宋体" w:cs="宋体"/>
                <w:bCs/>
                <w:color w:val="auto"/>
                <w:sz w:val="24"/>
                <w:szCs w:val="24"/>
                <w:highlight w:val="none"/>
              </w:rPr>
              <w:t>2TB</w:t>
            </w:r>
            <w:r>
              <w:rPr>
                <w:rFonts w:hint="eastAsia" w:ascii="宋体" w:hAnsi="宋体" w:cs="宋体"/>
                <w:color w:val="auto"/>
                <w:sz w:val="24"/>
                <w:szCs w:val="24"/>
                <w:highlight w:val="none"/>
              </w:rPr>
              <w:t>的</w:t>
            </w:r>
            <w:r>
              <w:rPr>
                <w:rFonts w:hint="eastAsia" w:ascii="宋体" w:hAnsi="宋体" w:cs="宋体"/>
                <w:bCs/>
                <w:color w:val="auto"/>
                <w:sz w:val="24"/>
                <w:szCs w:val="24"/>
                <w:highlight w:val="none"/>
              </w:rPr>
              <w:t>加1.5分，最多</w:t>
            </w:r>
            <w:r>
              <w:rPr>
                <w:rFonts w:ascii="宋体" w:hAnsi="宋体" w:cs="宋体"/>
                <w:bCs/>
                <w:color w:val="auto"/>
                <w:sz w:val="24"/>
                <w:szCs w:val="24"/>
                <w:highlight w:val="none"/>
              </w:rPr>
              <w:t>3分</w:t>
            </w:r>
            <w:r>
              <w:rPr>
                <w:rFonts w:hint="eastAsia" w:ascii="宋体" w:hAnsi="宋体" w:cs="宋体"/>
                <w:bCs/>
                <w:color w:val="auto"/>
                <w:sz w:val="24"/>
                <w:szCs w:val="24"/>
                <w:highlight w:val="none"/>
              </w:rPr>
              <w:t>。</w:t>
            </w:r>
          </w:p>
        </w:tc>
        <w:tc>
          <w:tcPr>
            <w:tcW w:w="898" w:type="dxa"/>
            <w:tcBorders>
              <w:top w:val="single" w:color="auto" w:sz="4" w:space="0"/>
              <w:left w:val="single" w:color="auto" w:sz="4" w:space="0"/>
              <w:bottom w:val="single" w:color="auto" w:sz="4" w:space="0"/>
              <w:right w:val="single" w:color="auto" w:sz="4" w:space="0"/>
            </w:tcBorders>
            <w:vAlign w:val="center"/>
          </w:tcPr>
          <w:p w14:paraId="547F680F">
            <w:pPr>
              <w:spacing w:line="360" w:lineRule="auto"/>
              <w:jc w:val="center"/>
              <w:rPr>
                <w:rFonts w:ascii="宋体" w:hAnsi="宋体" w:cs="宋体"/>
                <w:bCs/>
                <w:color w:val="auto"/>
                <w:sz w:val="24"/>
                <w:szCs w:val="24"/>
                <w:highlight w:val="none"/>
              </w:rPr>
            </w:pPr>
            <w:r>
              <w:rPr>
                <w:rFonts w:ascii="宋体" w:hAnsi="宋体" w:cs="宋体"/>
                <w:bCs/>
                <w:color w:val="auto"/>
                <w:sz w:val="24"/>
                <w:szCs w:val="24"/>
                <w:highlight w:val="none"/>
              </w:rPr>
              <w:t>3</w:t>
            </w:r>
          </w:p>
        </w:tc>
      </w:tr>
      <w:tr w14:paraId="53DB8A9F">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470D5887">
            <w:pPr>
              <w:spacing w:line="360" w:lineRule="auto"/>
              <w:jc w:val="center"/>
              <w:rPr>
                <w:rFonts w:ascii="宋体" w:hAnsi="宋体" w:cs="宋体"/>
                <w:bCs/>
                <w:color w:val="auto"/>
                <w:sz w:val="24"/>
                <w:szCs w:val="24"/>
                <w:highlight w:val="none"/>
              </w:rPr>
            </w:pPr>
            <w:r>
              <w:rPr>
                <w:rFonts w:ascii="宋体" w:hAnsi="宋体" w:cs="宋体"/>
                <w:bCs/>
                <w:color w:val="auto"/>
                <w:sz w:val="24"/>
                <w:szCs w:val="24"/>
                <w:highlight w:val="none"/>
              </w:rPr>
              <w:t>1-10</w:t>
            </w:r>
          </w:p>
        </w:tc>
        <w:tc>
          <w:tcPr>
            <w:tcW w:w="6838" w:type="dxa"/>
            <w:tcBorders>
              <w:top w:val="single" w:color="auto" w:sz="4" w:space="0"/>
              <w:left w:val="single" w:color="auto" w:sz="4" w:space="0"/>
              <w:bottom w:val="single" w:color="auto" w:sz="4" w:space="0"/>
              <w:right w:val="single" w:color="auto" w:sz="4" w:space="0"/>
            </w:tcBorders>
          </w:tcPr>
          <w:p w14:paraId="25E99DC0">
            <w:pPr>
              <w:adjustRightInd w:val="0"/>
              <w:snapToGrid w:val="0"/>
              <w:spacing w:line="360" w:lineRule="auto"/>
              <w:jc w:val="left"/>
              <w:rPr>
                <w:rFonts w:ascii="宋体" w:hAnsi="宋体" w:cs="宋体"/>
                <w:bCs/>
                <w:color w:val="auto"/>
                <w:sz w:val="24"/>
                <w:szCs w:val="24"/>
                <w:highlight w:val="none"/>
              </w:rPr>
            </w:pPr>
            <w:r>
              <w:rPr>
                <w:rFonts w:hint="eastAsia" w:ascii="宋体" w:hAnsi="宋体" w:cs="宋体"/>
                <w:color w:val="auto"/>
                <w:sz w:val="24"/>
                <w:szCs w:val="24"/>
                <w:highlight w:val="none"/>
              </w:rPr>
              <w:t>投标产品“图形工作站3（品目号1-4）”，“总体要求”中显卡配置RTX30</w:t>
            </w:r>
            <w:r>
              <w:rPr>
                <w:rFonts w:ascii="宋体" w:hAnsi="宋体" w:cs="宋体"/>
                <w:color w:val="auto"/>
                <w:sz w:val="24"/>
                <w:szCs w:val="24"/>
                <w:highlight w:val="none"/>
              </w:rPr>
              <w:t>5</w:t>
            </w:r>
            <w:r>
              <w:rPr>
                <w:rFonts w:hint="eastAsia" w:ascii="宋体" w:hAnsi="宋体" w:cs="宋体"/>
                <w:color w:val="auto"/>
                <w:sz w:val="24"/>
                <w:szCs w:val="24"/>
                <w:highlight w:val="none"/>
              </w:rPr>
              <w:t>0、RTX30</w:t>
            </w:r>
            <w:r>
              <w:rPr>
                <w:rFonts w:ascii="宋体" w:hAnsi="宋体" w:cs="宋体"/>
                <w:color w:val="auto"/>
                <w:sz w:val="24"/>
                <w:szCs w:val="24"/>
                <w:highlight w:val="none"/>
              </w:rPr>
              <w:t>6</w:t>
            </w:r>
            <w:r>
              <w:rPr>
                <w:rFonts w:hint="eastAsia" w:ascii="宋体" w:hAnsi="宋体" w:cs="宋体"/>
                <w:color w:val="auto"/>
                <w:sz w:val="24"/>
                <w:szCs w:val="24"/>
                <w:highlight w:val="none"/>
              </w:rPr>
              <w:t>0之一的加3分，最多3分。</w:t>
            </w:r>
          </w:p>
        </w:tc>
        <w:tc>
          <w:tcPr>
            <w:tcW w:w="898" w:type="dxa"/>
            <w:tcBorders>
              <w:top w:val="single" w:color="auto" w:sz="4" w:space="0"/>
              <w:left w:val="single" w:color="auto" w:sz="4" w:space="0"/>
              <w:bottom w:val="single" w:color="auto" w:sz="4" w:space="0"/>
              <w:right w:val="single" w:color="auto" w:sz="4" w:space="0"/>
            </w:tcBorders>
            <w:vAlign w:val="center"/>
          </w:tcPr>
          <w:p w14:paraId="43321D07">
            <w:pPr>
              <w:spacing w:line="360" w:lineRule="auto"/>
              <w:jc w:val="center"/>
              <w:rPr>
                <w:rFonts w:ascii="宋体" w:hAnsi="宋体" w:cs="宋体"/>
                <w:bCs/>
                <w:color w:val="auto"/>
                <w:sz w:val="24"/>
                <w:szCs w:val="24"/>
                <w:highlight w:val="none"/>
              </w:rPr>
            </w:pPr>
            <w:r>
              <w:rPr>
                <w:rFonts w:ascii="宋体" w:hAnsi="宋体" w:cs="宋体"/>
                <w:bCs/>
                <w:color w:val="auto"/>
                <w:sz w:val="24"/>
                <w:szCs w:val="24"/>
                <w:highlight w:val="none"/>
              </w:rPr>
              <w:t>3</w:t>
            </w:r>
          </w:p>
        </w:tc>
      </w:tr>
      <w:tr w14:paraId="5A3A01B7">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1BEC9BB9">
            <w:pPr>
              <w:spacing w:line="360" w:lineRule="auto"/>
              <w:jc w:val="center"/>
              <w:rPr>
                <w:rFonts w:ascii="宋体" w:hAnsi="宋体" w:cs="宋体"/>
                <w:bCs/>
                <w:color w:val="auto"/>
                <w:sz w:val="24"/>
                <w:szCs w:val="24"/>
                <w:highlight w:val="none"/>
              </w:rPr>
            </w:pPr>
            <w:r>
              <w:rPr>
                <w:rFonts w:ascii="宋体" w:hAnsi="宋体" w:cs="宋体"/>
                <w:bCs/>
                <w:color w:val="auto"/>
                <w:sz w:val="24"/>
                <w:szCs w:val="24"/>
                <w:highlight w:val="none"/>
              </w:rPr>
              <w:t>1-11</w:t>
            </w:r>
          </w:p>
        </w:tc>
        <w:tc>
          <w:tcPr>
            <w:tcW w:w="6838" w:type="dxa"/>
            <w:tcBorders>
              <w:top w:val="single" w:color="auto" w:sz="4" w:space="0"/>
              <w:left w:val="single" w:color="auto" w:sz="4" w:space="0"/>
              <w:bottom w:val="single" w:color="auto" w:sz="4" w:space="0"/>
              <w:right w:val="single" w:color="auto" w:sz="4" w:space="0"/>
            </w:tcBorders>
          </w:tcPr>
          <w:p w14:paraId="6D7FC67E">
            <w:pPr>
              <w:adjustRightInd w:val="0"/>
              <w:snapToGrid w:val="0"/>
              <w:spacing w:line="360" w:lineRule="auto"/>
              <w:jc w:val="left"/>
              <w:rPr>
                <w:rFonts w:ascii="宋体" w:hAnsi="宋体" w:cs="宋体"/>
                <w:bCs/>
                <w:color w:val="auto"/>
                <w:sz w:val="24"/>
                <w:szCs w:val="24"/>
                <w:highlight w:val="none"/>
              </w:rPr>
            </w:pPr>
            <w:r>
              <w:rPr>
                <w:rFonts w:hint="eastAsia" w:ascii="宋体" w:hAnsi="宋体" w:cs="宋体"/>
                <w:color w:val="auto"/>
                <w:sz w:val="24"/>
                <w:szCs w:val="24"/>
                <w:highlight w:val="none"/>
              </w:rPr>
              <w:t>投标产品“图形工作站3（品目号1-4）”，“总体要求”中非★条款全部响应的得3分，有不响应的得0分。</w:t>
            </w:r>
          </w:p>
        </w:tc>
        <w:tc>
          <w:tcPr>
            <w:tcW w:w="898" w:type="dxa"/>
            <w:tcBorders>
              <w:top w:val="single" w:color="auto" w:sz="4" w:space="0"/>
              <w:left w:val="single" w:color="auto" w:sz="4" w:space="0"/>
              <w:bottom w:val="single" w:color="auto" w:sz="4" w:space="0"/>
              <w:right w:val="single" w:color="auto" w:sz="4" w:space="0"/>
            </w:tcBorders>
            <w:vAlign w:val="center"/>
          </w:tcPr>
          <w:p w14:paraId="44854AFA">
            <w:pPr>
              <w:spacing w:line="360" w:lineRule="auto"/>
              <w:jc w:val="center"/>
              <w:rPr>
                <w:rFonts w:ascii="宋体" w:hAnsi="宋体" w:cs="宋体"/>
                <w:bCs/>
                <w:color w:val="auto"/>
                <w:sz w:val="24"/>
                <w:szCs w:val="24"/>
                <w:highlight w:val="none"/>
              </w:rPr>
            </w:pPr>
            <w:r>
              <w:rPr>
                <w:rFonts w:ascii="宋体" w:hAnsi="宋体" w:cs="宋体"/>
                <w:bCs/>
                <w:color w:val="auto"/>
                <w:sz w:val="24"/>
                <w:szCs w:val="24"/>
                <w:highlight w:val="none"/>
              </w:rPr>
              <w:t>3</w:t>
            </w:r>
          </w:p>
        </w:tc>
      </w:tr>
      <w:tr w14:paraId="403F3A7D">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72258072">
            <w:pPr>
              <w:spacing w:line="360" w:lineRule="auto"/>
              <w:jc w:val="center"/>
              <w:rPr>
                <w:rFonts w:ascii="宋体" w:hAnsi="宋体" w:cs="宋体"/>
                <w:bCs/>
                <w:color w:val="auto"/>
                <w:sz w:val="24"/>
                <w:szCs w:val="24"/>
                <w:highlight w:val="none"/>
              </w:rPr>
            </w:pPr>
            <w:r>
              <w:rPr>
                <w:rFonts w:ascii="宋体" w:hAnsi="宋体" w:cs="宋体"/>
                <w:bCs/>
                <w:color w:val="auto"/>
                <w:sz w:val="24"/>
                <w:szCs w:val="24"/>
                <w:highlight w:val="none"/>
              </w:rPr>
              <w:t>1-12</w:t>
            </w:r>
          </w:p>
        </w:tc>
        <w:tc>
          <w:tcPr>
            <w:tcW w:w="6838" w:type="dxa"/>
            <w:tcBorders>
              <w:top w:val="single" w:color="auto" w:sz="4" w:space="0"/>
              <w:left w:val="single" w:color="auto" w:sz="4" w:space="0"/>
              <w:bottom w:val="single" w:color="auto" w:sz="4" w:space="0"/>
              <w:right w:val="single" w:color="auto" w:sz="4" w:space="0"/>
            </w:tcBorders>
          </w:tcPr>
          <w:p w14:paraId="381335C6">
            <w:pPr>
              <w:adjustRightInd w:val="0"/>
              <w:snapToGrid w:val="0"/>
              <w:spacing w:line="360" w:lineRule="auto"/>
              <w:jc w:val="left"/>
              <w:rPr>
                <w:rFonts w:ascii="宋体" w:hAnsi="宋体" w:cs="宋体"/>
                <w:bCs/>
                <w:color w:val="auto"/>
                <w:sz w:val="24"/>
                <w:szCs w:val="24"/>
                <w:highlight w:val="none"/>
              </w:rPr>
            </w:pPr>
            <w:r>
              <w:rPr>
                <w:rFonts w:hint="eastAsia" w:ascii="宋体" w:hAnsi="宋体" w:cs="宋体"/>
                <w:bCs/>
                <w:color w:val="auto"/>
                <w:sz w:val="24"/>
                <w:szCs w:val="24"/>
                <w:highlight w:val="none"/>
              </w:rPr>
              <w:t>投标产品“图形工作站</w:t>
            </w:r>
            <w:r>
              <w:rPr>
                <w:rFonts w:ascii="宋体" w:hAnsi="宋体" w:cs="宋体"/>
                <w:bCs/>
                <w:color w:val="auto"/>
                <w:sz w:val="24"/>
                <w:szCs w:val="24"/>
                <w:highlight w:val="none"/>
              </w:rPr>
              <w:t>3（品目号1-4）</w:t>
            </w:r>
            <w:r>
              <w:rPr>
                <w:rFonts w:hint="eastAsia" w:ascii="宋体" w:hAnsi="宋体" w:cs="宋体"/>
                <w:bCs/>
                <w:color w:val="auto"/>
                <w:sz w:val="24"/>
                <w:szCs w:val="24"/>
                <w:highlight w:val="none"/>
              </w:rPr>
              <w:t>”，“具体要求”中非</w:t>
            </w:r>
            <w:r>
              <w:rPr>
                <w:rFonts w:ascii="宋体" w:hAnsi="宋体" w:cs="宋体"/>
                <w:bCs/>
                <w:color w:val="auto"/>
                <w:sz w:val="24"/>
                <w:szCs w:val="24"/>
                <w:highlight w:val="none"/>
              </w:rPr>
              <w:t>★</w:t>
            </w:r>
            <w:r>
              <w:rPr>
                <w:rFonts w:hint="eastAsia" w:ascii="宋体" w:hAnsi="宋体" w:cs="宋体"/>
                <w:bCs/>
                <w:color w:val="auto"/>
                <w:sz w:val="24"/>
                <w:szCs w:val="24"/>
                <w:highlight w:val="none"/>
              </w:rPr>
              <w:t>条款全部响应的得3分，有不响应的得0分。</w:t>
            </w:r>
          </w:p>
        </w:tc>
        <w:tc>
          <w:tcPr>
            <w:tcW w:w="898" w:type="dxa"/>
            <w:tcBorders>
              <w:top w:val="single" w:color="auto" w:sz="4" w:space="0"/>
              <w:left w:val="single" w:color="auto" w:sz="4" w:space="0"/>
              <w:bottom w:val="single" w:color="auto" w:sz="4" w:space="0"/>
              <w:right w:val="single" w:color="auto" w:sz="4" w:space="0"/>
            </w:tcBorders>
            <w:vAlign w:val="center"/>
          </w:tcPr>
          <w:p w14:paraId="527F7891">
            <w:pPr>
              <w:spacing w:line="360" w:lineRule="auto"/>
              <w:jc w:val="center"/>
              <w:rPr>
                <w:rFonts w:ascii="宋体" w:hAnsi="宋体" w:cs="宋体"/>
                <w:bCs/>
                <w:color w:val="auto"/>
                <w:sz w:val="24"/>
                <w:szCs w:val="24"/>
                <w:highlight w:val="none"/>
              </w:rPr>
            </w:pPr>
            <w:r>
              <w:rPr>
                <w:rFonts w:ascii="宋体" w:hAnsi="宋体" w:cs="宋体"/>
                <w:bCs/>
                <w:color w:val="auto"/>
                <w:sz w:val="24"/>
                <w:szCs w:val="24"/>
                <w:highlight w:val="none"/>
              </w:rPr>
              <w:t>3</w:t>
            </w:r>
          </w:p>
        </w:tc>
      </w:tr>
      <w:tr w14:paraId="69E2EE57">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0C2C795D">
            <w:pPr>
              <w:spacing w:line="360" w:lineRule="auto"/>
              <w:jc w:val="center"/>
              <w:rPr>
                <w:rFonts w:ascii="宋体" w:hAnsi="宋体" w:cs="宋体"/>
                <w:bCs/>
                <w:color w:val="auto"/>
                <w:sz w:val="24"/>
                <w:szCs w:val="24"/>
                <w:highlight w:val="none"/>
              </w:rPr>
            </w:pPr>
            <w:r>
              <w:rPr>
                <w:rFonts w:ascii="宋体" w:hAnsi="宋体" w:cs="宋体"/>
                <w:bCs/>
                <w:color w:val="auto"/>
                <w:sz w:val="24"/>
                <w:szCs w:val="24"/>
                <w:highlight w:val="none"/>
              </w:rPr>
              <w:t>1-13</w:t>
            </w:r>
          </w:p>
        </w:tc>
        <w:tc>
          <w:tcPr>
            <w:tcW w:w="6838" w:type="dxa"/>
            <w:tcBorders>
              <w:top w:val="single" w:color="auto" w:sz="4" w:space="0"/>
              <w:left w:val="single" w:color="auto" w:sz="4" w:space="0"/>
              <w:bottom w:val="single" w:color="auto" w:sz="4" w:space="0"/>
              <w:right w:val="single" w:color="auto" w:sz="4" w:space="0"/>
            </w:tcBorders>
          </w:tcPr>
          <w:p w14:paraId="7C86E114">
            <w:pPr>
              <w:adjustRightInd w:val="0"/>
              <w:snapToGrid w:val="0"/>
              <w:spacing w:line="360" w:lineRule="auto"/>
              <w:jc w:val="left"/>
              <w:rPr>
                <w:rFonts w:ascii="宋体" w:hAnsi="宋体" w:cs="宋体"/>
                <w:bCs/>
                <w:color w:val="auto"/>
                <w:sz w:val="24"/>
                <w:szCs w:val="24"/>
                <w:highlight w:val="none"/>
              </w:rPr>
            </w:pPr>
            <w:r>
              <w:rPr>
                <w:rFonts w:hint="eastAsia" w:ascii="宋体" w:hAnsi="宋体" w:cs="宋体"/>
                <w:bCs/>
                <w:color w:val="auto"/>
                <w:sz w:val="24"/>
                <w:szCs w:val="24"/>
                <w:highlight w:val="none"/>
              </w:rPr>
              <w:t>投标产品“图形工作站</w:t>
            </w:r>
            <w:r>
              <w:rPr>
                <w:rFonts w:ascii="宋体" w:hAnsi="宋体" w:cs="宋体"/>
                <w:bCs/>
                <w:color w:val="auto"/>
                <w:sz w:val="24"/>
                <w:szCs w:val="24"/>
                <w:highlight w:val="none"/>
              </w:rPr>
              <w:t>4（品目号1-5）</w:t>
            </w:r>
            <w:r>
              <w:rPr>
                <w:rFonts w:hint="eastAsia" w:ascii="宋体" w:hAnsi="宋体" w:cs="宋体"/>
                <w:bCs/>
                <w:color w:val="auto"/>
                <w:sz w:val="24"/>
                <w:szCs w:val="24"/>
                <w:highlight w:val="none"/>
              </w:rPr>
              <w:t>”，“总体要求”中显卡配置RTX30</w:t>
            </w:r>
            <w:r>
              <w:rPr>
                <w:rFonts w:ascii="宋体" w:hAnsi="宋体" w:cs="宋体"/>
                <w:bCs/>
                <w:color w:val="auto"/>
                <w:sz w:val="24"/>
                <w:szCs w:val="24"/>
                <w:highlight w:val="none"/>
              </w:rPr>
              <w:t>7</w:t>
            </w:r>
            <w:r>
              <w:rPr>
                <w:rFonts w:hint="eastAsia" w:ascii="宋体" w:hAnsi="宋体" w:cs="宋体"/>
                <w:bCs/>
                <w:color w:val="auto"/>
                <w:sz w:val="24"/>
                <w:szCs w:val="24"/>
                <w:highlight w:val="none"/>
              </w:rPr>
              <w:t>0、RTX30</w:t>
            </w:r>
            <w:r>
              <w:rPr>
                <w:rFonts w:ascii="宋体" w:hAnsi="宋体" w:cs="宋体"/>
                <w:bCs/>
                <w:color w:val="auto"/>
                <w:sz w:val="24"/>
                <w:szCs w:val="24"/>
                <w:highlight w:val="none"/>
              </w:rPr>
              <w:t>8</w:t>
            </w:r>
            <w:r>
              <w:rPr>
                <w:rFonts w:hint="eastAsia" w:ascii="宋体" w:hAnsi="宋体" w:cs="宋体"/>
                <w:bCs/>
                <w:color w:val="auto"/>
                <w:sz w:val="24"/>
                <w:szCs w:val="24"/>
                <w:highlight w:val="none"/>
              </w:rPr>
              <w:t>0、RTX30</w:t>
            </w:r>
            <w:r>
              <w:rPr>
                <w:rFonts w:ascii="宋体" w:hAnsi="宋体" w:cs="宋体"/>
                <w:bCs/>
                <w:color w:val="auto"/>
                <w:sz w:val="24"/>
                <w:szCs w:val="24"/>
                <w:highlight w:val="none"/>
              </w:rPr>
              <w:t>9</w:t>
            </w:r>
            <w:r>
              <w:rPr>
                <w:rFonts w:hint="eastAsia" w:ascii="宋体" w:hAnsi="宋体" w:cs="宋体"/>
                <w:bCs/>
                <w:color w:val="auto"/>
                <w:sz w:val="24"/>
                <w:szCs w:val="24"/>
                <w:highlight w:val="none"/>
              </w:rPr>
              <w:t>0之一的加3分，最多</w:t>
            </w:r>
            <w:r>
              <w:rPr>
                <w:rFonts w:ascii="宋体" w:hAnsi="宋体" w:cs="宋体"/>
                <w:bCs/>
                <w:color w:val="auto"/>
                <w:sz w:val="24"/>
                <w:szCs w:val="24"/>
                <w:highlight w:val="none"/>
              </w:rPr>
              <w:t>3分</w:t>
            </w:r>
            <w:r>
              <w:rPr>
                <w:rFonts w:hint="eastAsia" w:ascii="宋体" w:hAnsi="宋体" w:cs="宋体"/>
                <w:bCs/>
                <w:color w:val="auto"/>
                <w:sz w:val="24"/>
                <w:szCs w:val="24"/>
                <w:highlight w:val="none"/>
              </w:rPr>
              <w:t>。</w:t>
            </w:r>
          </w:p>
        </w:tc>
        <w:tc>
          <w:tcPr>
            <w:tcW w:w="898" w:type="dxa"/>
            <w:tcBorders>
              <w:top w:val="single" w:color="auto" w:sz="4" w:space="0"/>
              <w:left w:val="single" w:color="auto" w:sz="4" w:space="0"/>
              <w:bottom w:val="single" w:color="auto" w:sz="4" w:space="0"/>
              <w:right w:val="single" w:color="auto" w:sz="4" w:space="0"/>
            </w:tcBorders>
            <w:vAlign w:val="center"/>
          </w:tcPr>
          <w:p w14:paraId="4CD57FD5">
            <w:pPr>
              <w:spacing w:line="360" w:lineRule="auto"/>
              <w:jc w:val="center"/>
              <w:rPr>
                <w:rFonts w:ascii="宋体" w:hAnsi="宋体" w:cs="宋体"/>
                <w:bCs/>
                <w:color w:val="auto"/>
                <w:sz w:val="24"/>
                <w:szCs w:val="24"/>
                <w:highlight w:val="none"/>
              </w:rPr>
            </w:pPr>
            <w:r>
              <w:rPr>
                <w:rFonts w:ascii="宋体" w:hAnsi="宋体" w:cs="宋体"/>
                <w:bCs/>
                <w:color w:val="auto"/>
                <w:sz w:val="24"/>
                <w:szCs w:val="24"/>
                <w:highlight w:val="none"/>
              </w:rPr>
              <w:t>3</w:t>
            </w:r>
          </w:p>
        </w:tc>
      </w:tr>
      <w:tr w14:paraId="52CD6852">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3CA09B6D">
            <w:pPr>
              <w:spacing w:line="360" w:lineRule="auto"/>
              <w:jc w:val="center"/>
              <w:rPr>
                <w:rFonts w:ascii="宋体" w:hAnsi="宋体" w:cs="宋体"/>
                <w:bCs/>
                <w:color w:val="auto"/>
                <w:sz w:val="24"/>
                <w:szCs w:val="24"/>
                <w:highlight w:val="none"/>
              </w:rPr>
            </w:pPr>
            <w:r>
              <w:rPr>
                <w:rFonts w:ascii="宋体" w:hAnsi="宋体" w:cs="宋体"/>
                <w:bCs/>
                <w:color w:val="auto"/>
                <w:sz w:val="24"/>
                <w:szCs w:val="24"/>
                <w:highlight w:val="none"/>
              </w:rPr>
              <w:t>1-14</w:t>
            </w:r>
          </w:p>
        </w:tc>
        <w:tc>
          <w:tcPr>
            <w:tcW w:w="6838" w:type="dxa"/>
            <w:tcBorders>
              <w:top w:val="single" w:color="auto" w:sz="4" w:space="0"/>
              <w:left w:val="single" w:color="auto" w:sz="4" w:space="0"/>
              <w:bottom w:val="single" w:color="auto" w:sz="4" w:space="0"/>
              <w:right w:val="single" w:color="auto" w:sz="4" w:space="0"/>
            </w:tcBorders>
          </w:tcPr>
          <w:p w14:paraId="26589D7E">
            <w:pPr>
              <w:adjustRightInd w:val="0"/>
              <w:snapToGrid w:val="0"/>
              <w:spacing w:line="360" w:lineRule="auto"/>
              <w:jc w:val="left"/>
              <w:rPr>
                <w:rFonts w:ascii="宋体" w:hAnsi="宋体" w:cs="宋体"/>
                <w:bCs/>
                <w:color w:val="auto"/>
                <w:sz w:val="24"/>
                <w:szCs w:val="24"/>
                <w:highlight w:val="none"/>
              </w:rPr>
            </w:pPr>
            <w:r>
              <w:rPr>
                <w:rFonts w:hint="eastAsia" w:ascii="宋体" w:hAnsi="宋体" w:cs="宋体"/>
                <w:bCs/>
                <w:color w:val="auto"/>
                <w:sz w:val="24"/>
                <w:szCs w:val="24"/>
                <w:highlight w:val="none"/>
              </w:rPr>
              <w:t>投标产品“图形工作站</w:t>
            </w:r>
            <w:r>
              <w:rPr>
                <w:rFonts w:ascii="宋体" w:hAnsi="宋体" w:cs="宋体"/>
                <w:bCs/>
                <w:color w:val="auto"/>
                <w:sz w:val="24"/>
                <w:szCs w:val="24"/>
                <w:highlight w:val="none"/>
              </w:rPr>
              <w:t>4（品目号1-5）</w:t>
            </w:r>
            <w:r>
              <w:rPr>
                <w:rFonts w:hint="eastAsia" w:ascii="宋体" w:hAnsi="宋体" w:cs="宋体"/>
                <w:bCs/>
                <w:color w:val="auto"/>
                <w:sz w:val="24"/>
                <w:szCs w:val="24"/>
                <w:highlight w:val="none"/>
              </w:rPr>
              <w:t>”，“总体要求”中非</w:t>
            </w:r>
            <w:r>
              <w:rPr>
                <w:rFonts w:ascii="宋体" w:hAnsi="宋体" w:cs="宋体"/>
                <w:bCs/>
                <w:color w:val="auto"/>
                <w:sz w:val="24"/>
                <w:szCs w:val="24"/>
                <w:highlight w:val="none"/>
              </w:rPr>
              <w:t>★</w:t>
            </w:r>
            <w:r>
              <w:rPr>
                <w:rFonts w:hint="eastAsia" w:ascii="宋体" w:hAnsi="宋体" w:cs="宋体"/>
                <w:bCs/>
                <w:color w:val="auto"/>
                <w:sz w:val="24"/>
                <w:szCs w:val="24"/>
                <w:highlight w:val="none"/>
              </w:rPr>
              <w:t>条款全部响应的得3分，有不响应的得0分。</w:t>
            </w:r>
          </w:p>
        </w:tc>
        <w:tc>
          <w:tcPr>
            <w:tcW w:w="898" w:type="dxa"/>
            <w:tcBorders>
              <w:top w:val="single" w:color="auto" w:sz="4" w:space="0"/>
              <w:left w:val="single" w:color="auto" w:sz="4" w:space="0"/>
              <w:bottom w:val="single" w:color="auto" w:sz="4" w:space="0"/>
              <w:right w:val="single" w:color="auto" w:sz="4" w:space="0"/>
            </w:tcBorders>
            <w:vAlign w:val="center"/>
          </w:tcPr>
          <w:p w14:paraId="0B62B2A9">
            <w:pPr>
              <w:spacing w:line="360" w:lineRule="auto"/>
              <w:jc w:val="center"/>
              <w:rPr>
                <w:rFonts w:ascii="宋体" w:hAnsi="宋体" w:cs="宋体"/>
                <w:bCs/>
                <w:color w:val="auto"/>
                <w:sz w:val="24"/>
                <w:szCs w:val="24"/>
                <w:highlight w:val="none"/>
              </w:rPr>
            </w:pPr>
            <w:r>
              <w:rPr>
                <w:rFonts w:ascii="宋体" w:hAnsi="宋体" w:cs="宋体"/>
                <w:bCs/>
                <w:color w:val="auto"/>
                <w:sz w:val="24"/>
                <w:szCs w:val="24"/>
                <w:highlight w:val="none"/>
              </w:rPr>
              <w:t>3</w:t>
            </w:r>
          </w:p>
        </w:tc>
      </w:tr>
      <w:tr w14:paraId="29E0C6F3">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28F1FAF6">
            <w:pPr>
              <w:spacing w:line="360" w:lineRule="auto"/>
              <w:jc w:val="center"/>
              <w:rPr>
                <w:rFonts w:ascii="宋体" w:hAnsi="宋体" w:cs="宋体"/>
                <w:bCs/>
                <w:color w:val="auto"/>
                <w:sz w:val="24"/>
                <w:szCs w:val="24"/>
                <w:highlight w:val="none"/>
              </w:rPr>
            </w:pPr>
            <w:r>
              <w:rPr>
                <w:rFonts w:ascii="宋体" w:hAnsi="宋体" w:cs="宋体"/>
                <w:bCs/>
                <w:color w:val="auto"/>
                <w:sz w:val="24"/>
                <w:szCs w:val="24"/>
                <w:highlight w:val="none"/>
              </w:rPr>
              <w:t>1-15</w:t>
            </w:r>
          </w:p>
        </w:tc>
        <w:tc>
          <w:tcPr>
            <w:tcW w:w="6838" w:type="dxa"/>
            <w:tcBorders>
              <w:top w:val="single" w:color="auto" w:sz="4" w:space="0"/>
              <w:left w:val="single" w:color="auto" w:sz="4" w:space="0"/>
              <w:bottom w:val="single" w:color="auto" w:sz="4" w:space="0"/>
              <w:right w:val="single" w:color="auto" w:sz="4" w:space="0"/>
            </w:tcBorders>
          </w:tcPr>
          <w:p w14:paraId="20FF578F">
            <w:pPr>
              <w:adjustRightInd w:val="0"/>
              <w:snapToGrid w:val="0"/>
              <w:spacing w:line="360" w:lineRule="auto"/>
              <w:jc w:val="left"/>
              <w:rPr>
                <w:rFonts w:ascii="宋体" w:hAnsi="宋体" w:cs="宋体"/>
                <w:bCs/>
                <w:color w:val="auto"/>
                <w:sz w:val="24"/>
                <w:szCs w:val="24"/>
                <w:highlight w:val="none"/>
              </w:rPr>
            </w:pPr>
            <w:r>
              <w:rPr>
                <w:rFonts w:hint="eastAsia" w:ascii="宋体" w:hAnsi="宋体" w:cs="宋体"/>
                <w:bCs/>
                <w:color w:val="auto"/>
                <w:sz w:val="24"/>
                <w:szCs w:val="24"/>
                <w:highlight w:val="none"/>
              </w:rPr>
              <w:t>投标产品“图形工作站</w:t>
            </w:r>
            <w:r>
              <w:rPr>
                <w:rFonts w:ascii="宋体" w:hAnsi="宋体" w:cs="宋体"/>
                <w:color w:val="auto"/>
                <w:sz w:val="24"/>
                <w:szCs w:val="24"/>
                <w:highlight w:val="none"/>
              </w:rPr>
              <w:t>1</w:t>
            </w:r>
            <w:r>
              <w:rPr>
                <w:rFonts w:hint="eastAsia" w:ascii="宋体" w:hAnsi="宋体" w:cs="宋体"/>
                <w:bCs/>
                <w:color w:val="auto"/>
                <w:sz w:val="24"/>
                <w:szCs w:val="24"/>
                <w:highlight w:val="none"/>
              </w:rPr>
              <w:t>（品目号</w:t>
            </w:r>
            <w:r>
              <w:rPr>
                <w:rFonts w:ascii="宋体" w:hAnsi="宋体" w:cs="宋体"/>
                <w:bCs/>
                <w:color w:val="auto"/>
                <w:sz w:val="24"/>
                <w:szCs w:val="24"/>
                <w:highlight w:val="none"/>
              </w:rPr>
              <w:t>1-2）</w:t>
            </w:r>
            <w:r>
              <w:rPr>
                <w:rFonts w:hint="eastAsia" w:ascii="宋体" w:hAnsi="宋体" w:cs="宋体"/>
                <w:bCs/>
                <w:color w:val="auto"/>
                <w:sz w:val="24"/>
                <w:szCs w:val="24"/>
                <w:highlight w:val="none"/>
              </w:rPr>
              <w:t>”，具备</w:t>
            </w:r>
            <w:r>
              <w:rPr>
                <w:rFonts w:ascii="宋体" w:hAnsi="宋体" w:cs="宋体"/>
                <w:bCs/>
                <w:color w:val="auto"/>
                <w:sz w:val="24"/>
                <w:szCs w:val="24"/>
                <w:highlight w:val="none"/>
              </w:rPr>
              <w:t>100GB以上高速互联的分布式训练框架和资源调度服务能力，并提供安装集成服务得3分，否则不得分。</w:t>
            </w:r>
            <w:r>
              <w:rPr>
                <w:rFonts w:hint="eastAsia" w:ascii="宋体" w:hAnsi="宋体" w:cs="宋体"/>
                <w:bCs/>
                <w:color w:val="auto"/>
                <w:sz w:val="24"/>
                <w:szCs w:val="24"/>
                <w:highlight w:val="none"/>
              </w:rPr>
              <w:t>（提供书面承诺函（格式自拟））。</w:t>
            </w:r>
          </w:p>
        </w:tc>
        <w:tc>
          <w:tcPr>
            <w:tcW w:w="898" w:type="dxa"/>
            <w:tcBorders>
              <w:top w:val="single" w:color="auto" w:sz="4" w:space="0"/>
              <w:left w:val="single" w:color="auto" w:sz="4" w:space="0"/>
              <w:bottom w:val="single" w:color="auto" w:sz="4" w:space="0"/>
              <w:right w:val="single" w:color="auto" w:sz="4" w:space="0"/>
            </w:tcBorders>
            <w:vAlign w:val="center"/>
          </w:tcPr>
          <w:p w14:paraId="1D320D38">
            <w:pPr>
              <w:spacing w:line="360" w:lineRule="auto"/>
              <w:jc w:val="center"/>
              <w:rPr>
                <w:rFonts w:ascii="宋体" w:hAnsi="宋体" w:cs="宋体"/>
                <w:bCs/>
                <w:color w:val="auto"/>
                <w:sz w:val="24"/>
                <w:szCs w:val="24"/>
                <w:highlight w:val="none"/>
              </w:rPr>
            </w:pPr>
            <w:r>
              <w:rPr>
                <w:rFonts w:ascii="宋体" w:hAnsi="宋体" w:cs="宋体"/>
                <w:bCs/>
                <w:color w:val="auto"/>
                <w:sz w:val="24"/>
                <w:szCs w:val="24"/>
                <w:highlight w:val="none"/>
              </w:rPr>
              <w:t>3</w:t>
            </w:r>
          </w:p>
        </w:tc>
      </w:tr>
      <w:tr w14:paraId="28CBC07A">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335A71CB">
            <w:pPr>
              <w:spacing w:line="360" w:lineRule="auto"/>
              <w:jc w:val="center"/>
              <w:rPr>
                <w:rFonts w:ascii="宋体" w:hAnsi="宋体" w:cs="宋体"/>
                <w:bCs/>
                <w:color w:val="auto"/>
                <w:sz w:val="24"/>
                <w:szCs w:val="24"/>
                <w:highlight w:val="none"/>
              </w:rPr>
            </w:pPr>
            <w:r>
              <w:rPr>
                <w:rFonts w:ascii="宋体" w:hAnsi="宋体" w:cs="宋体"/>
                <w:bCs/>
                <w:color w:val="auto"/>
                <w:sz w:val="24"/>
                <w:szCs w:val="24"/>
                <w:highlight w:val="none"/>
              </w:rPr>
              <w:t>1-16</w:t>
            </w:r>
          </w:p>
        </w:tc>
        <w:tc>
          <w:tcPr>
            <w:tcW w:w="6838" w:type="dxa"/>
            <w:tcBorders>
              <w:top w:val="single" w:color="auto" w:sz="4" w:space="0"/>
              <w:left w:val="single" w:color="auto" w:sz="4" w:space="0"/>
              <w:bottom w:val="single" w:color="auto" w:sz="4" w:space="0"/>
              <w:right w:val="single" w:color="auto" w:sz="4" w:space="0"/>
            </w:tcBorders>
          </w:tcPr>
          <w:p w14:paraId="5726EDA6">
            <w:pPr>
              <w:adjustRightInd w:val="0"/>
              <w:snapToGrid w:val="0"/>
              <w:spacing w:line="360" w:lineRule="auto"/>
              <w:jc w:val="left"/>
              <w:rPr>
                <w:rFonts w:ascii="宋体" w:hAnsi="宋体" w:cs="宋体"/>
                <w:bCs/>
                <w:color w:val="auto"/>
                <w:sz w:val="24"/>
                <w:szCs w:val="24"/>
                <w:highlight w:val="none"/>
              </w:rPr>
            </w:pPr>
            <w:r>
              <w:rPr>
                <w:rFonts w:hint="eastAsia" w:ascii="宋体" w:hAnsi="宋体" w:cs="宋体"/>
                <w:bCs/>
                <w:color w:val="auto"/>
                <w:sz w:val="24"/>
                <w:szCs w:val="24"/>
                <w:highlight w:val="none"/>
              </w:rPr>
              <w:t>投标产品所有品目满足</w:t>
            </w:r>
            <w:r>
              <w:rPr>
                <w:rFonts w:ascii="宋体" w:hAnsi="宋体" w:cs="宋体"/>
                <w:bCs/>
                <w:color w:val="auto"/>
                <w:sz w:val="24"/>
                <w:szCs w:val="24"/>
                <w:highlight w:val="none"/>
              </w:rPr>
              <w:t>:“免工具拆卸机箱</w:t>
            </w:r>
            <w:r>
              <w:rPr>
                <w:rFonts w:hint="eastAsia" w:ascii="宋体" w:hAnsi="宋体" w:cs="宋体"/>
                <w:bCs/>
                <w:color w:val="auto"/>
                <w:sz w:val="24"/>
                <w:szCs w:val="24"/>
                <w:highlight w:val="none"/>
              </w:rPr>
              <w:t>”的得</w:t>
            </w:r>
            <w:r>
              <w:rPr>
                <w:rFonts w:ascii="宋体" w:hAnsi="宋体" w:cs="宋体"/>
                <w:bCs/>
                <w:color w:val="auto"/>
                <w:sz w:val="24"/>
                <w:szCs w:val="24"/>
                <w:highlight w:val="none"/>
              </w:rPr>
              <w:t>2分，</w:t>
            </w:r>
            <w:r>
              <w:rPr>
                <w:rFonts w:hint="eastAsia" w:ascii="宋体" w:hAnsi="宋体" w:cs="宋体"/>
                <w:bCs/>
                <w:color w:val="auto"/>
                <w:sz w:val="24"/>
                <w:szCs w:val="24"/>
                <w:highlight w:val="none"/>
              </w:rPr>
              <w:t>否则不得分。</w:t>
            </w:r>
            <w:r>
              <w:rPr>
                <w:rFonts w:ascii="宋体" w:hAnsi="宋体" w:cs="宋体"/>
                <w:bCs/>
                <w:color w:val="auto"/>
                <w:sz w:val="24"/>
                <w:szCs w:val="24"/>
                <w:highlight w:val="none"/>
              </w:rPr>
              <w:t>（提供书面承诺函（格式自拟）或</w:t>
            </w:r>
            <w:r>
              <w:rPr>
                <w:rFonts w:hint="eastAsia" w:ascii="宋体" w:hAnsi="宋体" w:cs="宋体"/>
                <w:color w:val="auto"/>
                <w:sz w:val="24"/>
                <w:szCs w:val="24"/>
                <w:highlight w:val="none"/>
              </w:rPr>
              <w:t>产品彩页或样册或使用手册或技术说明书或检验检测报告或官方网页或功能截图佐证。</w:t>
            </w:r>
            <w:r>
              <w:rPr>
                <w:rFonts w:hint="eastAsia" w:ascii="宋体" w:hAnsi="宋体" w:cs="宋体"/>
                <w:bCs/>
                <w:color w:val="auto"/>
                <w:sz w:val="24"/>
                <w:szCs w:val="24"/>
                <w:highlight w:val="none"/>
              </w:rPr>
              <w:t>）</w:t>
            </w:r>
          </w:p>
        </w:tc>
        <w:tc>
          <w:tcPr>
            <w:tcW w:w="898" w:type="dxa"/>
            <w:tcBorders>
              <w:top w:val="single" w:color="auto" w:sz="4" w:space="0"/>
              <w:left w:val="single" w:color="auto" w:sz="4" w:space="0"/>
              <w:bottom w:val="single" w:color="auto" w:sz="4" w:space="0"/>
              <w:right w:val="single" w:color="auto" w:sz="4" w:space="0"/>
            </w:tcBorders>
            <w:vAlign w:val="center"/>
          </w:tcPr>
          <w:p w14:paraId="42EDDCD2">
            <w:pPr>
              <w:spacing w:line="360" w:lineRule="auto"/>
              <w:jc w:val="center"/>
              <w:rPr>
                <w:rFonts w:ascii="宋体" w:hAnsi="宋体" w:cs="宋体"/>
                <w:bCs/>
                <w:color w:val="auto"/>
                <w:sz w:val="24"/>
                <w:szCs w:val="24"/>
                <w:highlight w:val="none"/>
              </w:rPr>
            </w:pPr>
            <w:r>
              <w:rPr>
                <w:rFonts w:ascii="宋体" w:hAnsi="宋体" w:cs="宋体"/>
                <w:bCs/>
                <w:color w:val="auto"/>
                <w:sz w:val="24"/>
                <w:szCs w:val="24"/>
                <w:highlight w:val="none"/>
              </w:rPr>
              <w:t>2</w:t>
            </w:r>
          </w:p>
        </w:tc>
      </w:tr>
      <w:tr w14:paraId="03295826">
        <w:tblPrEx>
          <w:tblCellMar>
            <w:top w:w="0" w:type="dxa"/>
            <w:left w:w="108" w:type="dxa"/>
            <w:bottom w:w="0" w:type="dxa"/>
            <w:right w:w="108" w:type="dxa"/>
          </w:tblCellMar>
        </w:tblPrEx>
        <w:trPr>
          <w:trHeight w:val="90" w:hRule="atLeast"/>
        </w:trPr>
        <w:tc>
          <w:tcPr>
            <w:tcW w:w="883" w:type="dxa"/>
            <w:tcBorders>
              <w:top w:val="single" w:color="auto" w:sz="4" w:space="0"/>
              <w:left w:val="single" w:color="auto" w:sz="4" w:space="0"/>
              <w:bottom w:val="single" w:color="auto" w:sz="4" w:space="0"/>
              <w:right w:val="single" w:color="auto" w:sz="4" w:space="0"/>
            </w:tcBorders>
            <w:vAlign w:val="center"/>
          </w:tcPr>
          <w:p w14:paraId="2BD0FE38">
            <w:pPr>
              <w:spacing w:line="360" w:lineRule="auto"/>
              <w:jc w:val="center"/>
              <w:rPr>
                <w:rFonts w:ascii="宋体" w:hAnsi="宋体" w:cs="宋体"/>
                <w:bCs/>
                <w:color w:val="auto"/>
                <w:sz w:val="24"/>
                <w:szCs w:val="24"/>
                <w:highlight w:val="none"/>
              </w:rPr>
            </w:pPr>
            <w:r>
              <w:rPr>
                <w:rFonts w:ascii="宋体" w:hAnsi="宋体" w:cs="宋体"/>
                <w:bCs/>
                <w:color w:val="auto"/>
                <w:sz w:val="24"/>
                <w:szCs w:val="24"/>
                <w:highlight w:val="none"/>
              </w:rPr>
              <w:t>1-17</w:t>
            </w:r>
          </w:p>
        </w:tc>
        <w:tc>
          <w:tcPr>
            <w:tcW w:w="6838" w:type="dxa"/>
            <w:tcBorders>
              <w:top w:val="single" w:color="auto" w:sz="4" w:space="0"/>
              <w:left w:val="single" w:color="auto" w:sz="4" w:space="0"/>
              <w:bottom w:val="single" w:color="auto" w:sz="4" w:space="0"/>
              <w:right w:val="single" w:color="auto" w:sz="4" w:space="0"/>
            </w:tcBorders>
          </w:tcPr>
          <w:p w14:paraId="02C1DCA1">
            <w:pPr>
              <w:adjustRightInd w:val="0"/>
              <w:snapToGrid w:val="0"/>
              <w:spacing w:line="360" w:lineRule="auto"/>
              <w:jc w:val="left"/>
              <w:rPr>
                <w:rFonts w:ascii="宋体" w:hAnsi="宋体" w:cs="宋体"/>
                <w:color w:val="auto"/>
                <w:sz w:val="24"/>
                <w:szCs w:val="24"/>
                <w:highlight w:val="none"/>
              </w:rPr>
            </w:pPr>
            <w:r>
              <w:rPr>
                <w:rFonts w:hint="eastAsia" w:ascii="宋体" w:hAnsi="宋体" w:cs="宋体"/>
                <w:bCs/>
                <w:color w:val="auto"/>
                <w:sz w:val="24"/>
                <w:szCs w:val="24"/>
                <w:highlight w:val="none"/>
              </w:rPr>
              <w:t>投标产品满足</w:t>
            </w:r>
            <w:r>
              <w:rPr>
                <w:rFonts w:ascii="宋体" w:hAnsi="宋体" w:cs="宋体"/>
                <w:bCs/>
                <w:color w:val="auto"/>
                <w:sz w:val="24"/>
                <w:szCs w:val="24"/>
                <w:highlight w:val="none"/>
              </w:rPr>
              <w:t>:“</w:t>
            </w:r>
            <w:r>
              <w:rPr>
                <w:rFonts w:hint="eastAsia" w:ascii="宋体" w:hAnsi="宋体" w:cs="宋体"/>
                <w:color w:val="auto"/>
                <w:sz w:val="24"/>
                <w:szCs w:val="24"/>
                <w:highlight w:val="none"/>
              </w:rPr>
              <w:t>支持统信</w:t>
            </w:r>
            <w:r>
              <w:rPr>
                <w:rFonts w:ascii="宋体" w:hAnsi="宋体" w:cs="宋体"/>
                <w:color w:val="auto"/>
                <w:sz w:val="24"/>
                <w:szCs w:val="24"/>
                <w:highlight w:val="none"/>
              </w:rPr>
              <w:t>UOS、麒麟KOS系列等操作系统，且多个系统环境可快速切换</w:t>
            </w:r>
            <w:r>
              <w:rPr>
                <w:rFonts w:hint="eastAsia" w:ascii="宋体" w:hAnsi="宋体" w:cs="宋体"/>
                <w:bCs/>
                <w:color w:val="auto"/>
                <w:sz w:val="24"/>
                <w:szCs w:val="24"/>
                <w:highlight w:val="none"/>
              </w:rPr>
              <w:t>”的得</w:t>
            </w:r>
            <w:r>
              <w:rPr>
                <w:rFonts w:ascii="宋体" w:hAnsi="宋体" w:cs="宋体"/>
                <w:bCs/>
                <w:color w:val="auto"/>
                <w:sz w:val="24"/>
                <w:szCs w:val="24"/>
                <w:highlight w:val="none"/>
              </w:rPr>
              <w:t>3分，低于要求得0分。（提供书面承诺函（格式自拟）或</w:t>
            </w:r>
            <w:r>
              <w:rPr>
                <w:rFonts w:hint="eastAsia" w:ascii="宋体" w:hAnsi="宋体" w:cs="宋体"/>
                <w:color w:val="auto"/>
                <w:sz w:val="24"/>
                <w:szCs w:val="24"/>
                <w:highlight w:val="none"/>
              </w:rPr>
              <w:t>产品彩页或样册或使用手册或技术说明书或检验检测报告或官方网页或功能截图佐证。</w:t>
            </w:r>
            <w:r>
              <w:rPr>
                <w:rFonts w:hint="eastAsia" w:ascii="宋体" w:hAnsi="宋体" w:cs="宋体"/>
                <w:bCs/>
                <w:color w:val="auto"/>
                <w:sz w:val="24"/>
                <w:szCs w:val="24"/>
                <w:highlight w:val="none"/>
              </w:rPr>
              <w:t>）</w:t>
            </w:r>
          </w:p>
        </w:tc>
        <w:tc>
          <w:tcPr>
            <w:tcW w:w="898" w:type="dxa"/>
            <w:tcBorders>
              <w:top w:val="single" w:color="auto" w:sz="4" w:space="0"/>
              <w:left w:val="single" w:color="auto" w:sz="4" w:space="0"/>
              <w:bottom w:val="single" w:color="auto" w:sz="4" w:space="0"/>
              <w:right w:val="single" w:color="auto" w:sz="4" w:space="0"/>
            </w:tcBorders>
            <w:vAlign w:val="center"/>
          </w:tcPr>
          <w:p w14:paraId="054E8F15">
            <w:pPr>
              <w:spacing w:line="360" w:lineRule="auto"/>
              <w:jc w:val="center"/>
              <w:rPr>
                <w:rFonts w:ascii="宋体" w:hAnsi="宋体" w:cs="宋体"/>
                <w:bCs/>
                <w:color w:val="auto"/>
                <w:sz w:val="24"/>
                <w:szCs w:val="24"/>
                <w:highlight w:val="none"/>
              </w:rPr>
            </w:pPr>
            <w:r>
              <w:rPr>
                <w:rFonts w:ascii="宋体" w:hAnsi="宋体" w:cs="宋体"/>
                <w:bCs/>
                <w:color w:val="auto"/>
                <w:sz w:val="24"/>
                <w:szCs w:val="24"/>
                <w:highlight w:val="none"/>
              </w:rPr>
              <w:t>3</w:t>
            </w:r>
          </w:p>
        </w:tc>
      </w:tr>
      <w:tr w14:paraId="22067038">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21855DEC">
            <w:pPr>
              <w:spacing w:line="360" w:lineRule="auto"/>
              <w:jc w:val="center"/>
              <w:rPr>
                <w:rFonts w:ascii="宋体" w:hAnsi="宋体" w:cs="宋体"/>
                <w:bCs/>
                <w:color w:val="auto"/>
                <w:sz w:val="24"/>
                <w:szCs w:val="24"/>
                <w:highlight w:val="none"/>
              </w:rPr>
            </w:pPr>
            <w:r>
              <w:rPr>
                <w:rFonts w:ascii="宋体" w:hAnsi="宋体" w:cs="宋体"/>
                <w:bCs/>
                <w:color w:val="auto"/>
                <w:sz w:val="24"/>
                <w:szCs w:val="24"/>
                <w:highlight w:val="none"/>
              </w:rPr>
              <w:t>1-18</w:t>
            </w:r>
          </w:p>
        </w:tc>
        <w:tc>
          <w:tcPr>
            <w:tcW w:w="6838" w:type="dxa"/>
            <w:tcBorders>
              <w:top w:val="single" w:color="auto" w:sz="4" w:space="0"/>
              <w:left w:val="single" w:color="auto" w:sz="4" w:space="0"/>
              <w:bottom w:val="single" w:color="auto" w:sz="4" w:space="0"/>
              <w:right w:val="single" w:color="auto" w:sz="4" w:space="0"/>
            </w:tcBorders>
          </w:tcPr>
          <w:p w14:paraId="12197514">
            <w:pPr>
              <w:adjustRightInd w:val="0"/>
              <w:snapToGrid w:val="0"/>
              <w:spacing w:line="360" w:lineRule="auto"/>
              <w:jc w:val="left"/>
              <w:rPr>
                <w:rFonts w:ascii="宋体" w:hAnsi="宋体" w:cs="宋体"/>
                <w:bCs/>
                <w:color w:val="auto"/>
                <w:sz w:val="24"/>
                <w:szCs w:val="24"/>
                <w:highlight w:val="none"/>
              </w:rPr>
            </w:pPr>
            <w:r>
              <w:rPr>
                <w:rFonts w:hint="eastAsia" w:ascii="宋体" w:hAnsi="宋体" w:cs="宋体"/>
                <w:bCs/>
                <w:color w:val="auto"/>
                <w:sz w:val="24"/>
                <w:szCs w:val="24"/>
                <w:highlight w:val="none"/>
              </w:rPr>
              <w:t>投标产品满足</w:t>
            </w:r>
            <w:r>
              <w:rPr>
                <w:rFonts w:ascii="宋体" w:hAnsi="宋体" w:cs="宋体"/>
                <w:bCs/>
                <w:color w:val="auto"/>
                <w:sz w:val="24"/>
                <w:szCs w:val="24"/>
                <w:highlight w:val="none"/>
              </w:rPr>
              <w:t>:“</w:t>
            </w:r>
            <w:r>
              <w:rPr>
                <w:rFonts w:hint="eastAsia" w:ascii="宋体" w:hAnsi="宋体" w:cs="宋体"/>
                <w:color w:val="auto"/>
                <w:sz w:val="24"/>
                <w:szCs w:val="24"/>
                <w:highlight w:val="none"/>
              </w:rPr>
              <w:t>支持</w:t>
            </w:r>
            <w:r>
              <w:rPr>
                <w:rFonts w:ascii="宋体" w:hAnsi="宋体" w:cs="宋体"/>
                <w:color w:val="auto"/>
                <w:sz w:val="24"/>
                <w:szCs w:val="24"/>
                <w:highlight w:val="none"/>
              </w:rPr>
              <w:t>Linux操作系统，且多个系统环境可快速切换</w:t>
            </w:r>
            <w:r>
              <w:rPr>
                <w:rFonts w:hint="eastAsia" w:ascii="宋体" w:hAnsi="宋体" w:cs="宋体"/>
                <w:bCs/>
                <w:color w:val="auto"/>
                <w:sz w:val="24"/>
                <w:szCs w:val="24"/>
                <w:highlight w:val="none"/>
              </w:rPr>
              <w:t>”的得</w:t>
            </w:r>
            <w:r>
              <w:rPr>
                <w:rFonts w:ascii="宋体" w:hAnsi="宋体" w:cs="宋体"/>
                <w:bCs/>
                <w:color w:val="auto"/>
                <w:sz w:val="24"/>
                <w:szCs w:val="24"/>
                <w:highlight w:val="none"/>
              </w:rPr>
              <w:t>3分，低于要求得0分。（提供书面承诺函（格式自拟）或</w:t>
            </w:r>
            <w:r>
              <w:rPr>
                <w:rFonts w:hint="eastAsia" w:ascii="宋体" w:hAnsi="宋体" w:cs="宋体"/>
                <w:color w:val="auto"/>
                <w:sz w:val="24"/>
                <w:szCs w:val="24"/>
                <w:highlight w:val="none"/>
              </w:rPr>
              <w:t>产品彩页或样册或使用手册或技术说明书或检验检测报告或官方网页或功能截图佐证。</w:t>
            </w:r>
            <w:r>
              <w:rPr>
                <w:rFonts w:hint="eastAsia" w:ascii="宋体" w:hAnsi="宋体" w:cs="宋体"/>
                <w:bCs/>
                <w:color w:val="auto"/>
                <w:sz w:val="24"/>
                <w:szCs w:val="24"/>
                <w:highlight w:val="none"/>
              </w:rPr>
              <w:t>）</w:t>
            </w:r>
          </w:p>
        </w:tc>
        <w:tc>
          <w:tcPr>
            <w:tcW w:w="898" w:type="dxa"/>
            <w:tcBorders>
              <w:top w:val="single" w:color="auto" w:sz="4" w:space="0"/>
              <w:left w:val="single" w:color="auto" w:sz="4" w:space="0"/>
              <w:bottom w:val="single" w:color="auto" w:sz="4" w:space="0"/>
              <w:right w:val="single" w:color="auto" w:sz="4" w:space="0"/>
            </w:tcBorders>
            <w:vAlign w:val="center"/>
          </w:tcPr>
          <w:p w14:paraId="1FE59A23">
            <w:pPr>
              <w:spacing w:line="360" w:lineRule="auto"/>
              <w:jc w:val="center"/>
              <w:rPr>
                <w:rFonts w:ascii="宋体" w:hAnsi="宋体" w:cs="宋体"/>
                <w:bCs/>
                <w:color w:val="auto"/>
                <w:sz w:val="24"/>
                <w:szCs w:val="24"/>
                <w:highlight w:val="none"/>
              </w:rPr>
            </w:pPr>
            <w:r>
              <w:rPr>
                <w:rFonts w:ascii="宋体" w:hAnsi="宋体" w:cs="宋体"/>
                <w:bCs/>
                <w:color w:val="auto"/>
                <w:sz w:val="24"/>
                <w:szCs w:val="24"/>
                <w:highlight w:val="none"/>
              </w:rPr>
              <w:t>3</w:t>
            </w:r>
          </w:p>
        </w:tc>
      </w:tr>
      <w:tr w14:paraId="6F5FA1F6">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3B7E2FBE">
            <w:pPr>
              <w:spacing w:line="360" w:lineRule="auto"/>
              <w:jc w:val="center"/>
              <w:rPr>
                <w:rFonts w:ascii="宋体" w:hAnsi="宋体" w:cs="宋体"/>
                <w:bCs/>
                <w:color w:val="auto"/>
                <w:sz w:val="24"/>
                <w:szCs w:val="24"/>
                <w:highlight w:val="none"/>
              </w:rPr>
            </w:pPr>
            <w:r>
              <w:rPr>
                <w:rFonts w:ascii="宋体" w:hAnsi="宋体" w:cs="宋体"/>
                <w:bCs/>
                <w:color w:val="auto"/>
                <w:sz w:val="24"/>
                <w:szCs w:val="24"/>
                <w:highlight w:val="none"/>
              </w:rPr>
              <w:t>1-19</w:t>
            </w:r>
          </w:p>
        </w:tc>
        <w:tc>
          <w:tcPr>
            <w:tcW w:w="6838" w:type="dxa"/>
            <w:tcBorders>
              <w:top w:val="single" w:color="auto" w:sz="4" w:space="0"/>
              <w:left w:val="single" w:color="auto" w:sz="4" w:space="0"/>
              <w:bottom w:val="single" w:color="auto" w:sz="4" w:space="0"/>
              <w:right w:val="single" w:color="auto" w:sz="4" w:space="0"/>
            </w:tcBorders>
          </w:tcPr>
          <w:p w14:paraId="3C0E341F">
            <w:pPr>
              <w:adjustRightInd w:val="0"/>
              <w:snapToGrid w:val="0"/>
              <w:spacing w:line="360" w:lineRule="auto"/>
              <w:jc w:val="left"/>
              <w:rPr>
                <w:rFonts w:ascii="宋体" w:hAnsi="宋体" w:cs="宋体"/>
                <w:bCs/>
                <w:color w:val="auto"/>
                <w:sz w:val="24"/>
                <w:szCs w:val="24"/>
                <w:highlight w:val="none"/>
              </w:rPr>
            </w:pPr>
            <w:r>
              <w:rPr>
                <w:rFonts w:hint="eastAsia" w:ascii="宋体" w:hAnsi="宋体" w:cs="宋体"/>
                <w:bCs/>
                <w:color w:val="auto"/>
                <w:sz w:val="24"/>
                <w:szCs w:val="24"/>
                <w:highlight w:val="none"/>
              </w:rPr>
              <w:t>投标产品所有品目满足</w:t>
            </w:r>
            <w:r>
              <w:rPr>
                <w:rFonts w:ascii="宋体" w:hAnsi="宋体" w:cs="宋体"/>
                <w:bCs/>
                <w:color w:val="auto"/>
                <w:sz w:val="24"/>
                <w:szCs w:val="24"/>
                <w:highlight w:val="none"/>
              </w:rPr>
              <w:t xml:space="preserve">:“支持键盘开机 </w:t>
            </w:r>
            <w:r>
              <w:rPr>
                <w:rFonts w:hint="eastAsia" w:ascii="宋体" w:hAnsi="宋体" w:cs="宋体"/>
                <w:bCs/>
                <w:color w:val="auto"/>
                <w:sz w:val="24"/>
                <w:szCs w:val="24"/>
                <w:highlight w:val="none"/>
              </w:rPr>
              <w:t>”的得</w:t>
            </w:r>
            <w:r>
              <w:rPr>
                <w:rFonts w:ascii="宋体" w:hAnsi="宋体" w:cs="宋体"/>
                <w:bCs/>
                <w:color w:val="auto"/>
                <w:sz w:val="24"/>
                <w:szCs w:val="24"/>
                <w:highlight w:val="none"/>
              </w:rPr>
              <w:t>2分，</w:t>
            </w:r>
            <w:r>
              <w:rPr>
                <w:rFonts w:hint="eastAsia" w:ascii="宋体" w:hAnsi="宋体" w:cs="宋体"/>
                <w:bCs/>
                <w:color w:val="auto"/>
                <w:sz w:val="24"/>
                <w:szCs w:val="24"/>
                <w:highlight w:val="none"/>
              </w:rPr>
              <w:t>否则不得分。</w:t>
            </w:r>
            <w:r>
              <w:rPr>
                <w:rFonts w:ascii="宋体" w:hAnsi="宋体" w:cs="宋体"/>
                <w:bCs/>
                <w:color w:val="auto"/>
                <w:sz w:val="24"/>
                <w:szCs w:val="24"/>
                <w:highlight w:val="none"/>
              </w:rPr>
              <w:t>（提供书面承诺函（格式自拟）或</w:t>
            </w:r>
            <w:r>
              <w:rPr>
                <w:rFonts w:hint="eastAsia" w:ascii="宋体" w:hAnsi="宋体" w:cs="宋体"/>
                <w:color w:val="auto"/>
                <w:sz w:val="24"/>
                <w:szCs w:val="24"/>
                <w:highlight w:val="none"/>
              </w:rPr>
              <w:t>产品彩页或样册或使用手册或技术说明书或检验检测报告或官方网页或功能截图佐证。</w:t>
            </w:r>
            <w:r>
              <w:rPr>
                <w:rFonts w:hint="eastAsia" w:ascii="宋体" w:hAnsi="宋体" w:cs="宋体"/>
                <w:bCs/>
                <w:color w:val="auto"/>
                <w:sz w:val="24"/>
                <w:szCs w:val="24"/>
                <w:highlight w:val="none"/>
              </w:rPr>
              <w:t>）</w:t>
            </w:r>
          </w:p>
        </w:tc>
        <w:tc>
          <w:tcPr>
            <w:tcW w:w="898" w:type="dxa"/>
            <w:tcBorders>
              <w:top w:val="single" w:color="auto" w:sz="4" w:space="0"/>
              <w:left w:val="single" w:color="auto" w:sz="4" w:space="0"/>
              <w:bottom w:val="single" w:color="auto" w:sz="4" w:space="0"/>
              <w:right w:val="single" w:color="auto" w:sz="4" w:space="0"/>
            </w:tcBorders>
            <w:vAlign w:val="center"/>
          </w:tcPr>
          <w:p w14:paraId="1B7C9ACE">
            <w:pPr>
              <w:spacing w:line="360" w:lineRule="auto"/>
              <w:jc w:val="center"/>
              <w:rPr>
                <w:rFonts w:ascii="宋体" w:hAnsi="宋体" w:cs="宋体"/>
                <w:bCs/>
                <w:color w:val="auto"/>
                <w:sz w:val="24"/>
                <w:szCs w:val="24"/>
                <w:highlight w:val="none"/>
              </w:rPr>
            </w:pPr>
            <w:r>
              <w:rPr>
                <w:rFonts w:ascii="宋体" w:hAnsi="宋体" w:cs="宋体"/>
                <w:bCs/>
                <w:color w:val="auto"/>
                <w:sz w:val="24"/>
                <w:szCs w:val="24"/>
                <w:highlight w:val="none"/>
              </w:rPr>
              <w:t>2</w:t>
            </w:r>
          </w:p>
        </w:tc>
      </w:tr>
    </w:tbl>
    <w:p w14:paraId="53920440">
      <w:pPr>
        <w:tabs>
          <w:tab w:val="left" w:pos="-1080"/>
          <w:tab w:val="left" w:pos="180"/>
          <w:tab w:val="left" w:pos="1080"/>
        </w:tabs>
        <w:spacing w:line="360" w:lineRule="auto"/>
        <w:rPr>
          <w:rFonts w:ascii="宋体" w:hAnsi="宋体" w:cs="宋体"/>
          <w:color w:val="auto"/>
          <w:sz w:val="24"/>
          <w:szCs w:val="24"/>
          <w:highlight w:val="none"/>
        </w:rPr>
      </w:pPr>
    </w:p>
    <w:p w14:paraId="32F32784">
      <w:pPr>
        <w:tabs>
          <w:tab w:val="left" w:pos="-1080"/>
          <w:tab w:val="left" w:pos="180"/>
          <w:tab w:val="left" w:pos="1080"/>
        </w:tabs>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（二）商务评分(F2)：按15分评分法，商务评分考虑下列因素：</w:t>
      </w:r>
    </w:p>
    <w:tbl>
      <w:tblPr>
        <w:tblStyle w:val="16"/>
        <w:tblW w:w="0" w:type="auto"/>
        <w:tblInd w:w="0" w:type="dxa"/>
        <w:tblLayout w:type="fixed"/>
        <w:tblCellMar>
          <w:top w:w="0" w:type="dxa"/>
          <w:left w:w="108" w:type="dxa"/>
          <w:bottom w:w="0" w:type="dxa"/>
          <w:right w:w="108" w:type="dxa"/>
        </w:tblCellMar>
      </w:tblPr>
      <w:tblGrid>
        <w:gridCol w:w="883"/>
        <w:gridCol w:w="6838"/>
        <w:gridCol w:w="898"/>
      </w:tblGrid>
      <w:tr w14:paraId="3516AADB">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ign w:val="center"/>
          </w:tcPr>
          <w:p w14:paraId="482DD576">
            <w:pPr>
              <w:spacing w:line="360" w:lineRule="auto"/>
              <w:jc w:val="center"/>
              <w:rPr>
                <w:rFonts w:ascii="宋体" w:hAnsi="宋体" w:cs="宋体"/>
                <w:b/>
                <w:bCs/>
                <w:color w:val="auto"/>
                <w:sz w:val="24"/>
                <w:szCs w:val="24"/>
                <w:highlight w:val="none"/>
              </w:rPr>
            </w:pPr>
            <w:r>
              <w:rPr>
                <w:rFonts w:hint="eastAsia" w:ascii="宋体" w:hAnsi="宋体" w:cs="宋体"/>
                <w:b/>
                <w:bCs/>
                <w:color w:val="auto"/>
                <w:sz w:val="24"/>
                <w:szCs w:val="24"/>
                <w:highlight w:val="none"/>
              </w:rPr>
              <w:t>序号</w:t>
            </w:r>
          </w:p>
        </w:tc>
        <w:tc>
          <w:tcPr>
            <w:tcW w:w="6838" w:type="dxa"/>
            <w:tcBorders>
              <w:top w:val="single" w:color="auto" w:sz="4" w:space="0"/>
              <w:left w:val="single" w:color="auto" w:sz="4" w:space="0"/>
              <w:bottom w:val="single" w:color="auto" w:sz="4" w:space="0"/>
              <w:right w:val="single" w:color="auto" w:sz="4" w:space="0"/>
            </w:tcBorders>
            <w:noWrap/>
            <w:vAlign w:val="center"/>
          </w:tcPr>
          <w:p w14:paraId="3DDFAD6E">
            <w:pPr>
              <w:spacing w:line="360" w:lineRule="auto"/>
              <w:jc w:val="center"/>
              <w:rPr>
                <w:rFonts w:ascii="宋体" w:hAnsi="宋体" w:cs="宋体"/>
                <w:b/>
                <w:bCs/>
                <w:color w:val="auto"/>
                <w:sz w:val="24"/>
                <w:szCs w:val="24"/>
                <w:highlight w:val="none"/>
              </w:rPr>
            </w:pPr>
            <w:r>
              <w:rPr>
                <w:rFonts w:hint="eastAsia" w:ascii="宋体" w:hAnsi="宋体" w:cs="宋体"/>
                <w:b/>
                <w:bCs/>
                <w:color w:val="auto"/>
                <w:sz w:val="24"/>
                <w:szCs w:val="24"/>
                <w:highlight w:val="none"/>
              </w:rPr>
              <w:t>细则内容</w:t>
            </w:r>
          </w:p>
        </w:tc>
        <w:tc>
          <w:tcPr>
            <w:tcW w:w="898" w:type="dxa"/>
            <w:tcBorders>
              <w:top w:val="single" w:color="auto" w:sz="4" w:space="0"/>
              <w:left w:val="single" w:color="auto" w:sz="4" w:space="0"/>
              <w:bottom w:val="single" w:color="auto" w:sz="4" w:space="0"/>
              <w:right w:val="single" w:color="auto" w:sz="4" w:space="0"/>
            </w:tcBorders>
            <w:noWrap/>
            <w:vAlign w:val="center"/>
          </w:tcPr>
          <w:p w14:paraId="2C30D8D9">
            <w:pPr>
              <w:spacing w:line="360" w:lineRule="auto"/>
              <w:jc w:val="center"/>
              <w:rPr>
                <w:rFonts w:ascii="宋体" w:hAnsi="宋体" w:cs="宋体"/>
                <w:b/>
                <w:bCs/>
                <w:color w:val="auto"/>
                <w:sz w:val="24"/>
                <w:szCs w:val="24"/>
                <w:highlight w:val="none"/>
              </w:rPr>
            </w:pPr>
            <w:r>
              <w:rPr>
                <w:rFonts w:hint="eastAsia" w:ascii="宋体" w:hAnsi="宋体" w:cs="宋体"/>
                <w:b/>
                <w:bCs/>
                <w:color w:val="auto"/>
                <w:sz w:val="24"/>
                <w:szCs w:val="24"/>
                <w:highlight w:val="none"/>
              </w:rPr>
              <w:t>满分</w:t>
            </w:r>
          </w:p>
          <w:p w14:paraId="7A53ABC6">
            <w:pPr>
              <w:spacing w:line="360" w:lineRule="auto"/>
              <w:jc w:val="center"/>
              <w:rPr>
                <w:rFonts w:ascii="宋体" w:hAnsi="宋体" w:cs="宋体"/>
                <w:b/>
                <w:bCs/>
                <w:color w:val="auto"/>
                <w:sz w:val="24"/>
                <w:szCs w:val="24"/>
                <w:highlight w:val="none"/>
              </w:rPr>
            </w:pPr>
            <w:r>
              <w:rPr>
                <w:rFonts w:hint="eastAsia" w:ascii="宋体" w:hAnsi="宋体" w:cs="宋体"/>
                <w:b/>
                <w:bCs/>
                <w:color w:val="auto"/>
                <w:sz w:val="24"/>
                <w:szCs w:val="24"/>
                <w:highlight w:val="none"/>
              </w:rPr>
              <w:t>分值</w:t>
            </w:r>
          </w:p>
        </w:tc>
      </w:tr>
      <w:tr w14:paraId="466D78A3">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ign w:val="center"/>
          </w:tcPr>
          <w:p w14:paraId="7568F8E5">
            <w:pPr>
              <w:spacing w:line="360" w:lineRule="auto"/>
              <w:jc w:val="center"/>
              <w:rPr>
                <w:rFonts w:ascii="宋体" w:hAnsi="宋体" w:cs="宋体"/>
                <w:bCs/>
                <w:color w:val="auto"/>
                <w:sz w:val="24"/>
                <w:szCs w:val="24"/>
                <w:highlight w:val="none"/>
              </w:rPr>
            </w:pPr>
            <w:r>
              <w:rPr>
                <w:rFonts w:hint="eastAsia" w:ascii="宋体" w:hAnsi="宋体" w:cs="宋体"/>
                <w:bCs/>
                <w:color w:val="auto"/>
                <w:sz w:val="24"/>
                <w:szCs w:val="24"/>
                <w:highlight w:val="none"/>
              </w:rPr>
              <w:t>2-1</w:t>
            </w:r>
          </w:p>
        </w:tc>
        <w:tc>
          <w:tcPr>
            <w:tcW w:w="6838" w:type="dxa"/>
            <w:tcBorders>
              <w:top w:val="single" w:color="auto" w:sz="4" w:space="0"/>
              <w:left w:val="single" w:color="auto" w:sz="4" w:space="0"/>
              <w:bottom w:val="single" w:color="auto" w:sz="4" w:space="0"/>
              <w:right w:val="single" w:color="auto" w:sz="4" w:space="0"/>
            </w:tcBorders>
            <w:noWrap/>
          </w:tcPr>
          <w:p w14:paraId="2666EB19">
            <w:pPr>
              <w:spacing w:line="360" w:lineRule="auto"/>
              <w:jc w:val="left"/>
              <w:rPr>
                <w:rFonts w:ascii="宋体" w:hAnsi="宋体" w:cs="宋体"/>
                <w:bCs/>
                <w:color w:val="auto"/>
                <w:sz w:val="24"/>
                <w:szCs w:val="24"/>
                <w:highlight w:val="none"/>
              </w:rPr>
            </w:pPr>
            <w:r>
              <w:rPr>
                <w:rFonts w:hint="eastAsia" w:ascii="宋体" w:hAnsi="宋体" w:cs="宋体"/>
                <w:bCs/>
                <w:color w:val="auto"/>
                <w:sz w:val="24"/>
                <w:szCs w:val="24"/>
                <w:highlight w:val="none"/>
              </w:rPr>
              <w:t>根据投标人提供的2024年1月1日至开标当日（以合同签订时间为准）的同类业绩情况进行评价：每提供1个同类业绩项目得1分，满分3分。需提供业绩的以下四项证明材料，否则不计分：①中标（成交）公告（提供相关网站中标（成交）公告的下载网页并注明网址）；②中标（成交）通知书；③采购合同文本；④能够证明该业绩项目已经采购单位验收合格的相关证明材料。</w:t>
            </w:r>
          </w:p>
        </w:tc>
        <w:tc>
          <w:tcPr>
            <w:tcW w:w="898" w:type="dxa"/>
            <w:tcBorders>
              <w:top w:val="single" w:color="auto" w:sz="4" w:space="0"/>
              <w:left w:val="single" w:color="auto" w:sz="4" w:space="0"/>
              <w:bottom w:val="single" w:color="auto" w:sz="4" w:space="0"/>
              <w:right w:val="single" w:color="auto" w:sz="4" w:space="0"/>
            </w:tcBorders>
            <w:noWrap/>
            <w:vAlign w:val="center"/>
          </w:tcPr>
          <w:p w14:paraId="1A00F56A">
            <w:pPr>
              <w:spacing w:line="360" w:lineRule="auto"/>
              <w:jc w:val="center"/>
              <w:rPr>
                <w:rFonts w:ascii="宋体" w:hAnsi="宋体" w:cs="宋体"/>
                <w:bCs/>
                <w:color w:val="auto"/>
                <w:sz w:val="24"/>
                <w:szCs w:val="24"/>
                <w:highlight w:val="none"/>
              </w:rPr>
            </w:pPr>
            <w:r>
              <w:rPr>
                <w:rFonts w:hint="eastAsia" w:ascii="宋体" w:hAnsi="宋体" w:cs="宋体"/>
                <w:bCs/>
                <w:color w:val="auto"/>
                <w:sz w:val="24"/>
                <w:szCs w:val="24"/>
                <w:highlight w:val="none"/>
              </w:rPr>
              <w:t>3</w:t>
            </w:r>
          </w:p>
        </w:tc>
      </w:tr>
      <w:tr w14:paraId="58500A0D">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ign w:val="center"/>
          </w:tcPr>
          <w:p w14:paraId="5437B9A1">
            <w:pPr>
              <w:spacing w:line="360" w:lineRule="auto"/>
              <w:jc w:val="center"/>
              <w:rPr>
                <w:rFonts w:ascii="宋体" w:hAnsi="宋体" w:cs="宋体"/>
                <w:bCs/>
                <w:color w:val="auto"/>
                <w:sz w:val="24"/>
                <w:szCs w:val="24"/>
                <w:highlight w:val="none"/>
              </w:rPr>
            </w:pPr>
            <w:r>
              <w:rPr>
                <w:rFonts w:hint="eastAsia" w:ascii="宋体" w:hAnsi="宋体" w:cs="宋体"/>
                <w:bCs/>
                <w:color w:val="auto"/>
                <w:sz w:val="24"/>
                <w:szCs w:val="24"/>
                <w:highlight w:val="none"/>
              </w:rPr>
              <w:t>2-2</w:t>
            </w:r>
          </w:p>
        </w:tc>
        <w:tc>
          <w:tcPr>
            <w:tcW w:w="6838" w:type="dxa"/>
            <w:tcBorders>
              <w:top w:val="single" w:color="auto" w:sz="4" w:space="0"/>
              <w:left w:val="single" w:color="auto" w:sz="4" w:space="0"/>
              <w:bottom w:val="single" w:color="auto" w:sz="4" w:space="0"/>
              <w:right w:val="single" w:color="auto" w:sz="4" w:space="0"/>
            </w:tcBorders>
            <w:noWrap/>
          </w:tcPr>
          <w:p w14:paraId="79295B31">
            <w:pPr>
              <w:spacing w:line="360" w:lineRule="auto"/>
              <w:jc w:val="left"/>
              <w:rPr>
                <w:rFonts w:ascii="宋体" w:hAnsi="宋体" w:cs="宋体"/>
                <w:bCs/>
                <w:color w:val="auto"/>
                <w:sz w:val="24"/>
                <w:szCs w:val="24"/>
                <w:highlight w:val="none"/>
              </w:rPr>
            </w:pPr>
            <w:r>
              <w:rPr>
                <w:rFonts w:hint="eastAsia" w:ascii="宋体" w:hAnsi="宋体" w:cs="宋体"/>
                <w:bCs/>
                <w:color w:val="auto"/>
                <w:sz w:val="24"/>
                <w:szCs w:val="24"/>
                <w:highlight w:val="none"/>
              </w:rPr>
              <w:t>为保证整机质量服务要求，投标人承诺的质保期在满足招标文件要求三年原厂整机质保的基础上，每增加1年原厂整机质保得</w:t>
            </w:r>
            <w:r>
              <w:rPr>
                <w:rFonts w:hint="eastAsia" w:ascii="宋体" w:hAnsi="宋体" w:cs="宋体"/>
                <w:color w:val="auto"/>
                <w:sz w:val="24"/>
                <w:szCs w:val="24"/>
                <w:highlight w:val="none"/>
              </w:rPr>
              <w:t>1</w:t>
            </w:r>
            <w:r>
              <w:rPr>
                <w:rFonts w:hint="eastAsia" w:ascii="宋体" w:hAnsi="宋体" w:cs="宋体"/>
                <w:bCs/>
                <w:color w:val="auto"/>
                <w:sz w:val="24"/>
                <w:szCs w:val="24"/>
                <w:highlight w:val="none"/>
              </w:rPr>
              <w:t>分，满分3分。</w:t>
            </w:r>
          </w:p>
        </w:tc>
        <w:tc>
          <w:tcPr>
            <w:tcW w:w="898" w:type="dxa"/>
            <w:tcBorders>
              <w:top w:val="single" w:color="auto" w:sz="4" w:space="0"/>
              <w:left w:val="single" w:color="auto" w:sz="4" w:space="0"/>
              <w:bottom w:val="single" w:color="auto" w:sz="4" w:space="0"/>
              <w:right w:val="single" w:color="auto" w:sz="4" w:space="0"/>
            </w:tcBorders>
            <w:noWrap/>
            <w:vAlign w:val="center"/>
          </w:tcPr>
          <w:p w14:paraId="2BAC4ACD">
            <w:pPr>
              <w:spacing w:line="360" w:lineRule="auto"/>
              <w:jc w:val="center"/>
              <w:rPr>
                <w:rFonts w:ascii="宋体" w:hAnsi="宋体" w:cs="宋体"/>
                <w:bCs/>
                <w:color w:val="auto"/>
                <w:sz w:val="24"/>
                <w:szCs w:val="24"/>
                <w:highlight w:val="none"/>
              </w:rPr>
            </w:pPr>
            <w:r>
              <w:rPr>
                <w:rFonts w:hint="eastAsia" w:ascii="宋体" w:hAnsi="宋体" w:cs="宋体"/>
                <w:bCs/>
                <w:color w:val="auto"/>
                <w:sz w:val="24"/>
                <w:szCs w:val="24"/>
                <w:highlight w:val="none"/>
              </w:rPr>
              <w:t>3</w:t>
            </w:r>
          </w:p>
        </w:tc>
      </w:tr>
      <w:tr w14:paraId="4CD4060C">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ign w:val="center"/>
          </w:tcPr>
          <w:p w14:paraId="201D209D">
            <w:pPr>
              <w:spacing w:line="360" w:lineRule="auto"/>
              <w:jc w:val="center"/>
              <w:rPr>
                <w:rFonts w:ascii="宋体" w:hAnsi="宋体" w:cs="宋体"/>
                <w:bCs/>
                <w:color w:val="auto"/>
                <w:sz w:val="24"/>
                <w:szCs w:val="24"/>
                <w:highlight w:val="none"/>
              </w:rPr>
            </w:pPr>
            <w:r>
              <w:rPr>
                <w:rFonts w:hint="eastAsia" w:ascii="宋体" w:hAnsi="宋体" w:cs="宋体"/>
                <w:bCs/>
                <w:color w:val="auto"/>
                <w:sz w:val="24"/>
                <w:szCs w:val="24"/>
                <w:highlight w:val="none"/>
              </w:rPr>
              <w:t>2-3</w:t>
            </w:r>
          </w:p>
        </w:tc>
        <w:tc>
          <w:tcPr>
            <w:tcW w:w="6838" w:type="dxa"/>
            <w:tcBorders>
              <w:top w:val="single" w:color="auto" w:sz="4" w:space="0"/>
              <w:left w:val="single" w:color="auto" w:sz="4" w:space="0"/>
              <w:bottom w:val="single" w:color="auto" w:sz="4" w:space="0"/>
              <w:right w:val="single" w:color="auto" w:sz="4" w:space="0"/>
            </w:tcBorders>
            <w:noWrap/>
          </w:tcPr>
          <w:p w14:paraId="0AEC880F">
            <w:pPr>
              <w:spacing w:line="360" w:lineRule="auto"/>
              <w:jc w:val="left"/>
              <w:rPr>
                <w:rFonts w:ascii="宋体" w:hAnsi="宋体" w:cs="宋体"/>
                <w:bCs/>
                <w:color w:val="auto"/>
                <w:sz w:val="24"/>
                <w:szCs w:val="24"/>
                <w:highlight w:val="none"/>
              </w:rPr>
            </w:pPr>
            <w:r>
              <w:rPr>
                <w:rFonts w:hint="eastAsia" w:ascii="宋体" w:hAnsi="宋体" w:cs="宋体"/>
                <w:bCs/>
                <w:color w:val="auto"/>
                <w:sz w:val="24"/>
                <w:szCs w:val="24"/>
                <w:highlight w:val="none"/>
              </w:rPr>
              <w:t>投标人或投标人所投计算机生产厂商通过质量管理体系认证的得1分，需提供有效证书扫描件，否则不得分。</w:t>
            </w:r>
          </w:p>
        </w:tc>
        <w:tc>
          <w:tcPr>
            <w:tcW w:w="898" w:type="dxa"/>
            <w:tcBorders>
              <w:top w:val="single" w:color="auto" w:sz="4" w:space="0"/>
              <w:left w:val="single" w:color="auto" w:sz="4" w:space="0"/>
              <w:bottom w:val="single" w:color="auto" w:sz="4" w:space="0"/>
              <w:right w:val="single" w:color="auto" w:sz="4" w:space="0"/>
            </w:tcBorders>
            <w:noWrap/>
            <w:vAlign w:val="center"/>
          </w:tcPr>
          <w:p w14:paraId="2845070A">
            <w:pPr>
              <w:spacing w:line="360" w:lineRule="auto"/>
              <w:jc w:val="center"/>
              <w:rPr>
                <w:rFonts w:ascii="宋体" w:hAnsi="宋体" w:cs="宋体"/>
                <w:bCs/>
                <w:color w:val="auto"/>
                <w:sz w:val="24"/>
                <w:szCs w:val="24"/>
                <w:highlight w:val="none"/>
              </w:rPr>
            </w:pPr>
            <w:r>
              <w:rPr>
                <w:rFonts w:hint="eastAsia" w:ascii="宋体" w:hAnsi="宋体" w:cs="宋体"/>
                <w:bCs/>
                <w:color w:val="auto"/>
                <w:sz w:val="24"/>
                <w:szCs w:val="24"/>
                <w:highlight w:val="none"/>
              </w:rPr>
              <w:t>1</w:t>
            </w:r>
          </w:p>
        </w:tc>
      </w:tr>
      <w:tr w14:paraId="6F2ABBF0">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ign w:val="center"/>
          </w:tcPr>
          <w:p w14:paraId="350DD325">
            <w:pPr>
              <w:spacing w:line="360" w:lineRule="auto"/>
              <w:jc w:val="center"/>
              <w:rPr>
                <w:rFonts w:ascii="宋体" w:hAnsi="宋体" w:cs="宋体"/>
                <w:bCs/>
                <w:color w:val="auto"/>
                <w:sz w:val="24"/>
                <w:szCs w:val="24"/>
                <w:highlight w:val="none"/>
              </w:rPr>
            </w:pPr>
            <w:r>
              <w:rPr>
                <w:rFonts w:hint="eastAsia" w:ascii="宋体" w:hAnsi="宋体" w:cs="宋体"/>
                <w:bCs/>
                <w:color w:val="auto"/>
                <w:sz w:val="24"/>
                <w:szCs w:val="24"/>
                <w:highlight w:val="none"/>
              </w:rPr>
              <w:t>2-4</w:t>
            </w:r>
          </w:p>
        </w:tc>
        <w:tc>
          <w:tcPr>
            <w:tcW w:w="6838" w:type="dxa"/>
            <w:tcBorders>
              <w:top w:val="single" w:color="auto" w:sz="4" w:space="0"/>
              <w:left w:val="single" w:color="auto" w:sz="4" w:space="0"/>
              <w:bottom w:val="single" w:color="auto" w:sz="4" w:space="0"/>
              <w:right w:val="single" w:color="auto" w:sz="4" w:space="0"/>
            </w:tcBorders>
            <w:noWrap/>
          </w:tcPr>
          <w:p w14:paraId="6DD21C06">
            <w:pPr>
              <w:spacing w:line="360" w:lineRule="auto"/>
              <w:jc w:val="left"/>
              <w:rPr>
                <w:rFonts w:ascii="宋体" w:hAnsi="宋体" w:cs="宋体"/>
                <w:bCs/>
                <w:color w:val="auto"/>
                <w:sz w:val="24"/>
                <w:szCs w:val="24"/>
                <w:highlight w:val="none"/>
              </w:rPr>
            </w:pPr>
            <w:r>
              <w:rPr>
                <w:rFonts w:hint="eastAsia" w:ascii="宋体" w:hAnsi="宋体" w:cs="宋体"/>
                <w:bCs/>
                <w:color w:val="auto"/>
                <w:sz w:val="24"/>
                <w:szCs w:val="24"/>
                <w:highlight w:val="none"/>
              </w:rPr>
              <w:t>投标人或投标人所投计算机生产厂商通过《商品售后服务评价体系》五星级认证得1分，需提供有效证书扫描件，否则不得分。</w:t>
            </w:r>
          </w:p>
        </w:tc>
        <w:tc>
          <w:tcPr>
            <w:tcW w:w="898" w:type="dxa"/>
            <w:tcBorders>
              <w:top w:val="single" w:color="auto" w:sz="4" w:space="0"/>
              <w:left w:val="single" w:color="auto" w:sz="4" w:space="0"/>
              <w:bottom w:val="single" w:color="auto" w:sz="4" w:space="0"/>
              <w:right w:val="single" w:color="auto" w:sz="4" w:space="0"/>
            </w:tcBorders>
            <w:noWrap/>
            <w:vAlign w:val="center"/>
          </w:tcPr>
          <w:p w14:paraId="48340CAB">
            <w:pPr>
              <w:spacing w:line="360" w:lineRule="auto"/>
              <w:jc w:val="center"/>
              <w:rPr>
                <w:rFonts w:ascii="宋体" w:hAnsi="宋体" w:cs="宋体"/>
                <w:bCs/>
                <w:color w:val="auto"/>
                <w:sz w:val="24"/>
                <w:szCs w:val="24"/>
                <w:highlight w:val="none"/>
              </w:rPr>
            </w:pPr>
            <w:r>
              <w:rPr>
                <w:rFonts w:hint="eastAsia" w:ascii="宋体" w:hAnsi="宋体" w:cs="宋体"/>
                <w:bCs/>
                <w:color w:val="auto"/>
                <w:sz w:val="24"/>
                <w:szCs w:val="24"/>
                <w:highlight w:val="none"/>
              </w:rPr>
              <w:t>1</w:t>
            </w:r>
          </w:p>
        </w:tc>
      </w:tr>
      <w:tr w14:paraId="70F88E08">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ign w:val="center"/>
          </w:tcPr>
          <w:p w14:paraId="41E52D76">
            <w:pPr>
              <w:spacing w:line="360" w:lineRule="auto"/>
              <w:jc w:val="center"/>
              <w:rPr>
                <w:rFonts w:ascii="宋体" w:hAnsi="宋体" w:cs="宋体"/>
                <w:bCs/>
                <w:color w:val="auto"/>
                <w:sz w:val="24"/>
                <w:szCs w:val="24"/>
                <w:highlight w:val="none"/>
              </w:rPr>
            </w:pPr>
            <w:r>
              <w:rPr>
                <w:rFonts w:hint="eastAsia" w:ascii="宋体" w:hAnsi="宋体" w:cs="宋体"/>
                <w:bCs/>
                <w:color w:val="auto"/>
                <w:sz w:val="24"/>
                <w:szCs w:val="24"/>
                <w:highlight w:val="none"/>
              </w:rPr>
              <w:t>2-5</w:t>
            </w:r>
          </w:p>
        </w:tc>
        <w:tc>
          <w:tcPr>
            <w:tcW w:w="6838" w:type="dxa"/>
            <w:tcBorders>
              <w:top w:val="single" w:color="auto" w:sz="4" w:space="0"/>
              <w:left w:val="single" w:color="auto" w:sz="4" w:space="0"/>
              <w:bottom w:val="single" w:color="auto" w:sz="4" w:space="0"/>
              <w:right w:val="single" w:color="auto" w:sz="4" w:space="0"/>
            </w:tcBorders>
            <w:noWrap/>
          </w:tcPr>
          <w:p w14:paraId="5D697480">
            <w:pPr>
              <w:spacing w:line="360" w:lineRule="auto"/>
              <w:jc w:val="left"/>
              <w:rPr>
                <w:rFonts w:ascii="宋体" w:hAnsi="宋体" w:cs="宋体"/>
                <w:bCs/>
                <w:color w:val="auto"/>
                <w:sz w:val="24"/>
                <w:szCs w:val="24"/>
                <w:highlight w:val="none"/>
              </w:rPr>
            </w:pPr>
            <w:r>
              <w:rPr>
                <w:rFonts w:hint="eastAsia" w:ascii="宋体" w:hAnsi="宋体" w:cs="宋体"/>
                <w:bCs/>
                <w:color w:val="auto"/>
                <w:sz w:val="24"/>
                <w:szCs w:val="24"/>
                <w:highlight w:val="none"/>
              </w:rPr>
              <w:t>投标人或投标人所投计算机生产厂商通过知识产权管理体系认证的得1分，需提供有效证书扫描件，否则不得分。</w:t>
            </w:r>
          </w:p>
        </w:tc>
        <w:tc>
          <w:tcPr>
            <w:tcW w:w="898" w:type="dxa"/>
            <w:tcBorders>
              <w:top w:val="single" w:color="auto" w:sz="4" w:space="0"/>
              <w:left w:val="single" w:color="auto" w:sz="4" w:space="0"/>
              <w:bottom w:val="single" w:color="auto" w:sz="4" w:space="0"/>
              <w:right w:val="single" w:color="auto" w:sz="4" w:space="0"/>
            </w:tcBorders>
            <w:noWrap/>
            <w:vAlign w:val="center"/>
          </w:tcPr>
          <w:p w14:paraId="0BA347C8">
            <w:pPr>
              <w:spacing w:line="360" w:lineRule="auto"/>
              <w:jc w:val="center"/>
              <w:rPr>
                <w:rFonts w:ascii="宋体" w:hAnsi="宋体" w:cs="宋体"/>
                <w:bCs/>
                <w:color w:val="auto"/>
                <w:sz w:val="24"/>
                <w:szCs w:val="24"/>
                <w:highlight w:val="none"/>
              </w:rPr>
            </w:pPr>
            <w:r>
              <w:rPr>
                <w:rFonts w:hint="eastAsia" w:ascii="宋体" w:hAnsi="宋体" w:cs="宋体"/>
                <w:bCs/>
                <w:color w:val="auto"/>
                <w:sz w:val="24"/>
                <w:szCs w:val="24"/>
                <w:highlight w:val="none"/>
              </w:rPr>
              <w:t>1</w:t>
            </w:r>
          </w:p>
        </w:tc>
      </w:tr>
      <w:tr w14:paraId="2BEEC4E7">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ign w:val="center"/>
          </w:tcPr>
          <w:p w14:paraId="1A747758">
            <w:pPr>
              <w:spacing w:line="360" w:lineRule="auto"/>
              <w:jc w:val="center"/>
              <w:rPr>
                <w:rFonts w:ascii="宋体" w:hAnsi="宋体" w:cs="宋体"/>
                <w:bCs/>
                <w:color w:val="auto"/>
                <w:sz w:val="24"/>
                <w:szCs w:val="24"/>
                <w:highlight w:val="none"/>
              </w:rPr>
            </w:pPr>
            <w:r>
              <w:rPr>
                <w:rFonts w:hint="eastAsia" w:ascii="宋体" w:hAnsi="宋体" w:cs="宋体"/>
                <w:bCs/>
                <w:color w:val="auto"/>
                <w:sz w:val="24"/>
                <w:szCs w:val="24"/>
                <w:highlight w:val="none"/>
              </w:rPr>
              <w:t>2-6</w:t>
            </w:r>
          </w:p>
        </w:tc>
        <w:tc>
          <w:tcPr>
            <w:tcW w:w="6838" w:type="dxa"/>
            <w:tcBorders>
              <w:top w:val="single" w:color="auto" w:sz="4" w:space="0"/>
              <w:left w:val="single" w:color="auto" w:sz="4" w:space="0"/>
              <w:bottom w:val="single" w:color="auto" w:sz="4" w:space="0"/>
              <w:right w:val="single" w:color="auto" w:sz="4" w:space="0"/>
            </w:tcBorders>
            <w:noWrap/>
          </w:tcPr>
          <w:p w14:paraId="78A9145B">
            <w:pPr>
              <w:spacing w:line="360" w:lineRule="auto"/>
              <w:jc w:val="left"/>
              <w:rPr>
                <w:rFonts w:ascii="宋体" w:hAnsi="宋体" w:cs="宋体"/>
                <w:bCs/>
                <w:color w:val="auto"/>
                <w:sz w:val="24"/>
                <w:szCs w:val="24"/>
                <w:highlight w:val="none"/>
              </w:rPr>
            </w:pPr>
            <w:r>
              <w:rPr>
                <w:rFonts w:hint="eastAsia" w:ascii="宋体" w:hAnsi="宋体" w:cs="宋体"/>
                <w:bCs/>
                <w:color w:val="auto"/>
                <w:sz w:val="24"/>
                <w:szCs w:val="24"/>
                <w:highlight w:val="none"/>
              </w:rPr>
              <w:t>投标人或投标人所投计算机生产厂商具备信息安全服务资质的得1分，需提供有效证书扫描件，否则不得分。</w:t>
            </w:r>
          </w:p>
        </w:tc>
        <w:tc>
          <w:tcPr>
            <w:tcW w:w="898" w:type="dxa"/>
            <w:tcBorders>
              <w:top w:val="single" w:color="auto" w:sz="4" w:space="0"/>
              <w:left w:val="single" w:color="auto" w:sz="4" w:space="0"/>
              <w:bottom w:val="single" w:color="auto" w:sz="4" w:space="0"/>
              <w:right w:val="single" w:color="auto" w:sz="4" w:space="0"/>
            </w:tcBorders>
            <w:noWrap/>
            <w:vAlign w:val="center"/>
          </w:tcPr>
          <w:p w14:paraId="1522EE84">
            <w:pPr>
              <w:spacing w:line="360" w:lineRule="auto"/>
              <w:jc w:val="center"/>
              <w:rPr>
                <w:rFonts w:ascii="宋体" w:hAnsi="宋体" w:cs="宋体"/>
                <w:bCs/>
                <w:color w:val="auto"/>
                <w:sz w:val="24"/>
                <w:szCs w:val="24"/>
                <w:highlight w:val="none"/>
              </w:rPr>
            </w:pPr>
            <w:r>
              <w:rPr>
                <w:rFonts w:hint="eastAsia" w:ascii="宋体" w:hAnsi="宋体" w:cs="宋体"/>
                <w:bCs/>
                <w:color w:val="auto"/>
                <w:sz w:val="24"/>
                <w:szCs w:val="24"/>
                <w:highlight w:val="none"/>
              </w:rPr>
              <w:t>1</w:t>
            </w:r>
          </w:p>
        </w:tc>
      </w:tr>
      <w:tr w14:paraId="5A3846D2">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ign w:val="center"/>
          </w:tcPr>
          <w:p w14:paraId="76470701">
            <w:pPr>
              <w:spacing w:line="360" w:lineRule="auto"/>
              <w:jc w:val="center"/>
              <w:rPr>
                <w:rFonts w:ascii="宋体" w:hAnsi="宋体" w:cs="宋体"/>
                <w:bCs/>
                <w:color w:val="auto"/>
                <w:sz w:val="24"/>
                <w:szCs w:val="24"/>
                <w:highlight w:val="none"/>
              </w:rPr>
            </w:pPr>
            <w:r>
              <w:rPr>
                <w:rFonts w:hint="eastAsia" w:ascii="宋体" w:hAnsi="宋体" w:cs="宋体"/>
                <w:bCs/>
                <w:color w:val="auto"/>
                <w:sz w:val="24"/>
                <w:szCs w:val="24"/>
                <w:highlight w:val="none"/>
              </w:rPr>
              <w:t>2-7</w:t>
            </w:r>
          </w:p>
        </w:tc>
        <w:tc>
          <w:tcPr>
            <w:tcW w:w="6838" w:type="dxa"/>
            <w:tcBorders>
              <w:top w:val="single" w:color="auto" w:sz="4" w:space="0"/>
              <w:left w:val="single" w:color="auto" w:sz="4" w:space="0"/>
              <w:bottom w:val="single" w:color="auto" w:sz="4" w:space="0"/>
              <w:right w:val="single" w:color="auto" w:sz="4" w:space="0"/>
            </w:tcBorders>
            <w:noWrap/>
          </w:tcPr>
          <w:p w14:paraId="07AD39CB">
            <w:pPr>
              <w:spacing w:line="360" w:lineRule="auto"/>
              <w:jc w:val="left"/>
              <w:rPr>
                <w:rFonts w:ascii="宋体" w:hAnsi="宋体" w:cs="宋体"/>
                <w:bCs/>
                <w:color w:val="auto"/>
                <w:sz w:val="24"/>
                <w:szCs w:val="24"/>
                <w:highlight w:val="none"/>
              </w:rPr>
            </w:pPr>
            <w:r>
              <w:rPr>
                <w:rFonts w:hint="eastAsia" w:ascii="宋体" w:hAnsi="宋体" w:cs="宋体"/>
                <w:bCs/>
                <w:color w:val="auto"/>
                <w:sz w:val="24"/>
                <w:szCs w:val="24"/>
                <w:highlight w:val="none"/>
              </w:rPr>
              <w:t>投标人可提供厦门本地化服务的得1分，否则不得分。投标人可提供合作单位协议或者自身机构的营业执照证明，也可以提供在本地设立的项目部、办公室、办事处等机构证明，或者承诺中标后提供本地化服务（须提供书面承诺书）。</w:t>
            </w:r>
          </w:p>
        </w:tc>
        <w:tc>
          <w:tcPr>
            <w:tcW w:w="898" w:type="dxa"/>
            <w:tcBorders>
              <w:top w:val="single" w:color="auto" w:sz="4" w:space="0"/>
              <w:left w:val="single" w:color="auto" w:sz="4" w:space="0"/>
              <w:bottom w:val="single" w:color="auto" w:sz="4" w:space="0"/>
              <w:right w:val="single" w:color="auto" w:sz="4" w:space="0"/>
            </w:tcBorders>
            <w:noWrap/>
            <w:vAlign w:val="center"/>
          </w:tcPr>
          <w:p w14:paraId="39807AAF">
            <w:pPr>
              <w:spacing w:line="360" w:lineRule="auto"/>
              <w:jc w:val="center"/>
              <w:rPr>
                <w:rFonts w:ascii="宋体" w:hAnsi="宋体" w:cs="宋体"/>
                <w:bCs/>
                <w:color w:val="auto"/>
                <w:sz w:val="24"/>
                <w:szCs w:val="24"/>
                <w:highlight w:val="none"/>
              </w:rPr>
            </w:pPr>
            <w:r>
              <w:rPr>
                <w:rFonts w:hint="eastAsia" w:ascii="宋体" w:hAnsi="宋体" w:cs="宋体"/>
                <w:bCs/>
                <w:color w:val="auto"/>
                <w:sz w:val="24"/>
                <w:szCs w:val="24"/>
                <w:highlight w:val="none"/>
              </w:rPr>
              <w:t>1</w:t>
            </w:r>
          </w:p>
        </w:tc>
      </w:tr>
      <w:tr w14:paraId="546D44DD">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ign w:val="center"/>
          </w:tcPr>
          <w:p w14:paraId="1A1709DD">
            <w:pPr>
              <w:spacing w:line="360" w:lineRule="auto"/>
              <w:jc w:val="center"/>
              <w:rPr>
                <w:rFonts w:ascii="宋体" w:hAnsi="宋体" w:cs="宋体"/>
                <w:bCs/>
                <w:color w:val="auto"/>
                <w:sz w:val="24"/>
                <w:szCs w:val="24"/>
                <w:highlight w:val="none"/>
              </w:rPr>
            </w:pPr>
            <w:r>
              <w:rPr>
                <w:rFonts w:hint="eastAsia" w:ascii="宋体" w:hAnsi="宋体" w:cs="宋体"/>
                <w:bCs/>
                <w:color w:val="auto"/>
                <w:sz w:val="24"/>
                <w:szCs w:val="24"/>
                <w:highlight w:val="none"/>
              </w:rPr>
              <w:t>2-8</w:t>
            </w:r>
          </w:p>
        </w:tc>
        <w:tc>
          <w:tcPr>
            <w:tcW w:w="6838" w:type="dxa"/>
            <w:tcBorders>
              <w:top w:val="single" w:color="auto" w:sz="4" w:space="0"/>
              <w:left w:val="single" w:color="auto" w:sz="4" w:space="0"/>
              <w:bottom w:val="single" w:color="auto" w:sz="4" w:space="0"/>
              <w:right w:val="single" w:color="auto" w:sz="4" w:space="0"/>
            </w:tcBorders>
            <w:noWrap/>
          </w:tcPr>
          <w:p w14:paraId="28B0EE0E">
            <w:pPr>
              <w:spacing w:line="360" w:lineRule="auto"/>
              <w:jc w:val="left"/>
              <w:rPr>
                <w:rFonts w:ascii="宋体" w:hAnsi="宋体" w:cs="宋体"/>
                <w:bCs/>
                <w:color w:val="auto"/>
                <w:sz w:val="24"/>
                <w:szCs w:val="24"/>
                <w:highlight w:val="none"/>
              </w:rPr>
            </w:pPr>
            <w:r>
              <w:rPr>
                <w:rFonts w:hint="eastAsia" w:ascii="宋体" w:hAnsi="宋体" w:cs="宋体"/>
                <w:bCs/>
                <w:color w:val="auto"/>
                <w:sz w:val="24"/>
                <w:szCs w:val="24"/>
                <w:highlight w:val="none"/>
              </w:rPr>
              <w:t>根据投标人提供的培训方案（需</w:t>
            </w:r>
            <w:r>
              <w:rPr>
                <w:rFonts w:hint="eastAsia" w:ascii="宋体" w:hAnsi="宋体" w:cs="宋体"/>
                <w:color w:val="auto"/>
                <w:sz w:val="24"/>
                <w:szCs w:val="24"/>
                <w:highlight w:val="none"/>
              </w:rPr>
              <w:t>包含</w:t>
            </w:r>
            <w:r>
              <w:rPr>
                <w:rFonts w:hint="eastAsia" w:ascii="宋体" w:hAnsi="宋体" w:cs="宋体"/>
                <w:bCs/>
                <w:color w:val="auto"/>
                <w:sz w:val="24"/>
                <w:szCs w:val="24"/>
                <w:highlight w:val="none"/>
              </w:rPr>
              <w:t>培训目标、内容、时长，地点等）进行评价：培训计划内容完整、且描述详细具体的得2分；培训方案内容有缺漏的得1分，无培训方案不得分。</w:t>
            </w:r>
          </w:p>
        </w:tc>
        <w:tc>
          <w:tcPr>
            <w:tcW w:w="898" w:type="dxa"/>
            <w:tcBorders>
              <w:top w:val="single" w:color="auto" w:sz="4" w:space="0"/>
              <w:left w:val="single" w:color="auto" w:sz="4" w:space="0"/>
              <w:bottom w:val="single" w:color="auto" w:sz="4" w:space="0"/>
              <w:right w:val="single" w:color="auto" w:sz="4" w:space="0"/>
            </w:tcBorders>
            <w:noWrap/>
            <w:vAlign w:val="center"/>
          </w:tcPr>
          <w:p w14:paraId="499E3380">
            <w:pPr>
              <w:spacing w:line="360" w:lineRule="auto"/>
              <w:jc w:val="center"/>
              <w:rPr>
                <w:rFonts w:ascii="宋体" w:hAnsi="宋体" w:cs="宋体"/>
                <w:bCs/>
                <w:color w:val="auto"/>
                <w:sz w:val="24"/>
                <w:szCs w:val="24"/>
                <w:highlight w:val="none"/>
              </w:rPr>
            </w:pPr>
            <w:r>
              <w:rPr>
                <w:rFonts w:hint="eastAsia" w:ascii="宋体" w:hAnsi="宋体" w:cs="宋体"/>
                <w:bCs/>
                <w:color w:val="auto"/>
                <w:sz w:val="24"/>
                <w:szCs w:val="24"/>
                <w:highlight w:val="none"/>
              </w:rPr>
              <w:t>2</w:t>
            </w:r>
          </w:p>
        </w:tc>
      </w:tr>
      <w:tr w14:paraId="17D7F9D8">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ign w:val="center"/>
          </w:tcPr>
          <w:p w14:paraId="4105F790">
            <w:pPr>
              <w:spacing w:line="360" w:lineRule="auto"/>
              <w:jc w:val="center"/>
              <w:rPr>
                <w:rFonts w:ascii="宋体" w:hAnsi="宋体" w:cs="宋体"/>
                <w:bCs/>
                <w:color w:val="auto"/>
                <w:sz w:val="24"/>
                <w:szCs w:val="24"/>
                <w:highlight w:val="none"/>
              </w:rPr>
            </w:pPr>
            <w:r>
              <w:rPr>
                <w:rFonts w:hint="eastAsia" w:ascii="宋体" w:hAnsi="宋体" w:cs="宋体"/>
                <w:bCs/>
                <w:color w:val="auto"/>
                <w:sz w:val="24"/>
                <w:szCs w:val="24"/>
                <w:highlight w:val="none"/>
              </w:rPr>
              <w:t>2-9</w:t>
            </w:r>
          </w:p>
        </w:tc>
        <w:tc>
          <w:tcPr>
            <w:tcW w:w="6838" w:type="dxa"/>
            <w:tcBorders>
              <w:top w:val="single" w:color="auto" w:sz="4" w:space="0"/>
              <w:left w:val="single" w:color="auto" w:sz="4" w:space="0"/>
              <w:bottom w:val="single" w:color="auto" w:sz="4" w:space="0"/>
              <w:right w:val="single" w:color="auto" w:sz="4" w:space="0"/>
            </w:tcBorders>
            <w:noWrap/>
          </w:tcPr>
          <w:p w14:paraId="344E58D3">
            <w:pPr>
              <w:spacing w:line="360" w:lineRule="auto"/>
              <w:jc w:val="left"/>
              <w:rPr>
                <w:rFonts w:ascii="宋体" w:hAnsi="宋体" w:cs="宋体"/>
                <w:bCs/>
                <w:color w:val="auto"/>
                <w:sz w:val="24"/>
                <w:szCs w:val="24"/>
                <w:highlight w:val="none"/>
              </w:rPr>
            </w:pPr>
            <w:r>
              <w:rPr>
                <w:rFonts w:hint="eastAsia" w:ascii="宋体" w:hAnsi="宋体" w:cs="宋体"/>
                <w:color w:val="auto"/>
                <w:sz w:val="24"/>
                <w:szCs w:val="24"/>
                <w:highlight w:val="none"/>
              </w:rPr>
              <w:t>根据投标人提供的部署售后服务方案（需包含部署售后人员（团队）水平、部署售后响应机制、支持方式等）进行评价：售后服务方案</w:t>
            </w:r>
            <w:r>
              <w:rPr>
                <w:rFonts w:hint="eastAsia" w:ascii="宋体" w:hAnsi="宋体" w:cs="宋体"/>
                <w:bCs/>
                <w:color w:val="auto"/>
                <w:sz w:val="24"/>
                <w:szCs w:val="24"/>
                <w:highlight w:val="none"/>
              </w:rPr>
              <w:t>内容完整、且描述详细具体的得2分；</w:t>
            </w:r>
            <w:r>
              <w:rPr>
                <w:rFonts w:hint="eastAsia" w:ascii="宋体" w:hAnsi="宋体" w:cs="宋体"/>
                <w:color w:val="auto"/>
                <w:sz w:val="24"/>
                <w:szCs w:val="24"/>
                <w:highlight w:val="none"/>
              </w:rPr>
              <w:t>售后服务</w:t>
            </w:r>
            <w:r>
              <w:rPr>
                <w:rFonts w:hint="eastAsia" w:ascii="宋体" w:hAnsi="宋体" w:cs="宋体"/>
                <w:bCs/>
                <w:color w:val="auto"/>
                <w:sz w:val="24"/>
                <w:szCs w:val="24"/>
                <w:highlight w:val="none"/>
              </w:rPr>
              <w:t>方案内容有缺漏的得1分，</w:t>
            </w:r>
            <w:r>
              <w:rPr>
                <w:rFonts w:hint="eastAsia" w:ascii="宋体" w:hAnsi="宋体" w:cs="宋体"/>
                <w:color w:val="auto"/>
                <w:sz w:val="24"/>
                <w:szCs w:val="24"/>
                <w:highlight w:val="none"/>
              </w:rPr>
              <w:t>无售后服务方案不得分。</w:t>
            </w:r>
          </w:p>
        </w:tc>
        <w:tc>
          <w:tcPr>
            <w:tcW w:w="898" w:type="dxa"/>
            <w:tcBorders>
              <w:top w:val="single" w:color="auto" w:sz="4" w:space="0"/>
              <w:left w:val="single" w:color="auto" w:sz="4" w:space="0"/>
              <w:bottom w:val="single" w:color="auto" w:sz="4" w:space="0"/>
              <w:right w:val="single" w:color="auto" w:sz="4" w:space="0"/>
            </w:tcBorders>
            <w:noWrap/>
            <w:vAlign w:val="center"/>
          </w:tcPr>
          <w:p w14:paraId="13D679BF">
            <w:pPr>
              <w:spacing w:line="360" w:lineRule="auto"/>
              <w:jc w:val="center"/>
              <w:rPr>
                <w:rFonts w:ascii="宋体" w:hAnsi="宋体" w:cs="宋体"/>
                <w:bCs/>
                <w:color w:val="auto"/>
                <w:sz w:val="24"/>
                <w:szCs w:val="24"/>
                <w:highlight w:val="none"/>
              </w:rPr>
            </w:pPr>
            <w:r>
              <w:rPr>
                <w:rFonts w:hint="eastAsia" w:ascii="宋体" w:hAnsi="宋体" w:cs="宋体"/>
                <w:bCs/>
                <w:color w:val="auto"/>
                <w:sz w:val="24"/>
                <w:szCs w:val="24"/>
                <w:highlight w:val="none"/>
              </w:rPr>
              <w:t>2</w:t>
            </w:r>
          </w:p>
        </w:tc>
      </w:tr>
    </w:tbl>
    <w:p w14:paraId="4D091C05">
      <w:pPr>
        <w:tabs>
          <w:tab w:val="left" w:pos="-1080"/>
          <w:tab w:val="left" w:pos="180"/>
          <w:tab w:val="left" w:pos="1080"/>
        </w:tabs>
        <w:spacing w:line="360" w:lineRule="auto"/>
        <w:rPr>
          <w:rFonts w:ascii="宋体" w:hAnsi="宋体" w:cs="宋体"/>
          <w:color w:val="auto"/>
          <w:sz w:val="24"/>
          <w:szCs w:val="24"/>
          <w:highlight w:val="none"/>
        </w:rPr>
      </w:pPr>
    </w:p>
    <w:p w14:paraId="7F62AFF6">
      <w:pPr>
        <w:tabs>
          <w:tab w:val="left" w:pos="-1080"/>
          <w:tab w:val="left" w:pos="180"/>
          <w:tab w:val="left" w:pos="1080"/>
        </w:tabs>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（三）价格评分(F3)：按30分评分法，评标委员会对各有效标投标报价进行审核确定评标价，并将最低有效标的评标价设为基准价，定其价格得分为30分。按公式：价格得分＝30</w:t>
      </w:r>
      <w:r>
        <w:rPr>
          <w:rFonts w:hint="eastAsia" w:ascii="宋体" w:hAnsi="宋体" w:cs="宋体"/>
          <w:color w:val="auto"/>
          <w:sz w:val="24"/>
          <w:szCs w:val="24"/>
          <w:highlight w:val="none"/>
        </w:rPr>
        <w:sym w:font="Symbol" w:char="00B4"/>
      </w:r>
      <w:r>
        <w:rPr>
          <w:rFonts w:hint="eastAsia" w:ascii="宋体" w:hAnsi="宋体" w:cs="宋体"/>
          <w:color w:val="auto"/>
          <w:sz w:val="24"/>
          <w:szCs w:val="24"/>
          <w:highlight w:val="none"/>
        </w:rPr>
        <w:t xml:space="preserve"> （基准价/各个通过审核的有效投标人的评标价）计算，由此算出各个通过审核的有效投标人的价格得分。</w:t>
      </w:r>
    </w:p>
    <w:p w14:paraId="57D110FF">
      <w:pPr>
        <w:spacing w:line="360" w:lineRule="auto"/>
        <w:ind w:firstLine="480" w:firstLineChars="200"/>
        <w:rPr>
          <w:rFonts w:ascii="宋体" w:hAnsi="宋体" w:cs="宋体"/>
          <w:b/>
          <w:color w:val="auto"/>
          <w:sz w:val="24"/>
          <w:szCs w:val="24"/>
          <w:highlight w:val="none"/>
        </w:rPr>
      </w:pPr>
      <w:r>
        <w:rPr>
          <w:rFonts w:hint="eastAsia" w:ascii="宋体" w:hAnsi="宋体" w:cs="宋体"/>
          <w:color w:val="auto"/>
          <w:sz w:val="24"/>
          <w:szCs w:val="24"/>
          <w:highlight w:val="none"/>
        </w:rPr>
        <w:t>1、“小型和微型企业产品”的评分政策：投标人提供的货物既有中型企业制造，也有小微企业制造的，不享受办法规定的小微企业扶持政策。</w:t>
      </w:r>
    </w:p>
    <w:p w14:paraId="42A31EF5">
      <w:pPr>
        <w:pStyle w:val="8"/>
        <w:spacing w:line="360" w:lineRule="auto"/>
        <w:ind w:firstLine="480" w:firstLineChars="200"/>
        <w:rPr>
          <w:rFonts w:hAnsi="宋体" w:cs="宋体"/>
          <w:color w:val="auto"/>
          <w:sz w:val="24"/>
          <w:szCs w:val="24"/>
          <w:highlight w:val="none"/>
        </w:rPr>
      </w:pPr>
      <w:r>
        <w:rPr>
          <w:rFonts w:hint="eastAsia" w:hAnsi="宋体" w:cs="宋体"/>
          <w:color w:val="auto"/>
          <w:sz w:val="24"/>
          <w:szCs w:val="24"/>
          <w:highlight w:val="none"/>
        </w:rPr>
        <w:t>对其提供的小型或微型企业产品的投标报价给予20%的扣除，扣除后的价格作为该投标人的评标价参与价格评分。</w:t>
      </w:r>
    </w:p>
    <w:p w14:paraId="247B3700">
      <w:pPr>
        <w:pStyle w:val="8"/>
        <w:spacing w:line="360" w:lineRule="auto"/>
        <w:ind w:firstLine="480" w:firstLineChars="200"/>
        <w:rPr>
          <w:rFonts w:hAnsi="宋体" w:cs="宋体"/>
          <w:color w:val="auto"/>
          <w:sz w:val="24"/>
          <w:szCs w:val="24"/>
          <w:highlight w:val="none"/>
        </w:rPr>
      </w:pPr>
      <w:r>
        <w:rPr>
          <w:rFonts w:hint="eastAsia" w:hAnsi="宋体" w:cs="宋体"/>
          <w:color w:val="auto"/>
          <w:sz w:val="24"/>
          <w:szCs w:val="24"/>
          <w:highlight w:val="none"/>
        </w:rPr>
        <w:t>接受大中型企业与小微企业组成联合体或者允许大中型企业向一家或者多家小微企业分包的采购项目，对于联合协议或者分包意向协议约定小微企业的合同份额占到合同总金额30%以上的，采购单位、采购代理机构应当对联合体或者大中型企业的报价给予6%的扣除，用扣除后的价格参加评审。</w:t>
      </w:r>
    </w:p>
    <w:p w14:paraId="50F35192">
      <w:pPr>
        <w:pStyle w:val="15"/>
        <w:numPr>
          <w:ilvl w:val="255"/>
          <w:numId w:val="0"/>
        </w:num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联合体各方均为小型、微型企业的，联合体视同为小型、微型企业。组成联合体的大中型企业和其他自然人、法人或者其他组织，与小型、微型企业之间不得存在投资关系。按照《财政部 司法部关于政府采购支持监狱企业发展有关问题的通知》（财库〔2014〕68号）有关规定，监狱企业视同小型、微型企业。根据《财政部 民政部 中国残疾人联合会关于促进残疾人就业政府采购政策的通知》（财库[2017]141号），残疾人福利性单位视同小型、微型企业。残疾人福利性单位属于小型、微型企业的，不重复享受政策。</w:t>
      </w:r>
    </w:p>
    <w:p w14:paraId="0E84CDCA">
      <w:pPr>
        <w:numPr>
          <w:ilvl w:val="255"/>
          <w:numId w:val="0"/>
        </w:numPr>
        <w:tabs>
          <w:tab w:val="left" w:pos="-1080"/>
          <w:tab w:val="left" w:pos="180"/>
          <w:tab w:val="left" w:pos="1080"/>
        </w:tabs>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2、节能、环境标志产品价格扣除：</w:t>
      </w:r>
    </w:p>
    <w:p w14:paraId="44211EC0">
      <w:pPr>
        <w:numPr>
          <w:ilvl w:val="255"/>
          <w:numId w:val="0"/>
        </w:numPr>
        <w:tabs>
          <w:tab w:val="left" w:pos="-1080"/>
          <w:tab w:val="left" w:pos="180"/>
          <w:tab w:val="left" w:pos="1080"/>
        </w:tabs>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采购的产品属于节能产品、环境标志产品政府采购品目清单范围的，依据国家确定的认证机构出具的、处于有效期之内的节能产品、环境标志产品认证证书，对获得证书的产品实施政府优先采购。对节能产品、环境标志产品政府采购品目清单范围内，实施优先采购的产品，给予产品价格报价10%的扣除，用扣除后的价格参加评审。采购标的同时包含其它非优先采购产品的，投标人须对优先采购产品和非优先采购产品进行分项报价，非优先采购产品的报价不得享受给予节能产品、环境标志产品的价格扣除优惠。</w:t>
      </w:r>
    </w:p>
    <w:p w14:paraId="79076FE0">
      <w:pPr>
        <w:numPr>
          <w:ilvl w:val="255"/>
          <w:numId w:val="0"/>
        </w:numPr>
        <w:tabs>
          <w:tab w:val="left" w:pos="-1080"/>
          <w:tab w:val="left" w:pos="180"/>
          <w:tab w:val="left" w:pos="1080"/>
        </w:tabs>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具体要求如下：</w:t>
      </w:r>
    </w:p>
    <w:p w14:paraId="3F060476">
      <w:pPr>
        <w:numPr>
          <w:ilvl w:val="255"/>
          <w:numId w:val="0"/>
        </w:numPr>
        <w:tabs>
          <w:tab w:val="left" w:pos="-1080"/>
          <w:tab w:val="left" w:pos="180"/>
          <w:tab w:val="left" w:pos="1080"/>
        </w:tabs>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采购的产品属于《节能产品政府采购品目清单》范围内的产品或《环境标志产品政府采购品目清单》范围内的产品，且供应商提供的产品已取得节能（强制采购节能产品的除外）、环境标志产品认证证书（处于有效期内）。</w:t>
      </w:r>
    </w:p>
    <w:p w14:paraId="60B61171">
      <w:pPr>
        <w:numPr>
          <w:ilvl w:val="255"/>
          <w:numId w:val="0"/>
        </w:numPr>
        <w:tabs>
          <w:tab w:val="left" w:pos="-1080"/>
          <w:tab w:val="left" w:pos="180"/>
          <w:tab w:val="left" w:pos="1080"/>
        </w:tabs>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投标人应分别明确节能或环境标志产品的名称、数量、分项报价、总报价，并提供认证证书扫描件，否则不予价格扣除。若节能产品、环境标志产品认证证书不能反映产品具体信息的，须提供认证证书附件。此外，若投标人对节能或环境标志产品的报价明显高于其他同类产品的报价，投标人应按评标委员会要求作出说明并提供相关证明材料，不能合理说明或不能提供相关证明材料的，不予价格扣除。</w:t>
      </w:r>
    </w:p>
    <w:p w14:paraId="310A9D7D">
      <w:pPr>
        <w:widowControl/>
        <w:tabs>
          <w:tab w:val="left" w:pos="-1080"/>
          <w:tab w:val="left" w:pos="180"/>
          <w:tab w:val="left" w:pos="1080"/>
        </w:tabs>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若节能、环境标志产品仅是构成投标产品的部件、组件或零件，则该投标产品不享受鼓励优惠政策。属于政府强制采购的节能产品不享受价格扣除优惠。若投标产品既属于节能产品又属于环境标志产品，分别计算价格扣除优惠。</w:t>
      </w:r>
    </w:p>
    <w:p w14:paraId="64274081">
      <w:pPr>
        <w:tabs>
          <w:tab w:val="left" w:pos="-1080"/>
          <w:tab w:val="left" w:pos="180"/>
          <w:tab w:val="left" w:pos="1080"/>
        </w:tabs>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（四）综合得分= F1+ F2 + F3 。</w:t>
      </w:r>
    </w:p>
    <w:p w14:paraId="7ED15DF4">
      <w:pPr>
        <w:pStyle w:val="8"/>
        <w:spacing w:line="360" w:lineRule="auto"/>
        <w:ind w:firstLine="840"/>
        <w:rPr>
          <w:rFonts w:hAnsi="宋体" w:cs="宋体"/>
          <w:bCs/>
          <w:color w:val="auto"/>
          <w:sz w:val="24"/>
          <w:szCs w:val="24"/>
          <w:highlight w:val="none"/>
        </w:rPr>
      </w:pPr>
      <w:r>
        <w:rPr>
          <w:rFonts w:hint="eastAsia" w:hAnsi="宋体" w:cs="宋体"/>
          <w:bCs/>
          <w:color w:val="auto"/>
          <w:sz w:val="24"/>
          <w:szCs w:val="24"/>
          <w:highlight w:val="none"/>
        </w:rPr>
        <w:t>备注：1、技术商务评分中涉及排名情况的评分由评标委员会根据各投标人投标文件的响应情况进行综合评议得出排名。</w:t>
      </w:r>
    </w:p>
    <w:p w14:paraId="61F3A6A3">
      <w:pPr>
        <w:pStyle w:val="8"/>
        <w:spacing w:line="360" w:lineRule="auto"/>
        <w:ind w:firstLine="720" w:firstLineChars="300"/>
        <w:rPr>
          <w:rFonts w:hAnsi="宋体" w:cs="宋体"/>
          <w:color w:val="auto"/>
          <w:sz w:val="24"/>
          <w:szCs w:val="24"/>
          <w:highlight w:val="none"/>
        </w:rPr>
      </w:pPr>
      <w:r>
        <w:rPr>
          <w:rFonts w:hint="eastAsia" w:hAnsi="宋体" w:cs="宋体"/>
          <w:color w:val="auto"/>
          <w:sz w:val="24"/>
          <w:szCs w:val="24"/>
          <w:highlight w:val="none"/>
        </w:rPr>
        <w:t>2、业绩作为评分条件的，投标人须提供该业绩项目的中标（成交）公告（提供相关网站中标（成交）公告的下载网页的扫描件及其网址）、中标（成交）通知书扫描件、采购合同文本扫描件，以及能够证明该业绩项目已经采购单位验收合格的相关证明文件扫描件，原件备查；如未按招标文件要求提供该项业绩完整资料的，评标委员会对该项业绩将不予采信。</w:t>
      </w:r>
    </w:p>
    <w:p w14:paraId="42A7685E">
      <w:pPr>
        <w:spacing w:line="360" w:lineRule="auto"/>
        <w:ind w:firstLine="1600" w:firstLineChars="500"/>
        <w:rPr>
          <w:rFonts w:ascii="宋体" w:hAnsi="宋体" w:cs="宋体"/>
          <w:color w:val="auto"/>
          <w:sz w:val="32"/>
          <w:szCs w:val="32"/>
          <w:highlight w:val="none"/>
        </w:rPr>
      </w:pPr>
    </w:p>
    <w:p w14:paraId="7E1632A5">
      <w:pPr>
        <w:spacing w:line="360" w:lineRule="auto"/>
        <w:ind w:firstLine="1600" w:firstLineChars="500"/>
        <w:rPr>
          <w:rFonts w:ascii="宋体" w:hAnsi="宋体" w:cs="宋体"/>
          <w:color w:val="auto"/>
          <w:sz w:val="32"/>
          <w:szCs w:val="32"/>
          <w:highlight w:val="none"/>
        </w:rPr>
      </w:pPr>
    </w:p>
    <w:p w14:paraId="151ECA6E">
      <w:pPr>
        <w:spacing w:line="360" w:lineRule="auto"/>
        <w:ind w:firstLine="1600" w:firstLineChars="500"/>
        <w:rPr>
          <w:rFonts w:ascii="宋体" w:hAnsi="宋体" w:cs="宋体"/>
          <w:color w:val="auto"/>
          <w:sz w:val="32"/>
          <w:szCs w:val="32"/>
          <w:highlight w:val="none"/>
        </w:rPr>
      </w:pPr>
    </w:p>
    <w:p w14:paraId="125637F1">
      <w:pPr>
        <w:spacing w:line="360" w:lineRule="auto"/>
        <w:ind w:firstLine="1600" w:firstLineChars="500"/>
        <w:rPr>
          <w:rFonts w:ascii="宋体" w:hAnsi="宋体" w:cs="宋体"/>
          <w:color w:val="auto"/>
          <w:sz w:val="32"/>
          <w:szCs w:val="32"/>
          <w:highlight w:val="none"/>
        </w:rPr>
      </w:pPr>
    </w:p>
    <w:p w14:paraId="6147C8EF">
      <w:pPr>
        <w:spacing w:line="360" w:lineRule="auto"/>
        <w:ind w:firstLine="1600" w:firstLineChars="500"/>
        <w:rPr>
          <w:rFonts w:ascii="宋体" w:hAnsi="宋体" w:cs="宋体"/>
          <w:color w:val="auto"/>
          <w:sz w:val="32"/>
          <w:szCs w:val="32"/>
          <w:highlight w:val="none"/>
        </w:rPr>
      </w:pPr>
    </w:p>
    <w:p w14:paraId="0FA0ECE2">
      <w:pPr>
        <w:spacing w:line="360" w:lineRule="auto"/>
        <w:ind w:firstLine="1600" w:firstLineChars="500"/>
        <w:rPr>
          <w:rFonts w:ascii="宋体" w:hAnsi="宋体" w:cs="宋体"/>
          <w:color w:val="auto"/>
          <w:sz w:val="32"/>
          <w:szCs w:val="32"/>
          <w:highlight w:val="none"/>
        </w:rPr>
      </w:pPr>
    </w:p>
    <w:p w14:paraId="58446581">
      <w:pPr>
        <w:spacing w:line="360" w:lineRule="auto"/>
        <w:rPr>
          <w:rFonts w:ascii="宋体" w:hAnsi="宋体" w:cs="宋体"/>
          <w:color w:val="auto"/>
          <w:sz w:val="32"/>
          <w:szCs w:val="32"/>
          <w:highlight w:val="none"/>
        </w:rPr>
      </w:pPr>
    </w:p>
    <w:p w14:paraId="3A83FC09">
      <w:pPr>
        <w:spacing w:line="360" w:lineRule="auto"/>
        <w:ind w:firstLine="1600" w:firstLineChars="500"/>
        <w:rPr>
          <w:rFonts w:ascii="宋体" w:hAnsi="宋体" w:cs="宋体"/>
          <w:color w:val="auto"/>
          <w:sz w:val="32"/>
          <w:szCs w:val="32"/>
          <w:highlight w:val="none"/>
        </w:rPr>
      </w:pPr>
    </w:p>
    <w:p w14:paraId="31EE37F6">
      <w:pPr>
        <w:spacing w:line="360" w:lineRule="auto"/>
        <w:ind w:firstLine="1600" w:firstLineChars="500"/>
        <w:rPr>
          <w:rFonts w:ascii="宋体" w:hAnsi="宋体" w:cs="宋体"/>
          <w:color w:val="auto"/>
          <w:sz w:val="32"/>
          <w:szCs w:val="32"/>
          <w:highlight w:val="none"/>
        </w:rPr>
      </w:pPr>
    </w:p>
    <w:p w14:paraId="6725E107">
      <w:pPr>
        <w:spacing w:line="360" w:lineRule="auto"/>
        <w:ind w:firstLine="1600" w:firstLineChars="500"/>
        <w:rPr>
          <w:rFonts w:ascii="宋体" w:hAnsi="宋体" w:cs="宋体"/>
          <w:color w:val="auto"/>
          <w:sz w:val="32"/>
          <w:szCs w:val="32"/>
          <w:highlight w:val="none"/>
        </w:rPr>
      </w:pPr>
    </w:p>
    <w:p w14:paraId="1D3FECC8">
      <w:pPr>
        <w:spacing w:line="360" w:lineRule="auto"/>
        <w:ind w:firstLine="1600" w:firstLineChars="500"/>
        <w:rPr>
          <w:rFonts w:ascii="宋体" w:hAnsi="宋体" w:cs="宋体"/>
          <w:color w:val="auto"/>
          <w:sz w:val="32"/>
          <w:szCs w:val="32"/>
          <w:highlight w:val="none"/>
        </w:rPr>
      </w:pPr>
    </w:p>
    <w:p w14:paraId="0E18A4C5">
      <w:pPr>
        <w:spacing w:line="360" w:lineRule="auto"/>
        <w:ind w:firstLine="1600" w:firstLineChars="500"/>
        <w:rPr>
          <w:rFonts w:ascii="宋体" w:hAnsi="宋体" w:cs="宋体"/>
          <w:color w:val="auto"/>
          <w:sz w:val="32"/>
          <w:szCs w:val="32"/>
          <w:highlight w:val="none"/>
        </w:rPr>
      </w:pPr>
    </w:p>
    <w:p w14:paraId="65D9F787">
      <w:pPr>
        <w:spacing w:line="360" w:lineRule="auto"/>
        <w:ind w:firstLine="1600" w:firstLineChars="500"/>
        <w:rPr>
          <w:rFonts w:ascii="宋体" w:hAnsi="宋体" w:cs="宋体"/>
          <w:color w:val="auto"/>
          <w:sz w:val="32"/>
          <w:szCs w:val="32"/>
          <w:highlight w:val="none"/>
        </w:rPr>
      </w:pPr>
    </w:p>
    <w:p w14:paraId="77634385">
      <w:pPr>
        <w:pStyle w:val="2"/>
        <w:rPr>
          <w:color w:val="auto"/>
          <w:sz w:val="32"/>
          <w:szCs w:val="32"/>
          <w:highlight w:val="none"/>
        </w:rPr>
      </w:pPr>
    </w:p>
    <w:p w14:paraId="0AEE3079">
      <w:pPr>
        <w:pStyle w:val="2"/>
        <w:rPr>
          <w:color w:val="auto"/>
          <w:sz w:val="32"/>
          <w:szCs w:val="32"/>
          <w:highlight w:val="none"/>
        </w:rPr>
      </w:pPr>
    </w:p>
    <w:p w14:paraId="3C628844">
      <w:pPr>
        <w:pStyle w:val="2"/>
        <w:rPr>
          <w:color w:val="auto"/>
          <w:sz w:val="32"/>
          <w:szCs w:val="32"/>
          <w:highlight w:val="none"/>
        </w:rPr>
      </w:pPr>
    </w:p>
    <w:p w14:paraId="636F4ABD">
      <w:pPr>
        <w:pStyle w:val="2"/>
        <w:rPr>
          <w:color w:val="auto"/>
          <w:sz w:val="32"/>
          <w:szCs w:val="32"/>
          <w:highlight w:val="none"/>
        </w:rPr>
      </w:pPr>
    </w:p>
    <w:p w14:paraId="38B3700E">
      <w:pPr>
        <w:pStyle w:val="2"/>
        <w:rPr>
          <w:color w:val="auto"/>
          <w:sz w:val="32"/>
          <w:szCs w:val="32"/>
          <w:highlight w:val="none"/>
        </w:rPr>
      </w:pPr>
    </w:p>
    <w:p w14:paraId="3290549C">
      <w:pPr>
        <w:spacing w:line="360" w:lineRule="auto"/>
        <w:ind w:firstLine="1600" w:firstLineChars="500"/>
        <w:rPr>
          <w:rFonts w:ascii="宋体" w:hAnsi="宋体" w:cs="宋体"/>
          <w:color w:val="auto"/>
          <w:sz w:val="32"/>
          <w:szCs w:val="32"/>
          <w:highlight w:val="none"/>
        </w:rPr>
      </w:pPr>
    </w:p>
    <w:p w14:paraId="27DB6777">
      <w:pPr>
        <w:spacing w:line="360" w:lineRule="auto"/>
        <w:ind w:firstLine="1600" w:firstLineChars="500"/>
        <w:rPr>
          <w:rFonts w:ascii="宋体" w:hAnsi="宋体" w:cs="宋体"/>
          <w:color w:val="auto"/>
          <w:sz w:val="32"/>
          <w:szCs w:val="32"/>
          <w:highlight w:val="none"/>
        </w:rPr>
      </w:pPr>
      <w:r>
        <w:rPr>
          <w:rFonts w:hint="eastAsia" w:ascii="宋体" w:hAnsi="宋体" w:cs="宋体"/>
          <w:color w:val="auto"/>
          <w:sz w:val="32"/>
          <w:szCs w:val="32"/>
          <w:highlight w:val="none"/>
        </w:rPr>
        <w:t>投标人须知前附表4：中小企业优惠办法</w:t>
      </w:r>
    </w:p>
    <w:tbl>
      <w:tblPr>
        <w:tblStyle w:val="16"/>
        <w:tblW w:w="86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677"/>
        <w:gridCol w:w="6063"/>
      </w:tblGrid>
      <w:tr w14:paraId="01F87F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5" w:hRule="atLeast"/>
          <w:jc w:val="center"/>
        </w:trPr>
        <w:tc>
          <w:tcPr>
            <w:tcW w:w="900" w:type="dxa"/>
            <w:noWrap/>
            <w:vAlign w:val="center"/>
          </w:tcPr>
          <w:p w14:paraId="2548965F">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序号</w:t>
            </w:r>
          </w:p>
        </w:tc>
        <w:tc>
          <w:tcPr>
            <w:tcW w:w="1677" w:type="dxa"/>
            <w:noWrap/>
            <w:vAlign w:val="center"/>
          </w:tcPr>
          <w:p w14:paraId="3713544F">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项目</w:t>
            </w:r>
          </w:p>
        </w:tc>
        <w:tc>
          <w:tcPr>
            <w:tcW w:w="6063" w:type="dxa"/>
            <w:noWrap/>
            <w:vAlign w:val="center"/>
          </w:tcPr>
          <w:p w14:paraId="3F2EB45F">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具体内容</w:t>
            </w:r>
          </w:p>
        </w:tc>
      </w:tr>
      <w:tr w14:paraId="75CAD7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 w:hRule="atLeast"/>
          <w:jc w:val="center"/>
        </w:trPr>
        <w:tc>
          <w:tcPr>
            <w:tcW w:w="900" w:type="dxa"/>
            <w:noWrap/>
            <w:vAlign w:val="center"/>
          </w:tcPr>
          <w:p w14:paraId="191B5EA4">
            <w:pPr>
              <w:spacing w:line="360" w:lineRule="auto"/>
              <w:jc w:val="center"/>
              <w:rPr>
                <w:rFonts w:ascii="宋体" w:hAnsi="宋体" w:cs="宋体"/>
                <w:b/>
                <w:color w:val="auto"/>
                <w:sz w:val="24"/>
                <w:szCs w:val="24"/>
                <w:highlight w:val="none"/>
              </w:rPr>
            </w:pPr>
            <w:r>
              <w:rPr>
                <w:rFonts w:hint="eastAsia" w:ascii="宋体" w:hAnsi="宋体" w:cs="宋体"/>
                <w:b/>
                <w:color w:val="auto"/>
                <w:sz w:val="24"/>
                <w:szCs w:val="24"/>
                <w:highlight w:val="none"/>
              </w:rPr>
              <w:t>1</w:t>
            </w:r>
          </w:p>
        </w:tc>
        <w:tc>
          <w:tcPr>
            <w:tcW w:w="1677" w:type="dxa"/>
            <w:noWrap/>
            <w:vAlign w:val="center"/>
          </w:tcPr>
          <w:p w14:paraId="07420A89">
            <w:pPr>
              <w:spacing w:line="360" w:lineRule="auto"/>
              <w:jc w:val="center"/>
              <w:rPr>
                <w:rFonts w:ascii="宋体" w:hAnsi="宋体" w:cs="宋体"/>
                <w:b/>
                <w:color w:val="auto"/>
                <w:sz w:val="24"/>
                <w:szCs w:val="24"/>
                <w:highlight w:val="none"/>
              </w:rPr>
            </w:pPr>
            <w:r>
              <w:rPr>
                <w:rFonts w:hint="eastAsia" w:ascii="宋体" w:hAnsi="宋体" w:cs="宋体"/>
                <w:b/>
                <w:color w:val="auto"/>
                <w:sz w:val="24"/>
                <w:szCs w:val="24"/>
                <w:highlight w:val="none"/>
              </w:rPr>
              <w:t>本项目是否属于预留份额专门面向中小企业采购活动：</w:t>
            </w:r>
          </w:p>
        </w:tc>
        <w:tc>
          <w:tcPr>
            <w:tcW w:w="6063" w:type="dxa"/>
            <w:noWrap/>
            <w:vAlign w:val="center"/>
          </w:tcPr>
          <w:p w14:paraId="3EF1C328">
            <w:pPr>
              <w:spacing w:line="360" w:lineRule="auto"/>
              <w:rPr>
                <w:rFonts w:ascii="宋体" w:hAnsi="宋体" w:cs="宋体"/>
                <w:color w:val="auto"/>
                <w:sz w:val="24"/>
                <w:szCs w:val="24"/>
                <w:highlight w:val="none"/>
              </w:rPr>
            </w:pPr>
            <w:r>
              <w:rPr>
                <w:rFonts w:hint="eastAsia" w:ascii="宋体" w:hAnsi="宋体" w:cs="宋体"/>
                <w:b/>
                <w:color w:val="auto"/>
                <w:sz w:val="24"/>
                <w:szCs w:val="24"/>
                <w:highlight w:val="none"/>
              </w:rPr>
              <w:t>□</w:t>
            </w:r>
            <w:r>
              <w:rPr>
                <w:rFonts w:hint="eastAsia" w:ascii="宋体" w:hAnsi="宋体" w:cs="宋体"/>
                <w:color w:val="auto"/>
                <w:sz w:val="24"/>
                <w:szCs w:val="24"/>
                <w:highlight w:val="none"/>
              </w:rPr>
              <w:t xml:space="preserve">是/ </w:t>
            </w:r>
            <w:r>
              <w:rPr>
                <w:rFonts w:hint="eastAsia" w:ascii="宋体" w:hAnsi="宋体" w:cs="宋体"/>
                <w:b/>
                <w:color w:val="auto"/>
                <w:sz w:val="24"/>
                <w:szCs w:val="24"/>
                <w:highlight w:val="none"/>
              </w:rPr>
              <w:fldChar w:fldCharType="begin"/>
            </w:r>
            <w:r>
              <w:rPr>
                <w:rFonts w:hint="eastAsia" w:ascii="宋体" w:hAnsi="宋体" w:cs="宋体"/>
                <w:b/>
                <w:color w:val="auto"/>
                <w:sz w:val="24"/>
                <w:szCs w:val="24"/>
                <w:highlight w:val="none"/>
              </w:rPr>
              <w:instrText xml:space="preserve"> eq \o\ac(</w:instrText>
            </w:r>
            <w:r>
              <w:rPr>
                <w:rFonts w:hint="eastAsia" w:ascii="宋体" w:hAnsi="宋体" w:cs="宋体"/>
                <w:b/>
                <w:color w:val="auto"/>
                <w:position w:val="-4"/>
                <w:sz w:val="36"/>
                <w:szCs w:val="24"/>
                <w:highlight w:val="none"/>
              </w:rPr>
              <w:instrText xml:space="preserve">□</w:instrText>
            </w:r>
            <w:r>
              <w:rPr>
                <w:rFonts w:hint="eastAsia" w:ascii="宋体" w:hAnsi="宋体" w:cs="宋体"/>
                <w:b/>
                <w:color w:val="auto"/>
                <w:sz w:val="24"/>
                <w:szCs w:val="24"/>
                <w:highlight w:val="none"/>
              </w:rPr>
              <w:instrText xml:space="preserve">,√)</w:instrText>
            </w:r>
            <w:r>
              <w:rPr>
                <w:rFonts w:hint="eastAsia" w:ascii="宋体" w:hAnsi="宋体" w:cs="宋体"/>
                <w:b/>
                <w:color w:val="auto"/>
                <w:sz w:val="24"/>
                <w:szCs w:val="24"/>
                <w:highlight w:val="none"/>
              </w:rPr>
              <w:fldChar w:fldCharType="end"/>
            </w:r>
            <w:r>
              <w:rPr>
                <w:rFonts w:hint="eastAsia" w:ascii="宋体" w:hAnsi="宋体" w:cs="宋体"/>
                <w:color w:val="auto"/>
                <w:sz w:val="24"/>
                <w:szCs w:val="24"/>
                <w:highlight w:val="none"/>
              </w:rPr>
              <w:t>否</w:t>
            </w:r>
          </w:p>
        </w:tc>
      </w:tr>
      <w:tr w14:paraId="62237C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jc w:val="center"/>
        </w:trPr>
        <w:tc>
          <w:tcPr>
            <w:tcW w:w="900" w:type="dxa"/>
            <w:noWrap/>
            <w:vAlign w:val="center"/>
          </w:tcPr>
          <w:p w14:paraId="446B23E1">
            <w:pPr>
              <w:spacing w:line="360" w:lineRule="auto"/>
              <w:jc w:val="center"/>
              <w:rPr>
                <w:rFonts w:ascii="宋体" w:hAnsi="宋体" w:cs="宋体"/>
                <w:b/>
                <w:color w:val="auto"/>
                <w:sz w:val="24"/>
                <w:szCs w:val="24"/>
                <w:highlight w:val="none"/>
              </w:rPr>
            </w:pPr>
            <w:r>
              <w:rPr>
                <w:rFonts w:hint="eastAsia" w:ascii="宋体" w:hAnsi="宋体" w:cs="宋体"/>
                <w:b/>
                <w:color w:val="auto"/>
                <w:sz w:val="24"/>
                <w:szCs w:val="24"/>
                <w:highlight w:val="none"/>
              </w:rPr>
              <w:t>2</w:t>
            </w:r>
          </w:p>
        </w:tc>
        <w:tc>
          <w:tcPr>
            <w:tcW w:w="1677" w:type="dxa"/>
            <w:noWrap/>
            <w:vAlign w:val="center"/>
          </w:tcPr>
          <w:p w14:paraId="2F44AA9F">
            <w:pPr>
              <w:spacing w:line="360" w:lineRule="auto"/>
              <w:jc w:val="center"/>
              <w:rPr>
                <w:rFonts w:ascii="宋体" w:hAnsi="宋体" w:cs="宋体"/>
                <w:color w:val="auto"/>
                <w:sz w:val="24"/>
                <w:szCs w:val="24"/>
                <w:highlight w:val="none"/>
              </w:rPr>
            </w:pPr>
            <w:r>
              <w:rPr>
                <w:rFonts w:hint="eastAsia" w:ascii="宋体" w:hAnsi="宋体" w:cs="宋体"/>
                <w:b/>
                <w:color w:val="auto"/>
                <w:sz w:val="24"/>
                <w:szCs w:val="24"/>
                <w:highlight w:val="none"/>
              </w:rPr>
              <w:t>中小企业的认定标准</w:t>
            </w:r>
          </w:p>
        </w:tc>
        <w:tc>
          <w:tcPr>
            <w:tcW w:w="6063" w:type="dxa"/>
            <w:noWrap/>
          </w:tcPr>
          <w:p w14:paraId="0F538BF9">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中小企业参加政府采购活动，应当出具《中小企业声明函》，否则不得享受相关中小企业扶持政策。</w:t>
            </w:r>
          </w:p>
          <w:p w14:paraId="6253E436">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须满足以下条件，才能认定为中小企业</w:t>
            </w:r>
            <w:r>
              <w:rPr>
                <w:rFonts w:hint="eastAsia" w:ascii="宋体" w:hAnsi="宋体" w:cs="宋体"/>
                <w:b/>
                <w:color w:val="auto"/>
                <w:sz w:val="24"/>
                <w:szCs w:val="24"/>
                <w:highlight w:val="none"/>
              </w:rPr>
              <w:t>（含中型、小型、微型企业，下同）</w:t>
            </w:r>
            <w:r>
              <w:rPr>
                <w:rFonts w:hint="eastAsia" w:ascii="宋体" w:hAnsi="宋体" w:cs="宋体"/>
                <w:color w:val="auto"/>
                <w:sz w:val="24"/>
                <w:szCs w:val="24"/>
                <w:highlight w:val="none"/>
              </w:rPr>
              <w:t>：</w:t>
            </w:r>
          </w:p>
          <w:p w14:paraId="66C22931">
            <w:pPr>
              <w:spacing w:line="360" w:lineRule="auto"/>
              <w:ind w:firstLine="480" w:firstLineChars="200"/>
              <w:rPr>
                <w:rFonts w:ascii="宋体" w:hAnsi="宋体" w:cs="宋体"/>
                <w:color w:val="auto"/>
                <w:sz w:val="24"/>
                <w:szCs w:val="24"/>
                <w:highlight w:val="none"/>
              </w:rPr>
            </w:pPr>
            <w:r>
              <w:rPr>
                <w:rFonts w:hint="eastAsia" w:ascii="宋体" w:hAnsi="宋体" w:cs="宋体"/>
                <w:bCs/>
                <w:color w:val="auto"/>
                <w:sz w:val="24"/>
                <w:szCs w:val="24"/>
                <w:highlight w:val="none"/>
              </w:rPr>
              <w:t>《政府采购促进中小企业发展管理办法》（财库〔2020〕46号）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tc>
      </w:tr>
      <w:tr w14:paraId="0B7A0F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7" w:hRule="atLeast"/>
          <w:jc w:val="center"/>
        </w:trPr>
        <w:tc>
          <w:tcPr>
            <w:tcW w:w="900" w:type="dxa"/>
            <w:noWrap/>
            <w:vAlign w:val="center"/>
          </w:tcPr>
          <w:p w14:paraId="3A04333F">
            <w:pPr>
              <w:widowControl/>
              <w:spacing w:line="360" w:lineRule="auto"/>
              <w:jc w:val="center"/>
              <w:rPr>
                <w:rFonts w:ascii="宋体" w:hAnsi="宋体" w:cs="宋体"/>
                <w:b/>
                <w:color w:val="auto"/>
                <w:sz w:val="24"/>
                <w:szCs w:val="24"/>
                <w:highlight w:val="none"/>
              </w:rPr>
            </w:pPr>
            <w:r>
              <w:rPr>
                <w:rFonts w:hint="eastAsia" w:ascii="宋体" w:hAnsi="宋体" w:cs="宋体"/>
                <w:b/>
                <w:color w:val="auto"/>
                <w:sz w:val="24"/>
                <w:szCs w:val="24"/>
                <w:highlight w:val="none"/>
              </w:rPr>
              <w:t>3</w:t>
            </w:r>
          </w:p>
        </w:tc>
        <w:tc>
          <w:tcPr>
            <w:tcW w:w="1677" w:type="dxa"/>
            <w:noWrap/>
            <w:vAlign w:val="center"/>
          </w:tcPr>
          <w:p w14:paraId="4BF53D6C">
            <w:pPr>
              <w:widowControl/>
              <w:spacing w:line="360" w:lineRule="auto"/>
              <w:ind w:left="-65" w:leftChars="-31" w:firstLine="475" w:firstLineChars="205"/>
              <w:jc w:val="left"/>
              <w:rPr>
                <w:rFonts w:ascii="宋体" w:hAnsi="宋体" w:cs="宋体"/>
                <w:color w:val="auto"/>
                <w:spacing w:val="-4"/>
                <w:sz w:val="24"/>
                <w:szCs w:val="24"/>
                <w:highlight w:val="none"/>
              </w:rPr>
            </w:pPr>
            <w:r>
              <w:rPr>
                <w:rFonts w:hint="eastAsia" w:ascii="宋体" w:hAnsi="宋体" w:cs="宋体"/>
                <w:color w:val="auto"/>
                <w:spacing w:val="-4"/>
                <w:sz w:val="24"/>
                <w:szCs w:val="24"/>
                <w:highlight w:val="none"/>
              </w:rPr>
              <w:t>优惠办法：</w:t>
            </w:r>
          </w:p>
        </w:tc>
        <w:tc>
          <w:tcPr>
            <w:tcW w:w="6063" w:type="dxa"/>
            <w:tcBorders>
              <w:bottom w:val="single" w:color="auto" w:sz="4" w:space="0"/>
            </w:tcBorders>
            <w:noWrap/>
          </w:tcPr>
          <w:p w14:paraId="767DDEBD">
            <w:pPr>
              <w:spacing w:line="360" w:lineRule="auto"/>
              <w:ind w:left="-65" w:leftChars="-31" w:firstLine="475" w:firstLineChars="205"/>
              <w:rPr>
                <w:rFonts w:ascii="宋体" w:hAnsi="宋体" w:cs="宋体"/>
                <w:color w:val="auto"/>
                <w:spacing w:val="-4"/>
                <w:sz w:val="24"/>
                <w:szCs w:val="24"/>
                <w:highlight w:val="none"/>
              </w:rPr>
            </w:pPr>
            <w:r>
              <w:rPr>
                <w:rFonts w:hint="eastAsia" w:ascii="宋体" w:hAnsi="宋体" w:cs="宋体"/>
                <w:color w:val="auto"/>
                <w:spacing w:val="-4"/>
                <w:sz w:val="24"/>
                <w:szCs w:val="24"/>
                <w:highlight w:val="none"/>
              </w:rPr>
              <w:t>投标产品为中小企业（含中型、小型、微型企业，下同）生产：</w:t>
            </w:r>
          </w:p>
          <w:p w14:paraId="618FEA05">
            <w:pPr>
              <w:spacing w:line="360" w:lineRule="auto"/>
              <w:ind w:left="-65" w:leftChars="-31" w:firstLine="475" w:firstLineChars="205"/>
              <w:rPr>
                <w:rFonts w:ascii="宋体" w:hAnsi="宋体" w:cs="宋体"/>
                <w:color w:val="auto"/>
                <w:spacing w:val="-4"/>
                <w:sz w:val="24"/>
                <w:szCs w:val="24"/>
                <w:highlight w:val="none"/>
              </w:rPr>
            </w:pPr>
            <w:r>
              <w:rPr>
                <w:rFonts w:hint="eastAsia" w:ascii="宋体" w:hAnsi="宋体" w:cs="宋体"/>
                <w:color w:val="auto"/>
                <w:spacing w:val="-4"/>
                <w:sz w:val="24"/>
                <w:szCs w:val="24"/>
                <w:highlight w:val="none"/>
              </w:rPr>
              <w:t>①投标保证金：全免</w:t>
            </w:r>
          </w:p>
          <w:p w14:paraId="20EAF1F0">
            <w:pPr>
              <w:spacing w:line="360" w:lineRule="auto"/>
              <w:ind w:left="-65" w:leftChars="-31" w:firstLine="475" w:firstLineChars="205"/>
              <w:rPr>
                <w:rFonts w:ascii="宋体" w:hAnsi="宋体" w:cs="宋体"/>
                <w:color w:val="auto"/>
                <w:spacing w:val="-4"/>
                <w:sz w:val="24"/>
                <w:szCs w:val="24"/>
                <w:highlight w:val="none"/>
              </w:rPr>
            </w:pPr>
            <w:r>
              <w:rPr>
                <w:rFonts w:hint="eastAsia" w:ascii="宋体" w:hAnsi="宋体" w:cs="宋体"/>
                <w:color w:val="auto"/>
                <w:spacing w:val="-4"/>
                <w:sz w:val="24"/>
                <w:szCs w:val="24"/>
                <w:highlight w:val="none"/>
              </w:rPr>
              <w:t>②履约保证金：按约定比例的50%支付（如果有的话）</w:t>
            </w:r>
          </w:p>
          <w:p w14:paraId="6DA9971A">
            <w:pPr>
              <w:spacing w:line="360" w:lineRule="auto"/>
              <w:ind w:left="-65" w:leftChars="-31" w:firstLine="475" w:firstLineChars="205"/>
              <w:rPr>
                <w:rFonts w:ascii="宋体" w:hAnsi="宋体" w:cs="宋体"/>
                <w:color w:val="auto"/>
                <w:spacing w:val="-4"/>
                <w:sz w:val="24"/>
                <w:szCs w:val="24"/>
                <w:highlight w:val="none"/>
              </w:rPr>
            </w:pPr>
            <w:r>
              <w:rPr>
                <w:rFonts w:hint="eastAsia" w:ascii="宋体" w:hAnsi="宋体" w:cs="宋体"/>
                <w:color w:val="auto"/>
                <w:spacing w:val="-4"/>
                <w:sz w:val="24"/>
                <w:szCs w:val="24"/>
                <w:highlight w:val="none"/>
              </w:rPr>
              <w:t>③代理服务费：按招标文件规定的收费标准下调10%</w:t>
            </w:r>
          </w:p>
          <w:p w14:paraId="1F9777F3">
            <w:pPr>
              <w:spacing w:line="360" w:lineRule="auto"/>
              <w:ind w:left="-65" w:leftChars="-31" w:firstLine="475" w:firstLineChars="205"/>
              <w:rPr>
                <w:rFonts w:ascii="宋体" w:hAnsi="宋体" w:cs="宋体"/>
                <w:color w:val="auto"/>
                <w:spacing w:val="-4"/>
                <w:sz w:val="24"/>
                <w:szCs w:val="24"/>
                <w:highlight w:val="none"/>
              </w:rPr>
            </w:pPr>
            <w:r>
              <w:rPr>
                <w:rFonts w:hint="eastAsia" w:ascii="宋体" w:hAnsi="宋体" w:cs="宋体"/>
                <w:color w:val="auto"/>
                <w:spacing w:val="-4"/>
                <w:sz w:val="24"/>
                <w:szCs w:val="24"/>
                <w:highlight w:val="none"/>
              </w:rPr>
              <w:t>④缩短付款时间</w:t>
            </w:r>
          </w:p>
          <w:p w14:paraId="69D8AA83">
            <w:pPr>
              <w:spacing w:line="360" w:lineRule="auto"/>
              <w:ind w:left="-65" w:leftChars="-31" w:firstLine="475" w:firstLineChars="205"/>
              <w:rPr>
                <w:rFonts w:ascii="宋体" w:hAnsi="宋体" w:cs="宋体"/>
                <w:color w:val="auto"/>
                <w:spacing w:val="-4"/>
                <w:sz w:val="24"/>
                <w:szCs w:val="24"/>
                <w:highlight w:val="none"/>
              </w:rPr>
            </w:pPr>
          </w:p>
          <w:p w14:paraId="1BD12AB9">
            <w:pPr>
              <w:spacing w:line="360" w:lineRule="auto"/>
              <w:ind w:left="-65" w:leftChars="-31" w:firstLine="475" w:firstLineChars="205"/>
              <w:rPr>
                <w:rFonts w:ascii="宋体" w:hAnsi="宋体" w:cs="宋体"/>
                <w:color w:val="auto"/>
                <w:spacing w:val="-4"/>
                <w:sz w:val="24"/>
                <w:szCs w:val="24"/>
                <w:highlight w:val="none"/>
              </w:rPr>
            </w:pPr>
            <w:r>
              <w:rPr>
                <w:rFonts w:hint="eastAsia" w:ascii="宋体" w:hAnsi="宋体" w:cs="宋体"/>
                <w:color w:val="auto"/>
                <w:spacing w:val="-4"/>
                <w:sz w:val="24"/>
                <w:szCs w:val="24"/>
                <w:highlight w:val="none"/>
              </w:rPr>
              <w:t>投标产品为小型企业或微型企业生产：</w:t>
            </w:r>
          </w:p>
          <w:p w14:paraId="46B66987">
            <w:pPr>
              <w:spacing w:line="360" w:lineRule="auto"/>
              <w:ind w:left="-65" w:leftChars="-31" w:firstLine="475" w:firstLineChars="205"/>
              <w:rPr>
                <w:rFonts w:ascii="宋体" w:hAnsi="宋体" w:cs="宋体"/>
                <w:color w:val="auto"/>
                <w:spacing w:val="-4"/>
                <w:sz w:val="24"/>
                <w:szCs w:val="24"/>
                <w:highlight w:val="none"/>
              </w:rPr>
            </w:pPr>
            <w:r>
              <w:rPr>
                <w:rFonts w:hint="eastAsia" w:ascii="宋体" w:hAnsi="宋体" w:cs="宋体"/>
                <w:color w:val="auto"/>
                <w:spacing w:val="-4"/>
                <w:sz w:val="24"/>
                <w:szCs w:val="24"/>
                <w:highlight w:val="none"/>
              </w:rPr>
              <w:t>投标人提供的货物既有中型企业制造，也有小微企业制造的，不享受办法规定的小微企业扶持政策。</w:t>
            </w:r>
          </w:p>
          <w:p w14:paraId="33DAE928">
            <w:pPr>
              <w:spacing w:line="360" w:lineRule="auto"/>
              <w:ind w:left="-65" w:leftChars="-31" w:firstLine="475" w:firstLineChars="205"/>
              <w:rPr>
                <w:rFonts w:ascii="宋体" w:hAnsi="宋体" w:cs="宋体"/>
                <w:color w:val="auto"/>
                <w:spacing w:val="-4"/>
                <w:sz w:val="24"/>
                <w:szCs w:val="24"/>
                <w:highlight w:val="none"/>
              </w:rPr>
            </w:pPr>
            <w:r>
              <w:rPr>
                <w:rFonts w:ascii="宋体" w:hAnsi="宋体" w:cs="宋体"/>
                <w:color w:val="auto"/>
                <w:spacing w:val="-4"/>
                <w:sz w:val="24"/>
                <w:szCs w:val="24"/>
                <w:highlight w:val="none"/>
              </w:rPr>
              <w:t>对其提供的小型或微型企业产品的投标报价给予20%的扣除，扣除后的价格作为该投标人的评标价参与价格评分。</w:t>
            </w:r>
          </w:p>
          <w:p w14:paraId="14A325DB">
            <w:pPr>
              <w:spacing w:line="360" w:lineRule="auto"/>
              <w:ind w:left="-65" w:leftChars="-31" w:firstLine="475" w:firstLineChars="205"/>
              <w:rPr>
                <w:rFonts w:ascii="宋体" w:hAnsi="宋体" w:cs="宋体"/>
                <w:color w:val="auto"/>
                <w:spacing w:val="-4"/>
                <w:sz w:val="24"/>
                <w:szCs w:val="24"/>
                <w:highlight w:val="none"/>
              </w:rPr>
            </w:pPr>
            <w:r>
              <w:rPr>
                <w:rFonts w:ascii="宋体" w:hAnsi="宋体" w:cs="宋体"/>
                <w:color w:val="auto"/>
                <w:spacing w:val="-4"/>
                <w:sz w:val="24"/>
                <w:szCs w:val="24"/>
                <w:highlight w:val="none"/>
              </w:rPr>
              <w:t>接受大中型企业与小微企业组成联合体或者允许大中型企业向一家或者多家小微企业分包的采购项目，对于联合协议或者分包意向协议约定小微企业的合同份额占到合同总金额30%以上的，采购单位、采购代理机构应当对联合体或者大中型企业的报价给予6%的扣除，用扣除后的价格参加评审。</w:t>
            </w:r>
          </w:p>
          <w:p w14:paraId="519735DB">
            <w:pPr>
              <w:spacing w:line="360" w:lineRule="auto"/>
              <w:ind w:left="-65" w:leftChars="-31" w:firstLine="475" w:firstLineChars="205"/>
              <w:rPr>
                <w:rFonts w:ascii="宋体" w:hAnsi="宋体" w:cs="宋体"/>
                <w:color w:val="auto"/>
                <w:spacing w:val="-4"/>
                <w:sz w:val="24"/>
                <w:szCs w:val="24"/>
                <w:highlight w:val="none"/>
              </w:rPr>
            </w:pPr>
            <w:r>
              <w:rPr>
                <w:rFonts w:ascii="宋体" w:hAnsi="宋体" w:cs="宋体"/>
                <w:color w:val="auto"/>
                <w:spacing w:val="-4"/>
                <w:sz w:val="24"/>
                <w:szCs w:val="24"/>
                <w:highlight w:val="none"/>
              </w:rPr>
              <w:t>联合体各方均为小型、微型企业的，联合体视同为小型、微型企业。组成联合体的大中型企业和其他自然人、法人或者其他组织，与小型、微型企业之间不得存在投资关系。按照《财政部 司法部关于政府采购支持监狱企业发展有关问题的通知》（财库〔2014〕68号）有关规定，监狱企业视同小型、微型企业。根据《财政部 民政部 中国残疾人联合会关于促进残疾人就业政府采购政策的通知》（财库[2017]141号），残疾人福利性单位视同小型、微型企业。残疾人福利性单位属于小型、微型企业的，不重复享受政策。</w:t>
            </w:r>
          </w:p>
          <w:p w14:paraId="54EE2F6E">
            <w:pPr>
              <w:spacing w:line="360" w:lineRule="auto"/>
              <w:ind w:left="-65" w:leftChars="-31" w:firstLine="475" w:firstLineChars="205"/>
              <w:rPr>
                <w:rFonts w:ascii="宋体" w:hAnsi="宋体" w:cs="宋体"/>
                <w:color w:val="auto"/>
                <w:spacing w:val="-4"/>
                <w:sz w:val="24"/>
                <w:szCs w:val="24"/>
                <w:highlight w:val="none"/>
              </w:rPr>
            </w:pPr>
            <w:r>
              <w:rPr>
                <w:rFonts w:ascii="宋体" w:hAnsi="宋体" w:cs="宋体"/>
                <w:color w:val="auto"/>
                <w:spacing w:val="-4"/>
                <w:sz w:val="24"/>
                <w:szCs w:val="24"/>
                <w:highlight w:val="none"/>
              </w:rPr>
              <w:t>若本项目属于预留份额专门面向中小企业采购活动，不再执行价格评审优惠的扶持政策。</w:t>
            </w:r>
          </w:p>
          <w:p w14:paraId="012643CB">
            <w:pPr>
              <w:ind w:left="-65" w:leftChars="-31" w:firstLine="475" w:firstLineChars="205"/>
              <w:rPr>
                <w:rFonts w:ascii="宋体" w:hAnsi="宋体" w:cs="宋体"/>
                <w:color w:val="auto"/>
                <w:spacing w:val="-4"/>
                <w:sz w:val="24"/>
                <w:szCs w:val="24"/>
                <w:highlight w:val="none"/>
              </w:rPr>
            </w:pPr>
          </w:p>
        </w:tc>
      </w:tr>
      <w:tr w14:paraId="4640CF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900" w:type="dxa"/>
            <w:noWrap/>
            <w:vAlign w:val="center"/>
          </w:tcPr>
          <w:p w14:paraId="0B115AA8">
            <w:pPr>
              <w:widowControl/>
              <w:spacing w:line="360" w:lineRule="auto"/>
              <w:jc w:val="center"/>
              <w:rPr>
                <w:rFonts w:ascii="宋体" w:hAnsi="宋体" w:cs="宋体"/>
                <w:b/>
                <w:dstrike/>
                <w:color w:val="auto"/>
                <w:sz w:val="24"/>
                <w:szCs w:val="24"/>
                <w:highlight w:val="none"/>
              </w:rPr>
            </w:pPr>
            <w:r>
              <w:rPr>
                <w:rFonts w:hint="eastAsia" w:ascii="宋体" w:hAnsi="宋体" w:cs="宋体"/>
                <w:b/>
                <w:color w:val="auto"/>
                <w:sz w:val="24"/>
                <w:szCs w:val="24"/>
                <w:highlight w:val="none"/>
              </w:rPr>
              <w:t>4</w:t>
            </w:r>
          </w:p>
        </w:tc>
        <w:tc>
          <w:tcPr>
            <w:tcW w:w="1677" w:type="dxa"/>
            <w:noWrap/>
            <w:vAlign w:val="center"/>
          </w:tcPr>
          <w:p w14:paraId="57A3C6ED">
            <w:pPr>
              <w:pStyle w:val="2"/>
              <w:spacing w:before="0" w:beforeAutospacing="0" w:after="0" w:afterAutospacing="0" w:line="360" w:lineRule="auto"/>
              <w:rPr>
                <w:color w:val="auto"/>
                <w:highlight w:val="none"/>
              </w:rPr>
            </w:pPr>
            <w:r>
              <w:rPr>
                <w:rFonts w:hint="eastAsia"/>
                <w:color w:val="auto"/>
                <w:highlight w:val="none"/>
              </w:rPr>
              <w:t>本项目对应的中小企业划分标准所属</w:t>
            </w:r>
            <w:r>
              <w:rPr>
                <w:rFonts w:hint="eastAsia"/>
                <w:color w:val="auto"/>
                <w:highlight w:val="none"/>
                <w:u w:val="single"/>
              </w:rPr>
              <w:t>工业       行业。</w:t>
            </w:r>
          </w:p>
        </w:tc>
        <w:tc>
          <w:tcPr>
            <w:tcW w:w="6063" w:type="dxa"/>
            <w:tcBorders>
              <w:bottom w:val="single" w:color="auto" w:sz="4" w:space="0"/>
            </w:tcBorders>
            <w:noWrap/>
          </w:tcPr>
          <w:p w14:paraId="6BA15A9E">
            <w:pPr>
              <w:spacing w:line="360" w:lineRule="auto"/>
              <w:rPr>
                <w:rFonts w:ascii="宋体" w:hAnsi="宋体" w:cs="宋体"/>
                <w:dstrike/>
                <w:color w:val="auto"/>
                <w:sz w:val="24"/>
                <w:szCs w:val="24"/>
                <w:highlight w:val="none"/>
                <w:u w:val="single"/>
              </w:rPr>
            </w:pPr>
            <w:r>
              <w:rPr>
                <w:rFonts w:hint="eastAsia" w:ascii="宋体" w:hAnsi="宋体" w:cs="宋体"/>
                <w:color w:val="auto"/>
                <w:sz w:val="24"/>
                <w:szCs w:val="24"/>
                <w:highlight w:val="none"/>
              </w:rPr>
              <w:t>现行中小企业划分标准行业包括农、林、牧、渔业，工业，建筑业，批发业，零售业，交通运输业，仓储业，邮政业，住宿业，餐饮业，信息传输业，软件和信息技术服务业，房地产开发经营，物业管理，租赁和商务服务业和其他未列明行业等十六类。</w:t>
            </w:r>
          </w:p>
        </w:tc>
      </w:tr>
      <w:tr w14:paraId="743C10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900" w:type="dxa"/>
            <w:noWrap/>
            <w:vAlign w:val="center"/>
          </w:tcPr>
          <w:p w14:paraId="21F3B44F">
            <w:pPr>
              <w:widowControl/>
              <w:spacing w:line="360" w:lineRule="auto"/>
              <w:jc w:val="center"/>
              <w:rPr>
                <w:rFonts w:ascii="宋体" w:hAnsi="宋体" w:cs="宋体"/>
                <w:b/>
                <w:color w:val="auto"/>
                <w:sz w:val="24"/>
                <w:szCs w:val="24"/>
                <w:highlight w:val="none"/>
              </w:rPr>
            </w:pPr>
            <w:r>
              <w:rPr>
                <w:rFonts w:hint="eastAsia" w:ascii="宋体" w:hAnsi="宋体" w:cs="宋体"/>
                <w:b/>
                <w:color w:val="auto"/>
                <w:sz w:val="24"/>
                <w:szCs w:val="24"/>
                <w:highlight w:val="none"/>
              </w:rPr>
              <w:t>5</w:t>
            </w:r>
          </w:p>
        </w:tc>
        <w:tc>
          <w:tcPr>
            <w:tcW w:w="1677" w:type="dxa"/>
            <w:noWrap/>
            <w:vAlign w:val="center"/>
          </w:tcPr>
          <w:p w14:paraId="7FCF7781">
            <w:pPr>
              <w:widowControl/>
              <w:spacing w:line="360" w:lineRule="auto"/>
              <w:jc w:val="center"/>
              <w:rPr>
                <w:rFonts w:ascii="宋体" w:hAnsi="宋体" w:cs="宋体"/>
                <w:b/>
                <w:color w:val="auto"/>
                <w:sz w:val="24"/>
                <w:szCs w:val="24"/>
                <w:highlight w:val="none"/>
              </w:rPr>
            </w:pPr>
            <w:r>
              <w:rPr>
                <w:rFonts w:hint="eastAsia" w:ascii="宋体" w:hAnsi="宋体" w:cs="宋体"/>
                <w:b/>
                <w:color w:val="auto"/>
                <w:sz w:val="24"/>
                <w:szCs w:val="24"/>
                <w:highlight w:val="none"/>
              </w:rPr>
              <w:t>相关风险</w:t>
            </w:r>
          </w:p>
        </w:tc>
        <w:tc>
          <w:tcPr>
            <w:tcW w:w="6063" w:type="dxa"/>
            <w:tcBorders>
              <w:bottom w:val="single" w:color="auto" w:sz="4" w:space="0"/>
            </w:tcBorders>
            <w:noWrap/>
          </w:tcPr>
          <w:p w14:paraId="3B05A47C">
            <w:pPr>
              <w:spacing w:line="360" w:lineRule="auto"/>
              <w:ind w:firstLine="482" w:firstLineChars="200"/>
              <w:rPr>
                <w:rFonts w:ascii="宋体" w:hAnsi="宋体" w:cs="宋体"/>
                <w:b/>
                <w:color w:val="auto"/>
                <w:sz w:val="24"/>
                <w:szCs w:val="24"/>
                <w:highlight w:val="none"/>
              </w:rPr>
            </w:pPr>
            <w:r>
              <w:rPr>
                <w:rFonts w:hint="eastAsia" w:ascii="宋体" w:hAnsi="宋体" w:cs="宋体"/>
                <w:b/>
                <w:color w:val="auto"/>
                <w:sz w:val="24"/>
                <w:szCs w:val="24"/>
                <w:highlight w:val="none"/>
              </w:rPr>
              <w:t>一、经评标委员会评审，存在下列任一情况的，投标人将不被视为中小企业：</w:t>
            </w:r>
          </w:p>
          <w:p w14:paraId="04155CD8">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1.投标货物全部或部分为使用大型企业注册商标的货物的；</w:t>
            </w:r>
          </w:p>
          <w:p w14:paraId="07C1A67E">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2.投标文件中标明的中小企业产品的制造商不符合“工信部联企业[2011]300号”规定的中小企业标准的；</w:t>
            </w:r>
          </w:p>
          <w:p w14:paraId="0FC645AB">
            <w:pPr>
              <w:spacing w:line="360" w:lineRule="auto"/>
              <w:ind w:firstLine="482" w:firstLineChars="200"/>
              <w:rPr>
                <w:rFonts w:ascii="宋体" w:hAnsi="宋体" w:cs="宋体"/>
                <w:b/>
                <w:color w:val="auto"/>
                <w:kern w:val="0"/>
                <w:sz w:val="24"/>
                <w:szCs w:val="24"/>
                <w:highlight w:val="none"/>
              </w:rPr>
            </w:pPr>
            <w:r>
              <w:rPr>
                <w:rFonts w:hint="eastAsia" w:ascii="宋体" w:hAnsi="宋体" w:cs="宋体"/>
                <w:b/>
                <w:color w:val="auto"/>
                <w:kern w:val="0"/>
                <w:sz w:val="24"/>
                <w:szCs w:val="24"/>
                <w:highlight w:val="none"/>
              </w:rPr>
              <w:t>二、提供虚假声明后果：</w:t>
            </w:r>
          </w:p>
          <w:p w14:paraId="79389E40">
            <w:pPr>
              <w:widowControl/>
              <w:spacing w:line="360" w:lineRule="auto"/>
              <w:rPr>
                <w:rFonts w:ascii="宋体" w:hAnsi="宋体" w:cs="宋体"/>
                <w:b/>
                <w:i/>
                <w:color w:val="auto"/>
                <w:kern w:val="0"/>
                <w:sz w:val="24"/>
                <w:szCs w:val="24"/>
                <w:highlight w:val="none"/>
                <w:u w:val="single"/>
              </w:rPr>
            </w:pPr>
            <w:r>
              <w:rPr>
                <w:rFonts w:hint="eastAsia" w:ascii="宋体" w:hAnsi="宋体" w:cs="宋体"/>
                <w:color w:val="auto"/>
                <w:kern w:val="0"/>
                <w:sz w:val="24"/>
                <w:szCs w:val="24"/>
                <w:highlight w:val="none"/>
              </w:rPr>
              <w:t>投标人为取得中小企业身份而提供虚假声明，在评审过程中发现的，按无效投标处理，投标保证金不予退还；已取得中标资格的，无论该行为是否影响中标，均取消其中标资格，投标保证金、代理服务费不予退还，该投标人还应承担由此引起的其他经济、法律责任。出现此种情形时，采购单位、招标代理机构将有关情况上报政府采购监管部门，由监管部门按有关规定对其进行相应处罚。采购单位、招标代理机构</w:t>
            </w:r>
            <w:r>
              <w:rPr>
                <w:rFonts w:hint="eastAsia" w:ascii="宋体" w:hAnsi="宋体" w:cs="宋体"/>
                <w:color w:val="auto"/>
                <w:sz w:val="24"/>
                <w:szCs w:val="24"/>
                <w:highlight w:val="none"/>
              </w:rPr>
              <w:t>有权上报财政部门，建议财政部门将该投标人列入不良行为记录名单，在一至三年内禁止该投标人参加政府采购活动并予以通报。</w:t>
            </w:r>
            <w:r>
              <w:rPr>
                <w:rFonts w:hint="eastAsia" w:ascii="宋体" w:hAnsi="宋体" w:cs="宋体"/>
                <w:b/>
                <w:i/>
                <w:color w:val="auto"/>
                <w:kern w:val="0"/>
                <w:sz w:val="24"/>
                <w:szCs w:val="24"/>
                <w:highlight w:val="none"/>
                <w:u w:val="single"/>
              </w:rPr>
              <w:t>（提醒：如果投不满足中小企业的认定标准，则不需要提供《中小企业声明函》，否则因此导致虚假应标的后果由投标人自行承担。）</w:t>
            </w:r>
          </w:p>
        </w:tc>
      </w:tr>
    </w:tbl>
    <w:p w14:paraId="32DE8A4D">
      <w:pPr>
        <w:spacing w:line="360" w:lineRule="auto"/>
        <w:ind w:firstLine="482" w:firstLineChars="200"/>
        <w:rPr>
          <w:rFonts w:ascii="宋体" w:hAnsi="宋体" w:cs="宋体"/>
          <w:b/>
          <w:bCs/>
          <w:color w:val="auto"/>
          <w:sz w:val="24"/>
          <w:szCs w:val="24"/>
          <w:highlight w:val="none"/>
        </w:rPr>
        <w:sectPr>
          <w:footerReference r:id="rId6" w:type="default"/>
          <w:pgSz w:w="11907" w:h="16840"/>
          <w:pgMar w:top="1440" w:right="1752" w:bottom="1290" w:left="1752" w:header="851" w:footer="992" w:gutter="0"/>
          <w:pgNumType w:start="1"/>
          <w:cols w:space="720" w:num="1"/>
          <w:docGrid w:linePitch="323" w:charSpace="-2"/>
        </w:sectPr>
      </w:pPr>
    </w:p>
    <w:p w14:paraId="3F6A7284">
      <w:pPr>
        <w:pStyle w:val="4"/>
        <w:snapToGrid w:val="0"/>
        <w:spacing w:line="360" w:lineRule="auto"/>
        <w:ind w:firstLine="0"/>
        <w:jc w:val="center"/>
        <w:rPr>
          <w:rFonts w:ascii="宋体" w:hAnsi="宋体" w:cs="宋体"/>
          <w:b/>
          <w:bCs/>
          <w:color w:val="auto"/>
          <w:sz w:val="32"/>
          <w:szCs w:val="32"/>
          <w:highlight w:val="none"/>
        </w:rPr>
      </w:pPr>
      <w:r>
        <w:rPr>
          <w:rFonts w:hint="eastAsia" w:ascii="宋体" w:hAnsi="宋体" w:cs="宋体"/>
          <w:b/>
          <w:color w:val="auto"/>
          <w:sz w:val="32"/>
          <w:szCs w:val="32"/>
          <w:highlight w:val="none"/>
        </w:rPr>
        <w:t xml:space="preserve">第三章  </w:t>
      </w:r>
      <w:r>
        <w:rPr>
          <w:rFonts w:hint="eastAsia" w:ascii="宋体" w:hAnsi="宋体" w:cs="宋体"/>
          <w:b/>
          <w:bCs/>
          <w:color w:val="auto"/>
          <w:sz w:val="32"/>
          <w:szCs w:val="32"/>
          <w:highlight w:val="none"/>
        </w:rPr>
        <w:t>招标内容及要求</w:t>
      </w:r>
    </w:p>
    <w:p w14:paraId="06DF0220">
      <w:pPr>
        <w:pStyle w:val="9"/>
        <w:spacing w:after="0" w:line="360" w:lineRule="auto"/>
        <w:ind w:left="181" w:leftChars="86" w:right="-334" w:rightChars="-159"/>
        <w:rPr>
          <w:rFonts w:ascii="宋体" w:hAnsi="宋体" w:cs="宋体"/>
          <w:b/>
          <w:bCs/>
          <w:color w:val="auto"/>
          <w:sz w:val="24"/>
          <w:szCs w:val="24"/>
          <w:highlight w:val="none"/>
        </w:rPr>
      </w:pPr>
      <w:r>
        <w:rPr>
          <w:rFonts w:hint="eastAsia" w:ascii="宋体" w:hAnsi="宋体" w:cs="宋体"/>
          <w:b/>
          <w:bCs/>
          <w:color w:val="auto"/>
          <w:sz w:val="24"/>
          <w:szCs w:val="24"/>
          <w:highlight w:val="none"/>
        </w:rPr>
        <w:t>提示说明：</w:t>
      </w:r>
    </w:p>
    <w:p w14:paraId="10FD53B5">
      <w:pPr>
        <w:pStyle w:val="9"/>
        <w:spacing w:after="0" w:line="360" w:lineRule="auto"/>
        <w:ind w:left="0"/>
        <w:rPr>
          <w:rFonts w:ascii="宋体" w:hAnsi="宋体" w:cs="宋体"/>
          <w:b/>
          <w:bCs/>
          <w:color w:val="auto"/>
          <w:sz w:val="24"/>
          <w:szCs w:val="24"/>
          <w:highlight w:val="none"/>
        </w:rPr>
      </w:pPr>
      <w:r>
        <w:rPr>
          <w:rFonts w:hint="eastAsia" w:ascii="宋体" w:hAnsi="宋体" w:cs="宋体"/>
          <w:b/>
          <w:bCs/>
          <w:color w:val="auto"/>
          <w:sz w:val="24"/>
          <w:szCs w:val="24"/>
          <w:highlight w:val="none"/>
        </w:rPr>
        <w:t>（1）全文中带有“*”的条款为关键性条款，对这些关键性条款的任何负偏离或不满足将导致该投标作无效投标处理。</w:t>
      </w:r>
      <w:r>
        <w:rPr>
          <w:rFonts w:hint="eastAsia" w:ascii="宋体" w:hAnsi="宋体" w:cs="宋体"/>
          <w:b/>
          <w:color w:val="auto"/>
          <w:sz w:val="24"/>
          <w:szCs w:val="24"/>
          <w:highlight w:val="none"/>
        </w:rPr>
        <w:t>投标人应对招标文件中的“*”号条款进行逐条响应，否则评标委员会对其投标做出不利评审，投标人必须自行承担责任。</w:t>
      </w:r>
    </w:p>
    <w:p w14:paraId="60D3BB96">
      <w:pPr>
        <w:pStyle w:val="9"/>
        <w:spacing w:after="0" w:line="360" w:lineRule="auto"/>
        <w:ind w:left="0"/>
        <w:rPr>
          <w:rFonts w:ascii="宋体" w:hAnsi="宋体" w:cs="宋体"/>
          <w:b/>
          <w:bCs/>
          <w:color w:val="auto"/>
          <w:sz w:val="24"/>
          <w:szCs w:val="24"/>
          <w:highlight w:val="none"/>
        </w:rPr>
      </w:pPr>
      <w:r>
        <w:rPr>
          <w:rFonts w:hint="eastAsia" w:ascii="宋体" w:hAnsi="宋体" w:cs="宋体"/>
          <w:b/>
          <w:bCs/>
          <w:color w:val="auto"/>
          <w:sz w:val="24"/>
          <w:szCs w:val="24"/>
          <w:highlight w:val="none"/>
        </w:rPr>
        <w:t>（2）本项目以合同包为单位，对于每个合同包，投标人必须完整地提供合同包要求的所有货物和服务，否则该投标人针对该合同包的投标将按照无效投标处理。</w:t>
      </w:r>
    </w:p>
    <w:p w14:paraId="79507315">
      <w:pPr>
        <w:pStyle w:val="9"/>
        <w:spacing w:after="0" w:line="360" w:lineRule="auto"/>
        <w:ind w:left="0" w:right="-334" w:rightChars="-159"/>
        <w:rPr>
          <w:rFonts w:ascii="宋体" w:hAnsi="宋体" w:cs="宋体"/>
          <w:b/>
          <w:bCs/>
          <w:color w:val="auto"/>
          <w:sz w:val="24"/>
          <w:szCs w:val="24"/>
          <w:highlight w:val="none"/>
        </w:rPr>
      </w:pPr>
      <w:r>
        <w:rPr>
          <w:rFonts w:hint="eastAsia" w:ascii="宋体" w:hAnsi="宋体" w:cs="宋体"/>
          <w:b/>
          <w:bCs/>
          <w:color w:val="auto"/>
          <w:sz w:val="24"/>
          <w:szCs w:val="24"/>
          <w:highlight w:val="none"/>
        </w:rPr>
        <w:t>（3）若招标文件第三章所述内容与其它部分的条款发生理解冲突，则以第三章所述内容为准；如招标文件发生变更，则相关条款的解释以更改通知为准。</w:t>
      </w:r>
    </w:p>
    <w:p w14:paraId="2988850C">
      <w:pPr>
        <w:pStyle w:val="9"/>
        <w:spacing w:after="0" w:line="360" w:lineRule="auto"/>
        <w:ind w:left="0"/>
        <w:rPr>
          <w:rFonts w:ascii="宋体" w:hAnsi="宋体" w:cs="宋体"/>
          <w:b/>
          <w:bCs/>
          <w:color w:val="auto"/>
          <w:sz w:val="24"/>
          <w:szCs w:val="24"/>
          <w:highlight w:val="none"/>
        </w:rPr>
      </w:pPr>
      <w:r>
        <w:rPr>
          <w:rFonts w:hint="eastAsia" w:ascii="宋体" w:hAnsi="宋体" w:cs="宋体"/>
          <w:b/>
          <w:bCs/>
          <w:color w:val="auto"/>
          <w:sz w:val="24"/>
          <w:szCs w:val="24"/>
          <w:highlight w:val="none"/>
        </w:rPr>
        <w:t>（4）经评标委员会认定要求澄清的证明文件必须在规定的时间内提供，否则其将不具有中标供应商的资格。</w:t>
      </w:r>
    </w:p>
    <w:p w14:paraId="569CAA42">
      <w:pPr>
        <w:pStyle w:val="9"/>
        <w:spacing w:after="0" w:line="360" w:lineRule="auto"/>
        <w:ind w:left="0"/>
        <w:rPr>
          <w:rFonts w:ascii="宋体" w:hAnsi="宋体" w:cs="宋体"/>
          <w:b/>
          <w:bCs/>
          <w:color w:val="auto"/>
          <w:sz w:val="24"/>
          <w:szCs w:val="24"/>
          <w:highlight w:val="none"/>
        </w:rPr>
      </w:pPr>
      <w:r>
        <w:rPr>
          <w:rFonts w:hint="eastAsia" w:ascii="宋体" w:hAnsi="宋体" w:cs="宋体"/>
          <w:b/>
          <w:bCs/>
          <w:color w:val="auto"/>
          <w:sz w:val="24"/>
          <w:szCs w:val="24"/>
          <w:highlight w:val="none"/>
        </w:rPr>
        <w:t>（5）本项目实行网上发售招标文件的方式，招标文件的正式文本以厦门招投标网上下载的内容为准。</w:t>
      </w:r>
    </w:p>
    <w:p w14:paraId="6B736B0E">
      <w:pPr>
        <w:spacing w:line="360" w:lineRule="auto"/>
        <w:rPr>
          <w:rFonts w:ascii="宋体" w:hAnsi="宋体" w:cs="宋体"/>
          <w:b/>
          <w:bCs/>
          <w:color w:val="auto"/>
          <w:sz w:val="24"/>
          <w:szCs w:val="24"/>
          <w:highlight w:val="none"/>
        </w:rPr>
      </w:pPr>
      <w:r>
        <w:rPr>
          <w:rFonts w:hint="eastAsia" w:ascii="宋体" w:hAnsi="宋体" w:cs="宋体"/>
          <w:b/>
          <w:bCs/>
          <w:color w:val="auto"/>
          <w:sz w:val="24"/>
          <w:szCs w:val="24"/>
          <w:highlight w:val="none"/>
        </w:rPr>
        <w:t>（6）资格性证明文件请单独成册。</w:t>
      </w:r>
    </w:p>
    <w:p w14:paraId="40B877B4">
      <w:pPr>
        <w:tabs>
          <w:tab w:val="left" w:pos="5130"/>
        </w:tabs>
        <w:spacing w:line="360" w:lineRule="auto"/>
        <w:ind w:firstLine="480" w:firstLineChars="200"/>
        <w:rPr>
          <w:rFonts w:ascii="宋体" w:hAnsi="宋体" w:cs="宋体"/>
          <w:color w:val="auto"/>
          <w:sz w:val="24"/>
          <w:szCs w:val="24"/>
          <w:highlight w:val="none"/>
        </w:rPr>
      </w:pPr>
    </w:p>
    <w:p w14:paraId="3BD7674D">
      <w:pPr>
        <w:tabs>
          <w:tab w:val="left" w:pos="5130"/>
        </w:tabs>
        <w:spacing w:line="360" w:lineRule="auto"/>
        <w:ind w:firstLine="480" w:firstLineChars="200"/>
        <w:rPr>
          <w:rFonts w:ascii="宋体" w:hAnsi="宋体" w:cs="宋体"/>
          <w:color w:val="auto"/>
          <w:sz w:val="24"/>
          <w:szCs w:val="24"/>
          <w:highlight w:val="none"/>
        </w:rPr>
      </w:pPr>
    </w:p>
    <w:p w14:paraId="26C25F91">
      <w:pPr>
        <w:tabs>
          <w:tab w:val="left" w:pos="5130"/>
        </w:tabs>
        <w:spacing w:line="360" w:lineRule="auto"/>
        <w:ind w:firstLine="480" w:firstLineChars="200"/>
        <w:rPr>
          <w:rFonts w:ascii="宋体" w:hAnsi="宋体" w:cs="宋体"/>
          <w:color w:val="auto"/>
          <w:sz w:val="24"/>
          <w:szCs w:val="24"/>
          <w:highlight w:val="none"/>
        </w:rPr>
      </w:pPr>
    </w:p>
    <w:p w14:paraId="4329E772">
      <w:pPr>
        <w:tabs>
          <w:tab w:val="left" w:pos="5130"/>
        </w:tabs>
        <w:spacing w:line="360" w:lineRule="auto"/>
        <w:ind w:firstLine="480" w:firstLineChars="200"/>
        <w:rPr>
          <w:rFonts w:ascii="宋体" w:hAnsi="宋体" w:cs="宋体"/>
          <w:color w:val="auto"/>
          <w:sz w:val="24"/>
          <w:szCs w:val="24"/>
          <w:highlight w:val="none"/>
        </w:rPr>
      </w:pPr>
    </w:p>
    <w:p w14:paraId="296B899A">
      <w:pPr>
        <w:tabs>
          <w:tab w:val="left" w:pos="5130"/>
        </w:tabs>
        <w:spacing w:line="360" w:lineRule="auto"/>
        <w:ind w:firstLine="480" w:firstLineChars="200"/>
        <w:rPr>
          <w:rFonts w:ascii="宋体" w:hAnsi="宋体" w:cs="宋体"/>
          <w:color w:val="auto"/>
          <w:sz w:val="24"/>
          <w:szCs w:val="24"/>
          <w:highlight w:val="none"/>
        </w:rPr>
      </w:pPr>
    </w:p>
    <w:p w14:paraId="6C3A2601">
      <w:pPr>
        <w:tabs>
          <w:tab w:val="left" w:pos="5130"/>
        </w:tabs>
        <w:spacing w:line="360" w:lineRule="auto"/>
        <w:ind w:firstLine="480" w:firstLineChars="200"/>
        <w:rPr>
          <w:rFonts w:ascii="宋体" w:hAnsi="宋体" w:cs="宋体"/>
          <w:color w:val="auto"/>
          <w:sz w:val="24"/>
          <w:szCs w:val="24"/>
          <w:highlight w:val="none"/>
        </w:rPr>
      </w:pPr>
    </w:p>
    <w:p w14:paraId="7B71855F">
      <w:pPr>
        <w:tabs>
          <w:tab w:val="left" w:pos="5130"/>
        </w:tabs>
        <w:spacing w:line="360" w:lineRule="auto"/>
        <w:ind w:firstLine="480" w:firstLineChars="200"/>
        <w:rPr>
          <w:rFonts w:ascii="宋体" w:hAnsi="宋体" w:cs="宋体"/>
          <w:color w:val="auto"/>
          <w:sz w:val="24"/>
          <w:szCs w:val="24"/>
          <w:highlight w:val="none"/>
        </w:rPr>
      </w:pPr>
    </w:p>
    <w:p w14:paraId="60814B65">
      <w:pPr>
        <w:tabs>
          <w:tab w:val="left" w:pos="5130"/>
        </w:tabs>
        <w:spacing w:line="360" w:lineRule="auto"/>
        <w:ind w:firstLine="480" w:firstLineChars="200"/>
        <w:rPr>
          <w:rFonts w:ascii="宋体" w:hAnsi="宋体" w:cs="宋体"/>
          <w:color w:val="auto"/>
          <w:sz w:val="24"/>
          <w:szCs w:val="24"/>
          <w:highlight w:val="none"/>
        </w:rPr>
      </w:pPr>
    </w:p>
    <w:p w14:paraId="57DAC416">
      <w:pPr>
        <w:tabs>
          <w:tab w:val="left" w:pos="5130"/>
        </w:tabs>
        <w:spacing w:line="360" w:lineRule="auto"/>
        <w:ind w:firstLine="480" w:firstLineChars="200"/>
        <w:rPr>
          <w:rFonts w:ascii="宋体" w:hAnsi="宋体" w:cs="宋体"/>
          <w:color w:val="auto"/>
          <w:sz w:val="24"/>
          <w:szCs w:val="24"/>
          <w:highlight w:val="none"/>
        </w:rPr>
      </w:pPr>
    </w:p>
    <w:p w14:paraId="1E256696">
      <w:pPr>
        <w:tabs>
          <w:tab w:val="left" w:pos="5130"/>
        </w:tabs>
        <w:spacing w:line="360" w:lineRule="auto"/>
        <w:ind w:firstLine="480" w:firstLineChars="200"/>
        <w:rPr>
          <w:rFonts w:ascii="宋体" w:hAnsi="宋体" w:cs="宋体"/>
          <w:color w:val="auto"/>
          <w:sz w:val="24"/>
          <w:szCs w:val="24"/>
          <w:highlight w:val="none"/>
        </w:rPr>
      </w:pPr>
    </w:p>
    <w:p w14:paraId="4D7891B4">
      <w:pPr>
        <w:tabs>
          <w:tab w:val="left" w:pos="5130"/>
        </w:tabs>
        <w:spacing w:line="360" w:lineRule="auto"/>
        <w:ind w:firstLine="480" w:firstLineChars="200"/>
        <w:rPr>
          <w:rFonts w:ascii="宋体" w:hAnsi="宋体" w:cs="宋体"/>
          <w:color w:val="auto"/>
          <w:sz w:val="24"/>
          <w:szCs w:val="24"/>
          <w:highlight w:val="none"/>
        </w:rPr>
      </w:pPr>
    </w:p>
    <w:p w14:paraId="449015A6">
      <w:pPr>
        <w:tabs>
          <w:tab w:val="left" w:pos="5130"/>
        </w:tabs>
        <w:spacing w:line="360" w:lineRule="auto"/>
        <w:ind w:firstLine="480" w:firstLineChars="200"/>
        <w:rPr>
          <w:rFonts w:ascii="宋体" w:hAnsi="宋体" w:cs="宋体"/>
          <w:color w:val="auto"/>
          <w:sz w:val="24"/>
          <w:szCs w:val="24"/>
          <w:highlight w:val="none"/>
        </w:rPr>
      </w:pPr>
    </w:p>
    <w:p w14:paraId="5366FE90">
      <w:pPr>
        <w:tabs>
          <w:tab w:val="left" w:pos="5130"/>
        </w:tabs>
        <w:spacing w:line="360" w:lineRule="auto"/>
        <w:ind w:firstLine="480" w:firstLineChars="200"/>
        <w:rPr>
          <w:rFonts w:ascii="宋体" w:hAnsi="宋体" w:cs="宋体"/>
          <w:color w:val="auto"/>
          <w:sz w:val="24"/>
          <w:szCs w:val="24"/>
          <w:highlight w:val="none"/>
        </w:rPr>
      </w:pPr>
    </w:p>
    <w:p w14:paraId="5ABE67DA">
      <w:pPr>
        <w:tabs>
          <w:tab w:val="left" w:pos="5130"/>
        </w:tabs>
        <w:spacing w:line="360" w:lineRule="auto"/>
        <w:ind w:firstLine="480" w:firstLineChars="200"/>
        <w:rPr>
          <w:rFonts w:ascii="宋体" w:hAnsi="宋体" w:cs="宋体"/>
          <w:color w:val="auto"/>
          <w:sz w:val="24"/>
          <w:szCs w:val="24"/>
          <w:highlight w:val="none"/>
        </w:rPr>
      </w:pPr>
    </w:p>
    <w:p w14:paraId="706D6812">
      <w:pPr>
        <w:tabs>
          <w:tab w:val="left" w:pos="5130"/>
        </w:tabs>
        <w:spacing w:line="360" w:lineRule="auto"/>
        <w:ind w:firstLine="480" w:firstLineChars="200"/>
        <w:rPr>
          <w:rFonts w:ascii="宋体" w:hAnsi="宋体" w:cs="宋体"/>
          <w:color w:val="auto"/>
          <w:sz w:val="24"/>
          <w:szCs w:val="24"/>
          <w:highlight w:val="none"/>
        </w:rPr>
      </w:pPr>
    </w:p>
    <w:p w14:paraId="309875BC">
      <w:pPr>
        <w:tabs>
          <w:tab w:val="left" w:pos="5130"/>
        </w:tabs>
        <w:spacing w:line="360" w:lineRule="auto"/>
        <w:ind w:firstLine="480" w:firstLineChars="200"/>
        <w:rPr>
          <w:rFonts w:ascii="宋体" w:hAnsi="宋体" w:cs="宋体"/>
          <w:color w:val="auto"/>
          <w:sz w:val="24"/>
          <w:szCs w:val="24"/>
          <w:highlight w:val="none"/>
        </w:rPr>
      </w:pPr>
    </w:p>
    <w:p w14:paraId="4BEC78CC">
      <w:pPr>
        <w:tabs>
          <w:tab w:val="left" w:pos="5130"/>
        </w:tabs>
        <w:spacing w:line="360" w:lineRule="auto"/>
        <w:ind w:firstLine="480" w:firstLineChars="200"/>
        <w:rPr>
          <w:rFonts w:ascii="宋体" w:hAnsi="宋体" w:cs="宋体"/>
          <w:color w:val="auto"/>
          <w:sz w:val="24"/>
          <w:szCs w:val="24"/>
          <w:highlight w:val="none"/>
        </w:rPr>
      </w:pPr>
    </w:p>
    <w:p w14:paraId="060366E5">
      <w:pPr>
        <w:tabs>
          <w:tab w:val="left" w:pos="5130"/>
        </w:tabs>
        <w:spacing w:line="360" w:lineRule="auto"/>
        <w:ind w:firstLine="480" w:firstLineChars="200"/>
        <w:rPr>
          <w:rFonts w:ascii="宋体" w:hAnsi="宋体" w:cs="宋体"/>
          <w:color w:val="auto"/>
          <w:sz w:val="24"/>
          <w:szCs w:val="24"/>
          <w:highlight w:val="none"/>
        </w:rPr>
      </w:pPr>
    </w:p>
    <w:p w14:paraId="120B7EC7">
      <w:pPr>
        <w:adjustRightInd w:val="0"/>
        <w:snapToGrid w:val="0"/>
        <w:spacing w:line="360" w:lineRule="auto"/>
        <w:ind w:left="482" w:hanging="482" w:hangingChars="200"/>
        <w:rPr>
          <w:rFonts w:ascii="宋体" w:hAnsi="宋体" w:cs="宋体"/>
          <w:b/>
          <w:color w:val="auto"/>
          <w:sz w:val="24"/>
          <w:szCs w:val="24"/>
          <w:highlight w:val="none"/>
        </w:rPr>
      </w:pPr>
      <w:r>
        <w:rPr>
          <w:rFonts w:hint="eastAsia" w:ascii="宋体" w:hAnsi="宋体" w:cs="宋体"/>
          <w:b/>
          <w:color w:val="auto"/>
          <w:sz w:val="24"/>
          <w:szCs w:val="24"/>
          <w:highlight w:val="none"/>
        </w:rPr>
        <w:t>一、项目概况</w:t>
      </w:r>
    </w:p>
    <w:p w14:paraId="186D4BE2">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集美大学电子海图实验平台建设拟购置设备1批计算机</w:t>
      </w:r>
    </w:p>
    <w:p w14:paraId="04FDA4E0">
      <w:pPr>
        <w:adjustRightInd w:val="0"/>
        <w:snapToGrid w:val="0"/>
        <w:spacing w:line="360" w:lineRule="auto"/>
        <w:ind w:left="482" w:hanging="482" w:hangingChars="200"/>
        <w:rPr>
          <w:rFonts w:ascii="宋体" w:hAnsi="宋体" w:cs="宋体"/>
          <w:b/>
          <w:color w:val="auto"/>
          <w:sz w:val="24"/>
          <w:szCs w:val="24"/>
          <w:highlight w:val="none"/>
        </w:rPr>
      </w:pPr>
      <w:r>
        <w:rPr>
          <w:rFonts w:hint="eastAsia" w:ascii="宋体" w:hAnsi="宋体" w:cs="宋体"/>
          <w:b/>
          <w:color w:val="auto"/>
          <w:sz w:val="24"/>
          <w:szCs w:val="24"/>
          <w:highlight w:val="none"/>
        </w:rPr>
        <w:t>二、采购项目清单</w:t>
      </w:r>
    </w:p>
    <w:tbl>
      <w:tblPr>
        <w:tblStyle w:val="16"/>
        <w:tblW w:w="467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53"/>
        <w:gridCol w:w="1232"/>
        <w:gridCol w:w="3413"/>
        <w:gridCol w:w="874"/>
        <w:gridCol w:w="878"/>
        <w:gridCol w:w="1424"/>
      </w:tblGrid>
      <w:tr w14:paraId="12E7DA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872" w:type="pct"/>
            <w:vAlign w:val="center"/>
          </w:tcPr>
          <w:p w14:paraId="230CC5C3">
            <w:pPr>
              <w:adjustRightInd w:val="0"/>
              <w:snapToGrid w:val="0"/>
              <w:spacing w:beforeLines="25" w:afterLines="25"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合同包号</w:t>
            </w:r>
          </w:p>
        </w:tc>
        <w:tc>
          <w:tcPr>
            <w:tcW w:w="650" w:type="pct"/>
            <w:vAlign w:val="center"/>
          </w:tcPr>
          <w:p w14:paraId="6E9C5AD2">
            <w:pPr>
              <w:adjustRightInd w:val="0"/>
              <w:snapToGrid w:val="0"/>
              <w:spacing w:beforeLines="25" w:afterLines="25"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品目号</w:t>
            </w:r>
          </w:p>
        </w:tc>
        <w:tc>
          <w:tcPr>
            <w:tcW w:w="1800" w:type="pct"/>
            <w:vAlign w:val="center"/>
          </w:tcPr>
          <w:p w14:paraId="75D494E9">
            <w:pPr>
              <w:adjustRightInd w:val="0"/>
              <w:snapToGrid w:val="0"/>
              <w:spacing w:beforeLines="25" w:afterLines="25" w:line="360" w:lineRule="auto"/>
              <w:jc w:val="center"/>
              <w:rPr>
                <w:rFonts w:ascii="宋体" w:hAnsi="宋体" w:cs="宋体"/>
                <w:color w:val="auto"/>
                <w:sz w:val="24"/>
                <w:szCs w:val="24"/>
                <w:highlight w:val="none"/>
              </w:rPr>
            </w:pPr>
            <w:r>
              <w:rPr>
                <w:rFonts w:hint="eastAsia" w:ascii="宋体" w:hAnsi="宋体" w:cs="宋体"/>
                <w:color w:val="auto"/>
                <w:kern w:val="0"/>
                <w:sz w:val="24"/>
                <w:szCs w:val="24"/>
                <w:highlight w:val="none"/>
              </w:rPr>
              <w:t>货物（服务）名称</w:t>
            </w:r>
          </w:p>
        </w:tc>
        <w:tc>
          <w:tcPr>
            <w:tcW w:w="461" w:type="pct"/>
            <w:vAlign w:val="center"/>
          </w:tcPr>
          <w:p w14:paraId="1C3C5802">
            <w:pPr>
              <w:adjustRightInd w:val="0"/>
              <w:snapToGrid w:val="0"/>
              <w:spacing w:beforeLines="25" w:afterLines="25"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数量</w:t>
            </w:r>
          </w:p>
        </w:tc>
        <w:tc>
          <w:tcPr>
            <w:tcW w:w="463" w:type="pct"/>
            <w:vAlign w:val="center"/>
          </w:tcPr>
          <w:p w14:paraId="7A896F94">
            <w:pPr>
              <w:adjustRightInd w:val="0"/>
              <w:snapToGrid w:val="0"/>
              <w:spacing w:beforeLines="25" w:afterLines="25"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单位</w:t>
            </w:r>
          </w:p>
        </w:tc>
        <w:tc>
          <w:tcPr>
            <w:tcW w:w="751" w:type="pct"/>
            <w:vAlign w:val="center"/>
          </w:tcPr>
          <w:p w14:paraId="4910EE5F">
            <w:pPr>
              <w:adjustRightInd w:val="0"/>
              <w:snapToGrid w:val="0"/>
              <w:spacing w:beforeLines="25" w:afterLines="25"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备注</w:t>
            </w:r>
          </w:p>
        </w:tc>
      </w:tr>
      <w:tr w14:paraId="75A13E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72" w:type="pct"/>
            <w:vMerge w:val="restart"/>
            <w:vAlign w:val="center"/>
          </w:tcPr>
          <w:p w14:paraId="7E852870">
            <w:pPr>
              <w:adjustRightInd w:val="0"/>
              <w:snapToGrid w:val="0"/>
              <w:spacing w:beforeLines="25" w:afterLines="25"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w:t>
            </w:r>
          </w:p>
        </w:tc>
        <w:tc>
          <w:tcPr>
            <w:tcW w:w="650" w:type="pct"/>
            <w:vAlign w:val="center"/>
          </w:tcPr>
          <w:p w14:paraId="729CFB17">
            <w:pPr>
              <w:adjustRightInd w:val="0"/>
              <w:snapToGrid w:val="0"/>
              <w:spacing w:beforeLines="25" w:afterLines="25"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1-1</w:t>
            </w:r>
          </w:p>
        </w:tc>
        <w:tc>
          <w:tcPr>
            <w:tcW w:w="2869" w:type="dxa"/>
            <w:vAlign w:val="center"/>
          </w:tcPr>
          <w:p w14:paraId="70197853">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高性能计算机</w:t>
            </w:r>
          </w:p>
          <w:p w14:paraId="76C4D7AF">
            <w:pPr>
              <w:spacing w:line="360" w:lineRule="auto"/>
              <w:ind w:firstLine="452"/>
              <w:rPr>
                <w:rFonts w:ascii="宋体" w:hAnsi="宋体" w:cs="宋体"/>
                <w:color w:val="auto"/>
                <w:sz w:val="24"/>
                <w:szCs w:val="24"/>
                <w:highlight w:val="none"/>
              </w:rPr>
            </w:pPr>
          </w:p>
        </w:tc>
        <w:tc>
          <w:tcPr>
            <w:tcW w:w="735" w:type="dxa"/>
            <w:vAlign w:val="center"/>
          </w:tcPr>
          <w:p w14:paraId="713C8533">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80</w:t>
            </w:r>
          </w:p>
        </w:tc>
        <w:tc>
          <w:tcPr>
            <w:tcW w:w="463" w:type="pct"/>
            <w:vAlign w:val="center"/>
          </w:tcPr>
          <w:p w14:paraId="5E2D9BCF">
            <w:pPr>
              <w:adjustRightInd w:val="0"/>
              <w:snapToGrid w:val="0"/>
              <w:spacing w:beforeLines="25" w:afterLines="25" w:line="360" w:lineRule="auto"/>
              <w:jc w:val="center"/>
              <w:rPr>
                <w:rFonts w:ascii="宋体" w:hAnsi="宋体" w:cs="宋体"/>
                <w:bCs/>
                <w:color w:val="auto"/>
                <w:kern w:val="0"/>
                <w:sz w:val="24"/>
                <w:szCs w:val="24"/>
                <w:highlight w:val="none"/>
              </w:rPr>
            </w:pPr>
            <w:r>
              <w:rPr>
                <w:rFonts w:hint="eastAsia" w:ascii="宋体" w:hAnsi="宋体" w:cs="宋体"/>
                <w:bCs/>
                <w:color w:val="auto"/>
                <w:kern w:val="0"/>
                <w:sz w:val="24"/>
                <w:szCs w:val="24"/>
                <w:highlight w:val="none"/>
              </w:rPr>
              <w:t>台</w:t>
            </w:r>
          </w:p>
        </w:tc>
        <w:tc>
          <w:tcPr>
            <w:tcW w:w="751" w:type="pct"/>
            <w:vAlign w:val="center"/>
          </w:tcPr>
          <w:p w14:paraId="511A62E0">
            <w:pPr>
              <w:adjustRightInd w:val="0"/>
              <w:snapToGrid w:val="0"/>
              <w:spacing w:beforeLines="25" w:afterLines="25" w:line="360" w:lineRule="auto"/>
              <w:jc w:val="center"/>
              <w:rPr>
                <w:rFonts w:ascii="宋体" w:hAnsi="宋体" w:cs="宋体"/>
                <w:color w:val="auto"/>
                <w:sz w:val="24"/>
                <w:szCs w:val="24"/>
                <w:highlight w:val="none"/>
              </w:rPr>
            </w:pPr>
            <w:r>
              <w:rPr>
                <w:rFonts w:hint="eastAsia" w:ascii="宋体" w:hAnsi="宋体" w:cs="宋体"/>
                <w:b/>
                <w:bCs/>
                <w:color w:val="auto"/>
                <w:sz w:val="24"/>
                <w:szCs w:val="24"/>
                <w:highlight w:val="none"/>
              </w:rPr>
              <w:t>核心产品</w:t>
            </w:r>
          </w:p>
        </w:tc>
      </w:tr>
      <w:tr w14:paraId="7AA76F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72" w:type="pct"/>
            <w:vMerge w:val="continue"/>
            <w:vAlign w:val="center"/>
          </w:tcPr>
          <w:p w14:paraId="35C7D9F8">
            <w:pPr>
              <w:adjustRightInd w:val="0"/>
              <w:snapToGrid w:val="0"/>
              <w:spacing w:beforeLines="25" w:afterLines="25" w:line="360" w:lineRule="auto"/>
              <w:jc w:val="center"/>
              <w:rPr>
                <w:rFonts w:ascii="宋体" w:hAnsi="宋体" w:cs="宋体"/>
                <w:color w:val="auto"/>
                <w:sz w:val="24"/>
                <w:szCs w:val="24"/>
                <w:highlight w:val="none"/>
              </w:rPr>
            </w:pPr>
          </w:p>
        </w:tc>
        <w:tc>
          <w:tcPr>
            <w:tcW w:w="650" w:type="pct"/>
            <w:vAlign w:val="center"/>
          </w:tcPr>
          <w:p w14:paraId="08FC43CB">
            <w:pPr>
              <w:adjustRightInd w:val="0"/>
              <w:snapToGrid w:val="0"/>
              <w:spacing w:beforeLines="25" w:afterLines="25"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1-2</w:t>
            </w:r>
          </w:p>
        </w:tc>
        <w:tc>
          <w:tcPr>
            <w:tcW w:w="2869" w:type="dxa"/>
            <w:vAlign w:val="center"/>
          </w:tcPr>
          <w:p w14:paraId="284185E9">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图形工作站1</w:t>
            </w:r>
          </w:p>
          <w:p w14:paraId="54414F8D">
            <w:pPr>
              <w:spacing w:line="360" w:lineRule="auto"/>
              <w:ind w:firstLine="452"/>
              <w:rPr>
                <w:rFonts w:ascii="宋体" w:hAnsi="宋体" w:cs="宋体"/>
                <w:color w:val="auto"/>
                <w:sz w:val="24"/>
                <w:szCs w:val="24"/>
                <w:highlight w:val="none"/>
              </w:rPr>
            </w:pPr>
          </w:p>
        </w:tc>
        <w:tc>
          <w:tcPr>
            <w:tcW w:w="735" w:type="dxa"/>
            <w:vAlign w:val="center"/>
          </w:tcPr>
          <w:p w14:paraId="1A2AE8E5">
            <w:pPr>
              <w:spacing w:line="360" w:lineRule="auto"/>
              <w:rPr>
                <w:rFonts w:ascii="宋体" w:hAnsi="宋体" w:cs="宋体"/>
                <w:bCs/>
                <w:color w:val="auto"/>
                <w:kern w:val="0"/>
                <w:sz w:val="24"/>
                <w:szCs w:val="24"/>
                <w:highlight w:val="none"/>
              </w:rPr>
            </w:pPr>
            <w:r>
              <w:rPr>
                <w:rFonts w:hint="eastAsia" w:ascii="宋体" w:hAnsi="宋体" w:cs="宋体"/>
                <w:color w:val="auto"/>
                <w:sz w:val="24"/>
                <w:szCs w:val="24"/>
                <w:highlight w:val="none"/>
              </w:rPr>
              <w:t>9</w:t>
            </w:r>
          </w:p>
        </w:tc>
        <w:tc>
          <w:tcPr>
            <w:tcW w:w="738" w:type="dxa"/>
            <w:vAlign w:val="center"/>
          </w:tcPr>
          <w:p w14:paraId="1678AE22">
            <w:pPr>
              <w:adjustRightInd w:val="0"/>
              <w:snapToGrid w:val="0"/>
              <w:spacing w:beforeLines="25" w:afterLines="25" w:line="360" w:lineRule="auto"/>
              <w:jc w:val="center"/>
              <w:rPr>
                <w:rFonts w:ascii="宋体" w:hAnsi="宋体" w:cs="宋体"/>
                <w:bCs/>
                <w:color w:val="auto"/>
                <w:kern w:val="0"/>
                <w:sz w:val="24"/>
                <w:szCs w:val="24"/>
                <w:highlight w:val="none"/>
              </w:rPr>
            </w:pPr>
            <w:r>
              <w:rPr>
                <w:rFonts w:hint="eastAsia" w:ascii="宋体" w:hAnsi="宋体" w:cs="宋体"/>
                <w:bCs/>
                <w:color w:val="auto"/>
                <w:kern w:val="0"/>
                <w:sz w:val="24"/>
                <w:szCs w:val="24"/>
                <w:highlight w:val="none"/>
              </w:rPr>
              <w:t>台</w:t>
            </w:r>
          </w:p>
        </w:tc>
        <w:tc>
          <w:tcPr>
            <w:tcW w:w="1197" w:type="dxa"/>
            <w:vAlign w:val="center"/>
          </w:tcPr>
          <w:p w14:paraId="235A4A83">
            <w:pPr>
              <w:adjustRightInd w:val="0"/>
              <w:snapToGrid w:val="0"/>
              <w:spacing w:beforeLines="25" w:afterLines="25"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w:t>
            </w:r>
          </w:p>
        </w:tc>
      </w:tr>
      <w:tr w14:paraId="05C20D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72" w:type="pct"/>
            <w:vMerge w:val="continue"/>
            <w:vAlign w:val="center"/>
          </w:tcPr>
          <w:p w14:paraId="35B89EA4">
            <w:pPr>
              <w:adjustRightInd w:val="0"/>
              <w:snapToGrid w:val="0"/>
              <w:spacing w:beforeLines="25" w:afterLines="25" w:line="360" w:lineRule="auto"/>
              <w:jc w:val="center"/>
              <w:rPr>
                <w:rFonts w:ascii="宋体" w:hAnsi="宋体" w:cs="宋体"/>
                <w:color w:val="auto"/>
                <w:sz w:val="24"/>
                <w:szCs w:val="24"/>
                <w:highlight w:val="none"/>
              </w:rPr>
            </w:pPr>
          </w:p>
        </w:tc>
        <w:tc>
          <w:tcPr>
            <w:tcW w:w="650" w:type="pct"/>
            <w:vAlign w:val="center"/>
          </w:tcPr>
          <w:p w14:paraId="71BD57B9">
            <w:pPr>
              <w:adjustRightInd w:val="0"/>
              <w:snapToGrid w:val="0"/>
              <w:spacing w:beforeLines="25" w:afterLines="25"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1-3</w:t>
            </w:r>
          </w:p>
        </w:tc>
        <w:tc>
          <w:tcPr>
            <w:tcW w:w="2869" w:type="dxa"/>
            <w:vAlign w:val="center"/>
          </w:tcPr>
          <w:p w14:paraId="5B4F84E0">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图形工作站2</w:t>
            </w:r>
          </w:p>
          <w:p w14:paraId="08889DD0">
            <w:pPr>
              <w:spacing w:line="360" w:lineRule="auto"/>
              <w:ind w:firstLine="452"/>
              <w:rPr>
                <w:rFonts w:ascii="宋体" w:hAnsi="宋体" w:cs="宋体"/>
                <w:color w:val="auto"/>
                <w:sz w:val="24"/>
                <w:szCs w:val="24"/>
                <w:highlight w:val="none"/>
              </w:rPr>
            </w:pPr>
          </w:p>
        </w:tc>
        <w:tc>
          <w:tcPr>
            <w:tcW w:w="735" w:type="dxa"/>
            <w:vAlign w:val="center"/>
          </w:tcPr>
          <w:p w14:paraId="263B49D0">
            <w:pPr>
              <w:spacing w:line="360" w:lineRule="auto"/>
              <w:rPr>
                <w:rFonts w:ascii="宋体" w:hAnsi="宋体" w:cs="宋体"/>
                <w:bCs/>
                <w:color w:val="auto"/>
                <w:kern w:val="0"/>
                <w:sz w:val="24"/>
                <w:szCs w:val="24"/>
                <w:highlight w:val="none"/>
              </w:rPr>
            </w:pPr>
            <w:r>
              <w:rPr>
                <w:rFonts w:hint="eastAsia" w:ascii="宋体" w:hAnsi="宋体" w:cs="宋体"/>
                <w:color w:val="auto"/>
                <w:sz w:val="24"/>
                <w:szCs w:val="24"/>
                <w:highlight w:val="none"/>
              </w:rPr>
              <w:t>9</w:t>
            </w:r>
          </w:p>
        </w:tc>
        <w:tc>
          <w:tcPr>
            <w:tcW w:w="738" w:type="dxa"/>
            <w:vAlign w:val="center"/>
          </w:tcPr>
          <w:p w14:paraId="44AD634A">
            <w:pPr>
              <w:adjustRightInd w:val="0"/>
              <w:snapToGrid w:val="0"/>
              <w:spacing w:beforeLines="25" w:afterLines="25" w:line="360" w:lineRule="auto"/>
              <w:jc w:val="center"/>
              <w:rPr>
                <w:rFonts w:ascii="宋体" w:hAnsi="宋体" w:cs="宋体"/>
                <w:bCs/>
                <w:color w:val="auto"/>
                <w:kern w:val="0"/>
                <w:sz w:val="24"/>
                <w:szCs w:val="24"/>
                <w:highlight w:val="none"/>
              </w:rPr>
            </w:pPr>
            <w:r>
              <w:rPr>
                <w:rFonts w:hint="eastAsia" w:ascii="宋体" w:hAnsi="宋体" w:cs="宋体"/>
                <w:bCs/>
                <w:color w:val="auto"/>
                <w:kern w:val="0"/>
                <w:sz w:val="24"/>
                <w:szCs w:val="24"/>
                <w:highlight w:val="none"/>
              </w:rPr>
              <w:t>台</w:t>
            </w:r>
          </w:p>
        </w:tc>
        <w:tc>
          <w:tcPr>
            <w:tcW w:w="1197" w:type="dxa"/>
            <w:vAlign w:val="center"/>
          </w:tcPr>
          <w:p w14:paraId="3DB0BDD4">
            <w:pPr>
              <w:adjustRightInd w:val="0"/>
              <w:snapToGrid w:val="0"/>
              <w:spacing w:beforeLines="25" w:afterLines="25"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w:t>
            </w:r>
          </w:p>
        </w:tc>
      </w:tr>
      <w:tr w14:paraId="3AB0C9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72" w:type="pct"/>
            <w:vMerge w:val="continue"/>
            <w:vAlign w:val="center"/>
          </w:tcPr>
          <w:p w14:paraId="4DECD7FD">
            <w:pPr>
              <w:adjustRightInd w:val="0"/>
              <w:snapToGrid w:val="0"/>
              <w:spacing w:beforeLines="25" w:afterLines="25" w:line="360" w:lineRule="auto"/>
              <w:jc w:val="center"/>
              <w:rPr>
                <w:rFonts w:ascii="宋体" w:hAnsi="宋体" w:cs="宋体"/>
                <w:color w:val="auto"/>
                <w:sz w:val="24"/>
                <w:szCs w:val="24"/>
                <w:highlight w:val="none"/>
              </w:rPr>
            </w:pPr>
          </w:p>
        </w:tc>
        <w:tc>
          <w:tcPr>
            <w:tcW w:w="650" w:type="pct"/>
            <w:vAlign w:val="center"/>
          </w:tcPr>
          <w:p w14:paraId="2E4BF7FB">
            <w:pPr>
              <w:adjustRightInd w:val="0"/>
              <w:snapToGrid w:val="0"/>
              <w:spacing w:beforeLines="25" w:afterLines="25"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1-4</w:t>
            </w:r>
          </w:p>
        </w:tc>
        <w:tc>
          <w:tcPr>
            <w:tcW w:w="2869" w:type="dxa"/>
            <w:vAlign w:val="center"/>
          </w:tcPr>
          <w:p w14:paraId="6D64DB9C">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图形工作站3</w:t>
            </w:r>
          </w:p>
          <w:p w14:paraId="54714A56">
            <w:pPr>
              <w:spacing w:line="360" w:lineRule="auto"/>
              <w:ind w:firstLine="452"/>
              <w:rPr>
                <w:rFonts w:ascii="宋体" w:hAnsi="宋体" w:cs="宋体"/>
                <w:color w:val="auto"/>
                <w:sz w:val="24"/>
                <w:szCs w:val="24"/>
                <w:highlight w:val="none"/>
              </w:rPr>
            </w:pPr>
          </w:p>
        </w:tc>
        <w:tc>
          <w:tcPr>
            <w:tcW w:w="735" w:type="dxa"/>
            <w:vAlign w:val="center"/>
          </w:tcPr>
          <w:p w14:paraId="5AFE05D4">
            <w:pPr>
              <w:spacing w:line="360" w:lineRule="auto"/>
              <w:rPr>
                <w:rFonts w:ascii="宋体" w:hAnsi="宋体" w:cs="宋体"/>
                <w:bCs/>
                <w:color w:val="auto"/>
                <w:kern w:val="0"/>
                <w:sz w:val="24"/>
                <w:szCs w:val="24"/>
                <w:highlight w:val="none"/>
              </w:rPr>
            </w:pPr>
            <w:r>
              <w:rPr>
                <w:rFonts w:hint="eastAsia" w:ascii="宋体" w:hAnsi="宋体" w:cs="宋体"/>
                <w:color w:val="auto"/>
                <w:sz w:val="24"/>
                <w:szCs w:val="24"/>
                <w:highlight w:val="none"/>
              </w:rPr>
              <w:t>96</w:t>
            </w:r>
          </w:p>
        </w:tc>
        <w:tc>
          <w:tcPr>
            <w:tcW w:w="738" w:type="dxa"/>
            <w:vAlign w:val="center"/>
          </w:tcPr>
          <w:p w14:paraId="2FA77C32">
            <w:pPr>
              <w:adjustRightInd w:val="0"/>
              <w:snapToGrid w:val="0"/>
              <w:spacing w:beforeLines="25" w:afterLines="25" w:line="360" w:lineRule="auto"/>
              <w:jc w:val="center"/>
              <w:rPr>
                <w:rFonts w:ascii="宋体" w:hAnsi="宋体" w:cs="宋体"/>
                <w:bCs/>
                <w:color w:val="auto"/>
                <w:kern w:val="0"/>
                <w:sz w:val="24"/>
                <w:szCs w:val="24"/>
                <w:highlight w:val="none"/>
              </w:rPr>
            </w:pPr>
            <w:r>
              <w:rPr>
                <w:rFonts w:hint="eastAsia" w:ascii="宋体" w:hAnsi="宋体" w:cs="宋体"/>
                <w:bCs/>
                <w:color w:val="auto"/>
                <w:kern w:val="0"/>
                <w:sz w:val="24"/>
                <w:szCs w:val="24"/>
                <w:highlight w:val="none"/>
              </w:rPr>
              <w:t>台</w:t>
            </w:r>
          </w:p>
        </w:tc>
        <w:tc>
          <w:tcPr>
            <w:tcW w:w="1197" w:type="dxa"/>
            <w:vAlign w:val="center"/>
          </w:tcPr>
          <w:p w14:paraId="2C2C5E66">
            <w:pPr>
              <w:adjustRightInd w:val="0"/>
              <w:snapToGrid w:val="0"/>
              <w:spacing w:beforeLines="25" w:afterLines="25"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w:t>
            </w:r>
          </w:p>
        </w:tc>
      </w:tr>
      <w:tr w14:paraId="4ED6CA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72" w:type="pct"/>
            <w:vMerge w:val="continue"/>
            <w:vAlign w:val="center"/>
          </w:tcPr>
          <w:p w14:paraId="7FF7EC71">
            <w:pPr>
              <w:adjustRightInd w:val="0"/>
              <w:snapToGrid w:val="0"/>
              <w:spacing w:beforeLines="25" w:afterLines="25" w:line="360" w:lineRule="auto"/>
              <w:jc w:val="center"/>
              <w:rPr>
                <w:rFonts w:ascii="宋体" w:hAnsi="宋体" w:cs="宋体"/>
                <w:color w:val="auto"/>
                <w:sz w:val="24"/>
                <w:szCs w:val="24"/>
                <w:highlight w:val="none"/>
              </w:rPr>
            </w:pPr>
          </w:p>
        </w:tc>
        <w:tc>
          <w:tcPr>
            <w:tcW w:w="650" w:type="pct"/>
            <w:vAlign w:val="center"/>
          </w:tcPr>
          <w:p w14:paraId="18B71714">
            <w:pPr>
              <w:adjustRightInd w:val="0"/>
              <w:snapToGrid w:val="0"/>
              <w:spacing w:beforeLines="25" w:afterLines="25"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1-5</w:t>
            </w:r>
          </w:p>
        </w:tc>
        <w:tc>
          <w:tcPr>
            <w:tcW w:w="2869" w:type="dxa"/>
            <w:vAlign w:val="center"/>
          </w:tcPr>
          <w:p w14:paraId="760211C0">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图形工作站4</w:t>
            </w:r>
          </w:p>
          <w:p w14:paraId="6CDD352A">
            <w:pPr>
              <w:spacing w:line="360" w:lineRule="auto"/>
              <w:ind w:firstLine="452"/>
              <w:rPr>
                <w:rFonts w:ascii="宋体" w:hAnsi="宋体" w:cs="宋体"/>
                <w:color w:val="auto"/>
                <w:sz w:val="24"/>
                <w:szCs w:val="24"/>
                <w:highlight w:val="none"/>
              </w:rPr>
            </w:pPr>
          </w:p>
        </w:tc>
        <w:tc>
          <w:tcPr>
            <w:tcW w:w="735" w:type="dxa"/>
            <w:vAlign w:val="center"/>
          </w:tcPr>
          <w:p w14:paraId="423236AC">
            <w:pPr>
              <w:spacing w:line="360" w:lineRule="auto"/>
              <w:rPr>
                <w:rFonts w:ascii="宋体" w:hAnsi="宋体" w:cs="宋体"/>
                <w:bCs/>
                <w:color w:val="auto"/>
                <w:kern w:val="0"/>
                <w:sz w:val="24"/>
                <w:szCs w:val="24"/>
                <w:highlight w:val="none"/>
              </w:rPr>
            </w:pPr>
            <w:r>
              <w:rPr>
                <w:rFonts w:hint="eastAsia" w:ascii="宋体" w:hAnsi="宋体" w:cs="宋体"/>
                <w:color w:val="auto"/>
                <w:sz w:val="24"/>
                <w:szCs w:val="24"/>
                <w:highlight w:val="none"/>
              </w:rPr>
              <w:t>12</w:t>
            </w:r>
          </w:p>
        </w:tc>
        <w:tc>
          <w:tcPr>
            <w:tcW w:w="738" w:type="dxa"/>
            <w:vAlign w:val="center"/>
          </w:tcPr>
          <w:p w14:paraId="74901579">
            <w:pPr>
              <w:adjustRightInd w:val="0"/>
              <w:snapToGrid w:val="0"/>
              <w:spacing w:beforeLines="25" w:afterLines="25" w:line="360" w:lineRule="auto"/>
              <w:jc w:val="center"/>
              <w:rPr>
                <w:rFonts w:ascii="宋体" w:hAnsi="宋体" w:cs="宋体"/>
                <w:bCs/>
                <w:color w:val="auto"/>
                <w:kern w:val="0"/>
                <w:sz w:val="24"/>
                <w:szCs w:val="24"/>
                <w:highlight w:val="none"/>
              </w:rPr>
            </w:pPr>
            <w:r>
              <w:rPr>
                <w:rFonts w:hint="eastAsia" w:ascii="宋体" w:hAnsi="宋体" w:cs="宋体"/>
                <w:bCs/>
                <w:color w:val="auto"/>
                <w:kern w:val="0"/>
                <w:sz w:val="24"/>
                <w:szCs w:val="24"/>
                <w:highlight w:val="none"/>
              </w:rPr>
              <w:t>台</w:t>
            </w:r>
          </w:p>
        </w:tc>
        <w:tc>
          <w:tcPr>
            <w:tcW w:w="1197" w:type="dxa"/>
            <w:vAlign w:val="center"/>
          </w:tcPr>
          <w:p w14:paraId="1FA95A9B">
            <w:pPr>
              <w:adjustRightInd w:val="0"/>
              <w:snapToGrid w:val="0"/>
              <w:spacing w:beforeLines="25" w:afterLines="25"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w:t>
            </w:r>
          </w:p>
        </w:tc>
      </w:tr>
    </w:tbl>
    <w:p w14:paraId="7264DF3F">
      <w:pPr>
        <w:adjustRightInd w:val="0"/>
        <w:snapToGrid w:val="0"/>
        <w:spacing w:line="360" w:lineRule="auto"/>
        <w:rPr>
          <w:rFonts w:ascii="宋体" w:hAnsi="宋体" w:cs="宋体"/>
          <w:color w:val="auto"/>
          <w:sz w:val="24"/>
          <w:szCs w:val="24"/>
          <w:highlight w:val="none"/>
        </w:rPr>
      </w:pPr>
    </w:p>
    <w:p w14:paraId="73D96D53">
      <w:pPr>
        <w:numPr>
          <w:ilvl w:val="0"/>
          <w:numId w:val="3"/>
        </w:numPr>
        <w:adjustRightInd w:val="0"/>
        <w:snapToGrid w:val="0"/>
        <w:spacing w:line="360" w:lineRule="auto"/>
        <w:ind w:left="482" w:hanging="482" w:hangingChars="200"/>
        <w:rPr>
          <w:rFonts w:ascii="宋体" w:hAnsi="宋体" w:cs="宋体"/>
          <w:b/>
          <w:color w:val="auto"/>
          <w:sz w:val="24"/>
          <w:szCs w:val="24"/>
          <w:highlight w:val="none"/>
        </w:rPr>
      </w:pPr>
      <w:r>
        <w:rPr>
          <w:rFonts w:hint="eastAsia" w:ascii="宋体" w:hAnsi="宋体" w:cs="宋体"/>
          <w:b/>
          <w:color w:val="auto"/>
          <w:sz w:val="24"/>
          <w:szCs w:val="24"/>
          <w:highlight w:val="none"/>
        </w:rPr>
        <w:t>技术规格及要求</w:t>
      </w:r>
    </w:p>
    <w:p w14:paraId="12DAC14C">
      <w:pPr>
        <w:adjustRightInd w:val="0"/>
        <w:snapToGrid w:val="0"/>
        <w:ind w:firstLine="297" w:firstLineChars="141"/>
        <w:rPr>
          <w:color w:val="auto"/>
          <w:highlight w:val="none"/>
        </w:rPr>
      </w:pPr>
      <w:r>
        <w:rPr>
          <w:rFonts w:hint="eastAsia"/>
          <w:b/>
          <w:bCs/>
          <w:color w:val="auto"/>
          <w:highlight w:val="none"/>
        </w:rPr>
        <w:t>所投产品应满足以下通用要求</w:t>
      </w:r>
      <w:r>
        <w:rPr>
          <w:rFonts w:hint="eastAsia" w:ascii="仿宋" w:hAnsi="仿宋"/>
          <w:b/>
          <w:color w:val="auto"/>
          <w:szCs w:val="24"/>
          <w:highlight w:val="none"/>
        </w:rPr>
        <w:t>：</w:t>
      </w:r>
    </w:p>
    <w:p w14:paraId="2E87B563">
      <w:pPr>
        <w:numPr>
          <w:ilvl w:val="0"/>
          <w:numId w:val="4"/>
        </w:numPr>
        <w:adjustRightInd w:val="0"/>
        <w:snapToGrid w:val="0"/>
        <w:rPr>
          <w:rFonts w:ascii="仿宋" w:hAnsi="仿宋"/>
          <w:b/>
          <w:color w:val="auto"/>
          <w:szCs w:val="24"/>
          <w:highlight w:val="none"/>
        </w:rPr>
      </w:pPr>
      <w:r>
        <w:rPr>
          <w:rFonts w:hint="eastAsia" w:ascii="仿宋" w:hAnsi="仿宋"/>
          <w:b/>
          <w:color w:val="auto"/>
          <w:szCs w:val="24"/>
          <w:highlight w:val="none"/>
        </w:rPr>
        <w:t>★CPU型号必须为通过中国信息安全测评中心安全可靠测评的型号；整机不接受组装，签订合同前要求提供计算机生产厂家的规格说明文件。提供书面承诺函，格式自拟。</w:t>
      </w:r>
    </w:p>
    <w:p w14:paraId="734E35E4">
      <w:pPr>
        <w:numPr>
          <w:ilvl w:val="0"/>
          <w:numId w:val="4"/>
        </w:numPr>
        <w:adjustRightInd w:val="0"/>
        <w:snapToGrid w:val="0"/>
        <w:rPr>
          <w:rFonts w:ascii="仿宋" w:hAnsi="仿宋"/>
          <w:bCs/>
          <w:color w:val="auto"/>
          <w:szCs w:val="24"/>
          <w:highlight w:val="none"/>
        </w:rPr>
      </w:pPr>
      <w:r>
        <w:rPr>
          <w:rFonts w:hint="eastAsia" w:ascii="仿宋" w:hAnsi="仿宋"/>
          <w:bCs/>
          <w:color w:val="auto"/>
          <w:szCs w:val="24"/>
          <w:highlight w:val="none"/>
        </w:rPr>
        <w:t>支持基于BIOS级的一键备份和恢复的功能（非操作系统自带功能），提供软件著作权证书；</w:t>
      </w:r>
    </w:p>
    <w:p w14:paraId="4372F122">
      <w:pPr>
        <w:numPr>
          <w:ilvl w:val="0"/>
          <w:numId w:val="4"/>
        </w:numPr>
        <w:adjustRightInd w:val="0"/>
        <w:snapToGrid w:val="0"/>
        <w:rPr>
          <w:rFonts w:ascii="仿宋" w:hAnsi="仿宋"/>
          <w:bCs/>
          <w:color w:val="auto"/>
          <w:szCs w:val="24"/>
          <w:highlight w:val="none"/>
        </w:rPr>
      </w:pPr>
      <w:r>
        <w:rPr>
          <w:rFonts w:hint="eastAsia" w:ascii="仿宋" w:hAnsi="仿宋"/>
          <w:bCs/>
          <w:color w:val="auto"/>
          <w:szCs w:val="24"/>
          <w:highlight w:val="none"/>
        </w:rPr>
        <w:t>BIOS级USB屏蔽及智能USB数据保护：USB支持BIOS下全部接口一键开关、前后置USB口分组开关；针对存储设备支持全部USB接口一键切换禁止访问模式/只读模式。</w:t>
      </w:r>
    </w:p>
    <w:p w14:paraId="676BB15B">
      <w:pPr>
        <w:numPr>
          <w:ilvl w:val="0"/>
          <w:numId w:val="4"/>
        </w:numPr>
        <w:adjustRightInd w:val="0"/>
        <w:snapToGrid w:val="0"/>
        <w:rPr>
          <w:rFonts w:ascii="仿宋" w:hAnsi="仿宋"/>
          <w:bCs/>
          <w:color w:val="auto"/>
          <w:szCs w:val="24"/>
          <w:highlight w:val="none"/>
        </w:rPr>
      </w:pPr>
      <w:r>
        <w:rPr>
          <w:rFonts w:hint="eastAsia" w:ascii="仿宋" w:hAnsi="仿宋"/>
          <w:bCs/>
          <w:color w:val="auto"/>
          <w:szCs w:val="24"/>
          <w:highlight w:val="none"/>
        </w:rPr>
        <w:t>静音舒适性：考虑工作环境的静音舒适，要求设备的噪声声功率级≤3.13Bel，噪声声压级≤27.41dB，提供证书证明文件；</w:t>
      </w:r>
    </w:p>
    <w:p w14:paraId="046A361D">
      <w:pPr>
        <w:numPr>
          <w:ilvl w:val="0"/>
          <w:numId w:val="4"/>
        </w:numPr>
        <w:adjustRightInd w:val="0"/>
        <w:snapToGrid w:val="0"/>
        <w:rPr>
          <w:rFonts w:ascii="仿宋" w:hAnsi="仿宋"/>
          <w:bCs/>
          <w:color w:val="auto"/>
          <w:szCs w:val="24"/>
          <w:highlight w:val="none"/>
        </w:rPr>
      </w:pPr>
      <w:r>
        <w:rPr>
          <w:rFonts w:hint="eastAsia" w:ascii="仿宋" w:hAnsi="仿宋"/>
          <w:bCs/>
          <w:color w:val="auto"/>
          <w:szCs w:val="24"/>
          <w:highlight w:val="none"/>
        </w:rPr>
        <w:t>电磁兼容性：考虑设备工作稳定：要求设备通过浪涌（冲击）抗扰度的适应性认证，提供证书证明文件；</w:t>
      </w:r>
    </w:p>
    <w:p w14:paraId="64E3A180">
      <w:pPr>
        <w:numPr>
          <w:ilvl w:val="0"/>
          <w:numId w:val="4"/>
        </w:numPr>
        <w:adjustRightInd w:val="0"/>
        <w:snapToGrid w:val="0"/>
        <w:rPr>
          <w:rFonts w:ascii="仿宋" w:hAnsi="仿宋"/>
          <w:bCs/>
          <w:color w:val="auto"/>
          <w:szCs w:val="24"/>
          <w:highlight w:val="none"/>
        </w:rPr>
      </w:pPr>
      <w:r>
        <w:rPr>
          <w:rFonts w:hint="eastAsia" w:ascii="仿宋" w:hAnsi="仿宋"/>
          <w:bCs/>
          <w:color w:val="auto"/>
          <w:szCs w:val="24"/>
          <w:highlight w:val="none"/>
        </w:rPr>
        <w:t>环境适应性：考虑使用环境差异，要求设备通过温度0~40℃/低气压61.6kPa（4000m）的环境适应性认证，提供证书证明文件；</w:t>
      </w:r>
    </w:p>
    <w:p w14:paraId="6E2671D8">
      <w:pPr>
        <w:numPr>
          <w:ilvl w:val="0"/>
          <w:numId w:val="4"/>
        </w:numPr>
        <w:adjustRightInd w:val="0"/>
        <w:snapToGrid w:val="0"/>
        <w:rPr>
          <w:rFonts w:ascii="仿宋" w:hAnsi="仿宋"/>
          <w:bCs/>
          <w:color w:val="auto"/>
          <w:szCs w:val="24"/>
          <w:highlight w:val="none"/>
        </w:rPr>
      </w:pPr>
      <w:r>
        <w:rPr>
          <w:rFonts w:hint="eastAsia" w:ascii="仿宋" w:hAnsi="仿宋"/>
          <w:bCs/>
          <w:color w:val="auto"/>
          <w:szCs w:val="24"/>
          <w:highlight w:val="none"/>
        </w:rPr>
        <w:t>MTBF≥1000000小时，并提供证书扫描件；</w:t>
      </w:r>
    </w:p>
    <w:p w14:paraId="48151C9D">
      <w:pPr>
        <w:numPr>
          <w:ilvl w:val="0"/>
          <w:numId w:val="4"/>
        </w:numPr>
        <w:adjustRightInd w:val="0"/>
        <w:snapToGrid w:val="0"/>
        <w:rPr>
          <w:rFonts w:ascii="仿宋" w:hAnsi="仿宋"/>
          <w:bCs/>
          <w:color w:val="auto"/>
          <w:szCs w:val="24"/>
          <w:highlight w:val="none"/>
        </w:rPr>
      </w:pPr>
      <w:r>
        <w:rPr>
          <w:rFonts w:hint="eastAsia" w:ascii="仿宋" w:hAnsi="仿宋"/>
          <w:bCs/>
          <w:color w:val="auto"/>
          <w:szCs w:val="24"/>
          <w:highlight w:val="none"/>
        </w:rPr>
        <w:t>1个PCIe x16，1个PCIe x4，1个PCIe x1扩展槽，3个M.2接口；USB接口不少于9个（其中前置USB3.0 Type A数量≥4个，前置TYPE C数量≥1个，后置USB3.0接口≥2个，USB2.0接口≥2个；），串口1个；音频接口：麦克风1个，耳机1个；后端3个Audio音频接口；1个RJ45 10/100/1000自适应以太网口，标配1个内置M.2 WiFi接口；</w:t>
      </w:r>
    </w:p>
    <w:p w14:paraId="65317D91">
      <w:pPr>
        <w:adjustRightInd w:val="0"/>
        <w:snapToGrid w:val="0"/>
        <w:ind w:firstLine="253" w:firstLineChars="141"/>
        <w:rPr>
          <w:rFonts w:ascii="仿宋" w:hAnsi="仿宋"/>
          <w:bCs/>
          <w:color w:val="auto"/>
          <w:sz w:val="18"/>
          <w:szCs w:val="18"/>
          <w:highlight w:val="none"/>
        </w:rPr>
      </w:pPr>
    </w:p>
    <w:p w14:paraId="16F10F0C">
      <w:pPr>
        <w:adjustRightInd w:val="0"/>
        <w:snapToGrid w:val="0"/>
        <w:ind w:left="-420" w:leftChars="-200"/>
        <w:rPr>
          <w:color w:val="auto"/>
          <w:highlight w:val="none"/>
        </w:rPr>
      </w:pPr>
    </w:p>
    <w:tbl>
      <w:tblPr>
        <w:tblStyle w:val="16"/>
        <w:tblW w:w="8969" w:type="dxa"/>
        <w:jc w:val="center"/>
        <w:tblLayout w:type="fixed"/>
        <w:tblCellMar>
          <w:top w:w="0" w:type="dxa"/>
          <w:left w:w="108" w:type="dxa"/>
          <w:bottom w:w="0" w:type="dxa"/>
          <w:right w:w="108" w:type="dxa"/>
        </w:tblCellMar>
      </w:tblPr>
      <w:tblGrid>
        <w:gridCol w:w="991"/>
        <w:gridCol w:w="1287"/>
        <w:gridCol w:w="4909"/>
        <w:gridCol w:w="1035"/>
        <w:gridCol w:w="747"/>
      </w:tblGrid>
      <w:tr w14:paraId="4FA3AB42">
        <w:tblPrEx>
          <w:tblCellMar>
            <w:top w:w="0" w:type="dxa"/>
            <w:left w:w="108" w:type="dxa"/>
            <w:bottom w:w="0" w:type="dxa"/>
            <w:right w:w="108" w:type="dxa"/>
          </w:tblCellMar>
        </w:tblPrEx>
        <w:trPr>
          <w:trHeight w:val="510" w:hRule="atLeast"/>
          <w:jc w:val="center"/>
        </w:trPr>
        <w:tc>
          <w:tcPr>
            <w:tcW w:w="991" w:type="dxa"/>
            <w:tcBorders>
              <w:top w:val="single" w:color="auto" w:sz="4" w:space="0"/>
              <w:left w:val="single" w:color="auto" w:sz="4" w:space="0"/>
              <w:bottom w:val="single" w:color="auto" w:sz="4" w:space="0"/>
              <w:right w:val="single" w:color="auto" w:sz="4" w:space="0"/>
            </w:tcBorders>
            <w:shd w:val="clear" w:color="auto" w:fill="auto"/>
            <w:vAlign w:val="center"/>
          </w:tcPr>
          <w:p w14:paraId="323D22BB">
            <w:pPr>
              <w:rPr>
                <w:rFonts w:asciiTheme="minorEastAsia" w:hAnsiTheme="minorEastAsia"/>
                <w:color w:val="auto"/>
                <w:sz w:val="18"/>
                <w:szCs w:val="18"/>
                <w:highlight w:val="none"/>
              </w:rPr>
            </w:pPr>
            <w:r>
              <w:rPr>
                <w:rFonts w:hint="eastAsia" w:asciiTheme="minorEastAsia" w:hAnsiTheme="minorEastAsia"/>
                <w:color w:val="auto"/>
                <w:sz w:val="18"/>
                <w:szCs w:val="18"/>
                <w:highlight w:val="none"/>
              </w:rPr>
              <w:t>品目号</w:t>
            </w:r>
          </w:p>
        </w:tc>
        <w:tc>
          <w:tcPr>
            <w:tcW w:w="1287" w:type="dxa"/>
            <w:tcBorders>
              <w:top w:val="single" w:color="auto" w:sz="4" w:space="0"/>
              <w:left w:val="nil"/>
              <w:bottom w:val="single" w:color="auto" w:sz="4" w:space="0"/>
              <w:right w:val="single" w:color="auto" w:sz="4" w:space="0"/>
            </w:tcBorders>
            <w:shd w:val="clear" w:color="auto" w:fill="auto"/>
            <w:vAlign w:val="center"/>
          </w:tcPr>
          <w:p w14:paraId="601ADC80">
            <w:pPr>
              <w:rPr>
                <w:rFonts w:asciiTheme="minorEastAsia" w:hAnsiTheme="minorEastAsia"/>
                <w:color w:val="auto"/>
                <w:sz w:val="18"/>
                <w:szCs w:val="18"/>
                <w:highlight w:val="none"/>
              </w:rPr>
            </w:pPr>
            <w:r>
              <w:rPr>
                <w:rFonts w:hint="eastAsia" w:asciiTheme="minorEastAsia" w:hAnsiTheme="minorEastAsia"/>
                <w:color w:val="auto"/>
                <w:sz w:val="18"/>
                <w:szCs w:val="18"/>
                <w:highlight w:val="none"/>
              </w:rPr>
              <w:t>项目名称</w:t>
            </w:r>
          </w:p>
        </w:tc>
        <w:tc>
          <w:tcPr>
            <w:tcW w:w="4909" w:type="dxa"/>
            <w:tcBorders>
              <w:top w:val="single" w:color="auto" w:sz="4" w:space="0"/>
              <w:left w:val="nil"/>
              <w:bottom w:val="single" w:color="auto" w:sz="4" w:space="0"/>
              <w:right w:val="single" w:color="auto" w:sz="4" w:space="0"/>
            </w:tcBorders>
            <w:shd w:val="clear" w:color="auto" w:fill="auto"/>
            <w:vAlign w:val="center"/>
          </w:tcPr>
          <w:p w14:paraId="1C7912E2">
            <w:pPr>
              <w:adjustRightInd w:val="0"/>
              <w:snapToGrid w:val="0"/>
              <w:ind w:firstLine="452"/>
              <w:rPr>
                <w:rFonts w:ascii="宋体" w:hAnsi="宋体"/>
                <w:color w:val="auto"/>
                <w:sz w:val="18"/>
                <w:szCs w:val="18"/>
                <w:highlight w:val="none"/>
              </w:rPr>
            </w:pPr>
            <w:r>
              <w:rPr>
                <w:rFonts w:hint="eastAsia" w:ascii="宋体" w:hAnsi="宋体"/>
                <w:color w:val="auto"/>
                <w:sz w:val="18"/>
                <w:szCs w:val="18"/>
                <w:highlight w:val="none"/>
              </w:rPr>
              <w:t>规格型号及说明</w:t>
            </w:r>
          </w:p>
        </w:tc>
        <w:tc>
          <w:tcPr>
            <w:tcW w:w="1035" w:type="dxa"/>
            <w:tcBorders>
              <w:top w:val="single" w:color="auto" w:sz="4" w:space="0"/>
              <w:left w:val="nil"/>
              <w:bottom w:val="single" w:color="auto" w:sz="4" w:space="0"/>
              <w:right w:val="single" w:color="auto" w:sz="4" w:space="0"/>
            </w:tcBorders>
            <w:shd w:val="clear" w:color="auto" w:fill="auto"/>
            <w:vAlign w:val="center"/>
          </w:tcPr>
          <w:p w14:paraId="3BF4474B">
            <w:pPr>
              <w:rPr>
                <w:rFonts w:asciiTheme="minorEastAsia" w:hAnsiTheme="minorEastAsia"/>
                <w:color w:val="auto"/>
                <w:sz w:val="18"/>
                <w:szCs w:val="18"/>
                <w:highlight w:val="none"/>
              </w:rPr>
            </w:pPr>
            <w:r>
              <w:rPr>
                <w:rFonts w:hint="eastAsia" w:asciiTheme="minorEastAsia" w:hAnsiTheme="minorEastAsia"/>
                <w:color w:val="auto"/>
                <w:sz w:val="18"/>
                <w:szCs w:val="18"/>
                <w:highlight w:val="none"/>
              </w:rPr>
              <w:t>单位</w:t>
            </w:r>
          </w:p>
        </w:tc>
        <w:tc>
          <w:tcPr>
            <w:tcW w:w="747" w:type="dxa"/>
            <w:tcBorders>
              <w:top w:val="single" w:color="auto" w:sz="4" w:space="0"/>
              <w:left w:val="nil"/>
              <w:bottom w:val="single" w:color="auto" w:sz="4" w:space="0"/>
              <w:right w:val="single" w:color="auto" w:sz="4" w:space="0"/>
            </w:tcBorders>
            <w:shd w:val="clear" w:color="auto" w:fill="auto"/>
            <w:vAlign w:val="center"/>
          </w:tcPr>
          <w:p w14:paraId="3551B396">
            <w:pPr>
              <w:rPr>
                <w:rFonts w:asciiTheme="minorEastAsia" w:hAnsiTheme="minorEastAsia"/>
                <w:color w:val="auto"/>
                <w:sz w:val="18"/>
                <w:szCs w:val="18"/>
                <w:highlight w:val="none"/>
              </w:rPr>
            </w:pPr>
            <w:r>
              <w:rPr>
                <w:rFonts w:hint="eastAsia" w:asciiTheme="minorEastAsia" w:hAnsiTheme="minorEastAsia"/>
                <w:color w:val="auto"/>
                <w:sz w:val="18"/>
                <w:szCs w:val="18"/>
                <w:highlight w:val="none"/>
              </w:rPr>
              <w:t>数量</w:t>
            </w:r>
          </w:p>
        </w:tc>
      </w:tr>
      <w:tr w14:paraId="243F3631">
        <w:tblPrEx>
          <w:tblCellMar>
            <w:top w:w="0" w:type="dxa"/>
            <w:left w:w="108" w:type="dxa"/>
            <w:bottom w:w="0" w:type="dxa"/>
            <w:right w:w="108" w:type="dxa"/>
          </w:tblCellMar>
        </w:tblPrEx>
        <w:trPr>
          <w:trHeight w:val="510" w:hRule="atLeast"/>
          <w:jc w:val="center"/>
        </w:trPr>
        <w:tc>
          <w:tcPr>
            <w:tcW w:w="991" w:type="dxa"/>
            <w:tcBorders>
              <w:top w:val="single" w:color="auto" w:sz="4" w:space="0"/>
              <w:left w:val="single" w:color="auto" w:sz="4" w:space="0"/>
              <w:bottom w:val="single" w:color="auto" w:sz="4" w:space="0"/>
              <w:right w:val="single" w:color="auto" w:sz="4" w:space="0"/>
            </w:tcBorders>
            <w:shd w:val="clear" w:color="auto" w:fill="auto"/>
            <w:vAlign w:val="center"/>
          </w:tcPr>
          <w:p w14:paraId="2E20F15C">
            <w:pPr>
              <w:ind w:firstLine="452"/>
              <w:rPr>
                <w:rFonts w:asciiTheme="minorEastAsia" w:hAnsiTheme="minorEastAsia"/>
                <w:color w:val="auto"/>
                <w:sz w:val="18"/>
                <w:szCs w:val="18"/>
                <w:highlight w:val="none"/>
              </w:rPr>
            </w:pPr>
            <w:r>
              <w:rPr>
                <w:rFonts w:hint="eastAsia" w:asciiTheme="minorEastAsia" w:hAnsiTheme="minorEastAsia"/>
                <w:color w:val="auto"/>
                <w:sz w:val="18"/>
                <w:szCs w:val="18"/>
                <w:highlight w:val="none"/>
              </w:rPr>
              <w:t>1-1</w:t>
            </w:r>
          </w:p>
        </w:tc>
        <w:tc>
          <w:tcPr>
            <w:tcW w:w="1287" w:type="dxa"/>
            <w:tcBorders>
              <w:top w:val="single" w:color="auto" w:sz="4" w:space="0"/>
              <w:left w:val="nil"/>
              <w:bottom w:val="single" w:color="auto" w:sz="4" w:space="0"/>
              <w:right w:val="single" w:color="auto" w:sz="4" w:space="0"/>
            </w:tcBorders>
            <w:shd w:val="clear" w:color="auto" w:fill="auto"/>
            <w:vAlign w:val="center"/>
          </w:tcPr>
          <w:p w14:paraId="3DBB64B5">
            <w:pPr>
              <w:rPr>
                <w:rFonts w:asciiTheme="minorEastAsia" w:hAnsiTheme="minorEastAsia"/>
                <w:color w:val="auto"/>
                <w:sz w:val="18"/>
                <w:szCs w:val="18"/>
                <w:highlight w:val="none"/>
              </w:rPr>
            </w:pPr>
            <w:r>
              <w:rPr>
                <w:rFonts w:hint="eastAsia" w:asciiTheme="minorEastAsia" w:hAnsiTheme="minorEastAsia"/>
                <w:color w:val="auto"/>
                <w:sz w:val="18"/>
                <w:szCs w:val="18"/>
                <w:highlight w:val="none"/>
              </w:rPr>
              <w:t>高性能计算机</w:t>
            </w:r>
          </w:p>
          <w:p w14:paraId="4B9A8D1F">
            <w:pPr>
              <w:ind w:firstLine="452"/>
              <w:rPr>
                <w:rFonts w:asciiTheme="minorEastAsia" w:hAnsiTheme="minorEastAsia"/>
                <w:color w:val="auto"/>
                <w:sz w:val="18"/>
                <w:szCs w:val="18"/>
                <w:highlight w:val="none"/>
              </w:rPr>
            </w:pPr>
          </w:p>
        </w:tc>
        <w:tc>
          <w:tcPr>
            <w:tcW w:w="4909" w:type="dxa"/>
            <w:tcBorders>
              <w:top w:val="single" w:color="auto" w:sz="4" w:space="0"/>
              <w:left w:val="nil"/>
              <w:bottom w:val="single" w:color="auto" w:sz="4" w:space="0"/>
              <w:right w:val="single" w:color="auto" w:sz="4" w:space="0"/>
            </w:tcBorders>
            <w:shd w:val="clear" w:color="auto" w:fill="auto"/>
            <w:vAlign w:val="center"/>
          </w:tcPr>
          <w:p w14:paraId="100A64CD">
            <w:pPr>
              <w:adjustRightInd w:val="0"/>
              <w:snapToGrid w:val="0"/>
              <w:rPr>
                <w:rFonts w:ascii="仿宋" w:hAnsi="仿宋"/>
                <w:b/>
                <w:color w:val="auto"/>
                <w:sz w:val="18"/>
                <w:szCs w:val="18"/>
                <w:highlight w:val="none"/>
              </w:rPr>
            </w:pPr>
            <w:r>
              <w:rPr>
                <w:rFonts w:hint="eastAsia" w:ascii="仿宋" w:hAnsi="仿宋"/>
                <w:b/>
                <w:color w:val="auto"/>
                <w:sz w:val="18"/>
                <w:szCs w:val="18"/>
                <w:highlight w:val="none"/>
              </w:rPr>
              <w:t>一、总体要求：</w:t>
            </w:r>
          </w:p>
          <w:p w14:paraId="1F0884C2">
            <w:pPr>
              <w:adjustRightInd w:val="0"/>
              <w:snapToGrid w:val="0"/>
              <w:ind w:firstLine="255" w:firstLineChars="141"/>
              <w:rPr>
                <w:rFonts w:ascii="仿宋" w:hAnsi="仿宋"/>
                <w:b/>
                <w:bCs/>
                <w:color w:val="auto"/>
                <w:sz w:val="18"/>
                <w:szCs w:val="18"/>
                <w:highlight w:val="none"/>
              </w:rPr>
            </w:pPr>
          </w:p>
          <w:p w14:paraId="31F166F7">
            <w:pPr>
              <w:numPr>
                <w:ilvl w:val="255"/>
                <w:numId w:val="0"/>
              </w:numPr>
              <w:rPr>
                <w:rFonts w:ascii="仿宋" w:hAnsi="仿宋"/>
                <w:b/>
                <w:color w:val="auto"/>
                <w:sz w:val="18"/>
                <w:szCs w:val="18"/>
                <w:highlight w:val="none"/>
              </w:rPr>
            </w:pPr>
            <w:r>
              <w:rPr>
                <w:rFonts w:hint="eastAsia" w:ascii="仿宋" w:hAnsi="仿宋"/>
                <w:b/>
                <w:color w:val="auto"/>
                <w:sz w:val="18"/>
                <w:szCs w:val="18"/>
                <w:highlight w:val="none"/>
              </w:rPr>
              <w:t>★</w:t>
            </w:r>
            <w:r>
              <w:rPr>
                <w:rFonts w:hint="eastAsia" w:ascii="仿宋" w:hAnsi="仿宋"/>
                <w:b/>
                <w:color w:val="auto"/>
                <w:sz w:val="18"/>
                <w:szCs w:val="18"/>
                <w:highlight w:val="none"/>
                <w:lang w:val="en-US" w:eastAsia="zh-CN"/>
              </w:rPr>
              <w:t>满足</w:t>
            </w:r>
            <w:r>
              <w:rPr>
                <w:rFonts w:hint="eastAsia" w:ascii="仿宋" w:hAnsi="仿宋"/>
                <w:b/>
                <w:color w:val="auto"/>
                <w:sz w:val="18"/>
                <w:szCs w:val="18"/>
                <w:highlight w:val="none"/>
              </w:rPr>
              <w:t>HYGON 3350 3.0G 8C 16T；16GB DDR4 3200 UDIMM；固态硬盘大于1TB， M.2接口NVME协议SSD，M.2接口≥3个，其中2个支持M.2 SSD；支持机械硬盘扩展；≥RTX3050 6GB G6 96b DVI+H+DP HP；</w:t>
            </w:r>
          </w:p>
          <w:p w14:paraId="60AF3673">
            <w:pPr>
              <w:numPr>
                <w:ilvl w:val="0"/>
                <w:numId w:val="5"/>
              </w:numPr>
              <w:adjustRightInd w:val="0"/>
              <w:snapToGrid w:val="0"/>
              <w:rPr>
                <w:rFonts w:ascii="仿宋" w:hAnsi="仿宋"/>
                <w:bCs/>
                <w:color w:val="auto"/>
                <w:sz w:val="18"/>
                <w:szCs w:val="18"/>
                <w:highlight w:val="none"/>
              </w:rPr>
            </w:pPr>
            <w:r>
              <w:rPr>
                <w:rFonts w:hint="eastAsia" w:ascii="仿宋" w:hAnsi="仿宋"/>
                <w:bCs/>
                <w:color w:val="auto"/>
                <w:sz w:val="18"/>
                <w:szCs w:val="18"/>
                <w:highlight w:val="none"/>
              </w:rPr>
              <w:t>电源功率≥500W；</w:t>
            </w:r>
          </w:p>
          <w:p w14:paraId="6E15C185">
            <w:pPr>
              <w:numPr>
                <w:ilvl w:val="0"/>
                <w:numId w:val="5"/>
              </w:numPr>
              <w:adjustRightInd w:val="0"/>
              <w:snapToGrid w:val="0"/>
              <w:rPr>
                <w:rFonts w:ascii="仿宋" w:hAnsi="仿宋"/>
                <w:bCs/>
                <w:color w:val="auto"/>
                <w:sz w:val="18"/>
                <w:szCs w:val="18"/>
                <w:highlight w:val="none"/>
              </w:rPr>
            </w:pPr>
            <w:r>
              <w:rPr>
                <w:rFonts w:hint="eastAsia" w:ascii="仿宋" w:hAnsi="仿宋"/>
                <w:bCs/>
                <w:color w:val="auto"/>
                <w:sz w:val="18"/>
                <w:szCs w:val="18"/>
                <w:highlight w:val="none"/>
              </w:rPr>
              <w:t>同品牌≥23.8寸显示器；</w:t>
            </w:r>
          </w:p>
          <w:p w14:paraId="29A2C1C6">
            <w:pPr>
              <w:numPr>
                <w:ilvl w:val="0"/>
                <w:numId w:val="5"/>
              </w:numPr>
              <w:adjustRightInd w:val="0"/>
              <w:snapToGrid w:val="0"/>
              <w:rPr>
                <w:rFonts w:ascii="仿宋" w:hAnsi="仿宋"/>
                <w:bCs/>
                <w:color w:val="auto"/>
                <w:sz w:val="18"/>
                <w:szCs w:val="18"/>
                <w:highlight w:val="none"/>
              </w:rPr>
            </w:pPr>
            <w:r>
              <w:rPr>
                <w:rFonts w:hint="eastAsia" w:ascii="仿宋" w:hAnsi="仿宋"/>
                <w:bCs/>
                <w:color w:val="auto"/>
                <w:sz w:val="18"/>
                <w:szCs w:val="18"/>
                <w:highlight w:val="none"/>
              </w:rPr>
              <w:t>机箱≥17L，支持全高全长扩展卡；</w:t>
            </w:r>
          </w:p>
          <w:p w14:paraId="54877639">
            <w:pPr>
              <w:adjustRightInd w:val="0"/>
              <w:snapToGrid w:val="0"/>
              <w:rPr>
                <w:rFonts w:ascii="仿宋" w:hAnsi="仿宋"/>
                <w:b/>
                <w:color w:val="auto"/>
                <w:sz w:val="18"/>
                <w:szCs w:val="18"/>
                <w:highlight w:val="none"/>
              </w:rPr>
            </w:pPr>
            <w:r>
              <w:rPr>
                <w:rFonts w:hint="eastAsia" w:ascii="仿宋" w:hAnsi="仿宋"/>
                <w:b/>
                <w:color w:val="auto"/>
                <w:sz w:val="18"/>
                <w:szCs w:val="18"/>
                <w:highlight w:val="none"/>
              </w:rPr>
              <w:t>二、具体要求：</w:t>
            </w:r>
          </w:p>
          <w:p w14:paraId="3C838746">
            <w:pPr>
              <w:numPr>
                <w:ilvl w:val="0"/>
                <w:numId w:val="6"/>
              </w:numPr>
              <w:adjustRightInd w:val="0"/>
              <w:snapToGrid w:val="0"/>
              <w:rPr>
                <w:rFonts w:ascii="仿宋" w:hAnsi="仿宋"/>
                <w:bCs/>
                <w:color w:val="auto"/>
                <w:sz w:val="18"/>
                <w:szCs w:val="18"/>
                <w:highlight w:val="none"/>
              </w:rPr>
            </w:pPr>
            <w:r>
              <w:rPr>
                <w:rFonts w:hint="eastAsia" w:ascii="仿宋" w:hAnsi="仿宋"/>
                <w:bCs/>
                <w:color w:val="auto"/>
                <w:sz w:val="18"/>
                <w:szCs w:val="18"/>
                <w:highlight w:val="none"/>
              </w:rPr>
              <w:t>所投云桌面软件需与硬件为同品牌。（须提供所投产品软件功能截图）</w:t>
            </w:r>
          </w:p>
          <w:p w14:paraId="5685D541">
            <w:pPr>
              <w:numPr>
                <w:ilvl w:val="0"/>
                <w:numId w:val="6"/>
              </w:numPr>
              <w:adjustRightInd w:val="0"/>
              <w:snapToGrid w:val="0"/>
              <w:rPr>
                <w:rFonts w:ascii="仿宋" w:hAnsi="仿宋"/>
                <w:bCs/>
                <w:color w:val="auto"/>
                <w:sz w:val="18"/>
                <w:szCs w:val="18"/>
                <w:highlight w:val="none"/>
              </w:rPr>
            </w:pPr>
            <w:r>
              <w:rPr>
                <w:rFonts w:hint="eastAsia" w:ascii="仿宋" w:hAnsi="仿宋"/>
                <w:bCs/>
                <w:color w:val="auto"/>
                <w:sz w:val="18"/>
                <w:szCs w:val="18"/>
                <w:highlight w:val="none"/>
              </w:rPr>
              <w:t>平台具备对终端的操作系统镜像生成与统一分发管理。（须提供所投产品软件功能截图）</w:t>
            </w:r>
          </w:p>
          <w:p w14:paraId="3B5EE118">
            <w:pPr>
              <w:numPr>
                <w:ilvl w:val="0"/>
                <w:numId w:val="6"/>
              </w:numPr>
              <w:adjustRightInd w:val="0"/>
              <w:snapToGrid w:val="0"/>
              <w:rPr>
                <w:rFonts w:ascii="仿宋" w:hAnsi="仿宋"/>
                <w:bCs/>
                <w:color w:val="auto"/>
                <w:sz w:val="18"/>
                <w:szCs w:val="18"/>
                <w:highlight w:val="none"/>
              </w:rPr>
            </w:pPr>
            <w:r>
              <w:rPr>
                <w:rFonts w:hint="eastAsia" w:ascii="仿宋" w:hAnsi="仿宋"/>
                <w:bCs/>
                <w:color w:val="auto"/>
                <w:sz w:val="18"/>
                <w:szCs w:val="18"/>
                <w:highlight w:val="none"/>
              </w:rPr>
              <w:t>支持Legacy与UEFI两种方式启动系统，支持管理多网卡、双硬盘，支持M.2新型高速固态硬盘，同时兼容新老机型部署。</w:t>
            </w:r>
          </w:p>
          <w:p w14:paraId="30C82D90">
            <w:pPr>
              <w:numPr>
                <w:ilvl w:val="0"/>
                <w:numId w:val="6"/>
              </w:numPr>
              <w:adjustRightInd w:val="0"/>
              <w:snapToGrid w:val="0"/>
              <w:rPr>
                <w:rFonts w:ascii="仿宋" w:hAnsi="仿宋"/>
                <w:bCs/>
                <w:color w:val="auto"/>
                <w:sz w:val="18"/>
                <w:szCs w:val="18"/>
                <w:highlight w:val="none"/>
              </w:rPr>
            </w:pPr>
            <w:r>
              <w:rPr>
                <w:rFonts w:hint="eastAsia" w:ascii="仿宋" w:hAnsi="仿宋"/>
                <w:bCs/>
                <w:color w:val="auto"/>
                <w:sz w:val="18"/>
                <w:szCs w:val="18"/>
                <w:highlight w:val="none"/>
              </w:rPr>
              <w:t>平台具备批量管理终端计算机名、IP地址等配置信息，同时支持针对不同的终端群组设置不同的安全管控策略。</w:t>
            </w:r>
          </w:p>
          <w:p w14:paraId="585183FC">
            <w:pPr>
              <w:numPr>
                <w:ilvl w:val="0"/>
                <w:numId w:val="6"/>
              </w:numPr>
              <w:adjustRightInd w:val="0"/>
              <w:snapToGrid w:val="0"/>
              <w:rPr>
                <w:rFonts w:ascii="仿宋" w:hAnsi="仿宋"/>
                <w:bCs/>
                <w:color w:val="auto"/>
                <w:sz w:val="18"/>
                <w:szCs w:val="18"/>
                <w:highlight w:val="none"/>
              </w:rPr>
            </w:pPr>
            <w:r>
              <w:rPr>
                <w:rFonts w:hint="eastAsia" w:ascii="仿宋" w:hAnsi="仿宋"/>
                <w:bCs/>
                <w:color w:val="auto"/>
                <w:sz w:val="18"/>
                <w:szCs w:val="18"/>
                <w:highlight w:val="none"/>
              </w:rPr>
              <w:t>平台具备分组管理，可将终端进行分组，管理员可根据配置好的镜像分配给相应的分组；为不影响教学，可在正常上课的同时完成镜像缓存下载。</w:t>
            </w:r>
          </w:p>
          <w:p w14:paraId="588DD82E">
            <w:pPr>
              <w:numPr>
                <w:ilvl w:val="0"/>
                <w:numId w:val="6"/>
              </w:numPr>
              <w:adjustRightInd w:val="0"/>
              <w:snapToGrid w:val="0"/>
              <w:rPr>
                <w:rFonts w:ascii="仿宋" w:hAnsi="仿宋"/>
                <w:bCs/>
                <w:color w:val="auto"/>
                <w:sz w:val="18"/>
                <w:szCs w:val="18"/>
                <w:highlight w:val="none"/>
              </w:rPr>
            </w:pPr>
            <w:r>
              <w:rPr>
                <w:rFonts w:hint="eastAsia" w:ascii="仿宋" w:hAnsi="仿宋"/>
                <w:bCs/>
                <w:color w:val="auto"/>
                <w:sz w:val="18"/>
                <w:szCs w:val="18"/>
                <w:highlight w:val="none"/>
              </w:rPr>
              <w:t>支持在镜像下发时进行组内网络探测与网速传输测试，提前优化镜像下发策略，保障传输效率。</w:t>
            </w:r>
          </w:p>
          <w:p w14:paraId="5B5AF94A">
            <w:pPr>
              <w:numPr>
                <w:ilvl w:val="0"/>
                <w:numId w:val="6"/>
              </w:numPr>
              <w:adjustRightInd w:val="0"/>
              <w:snapToGrid w:val="0"/>
              <w:rPr>
                <w:rFonts w:ascii="仿宋" w:hAnsi="仿宋"/>
                <w:bCs/>
                <w:color w:val="auto"/>
                <w:sz w:val="18"/>
                <w:szCs w:val="18"/>
                <w:highlight w:val="none"/>
              </w:rPr>
            </w:pPr>
            <w:r>
              <w:rPr>
                <w:rFonts w:hint="eastAsia" w:ascii="仿宋" w:hAnsi="仿宋"/>
                <w:bCs/>
                <w:color w:val="auto"/>
                <w:sz w:val="18"/>
                <w:szCs w:val="18"/>
                <w:highlight w:val="none"/>
              </w:rPr>
              <w:t>具备跨校区、跨广域网部署，IP可达即可部署；为满足学校的WiFi使用场景，简化网络结构，支持通过wifi进行镜像更新和平台管理。</w:t>
            </w:r>
          </w:p>
          <w:p w14:paraId="49D0F02E">
            <w:pPr>
              <w:numPr>
                <w:ilvl w:val="0"/>
                <w:numId w:val="6"/>
              </w:numPr>
              <w:adjustRightInd w:val="0"/>
              <w:snapToGrid w:val="0"/>
              <w:rPr>
                <w:rFonts w:ascii="仿宋" w:hAnsi="仿宋"/>
                <w:bCs/>
                <w:color w:val="auto"/>
                <w:sz w:val="18"/>
                <w:szCs w:val="18"/>
                <w:highlight w:val="none"/>
              </w:rPr>
            </w:pPr>
            <w:r>
              <w:rPr>
                <w:rFonts w:hint="eastAsia" w:ascii="仿宋" w:hAnsi="仿宋"/>
                <w:bCs/>
                <w:color w:val="auto"/>
                <w:sz w:val="18"/>
                <w:szCs w:val="18"/>
                <w:highlight w:val="none"/>
              </w:rPr>
              <w:t>支持三种模式对某一系统盘和数据盘的管理，即还原模式、读写模式、学习模式；实现还原同传功能。</w:t>
            </w:r>
          </w:p>
          <w:p w14:paraId="0040DC2D">
            <w:pPr>
              <w:numPr>
                <w:ilvl w:val="0"/>
                <w:numId w:val="6"/>
              </w:numPr>
              <w:adjustRightInd w:val="0"/>
              <w:snapToGrid w:val="0"/>
              <w:rPr>
                <w:rFonts w:ascii="仿宋" w:hAnsi="仿宋"/>
                <w:bCs/>
                <w:color w:val="auto"/>
                <w:sz w:val="18"/>
                <w:szCs w:val="18"/>
                <w:highlight w:val="none"/>
              </w:rPr>
            </w:pPr>
            <w:r>
              <w:rPr>
                <w:rFonts w:hint="eastAsia" w:ascii="仿宋" w:hAnsi="仿宋"/>
                <w:bCs/>
                <w:color w:val="auto"/>
                <w:sz w:val="18"/>
                <w:szCs w:val="18"/>
                <w:highlight w:val="none"/>
              </w:rPr>
              <w:t>平台具备镜像下发时的策略设置；具备系统镜像下发后自动执行关机、重启等操作。（须提供所投产品软件功能截图）</w:t>
            </w:r>
          </w:p>
          <w:p w14:paraId="0B2F8B9F">
            <w:pPr>
              <w:numPr>
                <w:ilvl w:val="0"/>
                <w:numId w:val="6"/>
              </w:numPr>
              <w:adjustRightInd w:val="0"/>
              <w:snapToGrid w:val="0"/>
              <w:rPr>
                <w:rFonts w:ascii="仿宋" w:hAnsi="仿宋"/>
                <w:bCs/>
                <w:color w:val="auto"/>
                <w:sz w:val="18"/>
                <w:szCs w:val="18"/>
                <w:highlight w:val="none"/>
              </w:rPr>
            </w:pPr>
            <w:r>
              <w:rPr>
                <w:rFonts w:hint="eastAsia" w:ascii="仿宋" w:hAnsi="仿宋"/>
                <w:bCs/>
                <w:color w:val="auto"/>
                <w:sz w:val="18"/>
                <w:szCs w:val="18"/>
                <w:highlight w:val="none"/>
              </w:rPr>
              <w:t>支持从服务器端对客户端发起远程开机、关机、发送通知消息、发送远程命令等指令，支持管理员对客户端进行远程协助排障。</w:t>
            </w:r>
          </w:p>
          <w:p w14:paraId="05C88046">
            <w:pPr>
              <w:numPr>
                <w:ilvl w:val="0"/>
                <w:numId w:val="6"/>
              </w:numPr>
              <w:adjustRightInd w:val="0"/>
              <w:snapToGrid w:val="0"/>
              <w:rPr>
                <w:rFonts w:ascii="仿宋" w:hAnsi="仿宋"/>
                <w:bCs/>
                <w:color w:val="auto"/>
                <w:sz w:val="18"/>
                <w:szCs w:val="18"/>
                <w:highlight w:val="none"/>
              </w:rPr>
            </w:pPr>
            <w:r>
              <w:rPr>
                <w:rFonts w:hint="eastAsia" w:ascii="仿宋" w:hAnsi="仿宋"/>
                <w:bCs/>
                <w:color w:val="auto"/>
                <w:sz w:val="18"/>
                <w:szCs w:val="18"/>
                <w:highlight w:val="none"/>
              </w:rPr>
              <w:t>平台收集所有终端硬件配置信息，包含但不限于终端名称、CPU型号信息等≥5种平台中终端信息。（须提供所投产品软件功能截图）</w:t>
            </w:r>
          </w:p>
          <w:p w14:paraId="4A99DE40">
            <w:pPr>
              <w:numPr>
                <w:ilvl w:val="0"/>
                <w:numId w:val="6"/>
              </w:numPr>
              <w:adjustRightInd w:val="0"/>
              <w:snapToGrid w:val="0"/>
              <w:rPr>
                <w:rFonts w:ascii="仿宋" w:hAnsi="仿宋"/>
                <w:bCs/>
                <w:color w:val="auto"/>
                <w:sz w:val="18"/>
                <w:szCs w:val="18"/>
                <w:highlight w:val="none"/>
              </w:rPr>
            </w:pPr>
            <w:r>
              <w:rPr>
                <w:rFonts w:hint="eastAsia" w:ascii="仿宋" w:hAnsi="仿宋"/>
                <w:bCs/>
                <w:color w:val="auto"/>
                <w:sz w:val="18"/>
                <w:szCs w:val="18"/>
                <w:highlight w:val="none"/>
              </w:rPr>
              <w:t>平台收集所有终端的运行状态信息，包含但不限于终端名称、硬盘信息等≥4种终端状态信息。（须提供所投产品软件功能截图）</w:t>
            </w:r>
          </w:p>
          <w:p w14:paraId="35D222B6">
            <w:pPr>
              <w:numPr>
                <w:ilvl w:val="0"/>
                <w:numId w:val="6"/>
              </w:numPr>
              <w:adjustRightInd w:val="0"/>
              <w:snapToGrid w:val="0"/>
              <w:rPr>
                <w:rFonts w:ascii="仿宋" w:hAnsi="仿宋"/>
                <w:b/>
                <w:color w:val="auto"/>
                <w:sz w:val="18"/>
                <w:szCs w:val="18"/>
                <w:highlight w:val="none"/>
              </w:rPr>
            </w:pPr>
            <w:r>
              <w:rPr>
                <w:rFonts w:hint="eastAsia" w:ascii="仿宋" w:hAnsi="仿宋"/>
                <w:b/>
                <w:color w:val="auto"/>
                <w:sz w:val="18"/>
                <w:szCs w:val="18"/>
                <w:highlight w:val="none"/>
              </w:rPr>
              <w:t>★具备对终端端口进行分类控制，包括但不限于控制 USB 存储接口、各类驱动器接口等；具备大数据展示。可展示包括但不限于资产统计、设备详情、日志、系统使用情况等信息。（须提供所投产品软件功能截图）。</w:t>
            </w:r>
          </w:p>
          <w:p w14:paraId="055A818A">
            <w:pPr>
              <w:numPr>
                <w:ilvl w:val="0"/>
                <w:numId w:val="6"/>
              </w:numPr>
              <w:adjustRightInd w:val="0"/>
              <w:snapToGrid w:val="0"/>
              <w:rPr>
                <w:rFonts w:ascii="仿宋" w:hAnsi="仿宋"/>
                <w:bCs/>
                <w:color w:val="auto"/>
                <w:sz w:val="18"/>
                <w:szCs w:val="18"/>
                <w:highlight w:val="none"/>
              </w:rPr>
            </w:pPr>
            <w:r>
              <w:rPr>
                <w:rFonts w:hint="eastAsia" w:ascii="仿宋" w:hAnsi="仿宋"/>
                <w:bCs/>
                <w:color w:val="auto"/>
                <w:sz w:val="18"/>
                <w:szCs w:val="18"/>
                <w:highlight w:val="none"/>
              </w:rPr>
              <w:t>具备在管理集群内将主服务器内镜像提前下发至IO服务器，通过IO服务器分发镜像，实现数据分流，提升局域网内镜像的更新速度。</w:t>
            </w:r>
          </w:p>
          <w:p w14:paraId="586CF1A9">
            <w:pPr>
              <w:numPr>
                <w:ilvl w:val="0"/>
                <w:numId w:val="6"/>
              </w:numPr>
              <w:adjustRightInd w:val="0"/>
              <w:snapToGrid w:val="0"/>
              <w:rPr>
                <w:rFonts w:ascii="仿宋" w:hAnsi="仿宋"/>
                <w:bCs/>
                <w:color w:val="auto"/>
                <w:sz w:val="18"/>
                <w:szCs w:val="18"/>
                <w:highlight w:val="none"/>
              </w:rPr>
            </w:pPr>
            <w:r>
              <w:rPr>
                <w:rFonts w:hint="eastAsia" w:ascii="仿宋" w:hAnsi="仿宋"/>
                <w:bCs/>
                <w:color w:val="auto"/>
                <w:sz w:val="18"/>
                <w:szCs w:val="18"/>
                <w:highlight w:val="none"/>
              </w:rPr>
              <w:t>支持平台可以计划任务设置，可以设置定时执行各种任务类型。</w:t>
            </w:r>
          </w:p>
          <w:p w14:paraId="7C1B5DE9">
            <w:pPr>
              <w:adjustRightInd w:val="0"/>
              <w:snapToGrid w:val="0"/>
              <w:ind w:left="425"/>
              <w:rPr>
                <w:rFonts w:ascii="仿宋" w:hAnsi="仿宋"/>
                <w:b/>
                <w:color w:val="auto"/>
                <w:sz w:val="18"/>
                <w:szCs w:val="18"/>
                <w:highlight w:val="none"/>
              </w:rPr>
            </w:pPr>
          </w:p>
          <w:p w14:paraId="311E58FF">
            <w:pPr>
              <w:numPr>
                <w:ilvl w:val="0"/>
                <w:numId w:val="6"/>
              </w:numPr>
              <w:adjustRightInd w:val="0"/>
              <w:snapToGrid w:val="0"/>
              <w:rPr>
                <w:rFonts w:ascii="仿宋" w:hAnsi="仿宋"/>
                <w:bCs/>
                <w:color w:val="auto"/>
                <w:sz w:val="18"/>
                <w:szCs w:val="18"/>
                <w:highlight w:val="none"/>
              </w:rPr>
            </w:pPr>
            <w:r>
              <w:rPr>
                <w:rFonts w:hint="eastAsia" w:ascii="仿宋" w:hAnsi="仿宋"/>
                <w:bCs/>
                <w:color w:val="auto"/>
                <w:sz w:val="18"/>
                <w:szCs w:val="18"/>
                <w:highlight w:val="none"/>
              </w:rPr>
              <w:t>平台具备对服务器使用的网络端口进行检测。（须提供所投产品软件功能截图，并加盖公章）</w:t>
            </w:r>
          </w:p>
          <w:p w14:paraId="6000E25D">
            <w:pPr>
              <w:numPr>
                <w:ilvl w:val="0"/>
                <w:numId w:val="6"/>
              </w:numPr>
              <w:adjustRightInd w:val="0"/>
              <w:snapToGrid w:val="0"/>
              <w:rPr>
                <w:rFonts w:ascii="仿宋" w:hAnsi="仿宋"/>
                <w:bCs/>
                <w:color w:val="auto"/>
                <w:sz w:val="18"/>
                <w:szCs w:val="18"/>
                <w:highlight w:val="none"/>
              </w:rPr>
            </w:pPr>
            <w:r>
              <w:rPr>
                <w:rFonts w:hint="eastAsia" w:ascii="仿宋" w:hAnsi="仿宋"/>
                <w:bCs/>
                <w:color w:val="auto"/>
                <w:sz w:val="18"/>
                <w:szCs w:val="18"/>
                <w:highlight w:val="none"/>
              </w:rPr>
              <w:t>具备通过多种方式设定IP地址，包括手动设定、自有DHCP及第三方DHCP。</w:t>
            </w:r>
          </w:p>
          <w:p w14:paraId="6ECE0F99">
            <w:pPr>
              <w:numPr>
                <w:ilvl w:val="0"/>
                <w:numId w:val="6"/>
              </w:numPr>
              <w:adjustRightInd w:val="0"/>
              <w:snapToGrid w:val="0"/>
              <w:rPr>
                <w:rFonts w:ascii="仿宋" w:hAnsi="仿宋"/>
                <w:bCs/>
                <w:color w:val="auto"/>
                <w:sz w:val="18"/>
                <w:szCs w:val="18"/>
                <w:highlight w:val="none"/>
              </w:rPr>
            </w:pPr>
            <w:r>
              <w:rPr>
                <w:rFonts w:hint="eastAsia" w:ascii="仿宋" w:hAnsi="仿宋"/>
                <w:bCs/>
                <w:color w:val="auto"/>
                <w:sz w:val="18"/>
                <w:szCs w:val="18"/>
                <w:highlight w:val="none"/>
              </w:rPr>
              <w:t>终端具备多盘缓存模式，即在终端固态盘容量小导致无法多镜像缓存时；具备固态盘和机械盘混合缓存载入，充分利用终端现有存储资源。</w:t>
            </w:r>
          </w:p>
          <w:p w14:paraId="132EE6A5">
            <w:pPr>
              <w:numPr>
                <w:ilvl w:val="0"/>
                <w:numId w:val="6"/>
              </w:numPr>
              <w:adjustRightInd w:val="0"/>
              <w:snapToGrid w:val="0"/>
              <w:rPr>
                <w:rFonts w:ascii="仿宋" w:hAnsi="仿宋"/>
                <w:bCs/>
                <w:color w:val="auto"/>
                <w:sz w:val="18"/>
                <w:szCs w:val="18"/>
                <w:highlight w:val="none"/>
              </w:rPr>
            </w:pPr>
            <w:r>
              <w:rPr>
                <w:rFonts w:hint="eastAsia" w:ascii="仿宋" w:hAnsi="仿宋"/>
                <w:bCs/>
                <w:color w:val="auto"/>
                <w:sz w:val="18"/>
                <w:szCs w:val="18"/>
                <w:highlight w:val="none"/>
              </w:rPr>
              <w:t>具备镜像本地缓存：服务器镜像文件缓存至本地硬盘，小容量固态硬盘以增量非分区的方式缓存≥5个镜像。</w:t>
            </w:r>
          </w:p>
          <w:p w14:paraId="068073CA">
            <w:pPr>
              <w:numPr>
                <w:ilvl w:val="0"/>
                <w:numId w:val="6"/>
              </w:numPr>
              <w:adjustRightInd w:val="0"/>
              <w:snapToGrid w:val="0"/>
              <w:rPr>
                <w:rFonts w:ascii="仿宋" w:hAnsi="仿宋"/>
                <w:bCs/>
                <w:color w:val="auto"/>
                <w:sz w:val="18"/>
                <w:szCs w:val="18"/>
                <w:highlight w:val="none"/>
              </w:rPr>
            </w:pPr>
            <w:r>
              <w:rPr>
                <w:rFonts w:hint="eastAsia" w:ascii="仿宋" w:hAnsi="仿宋"/>
                <w:bCs/>
                <w:color w:val="auto"/>
                <w:sz w:val="18"/>
                <w:szCs w:val="18"/>
                <w:highlight w:val="none"/>
              </w:rPr>
              <w:t>在终端与云桌面服务器丢失或断开网络连接无法被管理的情况下，支持使用U盘或移动硬盘恢复桌面。</w:t>
            </w:r>
          </w:p>
          <w:p w14:paraId="489E55C5">
            <w:pPr>
              <w:numPr>
                <w:ilvl w:val="0"/>
                <w:numId w:val="6"/>
              </w:numPr>
              <w:adjustRightInd w:val="0"/>
              <w:snapToGrid w:val="0"/>
              <w:rPr>
                <w:rFonts w:ascii="仿宋" w:hAnsi="仿宋"/>
                <w:bCs/>
                <w:color w:val="auto"/>
                <w:sz w:val="18"/>
                <w:szCs w:val="18"/>
                <w:highlight w:val="none"/>
              </w:rPr>
            </w:pPr>
            <w:r>
              <w:rPr>
                <w:rFonts w:hint="eastAsia" w:ascii="仿宋" w:hAnsi="仿宋"/>
                <w:bCs/>
                <w:color w:val="auto"/>
                <w:sz w:val="18"/>
                <w:szCs w:val="18"/>
                <w:highlight w:val="none"/>
              </w:rPr>
              <w:t>当终端无法进入系统时，支持基于Linux方式进行系统数据恢复。</w:t>
            </w:r>
          </w:p>
          <w:p w14:paraId="00642440">
            <w:pPr>
              <w:adjustRightInd w:val="0"/>
              <w:snapToGrid w:val="0"/>
              <w:ind w:firstLine="255" w:firstLineChars="141"/>
              <w:rPr>
                <w:rFonts w:ascii="仿宋" w:hAnsi="仿宋"/>
                <w:b/>
                <w:bCs/>
                <w:color w:val="auto"/>
                <w:sz w:val="18"/>
                <w:szCs w:val="18"/>
                <w:highlight w:val="none"/>
              </w:rPr>
            </w:pPr>
          </w:p>
        </w:tc>
        <w:tc>
          <w:tcPr>
            <w:tcW w:w="1035" w:type="dxa"/>
            <w:tcBorders>
              <w:top w:val="single" w:color="auto" w:sz="4" w:space="0"/>
              <w:left w:val="nil"/>
              <w:bottom w:val="single" w:color="auto" w:sz="4" w:space="0"/>
              <w:right w:val="single" w:color="auto" w:sz="4" w:space="0"/>
            </w:tcBorders>
            <w:shd w:val="clear" w:color="auto" w:fill="auto"/>
            <w:vAlign w:val="center"/>
          </w:tcPr>
          <w:p w14:paraId="22212C6B">
            <w:pPr>
              <w:ind w:firstLine="452"/>
              <w:rPr>
                <w:rFonts w:asciiTheme="minorEastAsia" w:hAnsiTheme="minorEastAsia"/>
                <w:color w:val="auto"/>
                <w:sz w:val="18"/>
                <w:szCs w:val="18"/>
                <w:highlight w:val="none"/>
              </w:rPr>
            </w:pPr>
            <w:r>
              <w:rPr>
                <w:rFonts w:hint="eastAsia" w:asciiTheme="minorEastAsia" w:hAnsiTheme="minorEastAsia"/>
                <w:color w:val="auto"/>
                <w:sz w:val="18"/>
                <w:szCs w:val="18"/>
                <w:highlight w:val="none"/>
              </w:rPr>
              <w:t>台</w:t>
            </w:r>
          </w:p>
        </w:tc>
        <w:tc>
          <w:tcPr>
            <w:tcW w:w="747" w:type="dxa"/>
            <w:tcBorders>
              <w:top w:val="single" w:color="auto" w:sz="4" w:space="0"/>
              <w:left w:val="nil"/>
              <w:bottom w:val="single" w:color="auto" w:sz="4" w:space="0"/>
              <w:right w:val="single" w:color="auto" w:sz="4" w:space="0"/>
            </w:tcBorders>
            <w:shd w:val="clear" w:color="auto" w:fill="auto"/>
            <w:vAlign w:val="center"/>
          </w:tcPr>
          <w:p w14:paraId="7B7D3919">
            <w:pPr>
              <w:rPr>
                <w:rFonts w:asciiTheme="minorEastAsia" w:hAnsiTheme="minorEastAsia"/>
                <w:color w:val="auto"/>
                <w:sz w:val="18"/>
                <w:szCs w:val="18"/>
                <w:highlight w:val="none"/>
              </w:rPr>
            </w:pPr>
            <w:r>
              <w:rPr>
                <w:rFonts w:hint="eastAsia" w:asciiTheme="minorEastAsia" w:hAnsiTheme="minorEastAsia"/>
                <w:color w:val="auto"/>
                <w:sz w:val="18"/>
                <w:szCs w:val="18"/>
                <w:highlight w:val="none"/>
              </w:rPr>
              <w:t>80</w:t>
            </w:r>
          </w:p>
        </w:tc>
      </w:tr>
      <w:tr w14:paraId="2E593CAD">
        <w:tblPrEx>
          <w:tblCellMar>
            <w:top w:w="0" w:type="dxa"/>
            <w:left w:w="108" w:type="dxa"/>
            <w:bottom w:w="0" w:type="dxa"/>
            <w:right w:w="108" w:type="dxa"/>
          </w:tblCellMar>
        </w:tblPrEx>
        <w:trPr>
          <w:trHeight w:val="510" w:hRule="atLeast"/>
          <w:jc w:val="center"/>
        </w:trPr>
        <w:tc>
          <w:tcPr>
            <w:tcW w:w="991" w:type="dxa"/>
            <w:tcBorders>
              <w:top w:val="single" w:color="auto" w:sz="4" w:space="0"/>
              <w:left w:val="single" w:color="auto" w:sz="4" w:space="0"/>
              <w:bottom w:val="single" w:color="auto" w:sz="4" w:space="0"/>
              <w:right w:val="single" w:color="auto" w:sz="4" w:space="0"/>
            </w:tcBorders>
            <w:shd w:val="clear" w:color="auto" w:fill="auto"/>
            <w:vAlign w:val="center"/>
          </w:tcPr>
          <w:p w14:paraId="080660D9">
            <w:pPr>
              <w:ind w:firstLine="452"/>
              <w:rPr>
                <w:rFonts w:asciiTheme="minorEastAsia" w:hAnsiTheme="minorEastAsia"/>
                <w:color w:val="auto"/>
                <w:sz w:val="18"/>
                <w:szCs w:val="18"/>
                <w:highlight w:val="none"/>
              </w:rPr>
            </w:pPr>
            <w:r>
              <w:rPr>
                <w:rFonts w:hint="eastAsia" w:asciiTheme="minorEastAsia" w:hAnsiTheme="minorEastAsia"/>
                <w:color w:val="auto"/>
                <w:sz w:val="18"/>
                <w:szCs w:val="18"/>
                <w:highlight w:val="none"/>
              </w:rPr>
              <w:t>1-2</w:t>
            </w:r>
          </w:p>
        </w:tc>
        <w:tc>
          <w:tcPr>
            <w:tcW w:w="1287" w:type="dxa"/>
            <w:tcBorders>
              <w:top w:val="single" w:color="auto" w:sz="4" w:space="0"/>
              <w:left w:val="nil"/>
              <w:bottom w:val="single" w:color="auto" w:sz="4" w:space="0"/>
              <w:right w:val="single" w:color="auto" w:sz="4" w:space="0"/>
            </w:tcBorders>
            <w:shd w:val="clear" w:color="auto" w:fill="auto"/>
            <w:vAlign w:val="center"/>
          </w:tcPr>
          <w:p w14:paraId="454FC757">
            <w:pPr>
              <w:rPr>
                <w:rFonts w:cs="宋体" w:asciiTheme="minorEastAsia" w:hAnsiTheme="minorEastAsia"/>
                <w:color w:val="auto"/>
                <w:sz w:val="18"/>
                <w:szCs w:val="18"/>
                <w:highlight w:val="none"/>
              </w:rPr>
            </w:pPr>
            <w:r>
              <w:rPr>
                <w:rFonts w:hint="eastAsia" w:asciiTheme="minorEastAsia" w:hAnsiTheme="minorEastAsia"/>
                <w:color w:val="auto"/>
                <w:sz w:val="18"/>
                <w:szCs w:val="18"/>
                <w:highlight w:val="none"/>
              </w:rPr>
              <w:t>图形工作站1</w:t>
            </w:r>
          </w:p>
          <w:p w14:paraId="1182EFDA">
            <w:pPr>
              <w:ind w:firstLine="452"/>
              <w:rPr>
                <w:rFonts w:asciiTheme="minorEastAsia" w:hAnsiTheme="minorEastAsia"/>
                <w:color w:val="auto"/>
                <w:sz w:val="18"/>
                <w:szCs w:val="18"/>
                <w:highlight w:val="none"/>
              </w:rPr>
            </w:pPr>
          </w:p>
        </w:tc>
        <w:tc>
          <w:tcPr>
            <w:tcW w:w="4909" w:type="dxa"/>
            <w:tcBorders>
              <w:top w:val="single" w:color="auto" w:sz="4" w:space="0"/>
              <w:left w:val="nil"/>
              <w:bottom w:val="single" w:color="auto" w:sz="4" w:space="0"/>
              <w:right w:val="single" w:color="auto" w:sz="4" w:space="0"/>
            </w:tcBorders>
            <w:shd w:val="clear" w:color="auto" w:fill="auto"/>
            <w:vAlign w:val="center"/>
          </w:tcPr>
          <w:p w14:paraId="71944505">
            <w:pPr>
              <w:adjustRightInd w:val="0"/>
              <w:snapToGrid w:val="0"/>
              <w:rPr>
                <w:rFonts w:ascii="仿宋" w:hAnsi="仿宋"/>
                <w:b/>
                <w:color w:val="auto"/>
                <w:sz w:val="18"/>
                <w:szCs w:val="18"/>
                <w:highlight w:val="none"/>
              </w:rPr>
            </w:pPr>
            <w:r>
              <w:rPr>
                <w:rFonts w:hint="eastAsia" w:ascii="仿宋" w:hAnsi="仿宋"/>
                <w:b/>
                <w:color w:val="auto"/>
                <w:sz w:val="18"/>
                <w:szCs w:val="18"/>
                <w:highlight w:val="none"/>
              </w:rPr>
              <w:t>一、总体要求</w:t>
            </w:r>
          </w:p>
          <w:p w14:paraId="23E85FB9">
            <w:pPr>
              <w:numPr>
                <w:ilvl w:val="255"/>
                <w:numId w:val="0"/>
              </w:numPr>
              <w:rPr>
                <w:rFonts w:ascii="仿宋" w:hAnsi="仿宋"/>
                <w:b/>
                <w:color w:val="auto"/>
                <w:sz w:val="18"/>
                <w:szCs w:val="18"/>
                <w:highlight w:val="none"/>
              </w:rPr>
            </w:pPr>
            <w:r>
              <w:rPr>
                <w:rFonts w:hint="eastAsia" w:ascii="仿宋" w:hAnsi="仿宋"/>
                <w:b/>
                <w:color w:val="auto"/>
                <w:sz w:val="18"/>
                <w:szCs w:val="18"/>
                <w:highlight w:val="none"/>
              </w:rPr>
              <w:t>★</w:t>
            </w:r>
            <w:r>
              <w:rPr>
                <w:rFonts w:hint="eastAsia" w:ascii="仿宋" w:hAnsi="仿宋"/>
                <w:b/>
                <w:color w:val="auto"/>
                <w:sz w:val="18"/>
                <w:szCs w:val="18"/>
                <w:highlight w:val="none"/>
                <w:lang w:val="en-US" w:eastAsia="zh-CN"/>
              </w:rPr>
              <w:t>满足</w:t>
            </w:r>
            <w:r>
              <w:rPr>
                <w:rFonts w:hint="eastAsia" w:ascii="仿宋" w:hAnsi="仿宋"/>
                <w:b/>
                <w:color w:val="auto"/>
                <w:sz w:val="18"/>
                <w:szCs w:val="18"/>
                <w:highlight w:val="none"/>
              </w:rPr>
              <w:t>HYGON 3490 2.8G 16C 32T；32GB DDR5 5200 UDIMM；固态硬盘≥1TB ；≥RTXA5000 24GB 384b GDDR6X DVI+H+DP HP；</w:t>
            </w:r>
          </w:p>
          <w:p w14:paraId="4373391B">
            <w:pPr>
              <w:numPr>
                <w:ilvl w:val="0"/>
                <w:numId w:val="7"/>
              </w:numPr>
              <w:adjustRightInd w:val="0"/>
              <w:snapToGrid w:val="0"/>
              <w:rPr>
                <w:rFonts w:ascii="仿宋" w:hAnsi="仿宋"/>
                <w:bCs/>
                <w:color w:val="auto"/>
                <w:sz w:val="18"/>
                <w:szCs w:val="18"/>
                <w:highlight w:val="none"/>
              </w:rPr>
            </w:pPr>
            <w:r>
              <w:rPr>
                <w:rFonts w:hint="eastAsia" w:ascii="仿宋" w:hAnsi="仿宋"/>
                <w:bCs/>
                <w:color w:val="auto"/>
                <w:sz w:val="18"/>
                <w:szCs w:val="18"/>
                <w:highlight w:val="none"/>
              </w:rPr>
              <w:t>M.2接口NVME协议SSD，M.2接口≥2个，其中1个支持M.2 SSD；支持机械硬盘扩展电源功率≥750W；</w:t>
            </w:r>
          </w:p>
          <w:p w14:paraId="5DAAF262">
            <w:pPr>
              <w:numPr>
                <w:ilvl w:val="0"/>
                <w:numId w:val="7"/>
              </w:numPr>
              <w:adjustRightInd w:val="0"/>
              <w:snapToGrid w:val="0"/>
              <w:jc w:val="left"/>
              <w:rPr>
                <w:rFonts w:ascii="仿宋" w:hAnsi="仿宋"/>
                <w:b/>
                <w:color w:val="auto"/>
                <w:sz w:val="18"/>
                <w:szCs w:val="18"/>
                <w:highlight w:val="none"/>
              </w:rPr>
            </w:pPr>
            <w:r>
              <w:rPr>
                <w:rFonts w:hint="eastAsia" w:ascii="仿宋" w:hAnsi="仿宋"/>
                <w:b/>
                <w:color w:val="auto"/>
                <w:sz w:val="18"/>
                <w:szCs w:val="18"/>
                <w:highlight w:val="none"/>
              </w:rPr>
              <w:t>★(CX6)-MCX653105A-ECAT≥100GIB单口网卡，实现100GB以上高速互联的分布式训练框架和资源调度服务，并提供必要网络连接线和匹配的交换机；</w:t>
            </w:r>
          </w:p>
          <w:p w14:paraId="1138B7C4">
            <w:pPr>
              <w:numPr>
                <w:ilvl w:val="0"/>
                <w:numId w:val="7"/>
              </w:numPr>
              <w:adjustRightInd w:val="0"/>
              <w:snapToGrid w:val="0"/>
              <w:rPr>
                <w:rFonts w:ascii="仿宋" w:hAnsi="仿宋"/>
                <w:b/>
                <w:color w:val="auto"/>
                <w:sz w:val="18"/>
                <w:szCs w:val="18"/>
                <w:highlight w:val="none"/>
              </w:rPr>
            </w:pPr>
            <w:r>
              <w:rPr>
                <w:rFonts w:hint="eastAsia" w:ascii="仿宋" w:hAnsi="仿宋"/>
                <w:bCs/>
                <w:color w:val="auto"/>
                <w:sz w:val="18"/>
                <w:szCs w:val="18"/>
                <w:highlight w:val="none"/>
              </w:rPr>
              <w:t>同品牌≥27寸显示器；</w:t>
            </w:r>
          </w:p>
          <w:p w14:paraId="0073911E">
            <w:pPr>
              <w:numPr>
                <w:ilvl w:val="0"/>
                <w:numId w:val="7"/>
              </w:numPr>
              <w:adjustRightInd w:val="0"/>
              <w:snapToGrid w:val="0"/>
              <w:rPr>
                <w:rFonts w:ascii="仿宋" w:hAnsi="仿宋"/>
                <w:bCs/>
                <w:color w:val="auto"/>
                <w:sz w:val="18"/>
                <w:szCs w:val="18"/>
                <w:highlight w:val="none"/>
              </w:rPr>
            </w:pPr>
            <w:r>
              <w:rPr>
                <w:rFonts w:hint="eastAsia" w:ascii="仿宋" w:hAnsi="仿宋"/>
                <w:bCs/>
                <w:color w:val="auto"/>
                <w:sz w:val="18"/>
                <w:szCs w:val="18"/>
                <w:highlight w:val="none"/>
              </w:rPr>
              <w:t>机箱≥27L，支持全高全长扩展卡；</w:t>
            </w:r>
          </w:p>
          <w:p w14:paraId="3F9C6119">
            <w:pPr>
              <w:numPr>
                <w:ilvl w:val="0"/>
                <w:numId w:val="7"/>
              </w:numPr>
              <w:adjustRightInd w:val="0"/>
              <w:snapToGrid w:val="0"/>
              <w:rPr>
                <w:rFonts w:ascii="仿宋" w:hAnsi="仿宋"/>
                <w:bCs/>
                <w:color w:val="auto"/>
                <w:sz w:val="18"/>
                <w:szCs w:val="18"/>
                <w:highlight w:val="none"/>
              </w:rPr>
            </w:pPr>
            <w:r>
              <w:rPr>
                <w:rFonts w:hint="eastAsia" w:ascii="仿宋" w:hAnsi="仿宋"/>
                <w:bCs/>
                <w:color w:val="auto"/>
                <w:sz w:val="18"/>
                <w:szCs w:val="18"/>
                <w:highlight w:val="none"/>
              </w:rPr>
              <w:t>产品为工作站认证产品，需提供3C节能认证佐证；</w:t>
            </w:r>
          </w:p>
        </w:tc>
        <w:tc>
          <w:tcPr>
            <w:tcW w:w="1035" w:type="dxa"/>
            <w:tcBorders>
              <w:top w:val="single" w:color="auto" w:sz="4" w:space="0"/>
              <w:left w:val="nil"/>
              <w:bottom w:val="single" w:color="auto" w:sz="4" w:space="0"/>
              <w:right w:val="single" w:color="auto" w:sz="4" w:space="0"/>
            </w:tcBorders>
            <w:shd w:val="clear" w:color="auto" w:fill="auto"/>
            <w:vAlign w:val="center"/>
          </w:tcPr>
          <w:p w14:paraId="77B8385F">
            <w:pPr>
              <w:ind w:firstLine="452"/>
              <w:rPr>
                <w:rFonts w:asciiTheme="minorEastAsia" w:hAnsiTheme="minorEastAsia"/>
                <w:color w:val="auto"/>
                <w:sz w:val="18"/>
                <w:szCs w:val="18"/>
                <w:highlight w:val="none"/>
              </w:rPr>
            </w:pPr>
            <w:r>
              <w:rPr>
                <w:rFonts w:hint="eastAsia" w:asciiTheme="minorEastAsia" w:hAnsiTheme="minorEastAsia"/>
                <w:color w:val="auto"/>
                <w:sz w:val="18"/>
                <w:szCs w:val="18"/>
                <w:highlight w:val="none"/>
              </w:rPr>
              <w:t>台</w:t>
            </w:r>
          </w:p>
        </w:tc>
        <w:tc>
          <w:tcPr>
            <w:tcW w:w="747" w:type="dxa"/>
            <w:tcBorders>
              <w:top w:val="single" w:color="auto" w:sz="4" w:space="0"/>
              <w:left w:val="nil"/>
              <w:bottom w:val="single" w:color="auto" w:sz="4" w:space="0"/>
              <w:right w:val="single" w:color="auto" w:sz="4" w:space="0"/>
            </w:tcBorders>
            <w:shd w:val="clear" w:color="auto" w:fill="auto"/>
            <w:vAlign w:val="center"/>
          </w:tcPr>
          <w:p w14:paraId="159A1AD1">
            <w:pPr>
              <w:rPr>
                <w:rFonts w:asciiTheme="minorEastAsia" w:hAnsiTheme="minorEastAsia"/>
                <w:color w:val="auto"/>
                <w:sz w:val="18"/>
                <w:szCs w:val="18"/>
                <w:highlight w:val="none"/>
              </w:rPr>
            </w:pPr>
            <w:r>
              <w:rPr>
                <w:rFonts w:hint="eastAsia" w:asciiTheme="minorEastAsia" w:hAnsiTheme="minorEastAsia"/>
                <w:color w:val="auto"/>
                <w:sz w:val="18"/>
                <w:szCs w:val="18"/>
                <w:highlight w:val="none"/>
              </w:rPr>
              <w:t>9</w:t>
            </w:r>
          </w:p>
        </w:tc>
      </w:tr>
      <w:tr w14:paraId="19C4DF56">
        <w:tblPrEx>
          <w:tblCellMar>
            <w:top w:w="0" w:type="dxa"/>
            <w:left w:w="108" w:type="dxa"/>
            <w:bottom w:w="0" w:type="dxa"/>
            <w:right w:w="108" w:type="dxa"/>
          </w:tblCellMar>
        </w:tblPrEx>
        <w:trPr>
          <w:trHeight w:val="510" w:hRule="atLeast"/>
          <w:jc w:val="center"/>
        </w:trPr>
        <w:tc>
          <w:tcPr>
            <w:tcW w:w="991" w:type="dxa"/>
            <w:tcBorders>
              <w:top w:val="single" w:color="auto" w:sz="4" w:space="0"/>
              <w:left w:val="single" w:color="auto" w:sz="4" w:space="0"/>
              <w:bottom w:val="single" w:color="auto" w:sz="4" w:space="0"/>
              <w:right w:val="single" w:color="auto" w:sz="4" w:space="0"/>
            </w:tcBorders>
            <w:shd w:val="clear" w:color="auto" w:fill="auto"/>
            <w:vAlign w:val="center"/>
          </w:tcPr>
          <w:p w14:paraId="71B76F76">
            <w:pPr>
              <w:ind w:firstLine="452"/>
              <w:rPr>
                <w:rFonts w:asciiTheme="minorEastAsia" w:hAnsiTheme="minorEastAsia"/>
                <w:color w:val="auto"/>
                <w:sz w:val="18"/>
                <w:szCs w:val="18"/>
                <w:highlight w:val="none"/>
              </w:rPr>
            </w:pPr>
            <w:r>
              <w:rPr>
                <w:rFonts w:hint="eastAsia" w:asciiTheme="minorEastAsia" w:hAnsiTheme="minorEastAsia"/>
                <w:color w:val="auto"/>
                <w:sz w:val="18"/>
                <w:szCs w:val="18"/>
                <w:highlight w:val="none"/>
              </w:rPr>
              <w:t>1-3</w:t>
            </w:r>
          </w:p>
        </w:tc>
        <w:tc>
          <w:tcPr>
            <w:tcW w:w="1287" w:type="dxa"/>
            <w:tcBorders>
              <w:top w:val="single" w:color="auto" w:sz="4" w:space="0"/>
              <w:left w:val="nil"/>
              <w:bottom w:val="single" w:color="auto" w:sz="4" w:space="0"/>
              <w:right w:val="single" w:color="auto" w:sz="4" w:space="0"/>
            </w:tcBorders>
            <w:shd w:val="clear" w:color="auto" w:fill="auto"/>
            <w:vAlign w:val="center"/>
          </w:tcPr>
          <w:p w14:paraId="09ACF18F">
            <w:pPr>
              <w:rPr>
                <w:rFonts w:cs="宋体" w:asciiTheme="minorEastAsia" w:hAnsiTheme="minorEastAsia"/>
                <w:color w:val="auto"/>
                <w:sz w:val="18"/>
                <w:szCs w:val="18"/>
                <w:highlight w:val="none"/>
              </w:rPr>
            </w:pPr>
            <w:r>
              <w:rPr>
                <w:rFonts w:hint="eastAsia" w:asciiTheme="minorEastAsia" w:hAnsiTheme="minorEastAsia"/>
                <w:color w:val="auto"/>
                <w:sz w:val="18"/>
                <w:szCs w:val="18"/>
                <w:highlight w:val="none"/>
              </w:rPr>
              <w:t>图形工作站2</w:t>
            </w:r>
          </w:p>
          <w:p w14:paraId="56012AD8">
            <w:pPr>
              <w:ind w:firstLine="452"/>
              <w:rPr>
                <w:rFonts w:asciiTheme="minorEastAsia" w:hAnsiTheme="minorEastAsia"/>
                <w:color w:val="auto"/>
                <w:sz w:val="18"/>
                <w:szCs w:val="18"/>
                <w:highlight w:val="none"/>
              </w:rPr>
            </w:pPr>
          </w:p>
        </w:tc>
        <w:tc>
          <w:tcPr>
            <w:tcW w:w="4909" w:type="dxa"/>
            <w:tcBorders>
              <w:top w:val="single" w:color="auto" w:sz="4" w:space="0"/>
              <w:left w:val="nil"/>
              <w:bottom w:val="single" w:color="auto" w:sz="4" w:space="0"/>
              <w:right w:val="single" w:color="auto" w:sz="4" w:space="0"/>
            </w:tcBorders>
            <w:shd w:val="clear" w:color="auto" w:fill="auto"/>
            <w:vAlign w:val="center"/>
          </w:tcPr>
          <w:p w14:paraId="0D394475">
            <w:pPr>
              <w:adjustRightInd w:val="0"/>
              <w:snapToGrid w:val="0"/>
              <w:rPr>
                <w:rFonts w:ascii="仿宋" w:hAnsi="仿宋"/>
                <w:b/>
                <w:color w:val="auto"/>
                <w:sz w:val="18"/>
                <w:szCs w:val="18"/>
                <w:highlight w:val="none"/>
              </w:rPr>
            </w:pPr>
            <w:r>
              <w:rPr>
                <w:rFonts w:hint="eastAsia" w:ascii="仿宋" w:hAnsi="仿宋"/>
                <w:b/>
                <w:color w:val="auto"/>
                <w:sz w:val="18"/>
                <w:szCs w:val="18"/>
                <w:highlight w:val="none"/>
              </w:rPr>
              <w:t>一、总体要求：</w:t>
            </w:r>
          </w:p>
          <w:p w14:paraId="2914FC27">
            <w:pPr>
              <w:numPr>
                <w:ilvl w:val="255"/>
                <w:numId w:val="0"/>
              </w:numPr>
              <w:rPr>
                <w:rFonts w:ascii="仿宋" w:hAnsi="仿宋"/>
                <w:b/>
                <w:color w:val="auto"/>
                <w:sz w:val="18"/>
                <w:szCs w:val="18"/>
                <w:highlight w:val="none"/>
              </w:rPr>
            </w:pPr>
            <w:r>
              <w:rPr>
                <w:rFonts w:hint="eastAsia" w:ascii="仿宋" w:hAnsi="仿宋"/>
                <w:b/>
                <w:color w:val="auto"/>
                <w:sz w:val="18"/>
                <w:szCs w:val="18"/>
                <w:highlight w:val="none"/>
              </w:rPr>
              <w:t>★</w:t>
            </w:r>
            <w:r>
              <w:rPr>
                <w:rFonts w:hint="eastAsia" w:ascii="仿宋" w:hAnsi="仿宋"/>
                <w:b/>
                <w:color w:val="auto"/>
                <w:sz w:val="18"/>
                <w:szCs w:val="18"/>
                <w:highlight w:val="none"/>
                <w:lang w:val="en-US" w:eastAsia="zh-CN"/>
              </w:rPr>
              <w:t>满足</w:t>
            </w:r>
            <w:r>
              <w:rPr>
                <w:rFonts w:hint="eastAsia" w:ascii="仿宋" w:hAnsi="仿宋"/>
                <w:b/>
                <w:color w:val="auto"/>
                <w:sz w:val="18"/>
                <w:szCs w:val="18"/>
                <w:highlight w:val="none"/>
              </w:rPr>
              <w:t>HYGON 3350 3.0G 8C 16T；32GB DDR4 3200 UDIMM；固态硬盘≥1TB；≥RTX3060 6GB G6 96b DVI+H+DP HP；</w:t>
            </w:r>
          </w:p>
          <w:p w14:paraId="4E93D73E">
            <w:pPr>
              <w:numPr>
                <w:ilvl w:val="0"/>
                <w:numId w:val="8"/>
              </w:numPr>
              <w:adjustRightInd w:val="0"/>
              <w:snapToGrid w:val="0"/>
              <w:rPr>
                <w:rFonts w:ascii="仿宋" w:hAnsi="仿宋"/>
                <w:bCs/>
                <w:color w:val="auto"/>
                <w:sz w:val="18"/>
                <w:szCs w:val="18"/>
                <w:highlight w:val="none"/>
              </w:rPr>
            </w:pPr>
            <w:r>
              <w:rPr>
                <w:rFonts w:hint="eastAsia" w:ascii="仿宋" w:hAnsi="仿宋"/>
                <w:bCs/>
                <w:color w:val="auto"/>
                <w:sz w:val="18"/>
                <w:szCs w:val="18"/>
                <w:highlight w:val="none"/>
              </w:rPr>
              <w:t>M.2接口NVME协议SSD，M.2接口≥3个，其中2个支持M.2 SSD；支持机械硬盘扩展；</w:t>
            </w:r>
          </w:p>
          <w:p w14:paraId="3B695203">
            <w:pPr>
              <w:numPr>
                <w:ilvl w:val="0"/>
                <w:numId w:val="8"/>
              </w:numPr>
              <w:adjustRightInd w:val="0"/>
              <w:snapToGrid w:val="0"/>
              <w:rPr>
                <w:rFonts w:ascii="仿宋" w:hAnsi="仿宋"/>
                <w:bCs/>
                <w:color w:val="auto"/>
                <w:sz w:val="18"/>
                <w:szCs w:val="18"/>
                <w:highlight w:val="none"/>
              </w:rPr>
            </w:pPr>
            <w:r>
              <w:rPr>
                <w:rFonts w:hint="eastAsia" w:ascii="仿宋" w:hAnsi="仿宋"/>
                <w:bCs/>
                <w:color w:val="auto"/>
                <w:sz w:val="18"/>
                <w:szCs w:val="18"/>
                <w:highlight w:val="none"/>
              </w:rPr>
              <w:t>电源功率≥500W；</w:t>
            </w:r>
          </w:p>
          <w:p w14:paraId="6A3F8F9D">
            <w:pPr>
              <w:numPr>
                <w:ilvl w:val="0"/>
                <w:numId w:val="8"/>
              </w:numPr>
              <w:adjustRightInd w:val="0"/>
              <w:snapToGrid w:val="0"/>
              <w:rPr>
                <w:rFonts w:ascii="仿宋" w:hAnsi="仿宋"/>
                <w:b/>
                <w:color w:val="auto"/>
                <w:sz w:val="18"/>
                <w:szCs w:val="18"/>
                <w:highlight w:val="none"/>
              </w:rPr>
            </w:pPr>
            <w:r>
              <w:rPr>
                <w:rFonts w:hint="eastAsia" w:ascii="仿宋" w:hAnsi="仿宋"/>
                <w:bCs/>
                <w:color w:val="auto"/>
                <w:sz w:val="18"/>
                <w:szCs w:val="18"/>
                <w:highlight w:val="none"/>
              </w:rPr>
              <w:t>同品牌≥27寸显示器；</w:t>
            </w:r>
          </w:p>
          <w:p w14:paraId="2C298287">
            <w:pPr>
              <w:numPr>
                <w:ilvl w:val="0"/>
                <w:numId w:val="8"/>
              </w:numPr>
              <w:adjustRightInd w:val="0"/>
              <w:snapToGrid w:val="0"/>
              <w:rPr>
                <w:rFonts w:ascii="仿宋" w:hAnsi="仿宋"/>
                <w:bCs/>
                <w:color w:val="auto"/>
                <w:sz w:val="18"/>
                <w:szCs w:val="18"/>
                <w:highlight w:val="none"/>
              </w:rPr>
            </w:pPr>
            <w:r>
              <w:rPr>
                <w:rFonts w:hint="eastAsia" w:ascii="仿宋" w:hAnsi="仿宋"/>
                <w:color w:val="auto"/>
                <w:sz w:val="18"/>
                <w:szCs w:val="18"/>
                <w:highlight w:val="none"/>
              </w:rPr>
              <w:t>机箱≥17L，支持全高全长扩展卡；</w:t>
            </w:r>
          </w:p>
          <w:p w14:paraId="609E6874">
            <w:pPr>
              <w:numPr>
                <w:ilvl w:val="0"/>
                <w:numId w:val="8"/>
              </w:numPr>
              <w:adjustRightInd w:val="0"/>
              <w:snapToGrid w:val="0"/>
              <w:rPr>
                <w:rFonts w:ascii="仿宋" w:hAnsi="仿宋"/>
                <w:bCs/>
                <w:color w:val="auto"/>
                <w:sz w:val="18"/>
                <w:szCs w:val="18"/>
                <w:highlight w:val="none"/>
              </w:rPr>
            </w:pPr>
            <w:r>
              <w:rPr>
                <w:rFonts w:hint="eastAsia" w:ascii="仿宋" w:hAnsi="仿宋"/>
                <w:bCs/>
                <w:color w:val="auto"/>
                <w:sz w:val="18"/>
                <w:szCs w:val="18"/>
                <w:highlight w:val="none"/>
              </w:rPr>
              <w:t>产品为工作站认证产品，需提供3C节能认证佐证；</w:t>
            </w:r>
          </w:p>
          <w:p w14:paraId="7F76EE86">
            <w:pPr>
              <w:adjustRightInd w:val="0"/>
              <w:snapToGrid w:val="0"/>
              <w:ind w:firstLine="255" w:firstLineChars="141"/>
              <w:rPr>
                <w:rFonts w:ascii="仿宋" w:hAnsi="仿宋"/>
                <w:b/>
                <w:bCs/>
                <w:color w:val="auto"/>
                <w:sz w:val="18"/>
                <w:szCs w:val="18"/>
                <w:highlight w:val="none"/>
              </w:rPr>
            </w:pPr>
          </w:p>
        </w:tc>
        <w:tc>
          <w:tcPr>
            <w:tcW w:w="1035" w:type="dxa"/>
            <w:tcBorders>
              <w:top w:val="single" w:color="auto" w:sz="4" w:space="0"/>
              <w:left w:val="nil"/>
              <w:bottom w:val="single" w:color="auto" w:sz="4" w:space="0"/>
              <w:right w:val="single" w:color="auto" w:sz="4" w:space="0"/>
            </w:tcBorders>
            <w:shd w:val="clear" w:color="auto" w:fill="auto"/>
            <w:vAlign w:val="center"/>
          </w:tcPr>
          <w:p w14:paraId="21548B37">
            <w:pPr>
              <w:ind w:firstLine="452"/>
              <w:rPr>
                <w:rFonts w:asciiTheme="minorEastAsia" w:hAnsiTheme="minorEastAsia"/>
                <w:color w:val="auto"/>
                <w:sz w:val="18"/>
                <w:szCs w:val="18"/>
                <w:highlight w:val="none"/>
              </w:rPr>
            </w:pPr>
            <w:r>
              <w:rPr>
                <w:rFonts w:hint="eastAsia" w:asciiTheme="minorEastAsia" w:hAnsiTheme="minorEastAsia"/>
                <w:color w:val="auto"/>
                <w:sz w:val="18"/>
                <w:szCs w:val="18"/>
                <w:highlight w:val="none"/>
              </w:rPr>
              <w:t>台</w:t>
            </w:r>
          </w:p>
        </w:tc>
        <w:tc>
          <w:tcPr>
            <w:tcW w:w="747" w:type="dxa"/>
            <w:tcBorders>
              <w:top w:val="single" w:color="auto" w:sz="4" w:space="0"/>
              <w:left w:val="nil"/>
              <w:bottom w:val="single" w:color="auto" w:sz="4" w:space="0"/>
              <w:right w:val="single" w:color="auto" w:sz="4" w:space="0"/>
            </w:tcBorders>
            <w:shd w:val="clear" w:color="auto" w:fill="auto"/>
            <w:vAlign w:val="center"/>
          </w:tcPr>
          <w:p w14:paraId="00010BEB">
            <w:pPr>
              <w:rPr>
                <w:rFonts w:asciiTheme="minorEastAsia" w:hAnsiTheme="minorEastAsia"/>
                <w:color w:val="auto"/>
                <w:sz w:val="18"/>
                <w:szCs w:val="18"/>
                <w:highlight w:val="none"/>
              </w:rPr>
            </w:pPr>
            <w:r>
              <w:rPr>
                <w:rFonts w:hint="eastAsia" w:asciiTheme="minorEastAsia" w:hAnsiTheme="minorEastAsia"/>
                <w:color w:val="auto"/>
                <w:sz w:val="18"/>
                <w:szCs w:val="18"/>
                <w:highlight w:val="none"/>
              </w:rPr>
              <w:t>9</w:t>
            </w:r>
          </w:p>
        </w:tc>
      </w:tr>
      <w:tr w14:paraId="758D1AD5">
        <w:tblPrEx>
          <w:tblCellMar>
            <w:top w:w="0" w:type="dxa"/>
            <w:left w:w="108" w:type="dxa"/>
            <w:bottom w:w="0" w:type="dxa"/>
            <w:right w:w="108" w:type="dxa"/>
          </w:tblCellMar>
        </w:tblPrEx>
        <w:trPr>
          <w:trHeight w:val="510" w:hRule="atLeast"/>
          <w:jc w:val="center"/>
        </w:trPr>
        <w:tc>
          <w:tcPr>
            <w:tcW w:w="991" w:type="dxa"/>
            <w:tcBorders>
              <w:top w:val="single" w:color="auto" w:sz="4" w:space="0"/>
              <w:left w:val="single" w:color="auto" w:sz="4" w:space="0"/>
              <w:bottom w:val="single" w:color="auto" w:sz="4" w:space="0"/>
              <w:right w:val="single" w:color="auto" w:sz="4" w:space="0"/>
            </w:tcBorders>
            <w:shd w:val="clear" w:color="auto" w:fill="auto"/>
            <w:vAlign w:val="center"/>
          </w:tcPr>
          <w:p w14:paraId="6DAA92E5">
            <w:pPr>
              <w:ind w:firstLine="452"/>
              <w:rPr>
                <w:rFonts w:asciiTheme="minorEastAsia" w:hAnsiTheme="minorEastAsia"/>
                <w:color w:val="auto"/>
                <w:sz w:val="18"/>
                <w:szCs w:val="18"/>
                <w:highlight w:val="none"/>
              </w:rPr>
            </w:pPr>
            <w:r>
              <w:rPr>
                <w:rFonts w:hint="eastAsia" w:asciiTheme="minorEastAsia" w:hAnsiTheme="minorEastAsia"/>
                <w:color w:val="auto"/>
                <w:sz w:val="18"/>
                <w:szCs w:val="18"/>
                <w:highlight w:val="none"/>
              </w:rPr>
              <w:t>1-4</w:t>
            </w:r>
          </w:p>
        </w:tc>
        <w:tc>
          <w:tcPr>
            <w:tcW w:w="1287" w:type="dxa"/>
            <w:tcBorders>
              <w:top w:val="single" w:color="auto" w:sz="4" w:space="0"/>
              <w:left w:val="nil"/>
              <w:bottom w:val="single" w:color="auto" w:sz="4" w:space="0"/>
              <w:right w:val="single" w:color="auto" w:sz="4" w:space="0"/>
            </w:tcBorders>
            <w:shd w:val="clear" w:color="auto" w:fill="auto"/>
            <w:vAlign w:val="center"/>
          </w:tcPr>
          <w:p w14:paraId="11DCC7EE">
            <w:pPr>
              <w:rPr>
                <w:rFonts w:asciiTheme="minorEastAsia" w:hAnsiTheme="minorEastAsia"/>
                <w:color w:val="auto"/>
                <w:sz w:val="18"/>
                <w:szCs w:val="18"/>
                <w:highlight w:val="none"/>
              </w:rPr>
            </w:pPr>
            <w:r>
              <w:rPr>
                <w:rFonts w:hint="eastAsia" w:asciiTheme="minorEastAsia" w:hAnsiTheme="minorEastAsia"/>
                <w:color w:val="auto"/>
                <w:sz w:val="18"/>
                <w:szCs w:val="18"/>
                <w:highlight w:val="none"/>
              </w:rPr>
              <w:t>图形工作站</w:t>
            </w:r>
            <w:r>
              <w:rPr>
                <w:rFonts w:asciiTheme="minorEastAsia" w:hAnsiTheme="minorEastAsia"/>
                <w:color w:val="auto"/>
                <w:sz w:val="18"/>
                <w:szCs w:val="18"/>
                <w:highlight w:val="none"/>
              </w:rPr>
              <w:t>3</w:t>
            </w:r>
          </w:p>
          <w:p w14:paraId="12076B4E">
            <w:pPr>
              <w:ind w:firstLine="452"/>
              <w:rPr>
                <w:rFonts w:asciiTheme="minorEastAsia" w:hAnsiTheme="minorEastAsia"/>
                <w:color w:val="auto"/>
                <w:sz w:val="18"/>
                <w:szCs w:val="18"/>
                <w:highlight w:val="none"/>
              </w:rPr>
            </w:pPr>
          </w:p>
        </w:tc>
        <w:tc>
          <w:tcPr>
            <w:tcW w:w="4909" w:type="dxa"/>
            <w:tcBorders>
              <w:top w:val="single" w:color="auto" w:sz="4" w:space="0"/>
              <w:left w:val="nil"/>
              <w:bottom w:val="single" w:color="auto" w:sz="4" w:space="0"/>
              <w:right w:val="single" w:color="auto" w:sz="4" w:space="0"/>
            </w:tcBorders>
            <w:shd w:val="clear" w:color="auto" w:fill="auto"/>
            <w:vAlign w:val="center"/>
          </w:tcPr>
          <w:p w14:paraId="24F6F91A">
            <w:pPr>
              <w:adjustRightInd w:val="0"/>
              <w:snapToGrid w:val="0"/>
              <w:rPr>
                <w:rFonts w:ascii="仿宋" w:hAnsi="仿宋"/>
                <w:b/>
                <w:color w:val="auto"/>
                <w:sz w:val="18"/>
                <w:szCs w:val="18"/>
                <w:highlight w:val="none"/>
              </w:rPr>
            </w:pPr>
            <w:r>
              <w:rPr>
                <w:rFonts w:hint="eastAsia" w:ascii="仿宋" w:hAnsi="仿宋"/>
                <w:b/>
                <w:color w:val="auto"/>
                <w:sz w:val="18"/>
                <w:szCs w:val="18"/>
                <w:highlight w:val="none"/>
              </w:rPr>
              <w:t>一、总体要求：</w:t>
            </w:r>
          </w:p>
          <w:p w14:paraId="499E26D5">
            <w:pPr>
              <w:adjustRightInd w:val="0"/>
              <w:snapToGrid w:val="0"/>
              <w:ind w:firstLine="255" w:firstLineChars="141"/>
              <w:rPr>
                <w:rFonts w:ascii="仿宋" w:hAnsi="仿宋"/>
                <w:b/>
                <w:bCs/>
                <w:color w:val="auto"/>
                <w:sz w:val="18"/>
                <w:szCs w:val="18"/>
                <w:highlight w:val="none"/>
              </w:rPr>
            </w:pPr>
          </w:p>
          <w:p w14:paraId="72842E80">
            <w:pPr>
              <w:numPr>
                <w:ilvl w:val="255"/>
                <w:numId w:val="0"/>
              </w:numPr>
              <w:rPr>
                <w:rFonts w:ascii="仿宋" w:hAnsi="仿宋"/>
                <w:b/>
                <w:color w:val="auto"/>
                <w:sz w:val="18"/>
                <w:szCs w:val="18"/>
                <w:highlight w:val="none"/>
              </w:rPr>
            </w:pPr>
            <w:r>
              <w:rPr>
                <w:rFonts w:hint="eastAsia" w:ascii="仿宋" w:hAnsi="仿宋"/>
                <w:b/>
                <w:color w:val="auto"/>
                <w:sz w:val="18"/>
                <w:szCs w:val="18"/>
                <w:highlight w:val="none"/>
              </w:rPr>
              <w:t>★</w:t>
            </w:r>
            <w:r>
              <w:rPr>
                <w:rFonts w:hint="eastAsia" w:ascii="仿宋" w:hAnsi="仿宋"/>
                <w:b/>
                <w:color w:val="auto"/>
                <w:sz w:val="18"/>
                <w:szCs w:val="18"/>
                <w:highlight w:val="none"/>
                <w:lang w:val="en-US" w:eastAsia="zh-CN"/>
              </w:rPr>
              <w:t>满足</w:t>
            </w:r>
            <w:r>
              <w:rPr>
                <w:rFonts w:hint="eastAsia" w:ascii="仿宋" w:hAnsi="仿宋"/>
                <w:b/>
                <w:color w:val="auto"/>
                <w:sz w:val="18"/>
                <w:szCs w:val="18"/>
                <w:highlight w:val="none"/>
              </w:rPr>
              <w:t>HYGON 3350 3.0G 8C 16T；16GB DDR4 3200 UDIMM；固态硬盘≥1TB；≥RTXA400 4GB G6 64b 4mDP HP；</w:t>
            </w:r>
          </w:p>
          <w:p w14:paraId="7FE34E72">
            <w:pPr>
              <w:numPr>
                <w:ilvl w:val="0"/>
                <w:numId w:val="9"/>
              </w:numPr>
              <w:adjustRightInd w:val="0"/>
              <w:snapToGrid w:val="0"/>
              <w:rPr>
                <w:rFonts w:ascii="仿宋" w:hAnsi="仿宋"/>
                <w:bCs/>
                <w:color w:val="auto"/>
                <w:sz w:val="18"/>
                <w:szCs w:val="18"/>
                <w:highlight w:val="none"/>
              </w:rPr>
            </w:pPr>
            <w:r>
              <w:rPr>
                <w:rFonts w:hint="eastAsia" w:ascii="仿宋" w:hAnsi="仿宋"/>
                <w:bCs/>
                <w:color w:val="auto"/>
                <w:sz w:val="18"/>
                <w:szCs w:val="18"/>
                <w:highlight w:val="none"/>
              </w:rPr>
              <w:t>M.2接口NVME协议SSD，M.2接口≥3个，其中2个支持M.2 SSD；支持机械硬盘扩展；</w:t>
            </w:r>
          </w:p>
          <w:p w14:paraId="25053C73">
            <w:pPr>
              <w:numPr>
                <w:ilvl w:val="0"/>
                <w:numId w:val="9"/>
              </w:numPr>
              <w:adjustRightInd w:val="0"/>
              <w:snapToGrid w:val="0"/>
              <w:rPr>
                <w:rFonts w:ascii="仿宋" w:hAnsi="仿宋"/>
                <w:bCs/>
                <w:color w:val="auto"/>
                <w:sz w:val="18"/>
                <w:szCs w:val="18"/>
                <w:highlight w:val="none"/>
              </w:rPr>
            </w:pPr>
            <w:r>
              <w:rPr>
                <w:rFonts w:hint="eastAsia" w:ascii="仿宋" w:hAnsi="仿宋"/>
                <w:bCs/>
                <w:color w:val="auto"/>
                <w:sz w:val="18"/>
                <w:szCs w:val="18"/>
                <w:highlight w:val="none"/>
              </w:rPr>
              <w:t>电源功率≥500W；</w:t>
            </w:r>
          </w:p>
          <w:p w14:paraId="594CA1FA">
            <w:pPr>
              <w:numPr>
                <w:ilvl w:val="0"/>
                <w:numId w:val="9"/>
              </w:numPr>
              <w:adjustRightInd w:val="0"/>
              <w:snapToGrid w:val="0"/>
              <w:rPr>
                <w:rFonts w:ascii="仿宋" w:hAnsi="仿宋"/>
                <w:bCs/>
                <w:color w:val="auto"/>
                <w:sz w:val="18"/>
                <w:szCs w:val="18"/>
                <w:highlight w:val="none"/>
              </w:rPr>
            </w:pPr>
            <w:r>
              <w:rPr>
                <w:rFonts w:hint="eastAsia" w:ascii="仿宋" w:hAnsi="仿宋"/>
                <w:bCs/>
                <w:color w:val="auto"/>
                <w:sz w:val="18"/>
                <w:szCs w:val="18"/>
                <w:highlight w:val="none"/>
              </w:rPr>
              <w:t>同品牌≥23.8寸显示器；</w:t>
            </w:r>
          </w:p>
          <w:p w14:paraId="5CBA2C3B">
            <w:pPr>
              <w:numPr>
                <w:ilvl w:val="0"/>
                <w:numId w:val="9"/>
              </w:numPr>
              <w:adjustRightInd w:val="0"/>
              <w:snapToGrid w:val="0"/>
              <w:rPr>
                <w:rFonts w:ascii="仿宋" w:hAnsi="仿宋"/>
                <w:bCs/>
                <w:color w:val="auto"/>
                <w:sz w:val="18"/>
                <w:szCs w:val="18"/>
                <w:highlight w:val="none"/>
              </w:rPr>
            </w:pPr>
            <w:r>
              <w:rPr>
                <w:rFonts w:hint="eastAsia" w:ascii="仿宋" w:hAnsi="仿宋"/>
                <w:bCs/>
                <w:color w:val="auto"/>
                <w:sz w:val="18"/>
                <w:szCs w:val="18"/>
                <w:highlight w:val="none"/>
              </w:rPr>
              <w:t>机箱≥17L，支持全高全长扩展卡；</w:t>
            </w:r>
          </w:p>
          <w:p w14:paraId="7EF14A8A">
            <w:pPr>
              <w:numPr>
                <w:ilvl w:val="0"/>
                <w:numId w:val="9"/>
              </w:numPr>
              <w:adjustRightInd w:val="0"/>
              <w:snapToGrid w:val="0"/>
              <w:rPr>
                <w:rFonts w:ascii="仿宋" w:hAnsi="仿宋"/>
                <w:bCs/>
                <w:color w:val="auto"/>
                <w:sz w:val="18"/>
                <w:szCs w:val="18"/>
                <w:highlight w:val="none"/>
              </w:rPr>
            </w:pPr>
            <w:r>
              <w:rPr>
                <w:rFonts w:hint="eastAsia" w:ascii="仿宋" w:hAnsi="仿宋"/>
                <w:bCs/>
                <w:color w:val="auto"/>
                <w:sz w:val="18"/>
                <w:szCs w:val="18"/>
                <w:highlight w:val="none"/>
              </w:rPr>
              <w:t>产品为工作站认证产品，需提供3C节能认证佐证；</w:t>
            </w:r>
          </w:p>
          <w:p w14:paraId="6C65C1A9">
            <w:pPr>
              <w:adjustRightInd w:val="0"/>
              <w:snapToGrid w:val="0"/>
              <w:rPr>
                <w:rFonts w:ascii="仿宋" w:hAnsi="仿宋"/>
                <w:b/>
                <w:color w:val="auto"/>
                <w:sz w:val="18"/>
                <w:szCs w:val="18"/>
                <w:highlight w:val="none"/>
              </w:rPr>
            </w:pPr>
            <w:r>
              <w:rPr>
                <w:rFonts w:hint="eastAsia" w:ascii="仿宋" w:hAnsi="仿宋"/>
                <w:b/>
                <w:color w:val="auto"/>
                <w:sz w:val="18"/>
                <w:szCs w:val="18"/>
                <w:highlight w:val="none"/>
              </w:rPr>
              <w:t>二、具体要求：</w:t>
            </w:r>
          </w:p>
          <w:p w14:paraId="05C17E02">
            <w:pPr>
              <w:numPr>
                <w:ilvl w:val="0"/>
                <w:numId w:val="10"/>
              </w:numPr>
              <w:adjustRightInd w:val="0"/>
              <w:snapToGrid w:val="0"/>
              <w:rPr>
                <w:rFonts w:ascii="仿宋" w:hAnsi="仿宋"/>
                <w:bCs/>
                <w:color w:val="auto"/>
                <w:sz w:val="18"/>
                <w:szCs w:val="18"/>
                <w:highlight w:val="none"/>
              </w:rPr>
            </w:pPr>
            <w:r>
              <w:rPr>
                <w:rFonts w:hint="eastAsia" w:ascii="仿宋" w:hAnsi="仿宋"/>
                <w:bCs/>
                <w:color w:val="auto"/>
                <w:sz w:val="18"/>
                <w:szCs w:val="18"/>
                <w:highlight w:val="none"/>
              </w:rPr>
              <w:t>所投云桌面软件需与硬件为同品牌。（须提供所投产品软件功能截图）</w:t>
            </w:r>
          </w:p>
          <w:p w14:paraId="1095D655">
            <w:pPr>
              <w:numPr>
                <w:ilvl w:val="0"/>
                <w:numId w:val="10"/>
              </w:numPr>
              <w:adjustRightInd w:val="0"/>
              <w:snapToGrid w:val="0"/>
              <w:rPr>
                <w:rFonts w:ascii="仿宋" w:hAnsi="仿宋"/>
                <w:bCs/>
                <w:color w:val="auto"/>
                <w:sz w:val="18"/>
                <w:szCs w:val="18"/>
                <w:highlight w:val="none"/>
              </w:rPr>
            </w:pPr>
            <w:r>
              <w:rPr>
                <w:rFonts w:hint="eastAsia" w:ascii="仿宋" w:hAnsi="仿宋"/>
                <w:bCs/>
                <w:color w:val="auto"/>
                <w:sz w:val="18"/>
                <w:szCs w:val="18"/>
                <w:highlight w:val="none"/>
              </w:rPr>
              <w:t>平台具备对终端的操作系统镜像生成与统一分发管理。（须提供所投产品软件功能截图）</w:t>
            </w:r>
          </w:p>
          <w:p w14:paraId="645F13CC">
            <w:pPr>
              <w:numPr>
                <w:ilvl w:val="0"/>
                <w:numId w:val="10"/>
              </w:numPr>
              <w:adjustRightInd w:val="0"/>
              <w:snapToGrid w:val="0"/>
              <w:rPr>
                <w:rFonts w:ascii="仿宋" w:hAnsi="仿宋"/>
                <w:bCs/>
                <w:color w:val="auto"/>
                <w:sz w:val="18"/>
                <w:szCs w:val="18"/>
                <w:highlight w:val="none"/>
              </w:rPr>
            </w:pPr>
            <w:r>
              <w:rPr>
                <w:rFonts w:hint="eastAsia" w:ascii="仿宋" w:hAnsi="仿宋"/>
                <w:bCs/>
                <w:color w:val="auto"/>
                <w:sz w:val="18"/>
                <w:szCs w:val="18"/>
                <w:highlight w:val="none"/>
              </w:rPr>
              <w:t>支持Legacy与UEFI两种方式启动系统，支持管理多网卡、双硬盘，支持M.2新型高速固态硬盘，同时兼容新老机型部署。</w:t>
            </w:r>
          </w:p>
          <w:p w14:paraId="0A34E4F1">
            <w:pPr>
              <w:numPr>
                <w:ilvl w:val="0"/>
                <w:numId w:val="10"/>
              </w:numPr>
              <w:adjustRightInd w:val="0"/>
              <w:snapToGrid w:val="0"/>
              <w:rPr>
                <w:rFonts w:ascii="仿宋" w:hAnsi="仿宋"/>
                <w:bCs/>
                <w:color w:val="auto"/>
                <w:sz w:val="18"/>
                <w:szCs w:val="18"/>
                <w:highlight w:val="none"/>
              </w:rPr>
            </w:pPr>
            <w:r>
              <w:rPr>
                <w:rFonts w:hint="eastAsia" w:ascii="仿宋" w:hAnsi="仿宋"/>
                <w:bCs/>
                <w:color w:val="auto"/>
                <w:sz w:val="18"/>
                <w:szCs w:val="18"/>
                <w:highlight w:val="none"/>
              </w:rPr>
              <w:t>平台具备批量管理终端计算机名、IP地址等配置信息，同时支持针对不同的终端群组设置不同的安全管控策略。</w:t>
            </w:r>
          </w:p>
          <w:p w14:paraId="4D048B9F">
            <w:pPr>
              <w:numPr>
                <w:ilvl w:val="0"/>
                <w:numId w:val="10"/>
              </w:numPr>
              <w:adjustRightInd w:val="0"/>
              <w:snapToGrid w:val="0"/>
              <w:rPr>
                <w:rFonts w:ascii="仿宋" w:hAnsi="仿宋"/>
                <w:bCs/>
                <w:color w:val="auto"/>
                <w:sz w:val="18"/>
                <w:szCs w:val="18"/>
                <w:highlight w:val="none"/>
              </w:rPr>
            </w:pPr>
            <w:r>
              <w:rPr>
                <w:rFonts w:hint="eastAsia" w:ascii="仿宋" w:hAnsi="仿宋"/>
                <w:bCs/>
                <w:color w:val="auto"/>
                <w:sz w:val="18"/>
                <w:szCs w:val="18"/>
                <w:highlight w:val="none"/>
              </w:rPr>
              <w:t>平台具备分组管理，可将终端进行分组，管理员可根据配置好的镜像分配给相应的分组；为不影响教学，可在正常上课的同时完成镜像缓存下载。</w:t>
            </w:r>
          </w:p>
          <w:p w14:paraId="58E0D169">
            <w:pPr>
              <w:numPr>
                <w:ilvl w:val="0"/>
                <w:numId w:val="10"/>
              </w:numPr>
              <w:adjustRightInd w:val="0"/>
              <w:snapToGrid w:val="0"/>
              <w:rPr>
                <w:rFonts w:ascii="仿宋" w:hAnsi="仿宋"/>
                <w:bCs/>
                <w:color w:val="auto"/>
                <w:sz w:val="18"/>
                <w:szCs w:val="18"/>
                <w:highlight w:val="none"/>
              </w:rPr>
            </w:pPr>
            <w:r>
              <w:rPr>
                <w:rFonts w:hint="eastAsia" w:ascii="仿宋" w:hAnsi="仿宋"/>
                <w:bCs/>
                <w:color w:val="auto"/>
                <w:sz w:val="18"/>
                <w:szCs w:val="18"/>
                <w:highlight w:val="none"/>
              </w:rPr>
              <w:t>支持在镜像下发时进行组内网络探测与网速传输测试，提前优化镜像下发策略，保障传输效率。</w:t>
            </w:r>
          </w:p>
          <w:p w14:paraId="245FA8BC">
            <w:pPr>
              <w:numPr>
                <w:ilvl w:val="0"/>
                <w:numId w:val="10"/>
              </w:numPr>
              <w:adjustRightInd w:val="0"/>
              <w:snapToGrid w:val="0"/>
              <w:rPr>
                <w:rFonts w:ascii="仿宋" w:hAnsi="仿宋"/>
                <w:bCs/>
                <w:color w:val="auto"/>
                <w:sz w:val="18"/>
                <w:szCs w:val="18"/>
                <w:highlight w:val="none"/>
              </w:rPr>
            </w:pPr>
            <w:r>
              <w:rPr>
                <w:rFonts w:hint="eastAsia" w:ascii="仿宋" w:hAnsi="仿宋"/>
                <w:bCs/>
                <w:color w:val="auto"/>
                <w:sz w:val="18"/>
                <w:szCs w:val="18"/>
                <w:highlight w:val="none"/>
              </w:rPr>
              <w:t>具备跨校区、跨广域网部署，IP可达即可部署；为满足学校的WiFi使用场景，简化网络结构，支持通过wifi进行镜像更新和平台管理。</w:t>
            </w:r>
          </w:p>
          <w:p w14:paraId="0D7042FE">
            <w:pPr>
              <w:numPr>
                <w:ilvl w:val="0"/>
                <w:numId w:val="10"/>
              </w:numPr>
              <w:adjustRightInd w:val="0"/>
              <w:snapToGrid w:val="0"/>
              <w:rPr>
                <w:rFonts w:ascii="仿宋" w:hAnsi="仿宋"/>
                <w:bCs/>
                <w:color w:val="auto"/>
                <w:sz w:val="18"/>
                <w:szCs w:val="18"/>
                <w:highlight w:val="none"/>
              </w:rPr>
            </w:pPr>
            <w:r>
              <w:rPr>
                <w:rFonts w:hint="eastAsia" w:ascii="仿宋" w:hAnsi="仿宋"/>
                <w:bCs/>
                <w:color w:val="auto"/>
                <w:sz w:val="18"/>
                <w:szCs w:val="18"/>
                <w:highlight w:val="none"/>
              </w:rPr>
              <w:t>支持三种模式对某一系统盘和数据盘的管理，即还原模式、读写模式、学习模式；实现还原同传功能。</w:t>
            </w:r>
          </w:p>
          <w:p w14:paraId="1D4CAB13">
            <w:pPr>
              <w:numPr>
                <w:ilvl w:val="0"/>
                <w:numId w:val="10"/>
              </w:numPr>
              <w:adjustRightInd w:val="0"/>
              <w:snapToGrid w:val="0"/>
              <w:rPr>
                <w:rFonts w:ascii="仿宋" w:hAnsi="仿宋"/>
                <w:bCs/>
                <w:color w:val="auto"/>
                <w:sz w:val="18"/>
                <w:szCs w:val="18"/>
                <w:highlight w:val="none"/>
              </w:rPr>
            </w:pPr>
            <w:r>
              <w:rPr>
                <w:rFonts w:hint="eastAsia" w:ascii="仿宋" w:hAnsi="仿宋"/>
                <w:bCs/>
                <w:color w:val="auto"/>
                <w:sz w:val="18"/>
                <w:szCs w:val="18"/>
                <w:highlight w:val="none"/>
              </w:rPr>
              <w:t>平台具备镜像下发时的策略设置；具备系统镜像下发后自动执行关机、重启等操作。（须提供所投产品软件功能截图）</w:t>
            </w:r>
          </w:p>
          <w:p w14:paraId="6042C56D">
            <w:pPr>
              <w:numPr>
                <w:ilvl w:val="0"/>
                <w:numId w:val="10"/>
              </w:numPr>
              <w:adjustRightInd w:val="0"/>
              <w:snapToGrid w:val="0"/>
              <w:rPr>
                <w:rFonts w:ascii="仿宋" w:hAnsi="仿宋"/>
                <w:bCs/>
                <w:color w:val="auto"/>
                <w:sz w:val="18"/>
                <w:szCs w:val="18"/>
                <w:highlight w:val="none"/>
              </w:rPr>
            </w:pPr>
            <w:r>
              <w:rPr>
                <w:rFonts w:hint="eastAsia" w:ascii="仿宋" w:hAnsi="仿宋"/>
                <w:bCs/>
                <w:color w:val="auto"/>
                <w:sz w:val="18"/>
                <w:szCs w:val="18"/>
                <w:highlight w:val="none"/>
              </w:rPr>
              <w:t>支持从服务器端对客户端发起远程开机、关机、发送通知消息、发送远程命令等指令，支持管理员对客户端进行远程协助排障。</w:t>
            </w:r>
          </w:p>
          <w:p w14:paraId="26D89387">
            <w:pPr>
              <w:numPr>
                <w:ilvl w:val="0"/>
                <w:numId w:val="10"/>
              </w:numPr>
              <w:adjustRightInd w:val="0"/>
              <w:snapToGrid w:val="0"/>
              <w:rPr>
                <w:rFonts w:ascii="仿宋" w:hAnsi="仿宋"/>
                <w:bCs/>
                <w:color w:val="auto"/>
                <w:sz w:val="18"/>
                <w:szCs w:val="18"/>
                <w:highlight w:val="none"/>
              </w:rPr>
            </w:pPr>
            <w:r>
              <w:rPr>
                <w:rFonts w:hint="eastAsia" w:ascii="仿宋" w:hAnsi="仿宋"/>
                <w:bCs/>
                <w:color w:val="auto"/>
                <w:sz w:val="18"/>
                <w:szCs w:val="18"/>
                <w:highlight w:val="none"/>
              </w:rPr>
              <w:t>平台收集所有终端硬件配置信息，包含但不限于终端名称、CPU型号信息等≥5种平台中终端信息。（须提供所投产品软件功能截图）</w:t>
            </w:r>
          </w:p>
          <w:p w14:paraId="30A454DE">
            <w:pPr>
              <w:numPr>
                <w:ilvl w:val="0"/>
                <w:numId w:val="10"/>
              </w:numPr>
              <w:adjustRightInd w:val="0"/>
              <w:snapToGrid w:val="0"/>
              <w:rPr>
                <w:rFonts w:ascii="仿宋" w:hAnsi="仿宋"/>
                <w:bCs/>
                <w:color w:val="auto"/>
                <w:sz w:val="18"/>
                <w:szCs w:val="18"/>
                <w:highlight w:val="none"/>
              </w:rPr>
            </w:pPr>
            <w:r>
              <w:rPr>
                <w:rFonts w:hint="eastAsia" w:ascii="仿宋" w:hAnsi="仿宋"/>
                <w:bCs/>
                <w:color w:val="auto"/>
                <w:sz w:val="18"/>
                <w:szCs w:val="18"/>
                <w:highlight w:val="none"/>
              </w:rPr>
              <w:t>平台收集所有终端的运行状态信息，包含但不限于终端名称、硬盘信息等≥4种终端状态信息。（须提供所投产品软件功能截图）</w:t>
            </w:r>
          </w:p>
          <w:p w14:paraId="54F3124C">
            <w:pPr>
              <w:numPr>
                <w:ilvl w:val="0"/>
                <w:numId w:val="10"/>
              </w:numPr>
              <w:adjustRightInd w:val="0"/>
              <w:snapToGrid w:val="0"/>
              <w:rPr>
                <w:rFonts w:ascii="仿宋" w:hAnsi="仿宋"/>
                <w:b/>
                <w:color w:val="auto"/>
                <w:sz w:val="18"/>
                <w:szCs w:val="18"/>
                <w:highlight w:val="none"/>
              </w:rPr>
            </w:pPr>
            <w:r>
              <w:rPr>
                <w:rFonts w:hint="eastAsia" w:ascii="仿宋" w:hAnsi="仿宋"/>
                <w:b/>
                <w:color w:val="auto"/>
                <w:sz w:val="18"/>
                <w:szCs w:val="18"/>
                <w:highlight w:val="none"/>
              </w:rPr>
              <w:t>★具备对终端端口进行分类控制，包括但不限于控制 USB 存储接口、各类驱动器接口等；具备大数据展示。可展示包括但不限于资产统计、设备详情、日志、系统使用情况等信息。（须提供所投产品软件功能截图）。</w:t>
            </w:r>
          </w:p>
          <w:p w14:paraId="28D110BE">
            <w:pPr>
              <w:numPr>
                <w:ilvl w:val="0"/>
                <w:numId w:val="10"/>
              </w:numPr>
              <w:adjustRightInd w:val="0"/>
              <w:snapToGrid w:val="0"/>
              <w:rPr>
                <w:rFonts w:ascii="仿宋" w:hAnsi="仿宋"/>
                <w:bCs/>
                <w:color w:val="auto"/>
                <w:sz w:val="18"/>
                <w:szCs w:val="18"/>
                <w:highlight w:val="none"/>
              </w:rPr>
            </w:pPr>
            <w:r>
              <w:rPr>
                <w:rFonts w:hint="eastAsia" w:ascii="仿宋" w:hAnsi="仿宋"/>
                <w:bCs/>
                <w:color w:val="auto"/>
                <w:sz w:val="18"/>
                <w:szCs w:val="18"/>
                <w:highlight w:val="none"/>
              </w:rPr>
              <w:t>具备在管理集群内将主服务器内镜像提前下发至IO服务器，通过IO服务器分发镜像，实现数据分流，提升局域网内镜像的更新速度。</w:t>
            </w:r>
          </w:p>
          <w:p w14:paraId="34EF8537">
            <w:pPr>
              <w:numPr>
                <w:ilvl w:val="0"/>
                <w:numId w:val="10"/>
              </w:numPr>
              <w:adjustRightInd w:val="0"/>
              <w:snapToGrid w:val="0"/>
              <w:rPr>
                <w:rFonts w:ascii="仿宋" w:hAnsi="仿宋"/>
                <w:bCs/>
                <w:color w:val="auto"/>
                <w:sz w:val="18"/>
                <w:szCs w:val="18"/>
                <w:highlight w:val="none"/>
              </w:rPr>
            </w:pPr>
            <w:r>
              <w:rPr>
                <w:rFonts w:hint="eastAsia" w:ascii="仿宋" w:hAnsi="仿宋"/>
                <w:bCs/>
                <w:color w:val="auto"/>
                <w:sz w:val="18"/>
                <w:szCs w:val="18"/>
                <w:highlight w:val="none"/>
              </w:rPr>
              <w:t>支持平台可以计划任务设置，可以设置定时执行各种任务类型。</w:t>
            </w:r>
          </w:p>
          <w:p w14:paraId="70017E87">
            <w:pPr>
              <w:numPr>
                <w:ilvl w:val="255"/>
                <w:numId w:val="0"/>
              </w:numPr>
              <w:adjustRightInd w:val="0"/>
              <w:snapToGrid w:val="0"/>
              <w:rPr>
                <w:rFonts w:ascii="仿宋" w:hAnsi="仿宋"/>
                <w:b/>
                <w:color w:val="auto"/>
                <w:sz w:val="18"/>
                <w:szCs w:val="18"/>
                <w:highlight w:val="none"/>
              </w:rPr>
            </w:pPr>
          </w:p>
          <w:p w14:paraId="66C966A4">
            <w:pPr>
              <w:numPr>
                <w:ilvl w:val="0"/>
                <w:numId w:val="10"/>
              </w:numPr>
              <w:adjustRightInd w:val="0"/>
              <w:snapToGrid w:val="0"/>
              <w:rPr>
                <w:rFonts w:ascii="仿宋" w:hAnsi="仿宋"/>
                <w:bCs/>
                <w:color w:val="auto"/>
                <w:sz w:val="18"/>
                <w:szCs w:val="18"/>
                <w:highlight w:val="none"/>
              </w:rPr>
            </w:pPr>
            <w:r>
              <w:rPr>
                <w:rFonts w:hint="eastAsia" w:ascii="仿宋" w:hAnsi="仿宋"/>
                <w:bCs/>
                <w:color w:val="auto"/>
                <w:sz w:val="18"/>
                <w:szCs w:val="18"/>
                <w:highlight w:val="none"/>
              </w:rPr>
              <w:t>平台具备对服务器使用的网络端口进行检测。（须提供所投产品软件功能截图）</w:t>
            </w:r>
          </w:p>
          <w:p w14:paraId="2B516659">
            <w:pPr>
              <w:numPr>
                <w:ilvl w:val="0"/>
                <w:numId w:val="10"/>
              </w:numPr>
              <w:adjustRightInd w:val="0"/>
              <w:snapToGrid w:val="0"/>
              <w:rPr>
                <w:rFonts w:ascii="仿宋" w:hAnsi="仿宋"/>
                <w:bCs/>
                <w:color w:val="auto"/>
                <w:sz w:val="18"/>
                <w:szCs w:val="18"/>
                <w:highlight w:val="none"/>
              </w:rPr>
            </w:pPr>
            <w:r>
              <w:rPr>
                <w:rFonts w:hint="eastAsia" w:ascii="仿宋" w:hAnsi="仿宋"/>
                <w:bCs/>
                <w:color w:val="auto"/>
                <w:sz w:val="18"/>
                <w:szCs w:val="18"/>
                <w:highlight w:val="none"/>
              </w:rPr>
              <w:t>具备通过多种方式设定IP地址，包括手动设定、自有DHCP及第三方DHCP。</w:t>
            </w:r>
          </w:p>
          <w:p w14:paraId="04342DC1">
            <w:pPr>
              <w:numPr>
                <w:ilvl w:val="0"/>
                <w:numId w:val="10"/>
              </w:numPr>
              <w:adjustRightInd w:val="0"/>
              <w:snapToGrid w:val="0"/>
              <w:rPr>
                <w:rFonts w:ascii="仿宋" w:hAnsi="仿宋"/>
                <w:bCs/>
                <w:color w:val="auto"/>
                <w:sz w:val="18"/>
                <w:szCs w:val="18"/>
                <w:highlight w:val="none"/>
              </w:rPr>
            </w:pPr>
            <w:r>
              <w:rPr>
                <w:rFonts w:hint="eastAsia" w:ascii="仿宋" w:hAnsi="仿宋"/>
                <w:bCs/>
                <w:color w:val="auto"/>
                <w:sz w:val="18"/>
                <w:szCs w:val="18"/>
                <w:highlight w:val="none"/>
              </w:rPr>
              <w:t>终端具备多盘缓存模式，即在终端固态盘容量小导致无法多镜像缓存时；具备固态盘和机械盘混合缓存载入，充分利用终端现有存储资源。</w:t>
            </w:r>
          </w:p>
          <w:p w14:paraId="32F3E641">
            <w:pPr>
              <w:numPr>
                <w:ilvl w:val="0"/>
                <w:numId w:val="10"/>
              </w:numPr>
              <w:adjustRightInd w:val="0"/>
              <w:snapToGrid w:val="0"/>
              <w:rPr>
                <w:rFonts w:ascii="仿宋" w:hAnsi="仿宋"/>
                <w:bCs/>
                <w:color w:val="auto"/>
                <w:sz w:val="18"/>
                <w:szCs w:val="18"/>
                <w:highlight w:val="none"/>
              </w:rPr>
            </w:pPr>
            <w:r>
              <w:rPr>
                <w:rFonts w:hint="eastAsia" w:ascii="仿宋" w:hAnsi="仿宋"/>
                <w:bCs/>
                <w:color w:val="auto"/>
                <w:sz w:val="18"/>
                <w:szCs w:val="18"/>
                <w:highlight w:val="none"/>
              </w:rPr>
              <w:t>具备镜像本地缓存：服务器镜像文件缓存至本地硬盘，小容量固态硬盘以增量非分区的方式缓存≥5个镜像。</w:t>
            </w:r>
          </w:p>
          <w:p w14:paraId="025FC3BC">
            <w:pPr>
              <w:numPr>
                <w:ilvl w:val="0"/>
                <w:numId w:val="10"/>
              </w:numPr>
              <w:adjustRightInd w:val="0"/>
              <w:snapToGrid w:val="0"/>
              <w:rPr>
                <w:rFonts w:ascii="仿宋" w:hAnsi="仿宋"/>
                <w:bCs/>
                <w:color w:val="auto"/>
                <w:sz w:val="18"/>
                <w:szCs w:val="18"/>
                <w:highlight w:val="none"/>
              </w:rPr>
            </w:pPr>
            <w:r>
              <w:rPr>
                <w:rFonts w:hint="eastAsia" w:ascii="仿宋" w:hAnsi="仿宋"/>
                <w:bCs/>
                <w:color w:val="auto"/>
                <w:sz w:val="18"/>
                <w:szCs w:val="18"/>
                <w:highlight w:val="none"/>
              </w:rPr>
              <w:t>在终端与云桌面服务器丢失或断开网络连接无法被管理的情况下，支持使用U盘或移动硬盘恢复桌面。</w:t>
            </w:r>
          </w:p>
          <w:p w14:paraId="752EA116">
            <w:pPr>
              <w:numPr>
                <w:ilvl w:val="0"/>
                <w:numId w:val="10"/>
              </w:numPr>
              <w:adjustRightInd w:val="0"/>
              <w:snapToGrid w:val="0"/>
              <w:rPr>
                <w:rFonts w:ascii="仿宋" w:hAnsi="仿宋"/>
                <w:bCs/>
                <w:color w:val="auto"/>
                <w:sz w:val="18"/>
                <w:szCs w:val="18"/>
                <w:highlight w:val="none"/>
              </w:rPr>
            </w:pPr>
            <w:r>
              <w:rPr>
                <w:rFonts w:hint="eastAsia" w:ascii="仿宋" w:hAnsi="仿宋"/>
                <w:bCs/>
                <w:color w:val="auto"/>
                <w:sz w:val="18"/>
                <w:szCs w:val="18"/>
                <w:highlight w:val="none"/>
              </w:rPr>
              <w:t>当终端无法进入系统时，支持基于Linux方式进行系统数据恢复。</w:t>
            </w:r>
          </w:p>
          <w:p w14:paraId="08296CE2">
            <w:pPr>
              <w:adjustRightInd w:val="0"/>
              <w:snapToGrid w:val="0"/>
              <w:ind w:firstLine="255" w:firstLineChars="141"/>
              <w:rPr>
                <w:rFonts w:ascii="仿宋" w:hAnsi="仿宋"/>
                <w:b/>
                <w:bCs/>
                <w:color w:val="auto"/>
                <w:sz w:val="18"/>
                <w:szCs w:val="18"/>
                <w:highlight w:val="none"/>
              </w:rPr>
            </w:pPr>
          </w:p>
        </w:tc>
        <w:tc>
          <w:tcPr>
            <w:tcW w:w="1035" w:type="dxa"/>
            <w:tcBorders>
              <w:top w:val="single" w:color="auto" w:sz="4" w:space="0"/>
              <w:left w:val="nil"/>
              <w:bottom w:val="single" w:color="auto" w:sz="4" w:space="0"/>
              <w:right w:val="single" w:color="auto" w:sz="4" w:space="0"/>
            </w:tcBorders>
            <w:shd w:val="clear" w:color="auto" w:fill="auto"/>
            <w:vAlign w:val="center"/>
          </w:tcPr>
          <w:p w14:paraId="027EB124">
            <w:pPr>
              <w:ind w:firstLine="452"/>
              <w:rPr>
                <w:rFonts w:asciiTheme="minorEastAsia" w:hAnsiTheme="minorEastAsia"/>
                <w:color w:val="auto"/>
                <w:sz w:val="18"/>
                <w:szCs w:val="18"/>
                <w:highlight w:val="none"/>
              </w:rPr>
            </w:pPr>
            <w:r>
              <w:rPr>
                <w:rFonts w:hint="eastAsia" w:asciiTheme="minorEastAsia" w:hAnsiTheme="minorEastAsia"/>
                <w:color w:val="auto"/>
                <w:sz w:val="18"/>
                <w:szCs w:val="18"/>
                <w:highlight w:val="none"/>
              </w:rPr>
              <w:t>台</w:t>
            </w:r>
          </w:p>
        </w:tc>
        <w:tc>
          <w:tcPr>
            <w:tcW w:w="747" w:type="dxa"/>
            <w:tcBorders>
              <w:top w:val="single" w:color="auto" w:sz="4" w:space="0"/>
              <w:left w:val="nil"/>
              <w:bottom w:val="single" w:color="auto" w:sz="4" w:space="0"/>
              <w:right w:val="single" w:color="auto" w:sz="4" w:space="0"/>
            </w:tcBorders>
            <w:shd w:val="clear" w:color="auto" w:fill="auto"/>
            <w:vAlign w:val="center"/>
          </w:tcPr>
          <w:p w14:paraId="25106344">
            <w:pPr>
              <w:rPr>
                <w:rFonts w:asciiTheme="minorEastAsia" w:hAnsiTheme="minorEastAsia"/>
                <w:color w:val="auto"/>
                <w:sz w:val="18"/>
                <w:szCs w:val="18"/>
                <w:highlight w:val="none"/>
              </w:rPr>
            </w:pPr>
            <w:r>
              <w:rPr>
                <w:rFonts w:hint="eastAsia" w:asciiTheme="minorEastAsia" w:hAnsiTheme="minorEastAsia"/>
                <w:color w:val="auto"/>
                <w:sz w:val="18"/>
                <w:szCs w:val="18"/>
                <w:highlight w:val="none"/>
              </w:rPr>
              <w:t>96</w:t>
            </w:r>
          </w:p>
        </w:tc>
      </w:tr>
      <w:tr w14:paraId="7038BD76">
        <w:tblPrEx>
          <w:tblCellMar>
            <w:top w:w="0" w:type="dxa"/>
            <w:left w:w="108" w:type="dxa"/>
            <w:bottom w:w="0" w:type="dxa"/>
            <w:right w:w="108" w:type="dxa"/>
          </w:tblCellMar>
        </w:tblPrEx>
        <w:trPr>
          <w:trHeight w:val="510" w:hRule="atLeast"/>
          <w:jc w:val="center"/>
        </w:trPr>
        <w:tc>
          <w:tcPr>
            <w:tcW w:w="991" w:type="dxa"/>
            <w:tcBorders>
              <w:top w:val="single" w:color="auto" w:sz="4" w:space="0"/>
              <w:left w:val="single" w:color="auto" w:sz="4" w:space="0"/>
              <w:bottom w:val="single" w:color="auto" w:sz="4" w:space="0"/>
              <w:right w:val="single" w:color="auto" w:sz="4" w:space="0"/>
            </w:tcBorders>
            <w:shd w:val="clear" w:color="auto" w:fill="auto"/>
            <w:vAlign w:val="center"/>
          </w:tcPr>
          <w:p w14:paraId="273368E6">
            <w:pPr>
              <w:ind w:firstLine="452"/>
              <w:rPr>
                <w:rFonts w:asciiTheme="minorEastAsia" w:hAnsiTheme="minorEastAsia"/>
                <w:color w:val="auto"/>
                <w:sz w:val="18"/>
                <w:szCs w:val="18"/>
                <w:highlight w:val="none"/>
              </w:rPr>
            </w:pPr>
            <w:r>
              <w:rPr>
                <w:rFonts w:hint="eastAsia" w:asciiTheme="minorEastAsia" w:hAnsiTheme="minorEastAsia"/>
                <w:color w:val="auto"/>
                <w:sz w:val="18"/>
                <w:szCs w:val="18"/>
                <w:highlight w:val="none"/>
              </w:rPr>
              <w:t>1-5</w:t>
            </w:r>
          </w:p>
        </w:tc>
        <w:tc>
          <w:tcPr>
            <w:tcW w:w="1287" w:type="dxa"/>
            <w:tcBorders>
              <w:top w:val="single" w:color="auto" w:sz="4" w:space="0"/>
              <w:left w:val="nil"/>
              <w:bottom w:val="single" w:color="auto" w:sz="4" w:space="0"/>
              <w:right w:val="single" w:color="auto" w:sz="4" w:space="0"/>
            </w:tcBorders>
            <w:shd w:val="clear" w:color="auto" w:fill="auto"/>
            <w:vAlign w:val="center"/>
          </w:tcPr>
          <w:p w14:paraId="72B4658A">
            <w:pPr>
              <w:rPr>
                <w:rFonts w:asciiTheme="minorEastAsia" w:hAnsiTheme="minorEastAsia"/>
                <w:color w:val="auto"/>
                <w:sz w:val="18"/>
                <w:szCs w:val="18"/>
                <w:highlight w:val="none"/>
              </w:rPr>
            </w:pPr>
            <w:r>
              <w:rPr>
                <w:rFonts w:hint="eastAsia" w:asciiTheme="minorEastAsia" w:hAnsiTheme="minorEastAsia"/>
                <w:color w:val="auto"/>
                <w:sz w:val="18"/>
                <w:szCs w:val="18"/>
                <w:highlight w:val="none"/>
              </w:rPr>
              <w:t>图形工作站</w:t>
            </w:r>
            <w:r>
              <w:rPr>
                <w:rFonts w:asciiTheme="minorEastAsia" w:hAnsiTheme="minorEastAsia"/>
                <w:color w:val="auto"/>
                <w:sz w:val="18"/>
                <w:szCs w:val="18"/>
                <w:highlight w:val="none"/>
              </w:rPr>
              <w:t>4</w:t>
            </w:r>
          </w:p>
          <w:p w14:paraId="521B2B7A">
            <w:pPr>
              <w:ind w:firstLine="452"/>
              <w:rPr>
                <w:rFonts w:asciiTheme="minorEastAsia" w:hAnsiTheme="minorEastAsia"/>
                <w:color w:val="auto"/>
                <w:sz w:val="18"/>
                <w:szCs w:val="18"/>
                <w:highlight w:val="none"/>
              </w:rPr>
            </w:pPr>
          </w:p>
        </w:tc>
        <w:tc>
          <w:tcPr>
            <w:tcW w:w="4909" w:type="dxa"/>
            <w:tcBorders>
              <w:top w:val="single" w:color="auto" w:sz="4" w:space="0"/>
              <w:left w:val="nil"/>
              <w:bottom w:val="single" w:color="auto" w:sz="4" w:space="0"/>
              <w:right w:val="single" w:color="auto" w:sz="4" w:space="0"/>
            </w:tcBorders>
            <w:shd w:val="clear" w:color="auto" w:fill="auto"/>
            <w:vAlign w:val="center"/>
          </w:tcPr>
          <w:p w14:paraId="0EC2B889">
            <w:pPr>
              <w:pStyle w:val="37"/>
              <w:numPr>
                <w:ilvl w:val="0"/>
                <w:numId w:val="11"/>
              </w:numPr>
              <w:adjustRightInd w:val="0"/>
              <w:snapToGrid w:val="0"/>
              <w:rPr>
                <w:rFonts w:ascii="仿宋" w:hAnsi="仿宋"/>
                <w:b/>
                <w:bCs/>
                <w:color w:val="auto"/>
                <w:sz w:val="18"/>
                <w:szCs w:val="18"/>
                <w:highlight w:val="none"/>
              </w:rPr>
            </w:pPr>
            <w:r>
              <w:rPr>
                <w:rFonts w:hint="eastAsia" w:ascii="仿宋" w:hAnsi="仿宋"/>
                <w:b/>
                <w:bCs/>
                <w:color w:val="auto"/>
                <w:sz w:val="18"/>
                <w:szCs w:val="18"/>
                <w:highlight w:val="none"/>
              </w:rPr>
              <w:t>总提要求：</w:t>
            </w:r>
          </w:p>
          <w:p w14:paraId="0B462B4D">
            <w:pPr>
              <w:numPr>
                <w:ilvl w:val="255"/>
                <w:numId w:val="0"/>
              </w:numPr>
              <w:rPr>
                <w:rFonts w:ascii="仿宋" w:hAnsi="仿宋"/>
                <w:b/>
                <w:bCs/>
                <w:color w:val="auto"/>
                <w:sz w:val="18"/>
                <w:szCs w:val="18"/>
                <w:highlight w:val="none"/>
              </w:rPr>
            </w:pPr>
            <w:r>
              <w:rPr>
                <w:rFonts w:hint="eastAsia" w:ascii="仿宋" w:hAnsi="仿宋"/>
                <w:b/>
                <w:bCs/>
                <w:color w:val="auto"/>
                <w:sz w:val="18"/>
                <w:szCs w:val="18"/>
                <w:highlight w:val="none"/>
              </w:rPr>
              <w:t>★</w:t>
            </w:r>
            <w:r>
              <w:rPr>
                <w:rFonts w:hint="eastAsia" w:ascii="仿宋" w:hAnsi="仿宋"/>
                <w:b/>
                <w:color w:val="auto"/>
                <w:sz w:val="18"/>
                <w:szCs w:val="18"/>
                <w:highlight w:val="none"/>
                <w:lang w:val="en-US" w:eastAsia="zh-CN"/>
              </w:rPr>
              <w:t>满足</w:t>
            </w:r>
            <w:r>
              <w:rPr>
                <w:rFonts w:hint="eastAsia" w:ascii="仿宋" w:hAnsi="仿宋"/>
                <w:b/>
                <w:bCs/>
                <w:color w:val="auto"/>
                <w:sz w:val="18"/>
                <w:szCs w:val="18"/>
                <w:highlight w:val="none"/>
              </w:rPr>
              <w:t>HYGON 3350 3.0G 8C 16T；32GB DDR4 3200 UDIMM；固态硬盘≥1TB ；≥RTX3060 6GB G6 96b DVI+H+DP HP；</w:t>
            </w:r>
          </w:p>
          <w:p w14:paraId="73D9F40B">
            <w:pPr>
              <w:numPr>
                <w:ilvl w:val="0"/>
                <w:numId w:val="12"/>
              </w:numPr>
              <w:adjustRightInd w:val="0"/>
              <w:snapToGrid w:val="0"/>
              <w:rPr>
                <w:rFonts w:ascii="仿宋" w:hAnsi="仿宋"/>
                <w:color w:val="auto"/>
                <w:sz w:val="18"/>
                <w:szCs w:val="18"/>
                <w:highlight w:val="none"/>
              </w:rPr>
            </w:pPr>
            <w:r>
              <w:rPr>
                <w:rFonts w:hint="eastAsia" w:ascii="仿宋" w:hAnsi="仿宋"/>
                <w:color w:val="auto"/>
                <w:sz w:val="18"/>
                <w:szCs w:val="18"/>
                <w:highlight w:val="none"/>
              </w:rPr>
              <w:t>M.2接口NVME协议SSD，M.2接口≥3个，其中2个支持M.2 SSD；支持机械硬盘扩展；</w:t>
            </w:r>
          </w:p>
          <w:p w14:paraId="5063D642">
            <w:pPr>
              <w:numPr>
                <w:ilvl w:val="0"/>
                <w:numId w:val="12"/>
              </w:numPr>
              <w:adjustRightInd w:val="0"/>
              <w:snapToGrid w:val="0"/>
              <w:rPr>
                <w:rFonts w:ascii="仿宋" w:hAnsi="仿宋"/>
                <w:color w:val="auto"/>
                <w:sz w:val="18"/>
                <w:szCs w:val="18"/>
                <w:highlight w:val="none"/>
              </w:rPr>
            </w:pPr>
            <w:r>
              <w:rPr>
                <w:rFonts w:hint="eastAsia" w:ascii="仿宋" w:hAnsi="仿宋"/>
                <w:color w:val="auto"/>
                <w:sz w:val="18"/>
                <w:szCs w:val="18"/>
                <w:highlight w:val="none"/>
              </w:rPr>
              <w:t>电源功率≥500W；</w:t>
            </w:r>
          </w:p>
          <w:p w14:paraId="2197F54F">
            <w:pPr>
              <w:numPr>
                <w:ilvl w:val="0"/>
                <w:numId w:val="12"/>
              </w:numPr>
              <w:adjustRightInd w:val="0"/>
              <w:snapToGrid w:val="0"/>
              <w:rPr>
                <w:rFonts w:ascii="仿宋" w:hAnsi="仿宋"/>
                <w:color w:val="auto"/>
                <w:sz w:val="18"/>
                <w:szCs w:val="18"/>
                <w:highlight w:val="none"/>
              </w:rPr>
            </w:pPr>
            <w:r>
              <w:rPr>
                <w:rFonts w:hint="eastAsia" w:ascii="仿宋" w:hAnsi="仿宋"/>
                <w:color w:val="auto"/>
                <w:sz w:val="18"/>
                <w:szCs w:val="18"/>
                <w:highlight w:val="none"/>
              </w:rPr>
              <w:t>同品牌</w:t>
            </w:r>
            <w:r>
              <w:rPr>
                <w:rFonts w:hint="eastAsia" w:ascii="仿宋" w:hAnsi="仿宋"/>
                <w:bCs/>
                <w:color w:val="auto"/>
                <w:sz w:val="18"/>
                <w:szCs w:val="18"/>
                <w:highlight w:val="none"/>
              </w:rPr>
              <w:t>≥</w:t>
            </w:r>
            <w:r>
              <w:rPr>
                <w:rFonts w:hint="eastAsia" w:ascii="仿宋" w:hAnsi="仿宋"/>
                <w:color w:val="auto"/>
                <w:sz w:val="18"/>
                <w:szCs w:val="18"/>
                <w:highlight w:val="none"/>
              </w:rPr>
              <w:t>23.8寸显示器；</w:t>
            </w:r>
          </w:p>
          <w:p w14:paraId="01F293C0">
            <w:pPr>
              <w:numPr>
                <w:ilvl w:val="0"/>
                <w:numId w:val="12"/>
              </w:numPr>
              <w:adjustRightInd w:val="0"/>
              <w:snapToGrid w:val="0"/>
              <w:rPr>
                <w:rFonts w:ascii="仿宋" w:hAnsi="仿宋"/>
                <w:color w:val="auto"/>
                <w:sz w:val="18"/>
                <w:szCs w:val="18"/>
                <w:highlight w:val="none"/>
              </w:rPr>
            </w:pPr>
            <w:r>
              <w:rPr>
                <w:rFonts w:hint="eastAsia" w:ascii="仿宋" w:hAnsi="仿宋"/>
                <w:bCs/>
                <w:color w:val="auto"/>
                <w:sz w:val="18"/>
                <w:szCs w:val="18"/>
                <w:highlight w:val="none"/>
              </w:rPr>
              <w:t>产品为工作站认证产品，需提供3C节能认证佐证；</w:t>
            </w:r>
          </w:p>
          <w:p w14:paraId="07E4C550">
            <w:pPr>
              <w:numPr>
                <w:ilvl w:val="0"/>
                <w:numId w:val="12"/>
              </w:numPr>
              <w:adjustRightInd w:val="0"/>
              <w:snapToGrid w:val="0"/>
              <w:rPr>
                <w:rFonts w:ascii="仿宋" w:hAnsi="仿宋"/>
                <w:color w:val="auto"/>
                <w:sz w:val="18"/>
                <w:szCs w:val="18"/>
                <w:highlight w:val="none"/>
              </w:rPr>
            </w:pPr>
            <w:r>
              <w:rPr>
                <w:rFonts w:hint="eastAsia" w:ascii="仿宋" w:hAnsi="仿宋"/>
                <w:color w:val="auto"/>
                <w:sz w:val="18"/>
                <w:szCs w:val="18"/>
                <w:highlight w:val="none"/>
              </w:rPr>
              <w:t>机箱≥17L，支持全高全长扩展卡；</w:t>
            </w:r>
          </w:p>
        </w:tc>
        <w:tc>
          <w:tcPr>
            <w:tcW w:w="1035" w:type="dxa"/>
            <w:tcBorders>
              <w:top w:val="single" w:color="auto" w:sz="4" w:space="0"/>
              <w:left w:val="nil"/>
              <w:bottom w:val="single" w:color="auto" w:sz="4" w:space="0"/>
              <w:right w:val="single" w:color="auto" w:sz="4" w:space="0"/>
            </w:tcBorders>
            <w:shd w:val="clear" w:color="auto" w:fill="auto"/>
            <w:vAlign w:val="center"/>
          </w:tcPr>
          <w:p w14:paraId="6F6FDA9B">
            <w:pPr>
              <w:ind w:firstLine="452"/>
              <w:rPr>
                <w:rFonts w:asciiTheme="minorEastAsia" w:hAnsiTheme="minorEastAsia"/>
                <w:color w:val="auto"/>
                <w:sz w:val="18"/>
                <w:szCs w:val="18"/>
                <w:highlight w:val="none"/>
              </w:rPr>
            </w:pPr>
            <w:r>
              <w:rPr>
                <w:rFonts w:hint="eastAsia" w:asciiTheme="minorEastAsia" w:hAnsiTheme="minorEastAsia"/>
                <w:color w:val="auto"/>
                <w:sz w:val="18"/>
                <w:szCs w:val="18"/>
                <w:highlight w:val="none"/>
              </w:rPr>
              <w:t>台</w:t>
            </w:r>
          </w:p>
        </w:tc>
        <w:tc>
          <w:tcPr>
            <w:tcW w:w="747" w:type="dxa"/>
            <w:tcBorders>
              <w:top w:val="single" w:color="auto" w:sz="4" w:space="0"/>
              <w:left w:val="nil"/>
              <w:bottom w:val="single" w:color="auto" w:sz="4" w:space="0"/>
              <w:right w:val="single" w:color="auto" w:sz="4" w:space="0"/>
            </w:tcBorders>
            <w:shd w:val="clear" w:color="auto" w:fill="auto"/>
            <w:vAlign w:val="center"/>
          </w:tcPr>
          <w:p w14:paraId="26A3C4FC">
            <w:pPr>
              <w:rPr>
                <w:rFonts w:asciiTheme="minorEastAsia" w:hAnsiTheme="minorEastAsia"/>
                <w:color w:val="auto"/>
                <w:sz w:val="18"/>
                <w:szCs w:val="18"/>
                <w:highlight w:val="none"/>
              </w:rPr>
            </w:pPr>
            <w:r>
              <w:rPr>
                <w:rFonts w:hint="eastAsia" w:asciiTheme="minorEastAsia" w:hAnsiTheme="minorEastAsia"/>
                <w:color w:val="auto"/>
                <w:sz w:val="18"/>
                <w:szCs w:val="18"/>
                <w:highlight w:val="none"/>
              </w:rPr>
              <w:t>12</w:t>
            </w:r>
          </w:p>
        </w:tc>
      </w:tr>
    </w:tbl>
    <w:p w14:paraId="7C49DC80">
      <w:pPr>
        <w:adjustRightInd w:val="0"/>
        <w:snapToGrid w:val="0"/>
        <w:ind w:left="-420" w:leftChars="-200"/>
        <w:rPr>
          <w:color w:val="auto"/>
          <w:highlight w:val="none"/>
        </w:rPr>
      </w:pPr>
    </w:p>
    <w:p w14:paraId="27B51AF0">
      <w:pPr>
        <w:spacing w:line="360" w:lineRule="auto"/>
        <w:rPr>
          <w:rFonts w:ascii="宋体" w:hAnsi="宋体" w:cs="宋体"/>
          <w:b/>
          <w:bCs/>
          <w:color w:val="auto"/>
          <w:sz w:val="24"/>
          <w:szCs w:val="24"/>
          <w:highlight w:val="none"/>
        </w:rPr>
      </w:pPr>
      <w:r>
        <w:rPr>
          <w:rFonts w:hint="eastAsia" w:ascii="宋体" w:hAnsi="宋体" w:cs="宋体"/>
          <w:b/>
          <w:bCs/>
          <w:color w:val="auto"/>
          <w:spacing w:val="4"/>
          <w:sz w:val="24"/>
          <w:szCs w:val="24"/>
          <w:highlight w:val="none"/>
        </w:rPr>
        <w:t>★</w:t>
      </w:r>
      <w:r>
        <w:rPr>
          <w:rFonts w:hint="eastAsia" w:ascii="宋体" w:hAnsi="宋体" w:cs="宋体"/>
          <w:b/>
          <w:bCs/>
          <w:color w:val="auto"/>
          <w:sz w:val="24"/>
          <w:szCs w:val="24"/>
          <w:highlight w:val="none"/>
        </w:rPr>
        <w:t>备注：</w:t>
      </w:r>
    </w:p>
    <w:p w14:paraId="242F6B66">
      <w:pPr>
        <w:numPr>
          <w:ilvl w:val="-1"/>
          <w:numId w:val="0"/>
        </w:numPr>
        <w:spacing w:line="360" w:lineRule="auto"/>
        <w:rPr>
          <w:rFonts w:ascii="宋体" w:hAnsi="宋体" w:cs="宋体"/>
          <w:b/>
          <w:bCs/>
          <w:color w:val="auto"/>
          <w:spacing w:val="4"/>
          <w:sz w:val="24"/>
          <w:highlight w:val="none"/>
        </w:rPr>
      </w:pPr>
      <w:r>
        <w:rPr>
          <w:rFonts w:hint="eastAsia" w:ascii="宋体" w:hAnsi="宋体" w:cs="宋体"/>
          <w:b/>
          <w:bCs/>
          <w:color w:val="auto"/>
          <w:spacing w:val="4"/>
          <w:sz w:val="24"/>
          <w:highlight w:val="none"/>
          <w:lang w:val="en-US" w:eastAsia="zh-CN"/>
        </w:rPr>
        <w:t>1、</w:t>
      </w:r>
      <w:r>
        <w:rPr>
          <w:rFonts w:hint="eastAsia" w:ascii="宋体" w:hAnsi="宋体" w:cs="宋体"/>
          <w:b/>
          <w:bCs/>
          <w:color w:val="auto"/>
          <w:spacing w:val="4"/>
          <w:sz w:val="24"/>
          <w:highlight w:val="none"/>
        </w:rPr>
        <w:t>投标人需承诺：所投产品CPU和操作系统等关键部件应当符合安全可靠测评要求。所投产品需满足财政部《台式计算机政府采购需求标准》、《工作站政府采购需求标准》中规定的其他*内容。提供书面承诺函，格式自拟。</w:t>
      </w:r>
    </w:p>
    <w:p w14:paraId="3C0D867F">
      <w:pPr>
        <w:numPr>
          <w:ilvl w:val="255"/>
          <w:numId w:val="0"/>
        </w:numPr>
        <w:spacing w:line="360" w:lineRule="auto"/>
        <w:rPr>
          <w:rFonts w:ascii="宋体" w:hAnsi="宋体" w:cs="宋体"/>
          <w:b/>
          <w:bCs/>
          <w:color w:val="auto"/>
          <w:spacing w:val="4"/>
          <w:sz w:val="24"/>
          <w:highlight w:val="none"/>
        </w:rPr>
      </w:pPr>
      <w:r>
        <w:rPr>
          <w:rFonts w:hint="eastAsia" w:ascii="宋体" w:hAnsi="宋体" w:cs="宋体"/>
          <w:b/>
          <w:bCs/>
          <w:color w:val="auto"/>
          <w:spacing w:val="4"/>
          <w:sz w:val="24"/>
          <w:highlight w:val="none"/>
        </w:rPr>
        <w:t>2、响应的台式计算机需通过节能认证，投标人必须提供节能认证证书的扫描件。</w:t>
      </w:r>
    </w:p>
    <w:p w14:paraId="03AD6D66">
      <w:pPr>
        <w:spacing w:line="360" w:lineRule="auto"/>
        <w:rPr>
          <w:rFonts w:ascii="宋体" w:hAnsi="宋体" w:cs="宋体"/>
          <w:b/>
          <w:bCs/>
          <w:color w:val="auto"/>
          <w:spacing w:val="4"/>
          <w:sz w:val="24"/>
          <w:szCs w:val="24"/>
          <w:highlight w:val="none"/>
        </w:rPr>
      </w:pPr>
      <w:r>
        <w:rPr>
          <w:rFonts w:hint="eastAsia" w:ascii="宋体" w:hAnsi="宋体" w:cs="宋体"/>
          <w:b/>
          <w:bCs/>
          <w:color w:val="auto"/>
          <w:spacing w:val="4"/>
          <w:sz w:val="24"/>
          <w:szCs w:val="24"/>
          <w:highlight w:val="none"/>
        </w:rPr>
        <w:t>3、针对“三、</w:t>
      </w:r>
      <w:r>
        <w:rPr>
          <w:rFonts w:hint="eastAsia" w:ascii="宋体" w:hAnsi="宋体" w:cs="宋体"/>
          <w:b/>
          <w:bCs/>
          <w:color w:val="auto"/>
          <w:sz w:val="24"/>
          <w:szCs w:val="24"/>
          <w:highlight w:val="none"/>
        </w:rPr>
        <w:t>技术规格及要求”中</w:t>
      </w:r>
      <w:r>
        <w:rPr>
          <w:rFonts w:hint="eastAsia" w:ascii="宋体" w:hAnsi="宋体" w:cs="宋体"/>
          <w:b/>
          <w:bCs/>
          <w:color w:val="auto"/>
          <w:spacing w:val="4"/>
          <w:sz w:val="24"/>
          <w:szCs w:val="24"/>
          <w:highlight w:val="none"/>
        </w:rPr>
        <w:t>带星号（“</w:t>
      </w:r>
      <w:r>
        <w:rPr>
          <w:rFonts w:hint="eastAsia" w:ascii="宋体" w:hAnsi="宋体" w:cs="宋体"/>
          <w:b/>
          <w:bCs/>
          <w:color w:val="auto"/>
          <w:sz w:val="24"/>
          <w:szCs w:val="24"/>
          <w:highlight w:val="none"/>
        </w:rPr>
        <w:t>★</w:t>
      </w:r>
      <w:r>
        <w:rPr>
          <w:rFonts w:hint="eastAsia" w:ascii="宋体" w:hAnsi="宋体" w:cs="宋体"/>
          <w:b/>
          <w:bCs/>
          <w:color w:val="auto"/>
          <w:spacing w:val="4"/>
          <w:sz w:val="24"/>
          <w:szCs w:val="24"/>
          <w:highlight w:val="none"/>
        </w:rPr>
        <w:t>”）的技术条款，若未明确证明材料的，投标人必须在投标文件中提供产品彩页或DATA SHEET或产品样本或说明书或检测机构出具的检测报告扫描件予以证明（加盖投标人公章）。</w:t>
      </w:r>
    </w:p>
    <w:p w14:paraId="40080D9F">
      <w:pPr>
        <w:adjustRightInd w:val="0"/>
        <w:snapToGrid w:val="0"/>
        <w:spacing w:line="360" w:lineRule="auto"/>
        <w:ind w:left="482" w:hanging="482" w:hangingChars="200"/>
        <w:rPr>
          <w:rFonts w:ascii="宋体" w:hAnsi="宋体" w:cs="宋体"/>
          <w:b/>
          <w:bCs/>
          <w:color w:val="auto"/>
          <w:sz w:val="24"/>
          <w:szCs w:val="24"/>
          <w:highlight w:val="none"/>
        </w:rPr>
      </w:pPr>
      <w:r>
        <w:rPr>
          <w:rFonts w:hint="eastAsia" w:ascii="宋体" w:hAnsi="宋体" w:cs="宋体"/>
          <w:b/>
          <w:bCs/>
          <w:color w:val="auto"/>
          <w:sz w:val="24"/>
          <w:szCs w:val="24"/>
          <w:highlight w:val="none"/>
        </w:rPr>
        <w:t>四、质量要求</w:t>
      </w:r>
    </w:p>
    <w:p w14:paraId="3D521079">
      <w:pPr>
        <w:adjustRightInd w:val="0"/>
        <w:snapToGrid w:val="0"/>
        <w:spacing w:line="360" w:lineRule="auto"/>
        <w:ind w:firstLine="480" w:firstLineChars="200"/>
        <w:rPr>
          <w:rFonts w:ascii="宋体" w:hAnsi="宋体" w:cs="宋体"/>
          <w:b/>
          <w:color w:val="auto"/>
          <w:sz w:val="24"/>
          <w:szCs w:val="24"/>
          <w:highlight w:val="none"/>
        </w:rPr>
      </w:pPr>
      <w:r>
        <w:rPr>
          <w:rFonts w:hint="eastAsia" w:ascii="宋体" w:hAnsi="宋体" w:cs="宋体"/>
          <w:color w:val="auto"/>
          <w:sz w:val="24"/>
          <w:szCs w:val="24"/>
          <w:highlight w:val="none"/>
        </w:rPr>
        <w:t>★</w:t>
      </w:r>
      <w:r>
        <w:rPr>
          <w:rFonts w:hint="eastAsia" w:ascii="宋体" w:hAnsi="宋体" w:cs="宋体"/>
          <w:b/>
          <w:color w:val="auto"/>
          <w:sz w:val="24"/>
          <w:szCs w:val="24"/>
          <w:highlight w:val="none"/>
        </w:rPr>
        <w:t>1、投标人应提供产品及其配置清单（含数量、品 牌、规格、型号）、价格、主要技术参数、性能说明及功能介绍等，提供的产品必须为原厂原装，若为软件应为正版软件且应符合我国现行有关标准以及相关法律法规及行业的强制性要求；且投标人应同时提供书面承诺，格式自拟：“如后续供货、验收时发现所提供的产品不符合上述要求的，视为中标供应商构成根本违约，采购单位有权提前解除合同并追究中标供应商的相关责任（包括但不限于不退还履约保证金，并要求中标供应商支付采购合同价款总额30%的违约金）；如在产品已经投入使用后才发现其不符合上述要求的，采购单位仍有权解除合同，按照前述约定追究中标供应商的相关责任，并要求中标供应商全额退还已收合同价款。”</w:t>
      </w:r>
    </w:p>
    <w:p w14:paraId="6C32859D">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投标人应对其投标产品的制造标准、安装标准、技术规范和设备的可维护性、适用性、安全、节能环保、可靠性等方面进行综合描述，技术参数与配置要求不低于本招标项目提供的技术参数与配置要求，投标人应对此作出书面承诺。</w:t>
      </w:r>
    </w:p>
    <w:p w14:paraId="566BAE29">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3、投标人所投产品若依法依规必须取得相关生产许可证、注册商标等的，应提供相关证明材料。</w:t>
      </w:r>
    </w:p>
    <w:p w14:paraId="03917543">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4、投标人须承诺所提供货物必须正规合格，保证设备在正确操作情况下不存在安全隐患，所有设备需保证实验室操作人员人身安全。投标人应对此作出书面承诺。</w:t>
      </w:r>
    </w:p>
    <w:p w14:paraId="16FF24AC">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5、投标人提供的设备、软件必须是制造商最后的设计，技术配置要求不得低于招标要求。</w:t>
      </w:r>
    </w:p>
    <w:p w14:paraId="3750A97B">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6、需要提供完善操作规程和故障应急机制。设备运行时不得影响电网其他设备的使用。</w:t>
      </w:r>
    </w:p>
    <w:p w14:paraId="7C9428E4">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7、对于本招标文件未能提出但投标人所提供的产品及服务已具有的功能及相关技术性能指标，投标人应在货物说明一览表中予以补充说明，并提供相关技术资料及详细说明。</w:t>
      </w:r>
    </w:p>
    <w:p w14:paraId="3430EBF0">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8、投标人不得虚报各项技术指标，若所提供的系统性能及技术指标不能达到招标文件及投标文件的承诺和相关技术规范、行业规定等技术要求，中标供应商必须承担由此给采购单位造成的经济损失。</w:t>
      </w:r>
    </w:p>
    <w:p w14:paraId="16D364B1">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9、投标人应在投标文件中提供详细的服务方案，该方案应包括但不限于以下内容：计划安排、人员配备、人员资质、安装调试方案、时间保证措施等。</w:t>
      </w:r>
    </w:p>
    <w:p w14:paraId="2518760D">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10、投标人应依据招标文件要求及采购响应文件所作承诺履行职责，如有违约，采购单位有权根据合同采取措施保证本次采购服务的顺利进行，并相应追究违约方的违约责任。</w:t>
      </w:r>
    </w:p>
    <w:p w14:paraId="5F06E8A4">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11、中标供应商提供的采购标的应符合国家知识产权法律、法规的规定且非假冒伪劣品；中标供应商还应保证采购单位不受到第三方关于侵犯知识产权及专利权、商标权或工业设计权等知识产权方面的指控，任何第三方如果提出此方面指控均与采购单位无关，中标供应商应与第三方交涉，并承担可能发生的一切法律责任、费用和后果；若采购单位因此而遭致损失，则中标供应商应赔偿该损失。</w:t>
      </w:r>
    </w:p>
    <w:p w14:paraId="5C4A677B">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12、如项目需求出现调整，采购单位与中标供应商双方需就项目进度及费用等方面进行友好协商，并签订补充协议。</w:t>
      </w:r>
    </w:p>
    <w:p w14:paraId="3D86AF59">
      <w:pPr>
        <w:adjustRightInd w:val="0"/>
        <w:snapToGrid w:val="0"/>
        <w:spacing w:line="360" w:lineRule="auto"/>
        <w:ind w:left="482" w:hanging="482" w:hangingChars="200"/>
        <w:rPr>
          <w:rFonts w:ascii="宋体" w:hAnsi="宋体" w:cs="宋体"/>
          <w:color w:val="auto"/>
          <w:sz w:val="24"/>
          <w:szCs w:val="24"/>
          <w:highlight w:val="none"/>
        </w:rPr>
      </w:pPr>
      <w:r>
        <w:rPr>
          <w:rFonts w:hint="eastAsia" w:ascii="宋体" w:hAnsi="宋体" w:cs="宋体"/>
          <w:b/>
          <w:color w:val="auto"/>
          <w:sz w:val="24"/>
          <w:szCs w:val="24"/>
          <w:highlight w:val="none"/>
        </w:rPr>
        <w:t>五、商务条件</w:t>
      </w:r>
    </w:p>
    <w:p w14:paraId="17B02E7A">
      <w:pPr>
        <w:adjustRightInd w:val="0"/>
        <w:snapToGrid w:val="0"/>
        <w:spacing w:line="360" w:lineRule="auto"/>
        <w:ind w:left="480" w:hanging="480" w:hangingChars="200"/>
        <w:rPr>
          <w:rFonts w:ascii="宋体" w:hAnsi="宋体" w:cs="宋体"/>
          <w:color w:val="auto"/>
          <w:sz w:val="24"/>
          <w:szCs w:val="24"/>
          <w:highlight w:val="none"/>
        </w:rPr>
      </w:pPr>
      <w:r>
        <w:rPr>
          <w:rFonts w:hint="eastAsia" w:ascii="宋体" w:hAnsi="宋体" w:cs="宋体"/>
          <w:color w:val="auto"/>
          <w:sz w:val="24"/>
          <w:szCs w:val="24"/>
          <w:highlight w:val="none"/>
        </w:rPr>
        <w:t>1、交付地点：福建省厦门市集美区集美大学航海学院万邦楼</w:t>
      </w:r>
    </w:p>
    <w:p w14:paraId="023A40C5">
      <w:pPr>
        <w:adjustRightInd w:val="0"/>
        <w:snapToGrid w:val="0"/>
        <w:spacing w:line="360" w:lineRule="auto"/>
        <w:ind w:left="480" w:hanging="480" w:hangingChars="200"/>
        <w:rPr>
          <w:rFonts w:ascii="宋体" w:hAnsi="宋体" w:cs="宋体"/>
          <w:color w:val="auto"/>
          <w:sz w:val="24"/>
          <w:szCs w:val="24"/>
          <w:highlight w:val="none"/>
        </w:rPr>
      </w:pPr>
      <w:r>
        <w:rPr>
          <w:rFonts w:hint="eastAsia" w:ascii="宋体" w:hAnsi="宋体" w:cs="宋体"/>
          <w:color w:val="auto"/>
          <w:sz w:val="24"/>
          <w:szCs w:val="24"/>
          <w:highlight w:val="none"/>
        </w:rPr>
        <w:t>2、交付时间：合同签订后30个日历日内交付使用（投标人根据自身情况按最短时间报）。</w:t>
      </w:r>
    </w:p>
    <w:p w14:paraId="0F92CA9D">
      <w:pPr>
        <w:adjustRightInd w:val="0"/>
        <w:snapToGrid w:val="0"/>
        <w:spacing w:line="360" w:lineRule="auto"/>
        <w:ind w:left="480" w:hanging="480" w:hangingChars="200"/>
        <w:rPr>
          <w:rFonts w:ascii="宋体" w:hAnsi="宋体" w:cs="宋体"/>
          <w:color w:val="auto"/>
          <w:sz w:val="24"/>
          <w:szCs w:val="24"/>
          <w:highlight w:val="none"/>
        </w:rPr>
      </w:pPr>
      <w:r>
        <w:rPr>
          <w:rFonts w:hint="eastAsia" w:ascii="宋体" w:hAnsi="宋体" w:cs="宋体"/>
          <w:color w:val="auto"/>
          <w:sz w:val="24"/>
          <w:szCs w:val="24"/>
          <w:highlight w:val="none"/>
        </w:rPr>
        <w:t>3、交付条件：通过采购单位验收合格。</w:t>
      </w:r>
    </w:p>
    <w:p w14:paraId="6D2F4797">
      <w:pPr>
        <w:adjustRightInd w:val="0"/>
        <w:snapToGrid w:val="0"/>
        <w:spacing w:line="360" w:lineRule="auto"/>
        <w:ind w:left="480" w:hanging="480" w:hangingChars="200"/>
        <w:rPr>
          <w:rFonts w:ascii="宋体" w:hAnsi="宋体" w:cs="宋体"/>
          <w:b/>
          <w:bCs/>
          <w:color w:val="auto"/>
          <w:sz w:val="24"/>
          <w:szCs w:val="24"/>
          <w:highlight w:val="none"/>
        </w:rPr>
      </w:pPr>
      <w:r>
        <w:rPr>
          <w:rFonts w:hint="eastAsia" w:ascii="宋体" w:hAnsi="宋体" w:cs="宋体"/>
          <w:color w:val="auto"/>
          <w:sz w:val="24"/>
          <w:szCs w:val="24"/>
          <w:highlight w:val="none"/>
        </w:rPr>
        <w:t>4、是否收取履约保证金：是。履约保证金百分比：3%。说明：提交时间及金额：</w:t>
      </w:r>
      <w:r>
        <w:rPr>
          <w:rFonts w:hint="eastAsia" w:ascii="宋体" w:hAnsi="宋体" w:cs="宋体"/>
          <w:b/>
          <w:bCs/>
          <w:color w:val="auto"/>
          <w:sz w:val="24"/>
          <w:szCs w:val="24"/>
          <w:highlight w:val="none"/>
        </w:rPr>
        <w:t>合同签订后7个日历日，中标供应商向使用单位交纳合同总价3%的履约保证金。</w:t>
      </w:r>
    </w:p>
    <w:p w14:paraId="59E1D9FC">
      <w:pPr>
        <w:adjustRightInd w:val="0"/>
        <w:snapToGrid w:val="0"/>
        <w:spacing w:line="360" w:lineRule="auto"/>
        <w:rPr>
          <w:rFonts w:ascii="宋体" w:hAnsi="宋体" w:cs="宋体"/>
          <w:b/>
          <w:bCs/>
          <w:color w:val="auto"/>
          <w:kern w:val="0"/>
          <w:sz w:val="24"/>
          <w:szCs w:val="24"/>
          <w:highlight w:val="none"/>
        </w:rPr>
      </w:pPr>
      <w:r>
        <w:rPr>
          <w:rFonts w:hint="eastAsia" w:ascii="宋体" w:hAnsi="宋体" w:cs="宋体"/>
          <w:b/>
          <w:bCs/>
          <w:color w:val="auto"/>
          <w:sz w:val="24"/>
          <w:szCs w:val="24"/>
          <w:highlight w:val="none"/>
        </w:rPr>
        <w:t>4.1、如中标供应商为中小企业，则中标供应商需缴纳的履约保证金按约定比例的50%支付：合同总价1.5%。履约保证金提交形式：可采用现金转账或非现金形式的保函形式提交。在合同履约完毕（质保期满）、无质量问题且无合同纠纷后7个工作日内，使用单位以转账方式或者退还保函形式无息退还。中标供应商未交纳履约保证金的，使用单位有权拒绝付款。</w:t>
      </w:r>
      <w:r>
        <w:rPr>
          <w:rFonts w:hint="eastAsia" w:ascii="宋体" w:hAnsi="宋体" w:cs="宋体"/>
          <w:b/>
          <w:bCs/>
          <w:color w:val="auto"/>
          <w:kern w:val="0"/>
          <w:sz w:val="24"/>
          <w:szCs w:val="24"/>
          <w:highlight w:val="none"/>
        </w:rPr>
        <w:t>因中标供应商违约造成本合同解除的，履约保证金不予退还。</w:t>
      </w:r>
    </w:p>
    <w:p w14:paraId="4FDFE336">
      <w:pPr>
        <w:adjustRightInd w:val="0"/>
        <w:snapToGrid w:val="0"/>
        <w:spacing w:line="360" w:lineRule="auto"/>
        <w:rPr>
          <w:rFonts w:ascii="宋体" w:hAnsi="宋体" w:cs="宋体"/>
          <w:color w:val="auto"/>
          <w:sz w:val="24"/>
          <w:szCs w:val="24"/>
          <w:highlight w:val="none"/>
        </w:rPr>
      </w:pPr>
      <w:r>
        <w:rPr>
          <w:rFonts w:hint="eastAsia" w:ascii="宋体" w:hAnsi="宋体" w:cs="宋体"/>
          <w:b/>
          <w:bCs/>
          <w:color w:val="auto"/>
          <w:sz w:val="24"/>
          <w:szCs w:val="24"/>
          <w:highlight w:val="none"/>
        </w:rPr>
        <w:t>4.2、如中标供应商评审过程中未认定为中小企业，则中标供应商需缴纳的合同总价3%的履约保证金。履约保证金提交形式：可采用现金转账或非现金形式的保函形式提交。在合同履约完毕（质保期满）、无质量问题且无合同纠纷后7个工作日内，使用单位以转账方式或者退还保函形式无息退还剩余的履约保证金。中标供应商未交纳履约保证金的，使用单位有权拒绝付款。</w:t>
      </w:r>
      <w:r>
        <w:rPr>
          <w:rFonts w:hint="eastAsia" w:ascii="宋体" w:hAnsi="宋体" w:cs="宋体"/>
          <w:b/>
          <w:bCs/>
          <w:color w:val="auto"/>
          <w:kern w:val="0"/>
          <w:sz w:val="24"/>
          <w:szCs w:val="24"/>
          <w:highlight w:val="none"/>
        </w:rPr>
        <w:t>因中标供应商违约造成本合同解除的，履约保证金不予退还。</w:t>
      </w:r>
    </w:p>
    <w:p w14:paraId="6F0E2386">
      <w:pPr>
        <w:adjustRightInd w:val="0"/>
        <w:snapToGrid w:val="0"/>
        <w:spacing w:line="360" w:lineRule="auto"/>
        <w:ind w:left="480" w:hanging="480" w:hangingChars="200"/>
        <w:rPr>
          <w:rFonts w:ascii="宋体" w:hAnsi="宋体" w:cs="宋体"/>
          <w:color w:val="auto"/>
          <w:sz w:val="24"/>
          <w:szCs w:val="24"/>
          <w:highlight w:val="none"/>
        </w:rPr>
      </w:pPr>
      <w:r>
        <w:rPr>
          <w:rFonts w:hint="eastAsia" w:ascii="宋体" w:hAnsi="宋体" w:cs="宋体"/>
          <w:color w:val="auto"/>
          <w:sz w:val="24"/>
          <w:szCs w:val="24"/>
          <w:highlight w:val="none"/>
        </w:rPr>
        <w:t>5、是否邀请投标人参与验收：否</w:t>
      </w:r>
    </w:p>
    <w:p w14:paraId="0ACDE8D4">
      <w:pPr>
        <w:adjustRightInd w:val="0"/>
        <w:snapToGrid w:val="0"/>
        <w:spacing w:line="360" w:lineRule="auto"/>
        <w:ind w:left="480" w:hanging="480" w:hangingChars="200"/>
        <w:rPr>
          <w:rFonts w:ascii="宋体" w:hAnsi="宋体" w:cs="宋体"/>
          <w:color w:val="auto"/>
          <w:sz w:val="24"/>
          <w:szCs w:val="24"/>
          <w:highlight w:val="none"/>
        </w:rPr>
      </w:pPr>
      <w:r>
        <w:rPr>
          <w:rFonts w:hint="eastAsia" w:ascii="宋体" w:hAnsi="宋体" w:cs="宋体"/>
          <w:color w:val="auto"/>
          <w:sz w:val="24"/>
          <w:szCs w:val="24"/>
          <w:highlight w:val="none"/>
        </w:rPr>
        <w:t>6、验收方式数据表格</w:t>
      </w:r>
    </w:p>
    <w:tbl>
      <w:tblPr>
        <w:tblStyle w:val="16"/>
        <w:tblW w:w="5003" w:type="pct"/>
        <w:tblInd w:w="0" w:type="dxa"/>
        <w:tblBorders>
          <w:top w:val="outset" w:color="666666" w:sz="2" w:space="0"/>
          <w:left w:val="outset" w:color="666666" w:sz="2" w:space="0"/>
          <w:bottom w:val="outset" w:color="666666" w:sz="2" w:space="0"/>
          <w:right w:val="outset" w:color="666666" w:sz="2" w:space="0"/>
          <w:insideH w:val="none" w:color="auto" w:sz="0" w:space="0"/>
          <w:insideV w:val="none" w:color="auto" w:sz="0" w:space="0"/>
        </w:tblBorders>
        <w:tblLayout w:type="autofit"/>
        <w:tblCellMar>
          <w:top w:w="0" w:type="dxa"/>
          <w:left w:w="0" w:type="dxa"/>
          <w:bottom w:w="0" w:type="dxa"/>
          <w:right w:w="0" w:type="dxa"/>
        </w:tblCellMar>
      </w:tblPr>
      <w:tblGrid>
        <w:gridCol w:w="1985"/>
        <w:gridCol w:w="7948"/>
      </w:tblGrid>
      <w:tr w14:paraId="440C1401">
        <w:tblPrEx>
          <w:tblBorders>
            <w:top w:val="outset" w:color="666666" w:sz="2" w:space="0"/>
            <w:left w:val="outset" w:color="666666" w:sz="2" w:space="0"/>
            <w:bottom w:val="outset" w:color="666666" w:sz="2" w:space="0"/>
            <w:right w:val="outset" w:color="666666" w:sz="2" w:space="0"/>
            <w:insideH w:val="none" w:color="auto" w:sz="0" w:space="0"/>
            <w:insideV w:val="none" w:color="auto" w:sz="0" w:space="0"/>
          </w:tblBorders>
          <w:tblCellMar>
            <w:top w:w="0" w:type="dxa"/>
            <w:left w:w="0" w:type="dxa"/>
            <w:bottom w:w="0" w:type="dxa"/>
            <w:right w:w="0" w:type="dxa"/>
          </w:tblCellMar>
        </w:tblPrEx>
        <w:trPr>
          <w:tblHeader/>
        </w:trPr>
        <w:tc>
          <w:tcPr>
            <w:tcW w:w="999" w:type="pct"/>
            <w:tcBorders>
              <w:top w:val="single" w:color="666666" w:sz="2" w:space="0"/>
              <w:left w:val="single" w:color="666666" w:sz="2" w:space="0"/>
              <w:bottom w:val="single" w:color="666666" w:sz="2" w:space="0"/>
              <w:right w:val="single" w:color="666666" w:sz="2" w:space="0"/>
            </w:tcBorders>
            <w:shd w:val="clear" w:color="auto" w:fill="FFFFFF"/>
            <w:vAlign w:val="center"/>
          </w:tcPr>
          <w:p w14:paraId="34CB9C47">
            <w:pPr>
              <w:widowControl/>
              <w:adjustRightInd w:val="0"/>
              <w:snapToGrid w:val="0"/>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验收期次</w:t>
            </w:r>
          </w:p>
        </w:tc>
        <w:tc>
          <w:tcPr>
            <w:tcW w:w="4000" w:type="pct"/>
            <w:tcBorders>
              <w:top w:val="single" w:color="666666" w:sz="2" w:space="0"/>
              <w:left w:val="single" w:color="666666" w:sz="2" w:space="0"/>
              <w:bottom w:val="single" w:color="666666" w:sz="2" w:space="0"/>
              <w:right w:val="single" w:color="666666" w:sz="2" w:space="0"/>
            </w:tcBorders>
            <w:shd w:val="clear" w:color="auto" w:fill="FFFFFF"/>
            <w:vAlign w:val="center"/>
          </w:tcPr>
          <w:p w14:paraId="4EB069F7">
            <w:pPr>
              <w:widowControl/>
              <w:adjustRightInd w:val="0"/>
              <w:snapToGrid w:val="0"/>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验收期次说明</w:t>
            </w:r>
          </w:p>
        </w:tc>
      </w:tr>
      <w:tr w14:paraId="781D12BD">
        <w:tblPrEx>
          <w:tblBorders>
            <w:top w:val="outset" w:color="666666" w:sz="2" w:space="0"/>
            <w:left w:val="outset" w:color="666666" w:sz="2" w:space="0"/>
            <w:bottom w:val="outset" w:color="666666" w:sz="2" w:space="0"/>
            <w:right w:val="outset" w:color="666666" w:sz="2" w:space="0"/>
            <w:insideH w:val="none" w:color="auto" w:sz="0" w:space="0"/>
            <w:insideV w:val="none" w:color="auto" w:sz="0" w:space="0"/>
          </w:tblBorders>
          <w:tblCellMar>
            <w:top w:w="0" w:type="dxa"/>
            <w:left w:w="0" w:type="dxa"/>
            <w:bottom w:w="0" w:type="dxa"/>
            <w:right w:w="0" w:type="dxa"/>
          </w:tblCellMar>
        </w:tblPrEx>
        <w:tc>
          <w:tcPr>
            <w:tcW w:w="999" w:type="pct"/>
            <w:tcBorders>
              <w:top w:val="single" w:color="666666" w:sz="2" w:space="0"/>
              <w:left w:val="single" w:color="666666" w:sz="2" w:space="0"/>
              <w:bottom w:val="single" w:color="666666" w:sz="2" w:space="0"/>
              <w:right w:val="single" w:color="666666" w:sz="2" w:space="0"/>
            </w:tcBorders>
            <w:shd w:val="clear" w:color="auto" w:fill="FFFFFF"/>
            <w:vAlign w:val="center"/>
          </w:tcPr>
          <w:p w14:paraId="508F5227">
            <w:pPr>
              <w:widowControl/>
              <w:adjustRightInd w:val="0"/>
              <w:snapToGrid w:val="0"/>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1</w:t>
            </w:r>
          </w:p>
        </w:tc>
        <w:tc>
          <w:tcPr>
            <w:tcW w:w="4000" w:type="pct"/>
            <w:tcBorders>
              <w:top w:val="single" w:color="666666" w:sz="2" w:space="0"/>
              <w:left w:val="single" w:color="666666" w:sz="2" w:space="0"/>
              <w:bottom w:val="single" w:color="666666" w:sz="2" w:space="0"/>
              <w:right w:val="single" w:color="666666" w:sz="2" w:space="0"/>
            </w:tcBorders>
            <w:shd w:val="clear" w:color="auto" w:fill="FFFFFF"/>
            <w:vAlign w:val="center"/>
          </w:tcPr>
          <w:p w14:paraId="5A266897">
            <w:pPr>
              <w:widowControl/>
              <w:adjustRightInd w:val="0"/>
              <w:snapToGrid w:val="0"/>
              <w:spacing w:line="360" w:lineRule="auto"/>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1、验收标准：招标文件、投标文件、配套软件须具备相关知识产权证书。</w:t>
            </w:r>
          </w:p>
          <w:p w14:paraId="17F75AC6">
            <w:pPr>
              <w:widowControl/>
              <w:adjustRightInd w:val="0"/>
              <w:snapToGrid w:val="0"/>
              <w:spacing w:line="360" w:lineRule="auto"/>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2、验收程序与方法：中标人应确保设备的安装调试。验收工作由采购单位组织验收。验收时中标人代表必须在场。验收合格后，验收人出具《验收报告》。</w:t>
            </w:r>
          </w:p>
          <w:p w14:paraId="20370BD3">
            <w:pPr>
              <w:widowControl/>
              <w:adjustRightInd w:val="0"/>
              <w:snapToGrid w:val="0"/>
              <w:spacing w:line="360" w:lineRule="auto"/>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3、验收指标：中标产品到场最终验收时，使用单位对所有技术指标进行现场实测，如果测试机构与中标人在投标书的指标承若不符，中标人应承担退货风险及相关全部责任。</w:t>
            </w:r>
          </w:p>
          <w:p w14:paraId="6277134A">
            <w:pPr>
              <w:widowControl/>
              <w:adjustRightInd w:val="0"/>
              <w:snapToGrid w:val="0"/>
              <w:spacing w:line="360" w:lineRule="auto"/>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4、采购单位有权委托我国有关具有检验资质的部门对中标货物的性能(含安全)等指标进行检验，其检验结果将作为验收标准的组成部分之一。</w:t>
            </w:r>
          </w:p>
          <w:p w14:paraId="3F3A6571">
            <w:pPr>
              <w:widowControl/>
              <w:adjustRightInd w:val="0"/>
              <w:snapToGrid w:val="0"/>
              <w:spacing w:line="360" w:lineRule="auto"/>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5、中标人须免费提供完整的技术资料(包括但不仅限于说明书、安装手册、维修手册、用户手册等)。</w:t>
            </w:r>
          </w:p>
        </w:tc>
      </w:tr>
    </w:tbl>
    <w:p w14:paraId="296F388A">
      <w:pPr>
        <w:widowControl/>
        <w:shd w:val="clear" w:color="auto" w:fill="FFFFFF"/>
        <w:adjustRightInd w:val="0"/>
        <w:snapToGrid w:val="0"/>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7、支付方式：详见合同条款。</w:t>
      </w:r>
    </w:p>
    <w:p w14:paraId="78BF9E03">
      <w:pPr>
        <w:adjustRightInd w:val="0"/>
        <w:snapToGrid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8、售后服务标准和技术服务条件：</w:t>
      </w:r>
    </w:p>
    <w:p w14:paraId="1FB034D9">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8.1、投标人应提供售后服务承诺书及服务条款。</w:t>
      </w:r>
    </w:p>
    <w:p w14:paraId="73F740FF">
      <w:pPr>
        <w:adjustRightInd w:val="0"/>
        <w:snapToGrid w:val="0"/>
        <w:spacing w:line="360" w:lineRule="auto"/>
        <w:ind w:firstLine="480" w:firstLineChars="200"/>
        <w:rPr>
          <w:rFonts w:ascii="宋体" w:hAnsi="宋体" w:cs="宋体"/>
          <w:b/>
          <w:bCs/>
          <w:color w:val="auto"/>
          <w:sz w:val="24"/>
          <w:szCs w:val="24"/>
          <w:highlight w:val="none"/>
        </w:rPr>
      </w:pPr>
      <w:r>
        <w:rPr>
          <w:rFonts w:hint="eastAsia" w:ascii="宋体" w:hAnsi="宋体" w:cs="宋体"/>
          <w:color w:val="auto"/>
          <w:sz w:val="24"/>
          <w:szCs w:val="24"/>
          <w:highlight w:val="none"/>
        </w:rPr>
        <w:t>★</w:t>
      </w:r>
      <w:r>
        <w:rPr>
          <w:rFonts w:hint="eastAsia" w:ascii="宋体" w:hAnsi="宋体" w:cs="宋体"/>
          <w:b/>
          <w:bCs/>
          <w:color w:val="auto"/>
          <w:sz w:val="24"/>
          <w:szCs w:val="24"/>
          <w:highlight w:val="none"/>
        </w:rPr>
        <w:t>8.2、质保期：（软硬件产品）质保期自验收合格之日起计算“整机3年原厂保修”，质保期内中标供应商应免费提供包括但不限于因投标货物本身缺陷所导致故障的技术服务和设备维修、部件更换、维护保养，所需的费用应包含在报价中。（投标人需在投标文件中响应满足上述条款要求）</w:t>
      </w:r>
    </w:p>
    <w:p w14:paraId="5C3455FF">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8.3、质保期内如设备出现故障，中标供应商在接到通知后2小时内抵达现场，6小时内完成修复，若不能在48小时内解决，免费提供同等性能、同等配置的代用设备或免费更换新设备，以确保采购单位相关工作不中断运行。质保期内，与维修和质保相关的所有费用由中标供应商负责。</w:t>
      </w:r>
    </w:p>
    <w:p w14:paraId="570FA094">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8.4、投标人应承诺</w:t>
      </w:r>
      <w:bookmarkStart w:id="0" w:name="_Hlk121316857"/>
      <w:r>
        <w:rPr>
          <w:rFonts w:hint="eastAsia" w:ascii="宋体" w:hAnsi="宋体" w:cs="宋体"/>
          <w:color w:val="auto"/>
          <w:sz w:val="24"/>
          <w:szCs w:val="24"/>
          <w:highlight w:val="none"/>
        </w:rPr>
        <w:t>国内设有备件库，需要更换的备件（不可抗力情况除外）12小时内发货。</w:t>
      </w:r>
    </w:p>
    <w:bookmarkEnd w:id="0"/>
    <w:p w14:paraId="1489548F">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8.5、质保期外的售后服务，中标供应商在接到通知后4小时内抵达现场，1个工作日内解决问题（不可抗力情况除外）。消耗品和零配件供应及时，特殊情况下需提供备用机或其他临时解决方案。</w:t>
      </w:r>
    </w:p>
    <w:p w14:paraId="694252D1">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8.6、投标人必须承诺能长期提供良好的技术支持及备品备件的优惠供应，并列出零备件清单及价格表。</w:t>
      </w:r>
    </w:p>
    <w:p w14:paraId="7C4B7426">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8.7、软硬件升级：质保期内的软件升级已包含在报价中，中标供应商应承诺质保期内的软件升级，质保期外在不涉及硬件更换情况下供应商软件免费升级；制造商（设备原厂）负责货物的维修，保证10年以上供应维修配件。</w:t>
      </w:r>
    </w:p>
    <w:p w14:paraId="54218464">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 xml:space="preserve">8.8、投标人承诺在服务期内提供常规技术咨询服务及远程协助服务，并通过电话解答一般性的系统、配置等问题，解决日常操作指导，问题解答，确保设备正常使用；当远程无法解决问题时，应派出技术专家提供现场支持。 </w:t>
      </w:r>
    </w:p>
    <w:p w14:paraId="6A917B72">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8.9、投标人必须负责对使用人员、技术人员和管理人员进行技术培训。操作维护培训提供系统操作维护方法、安装调试、排除故障和日常使用操作等各个方面。</w:t>
      </w:r>
    </w:p>
    <w:p w14:paraId="7B9214B3">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8.10、投标人必须根据其所提供的解决方案的具体内容，制定培训课程，使使用单位的相关人员在培训后能够独立地对系统进行操作、管理、维护。</w:t>
      </w:r>
    </w:p>
    <w:p w14:paraId="1D6602CE">
      <w:pPr>
        <w:adjustRightInd w:val="0"/>
        <w:snapToGrid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9、货物报价</w:t>
      </w:r>
    </w:p>
    <w:p w14:paraId="56D58B92">
      <w:pPr>
        <w:adjustRightInd w:val="0"/>
        <w:snapToGrid w:val="0"/>
        <w:spacing w:line="360" w:lineRule="auto"/>
        <w:ind w:firstLine="480" w:firstLineChars="200"/>
        <w:rPr>
          <w:rFonts w:ascii="宋体" w:hAnsi="宋体" w:cs="宋体"/>
          <w:b/>
          <w:color w:val="auto"/>
          <w:kern w:val="0"/>
          <w:sz w:val="24"/>
          <w:szCs w:val="24"/>
          <w:highlight w:val="none"/>
        </w:rPr>
      </w:pPr>
      <w:r>
        <w:rPr>
          <w:rFonts w:hint="eastAsia" w:ascii="宋体" w:hAnsi="宋体" w:cs="宋体"/>
          <w:color w:val="auto"/>
          <w:sz w:val="24"/>
          <w:szCs w:val="24"/>
          <w:highlight w:val="none"/>
        </w:rPr>
        <w:t>9.</w:t>
      </w:r>
      <w:r>
        <w:rPr>
          <w:rFonts w:hint="eastAsia" w:ascii="宋体" w:hAnsi="宋体" w:cs="宋体"/>
          <w:bCs/>
          <w:color w:val="auto"/>
          <w:kern w:val="0"/>
          <w:sz w:val="24"/>
          <w:szCs w:val="24"/>
          <w:highlight w:val="none"/>
        </w:rPr>
        <w:t>1.投标人必须对采购项目的所有内容进行报价响应。</w:t>
      </w:r>
    </w:p>
    <w:p w14:paraId="110F8341">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9.2.本次采购为国内采购，报价以人民币为货币单位，应分单价、小计和总价。</w:t>
      </w:r>
    </w:p>
    <w:p w14:paraId="6E78EB6A">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9.3.投标总价为完成项目研究活动所有可能发生的一切费用，包括人工费、设备投入使用费、劳保费、税金、代理服务费、材料费、资料收集费、安全生产措施费用、组织评审费、验收费、咨询费、管理费相关伴随服务等服务期间所可能发生的一切费用。</w:t>
      </w:r>
    </w:p>
    <w:p w14:paraId="2EF211B1">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9.4.投标人报价中漏报、少报的费用，视为此项费用已隐含在投标总价中，中标后不得再向采购单位收取任何费用。</w:t>
      </w:r>
    </w:p>
    <w:p w14:paraId="3446095C">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w:t>
      </w:r>
      <w:r>
        <w:rPr>
          <w:rFonts w:hint="eastAsia" w:ascii="宋体" w:hAnsi="宋体" w:cs="宋体"/>
          <w:b/>
          <w:bCs/>
          <w:color w:val="auto"/>
          <w:sz w:val="24"/>
          <w:szCs w:val="24"/>
          <w:highlight w:val="none"/>
        </w:rPr>
        <w:t>9</w:t>
      </w:r>
      <w:r>
        <w:rPr>
          <w:rFonts w:hint="eastAsia" w:ascii="宋体" w:hAnsi="宋体" w:cs="宋体"/>
          <w:color w:val="auto"/>
          <w:sz w:val="24"/>
          <w:szCs w:val="24"/>
          <w:highlight w:val="none"/>
        </w:rPr>
        <w:t>.</w:t>
      </w:r>
      <w:r>
        <w:rPr>
          <w:rFonts w:hint="eastAsia" w:ascii="宋体" w:hAnsi="宋体" w:cs="宋体"/>
          <w:b/>
          <w:color w:val="auto"/>
          <w:kern w:val="0"/>
          <w:sz w:val="24"/>
          <w:szCs w:val="24"/>
          <w:highlight w:val="none"/>
        </w:rPr>
        <w:t>5.</w:t>
      </w:r>
      <w:r>
        <w:rPr>
          <w:rFonts w:hint="eastAsia" w:ascii="宋体" w:hAnsi="宋体" w:cs="宋体"/>
          <w:b/>
          <w:color w:val="auto"/>
          <w:sz w:val="24"/>
          <w:szCs w:val="24"/>
          <w:highlight w:val="none"/>
        </w:rPr>
        <w:t>本</w:t>
      </w:r>
      <w:r>
        <w:rPr>
          <w:rFonts w:hint="eastAsia" w:ascii="宋体" w:hAnsi="宋体" w:cs="宋体"/>
          <w:b/>
          <w:color w:val="auto"/>
          <w:spacing w:val="4"/>
          <w:sz w:val="24"/>
          <w:szCs w:val="24"/>
          <w:highlight w:val="none"/>
        </w:rPr>
        <w:t>项目的采购预算为人民币191万元，采购预算为总报价的最高限价，总报价超过采购预算的属无效投标。</w:t>
      </w:r>
    </w:p>
    <w:p w14:paraId="7189AAA9">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10、其他相关要求</w:t>
      </w:r>
    </w:p>
    <w:p w14:paraId="47AB2DA3">
      <w:pPr>
        <w:adjustRightInd w:val="0"/>
        <w:snapToGrid w:val="0"/>
        <w:spacing w:line="360" w:lineRule="auto"/>
        <w:ind w:firstLine="480" w:firstLineChars="200"/>
        <w:rPr>
          <w:rFonts w:ascii="宋体" w:hAnsi="宋体" w:cs="宋体"/>
          <w:b/>
          <w:color w:val="auto"/>
          <w:sz w:val="24"/>
          <w:szCs w:val="24"/>
          <w:highlight w:val="none"/>
        </w:rPr>
      </w:pPr>
      <w:r>
        <w:rPr>
          <w:rFonts w:hint="eastAsia" w:ascii="宋体" w:hAnsi="宋体" w:cs="宋体"/>
          <w:color w:val="auto"/>
          <w:sz w:val="24"/>
          <w:szCs w:val="24"/>
          <w:highlight w:val="none"/>
        </w:rPr>
        <w:t>★</w:t>
      </w:r>
      <w:r>
        <w:rPr>
          <w:rFonts w:hint="eastAsia" w:ascii="宋体" w:hAnsi="宋体" w:cs="宋体"/>
          <w:b/>
          <w:color w:val="auto"/>
          <w:sz w:val="24"/>
          <w:szCs w:val="24"/>
          <w:highlight w:val="none"/>
        </w:rPr>
        <w:t>10.1、投标人须提供书面承诺函，格式自拟：“我司未挂靠、借用资质或提供虚假材料参加本项目的投标，未与其他投标供应商或采购代理机构相互串通，如我司中标，不违规转包或分包。一经发现，采购单位有权取消我司的中标资格，或决定中标无效，或提前解除合同,并追究我司相关责任。”</w:t>
      </w:r>
    </w:p>
    <w:p w14:paraId="37972377">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10.2、知识产权方面，投标人必须通过合法渠道获取，并保证采购单位在使用过程的任何时候不受到知识产权或版权的纠纷。否则，由此产生的责任，完全由中标供应 商承担。</w:t>
      </w:r>
    </w:p>
    <w:p w14:paraId="64FD5FE1">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10.3、中标供应商不得单方放弃中标，因中标供应商原因造成采购合同无法按时签订的，视为中标供应商违约，采购单位有权追究其相关法律责任。</w:t>
      </w:r>
    </w:p>
    <w:p w14:paraId="638B4FEC">
      <w:pPr>
        <w:adjustRightInd w:val="0"/>
        <w:snapToGrid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11、违约责任</w:t>
      </w:r>
    </w:p>
    <w:p w14:paraId="347EE529">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11.1、在签定采购合同之后，中标供应商要求解除合同的，视为中标供应商违约，采购单位不予退还履约保证金，并有权追究其相关法律责任。</w:t>
      </w:r>
    </w:p>
    <w:p w14:paraId="483E466C">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11.2、如采购单位在供货或合同履行过程中发现中标供应商实际提供的产品不符合招标文件的，有权解除采购合同，要求中标供应商退还已收合同价款，没收其履约保证金。</w:t>
      </w:r>
    </w:p>
    <w:p w14:paraId="64D797D1">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11.3、采购单位有权对货物的功能、性能、技术实现方案等进行检验，包括搭模拟测试环境，中标供应商需无条件配合满足。若经验收不合格或者中标供应商原本承诺“支持”、“满足”，后经验证无法满足的，采购单位将根据采购项目具体的情况给予一周时间（或经采购单位书面确认的更长时间内）的整改；整改后仍不合格的，采购单位有权解除采购合同，要求中标供应商退还已收合同款，没收其履约保证金，并要求中标供应商支付合同总价的30%作为违约金或赔偿采购单位因此遭受的全部损失。</w:t>
      </w:r>
    </w:p>
    <w:p w14:paraId="3C5CC32C">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11.4、合同期内，中标供应商未按招标文件要求履行服务的，每出现一次，从履约保证金中扣除合同总价的0.3%。</w:t>
      </w:r>
      <w:r>
        <w:rPr>
          <w:rFonts w:hint="eastAsia" w:ascii="宋体" w:hAnsi="宋体" w:cs="宋体"/>
          <w:bCs/>
          <w:color w:val="auto"/>
          <w:sz w:val="24"/>
          <w:szCs w:val="24"/>
          <w:highlight w:val="none"/>
        </w:rPr>
        <w:t>若在合同期内，履约保证金被扣完的，则中标供应商应在扣完后5个工作日内补足。</w:t>
      </w:r>
    </w:p>
    <w:p w14:paraId="34484224">
      <w:pPr>
        <w:pStyle w:val="3"/>
        <w:keepNext w:val="0"/>
        <w:keepLines w:val="0"/>
        <w:numPr>
          <w:ilvl w:val="1"/>
          <w:numId w:val="0"/>
        </w:numPr>
        <w:adjustRightInd w:val="0"/>
        <w:snapToGrid w:val="0"/>
        <w:spacing w:before="0" w:after="0" w:line="360" w:lineRule="auto"/>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六、资格证明文件</w:t>
      </w:r>
    </w:p>
    <w:p w14:paraId="424D8DD5">
      <w:pPr>
        <w:adjustRightInd w:val="0"/>
        <w:snapToGrid w:val="0"/>
        <w:spacing w:line="360" w:lineRule="auto"/>
        <w:ind w:firstLine="480" w:firstLineChars="200"/>
        <w:rPr>
          <w:rFonts w:ascii="宋体" w:hAnsi="宋体" w:cs="宋体"/>
          <w:b/>
          <w:bCs/>
          <w:color w:val="auto"/>
          <w:sz w:val="24"/>
          <w:szCs w:val="24"/>
          <w:highlight w:val="none"/>
        </w:rPr>
      </w:pPr>
      <w:r>
        <w:rPr>
          <w:rFonts w:hint="eastAsia" w:ascii="宋体" w:hAnsi="宋体" w:cs="宋体"/>
          <w:color w:val="auto"/>
          <w:sz w:val="24"/>
          <w:szCs w:val="24"/>
          <w:highlight w:val="none"/>
        </w:rPr>
        <w:t>★</w:t>
      </w:r>
      <w:r>
        <w:rPr>
          <w:rFonts w:hint="eastAsia" w:ascii="宋体" w:hAnsi="宋体" w:cs="宋体"/>
          <w:b/>
          <w:bCs/>
          <w:color w:val="auto"/>
          <w:sz w:val="24"/>
          <w:szCs w:val="24"/>
          <w:highlight w:val="none"/>
        </w:rPr>
        <w:t>1、投标人应提供工商营业执照（副本）（加盖公章）的扫描件。</w:t>
      </w:r>
    </w:p>
    <w:p w14:paraId="202FF30F">
      <w:pPr>
        <w:adjustRightInd w:val="0"/>
        <w:snapToGrid w:val="0"/>
        <w:spacing w:line="360" w:lineRule="auto"/>
        <w:ind w:firstLine="480" w:firstLineChars="200"/>
        <w:rPr>
          <w:rFonts w:ascii="宋体" w:hAnsi="宋体" w:cs="宋体"/>
          <w:b/>
          <w:bCs/>
          <w:color w:val="auto"/>
          <w:sz w:val="24"/>
          <w:szCs w:val="24"/>
          <w:highlight w:val="none"/>
        </w:rPr>
      </w:pPr>
      <w:r>
        <w:rPr>
          <w:rFonts w:hint="eastAsia" w:ascii="宋体" w:hAnsi="宋体" w:cs="宋体"/>
          <w:color w:val="auto"/>
          <w:sz w:val="24"/>
          <w:szCs w:val="24"/>
          <w:highlight w:val="none"/>
        </w:rPr>
        <w:t>★</w:t>
      </w:r>
      <w:r>
        <w:rPr>
          <w:rFonts w:hint="eastAsia" w:ascii="宋体" w:hAnsi="宋体" w:cs="宋体"/>
          <w:b/>
          <w:bCs/>
          <w:color w:val="auto"/>
          <w:sz w:val="24"/>
          <w:szCs w:val="24"/>
          <w:highlight w:val="none"/>
        </w:rPr>
        <w:t>2、投标人全权代表若不是单位负责人或法定代表人，应提供单位授权书原件，并提供被授权代表身份证扫描件。</w:t>
      </w:r>
    </w:p>
    <w:p w14:paraId="05474820">
      <w:pPr>
        <w:tabs>
          <w:tab w:val="left" w:pos="5130"/>
        </w:tabs>
        <w:spacing w:line="360" w:lineRule="auto"/>
        <w:ind w:firstLine="480" w:firstLineChars="200"/>
        <w:rPr>
          <w:rFonts w:ascii="宋体" w:hAnsi="宋体" w:cs="宋体"/>
          <w:color w:val="auto"/>
          <w:sz w:val="24"/>
          <w:szCs w:val="24"/>
          <w:highlight w:val="none"/>
        </w:rPr>
      </w:pPr>
    </w:p>
    <w:p w14:paraId="2386B9BF">
      <w:pPr>
        <w:tabs>
          <w:tab w:val="left" w:pos="5130"/>
        </w:tabs>
        <w:spacing w:line="360" w:lineRule="auto"/>
        <w:ind w:firstLine="480" w:firstLineChars="200"/>
        <w:rPr>
          <w:rFonts w:ascii="宋体" w:hAnsi="宋体" w:cs="宋体"/>
          <w:color w:val="auto"/>
          <w:sz w:val="24"/>
          <w:szCs w:val="24"/>
          <w:highlight w:val="none"/>
        </w:rPr>
      </w:pPr>
    </w:p>
    <w:p w14:paraId="388C6173">
      <w:pPr>
        <w:tabs>
          <w:tab w:val="left" w:pos="5130"/>
        </w:tabs>
        <w:spacing w:line="360" w:lineRule="auto"/>
        <w:ind w:firstLine="480" w:firstLineChars="200"/>
        <w:rPr>
          <w:rFonts w:ascii="宋体" w:hAnsi="宋体" w:cs="宋体"/>
          <w:color w:val="auto"/>
          <w:sz w:val="24"/>
          <w:szCs w:val="24"/>
          <w:highlight w:val="none"/>
        </w:rPr>
      </w:pPr>
    </w:p>
    <w:p w14:paraId="6C0BF48C">
      <w:pPr>
        <w:tabs>
          <w:tab w:val="left" w:pos="5130"/>
        </w:tabs>
        <w:spacing w:line="360" w:lineRule="auto"/>
        <w:ind w:firstLine="480" w:firstLineChars="200"/>
        <w:rPr>
          <w:rFonts w:ascii="宋体" w:hAnsi="宋体" w:cs="宋体"/>
          <w:color w:val="auto"/>
          <w:sz w:val="24"/>
          <w:szCs w:val="24"/>
          <w:highlight w:val="none"/>
        </w:rPr>
      </w:pPr>
    </w:p>
    <w:p w14:paraId="66BF316A">
      <w:pPr>
        <w:tabs>
          <w:tab w:val="left" w:pos="5130"/>
        </w:tabs>
        <w:spacing w:line="360" w:lineRule="auto"/>
        <w:ind w:firstLine="480" w:firstLineChars="200"/>
        <w:rPr>
          <w:rFonts w:ascii="宋体" w:hAnsi="宋体" w:cs="宋体"/>
          <w:color w:val="auto"/>
          <w:sz w:val="24"/>
          <w:szCs w:val="24"/>
          <w:highlight w:val="none"/>
        </w:rPr>
      </w:pPr>
    </w:p>
    <w:p w14:paraId="22EC72BA">
      <w:pPr>
        <w:tabs>
          <w:tab w:val="left" w:pos="5130"/>
        </w:tabs>
        <w:spacing w:line="360" w:lineRule="auto"/>
        <w:ind w:firstLine="480" w:firstLineChars="200"/>
        <w:rPr>
          <w:rFonts w:ascii="宋体" w:hAnsi="宋体" w:cs="宋体"/>
          <w:color w:val="auto"/>
          <w:sz w:val="24"/>
          <w:szCs w:val="24"/>
          <w:highlight w:val="none"/>
        </w:rPr>
      </w:pPr>
    </w:p>
    <w:p w14:paraId="68244658">
      <w:pPr>
        <w:pStyle w:val="2"/>
        <w:rPr>
          <w:color w:val="auto"/>
          <w:highlight w:val="none"/>
        </w:rPr>
      </w:pPr>
    </w:p>
    <w:p w14:paraId="600343E9">
      <w:pPr>
        <w:tabs>
          <w:tab w:val="left" w:pos="5130"/>
        </w:tabs>
        <w:spacing w:line="360" w:lineRule="auto"/>
        <w:ind w:firstLine="480" w:firstLineChars="200"/>
        <w:rPr>
          <w:rFonts w:ascii="宋体" w:hAnsi="宋体" w:cs="宋体"/>
          <w:color w:val="auto"/>
          <w:sz w:val="24"/>
          <w:szCs w:val="24"/>
          <w:highlight w:val="none"/>
        </w:rPr>
      </w:pPr>
    </w:p>
    <w:p w14:paraId="6DE3D4CB">
      <w:pPr>
        <w:tabs>
          <w:tab w:val="left" w:pos="5130"/>
        </w:tabs>
        <w:spacing w:line="360" w:lineRule="auto"/>
        <w:ind w:firstLine="480" w:firstLineChars="200"/>
        <w:rPr>
          <w:rFonts w:ascii="宋体" w:hAnsi="宋体" w:cs="宋体"/>
          <w:color w:val="auto"/>
          <w:sz w:val="24"/>
          <w:szCs w:val="24"/>
          <w:highlight w:val="none"/>
        </w:rPr>
      </w:pPr>
    </w:p>
    <w:p w14:paraId="464CD322">
      <w:pPr>
        <w:tabs>
          <w:tab w:val="left" w:pos="5130"/>
        </w:tabs>
        <w:spacing w:line="360" w:lineRule="auto"/>
        <w:ind w:firstLine="480" w:firstLineChars="200"/>
        <w:rPr>
          <w:rFonts w:ascii="宋体" w:hAnsi="宋体" w:cs="宋体"/>
          <w:color w:val="auto"/>
          <w:sz w:val="24"/>
          <w:szCs w:val="24"/>
          <w:highlight w:val="none"/>
        </w:rPr>
      </w:pPr>
    </w:p>
    <w:p w14:paraId="378FA86B">
      <w:pPr>
        <w:spacing w:line="360" w:lineRule="auto"/>
        <w:rPr>
          <w:rFonts w:ascii="宋体" w:hAnsi="宋体" w:cs="宋体"/>
          <w:color w:val="auto"/>
          <w:sz w:val="32"/>
          <w:szCs w:val="32"/>
          <w:highlight w:val="none"/>
        </w:rPr>
      </w:pPr>
      <w:r>
        <w:rPr>
          <w:rFonts w:hint="eastAsia" w:ascii="宋体" w:hAnsi="宋体" w:cs="宋体"/>
          <w:b/>
          <w:color w:val="auto"/>
          <w:sz w:val="32"/>
          <w:szCs w:val="32"/>
          <w:highlight w:val="none"/>
        </w:rPr>
        <w:t>附表：</w:t>
      </w:r>
    </w:p>
    <w:p w14:paraId="6E3CDEE1">
      <w:pPr>
        <w:spacing w:line="360" w:lineRule="auto"/>
        <w:ind w:firstLine="630" w:firstLineChars="196"/>
        <w:jc w:val="center"/>
        <w:rPr>
          <w:rFonts w:ascii="宋体" w:hAnsi="宋体" w:cs="宋体"/>
          <w:b/>
          <w:color w:val="auto"/>
          <w:sz w:val="32"/>
          <w:szCs w:val="32"/>
          <w:highlight w:val="none"/>
        </w:rPr>
      </w:pPr>
      <w:r>
        <w:rPr>
          <w:rFonts w:hint="eastAsia" w:ascii="宋体" w:hAnsi="宋体" w:cs="宋体"/>
          <w:b/>
          <w:color w:val="auto"/>
          <w:sz w:val="32"/>
          <w:szCs w:val="32"/>
          <w:highlight w:val="none"/>
        </w:rPr>
        <w:t>技术规格及商务响应表</w:t>
      </w:r>
    </w:p>
    <w:p w14:paraId="0D97E805">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（投标人应针对下表中体现的招标要求及“投标人须知前附表2:资格性、符合性检查表”内容逐条说明投标响应情况，并附上相应资料，投标响应对应的页码以及偏离说明）</w:t>
      </w: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0"/>
        <w:gridCol w:w="707"/>
        <w:gridCol w:w="709"/>
        <w:gridCol w:w="5386"/>
        <w:gridCol w:w="779"/>
        <w:gridCol w:w="935"/>
        <w:gridCol w:w="775"/>
      </w:tblGrid>
      <w:tr w14:paraId="0F91EA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62" w:type="dxa"/>
            <w:gridSpan w:val="4"/>
            <w:tcBorders>
              <w:top w:val="single" w:color="auto" w:sz="4" w:space="0"/>
              <w:left w:val="single" w:color="auto" w:sz="4" w:space="0"/>
              <w:bottom w:val="single" w:color="auto" w:sz="4" w:space="0"/>
              <w:right w:val="single" w:color="auto" w:sz="4" w:space="0"/>
            </w:tcBorders>
            <w:noWrap/>
            <w:vAlign w:val="center"/>
          </w:tcPr>
          <w:p w14:paraId="0C361CE5">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招标要求</w:t>
            </w:r>
          </w:p>
        </w:tc>
        <w:tc>
          <w:tcPr>
            <w:tcW w:w="2489" w:type="dxa"/>
            <w:gridSpan w:val="3"/>
            <w:tcBorders>
              <w:top w:val="single" w:color="auto" w:sz="4" w:space="0"/>
              <w:left w:val="single" w:color="auto" w:sz="4" w:space="0"/>
              <w:bottom w:val="single" w:color="auto" w:sz="4" w:space="0"/>
              <w:right w:val="single" w:color="auto" w:sz="4" w:space="0"/>
            </w:tcBorders>
            <w:noWrap/>
            <w:vAlign w:val="center"/>
          </w:tcPr>
          <w:p w14:paraId="7713D7DA">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投标响应</w:t>
            </w:r>
          </w:p>
        </w:tc>
      </w:tr>
      <w:tr w14:paraId="2CAEF3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tcBorders>
              <w:top w:val="single" w:color="auto" w:sz="4" w:space="0"/>
              <w:left w:val="single" w:color="auto" w:sz="4" w:space="0"/>
              <w:bottom w:val="single" w:color="auto" w:sz="4" w:space="0"/>
              <w:right w:val="single" w:color="auto" w:sz="4" w:space="0"/>
            </w:tcBorders>
            <w:noWrap/>
            <w:vAlign w:val="center"/>
          </w:tcPr>
          <w:p w14:paraId="60646B90">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合同包/品目号</w:t>
            </w:r>
          </w:p>
        </w:tc>
        <w:tc>
          <w:tcPr>
            <w:tcW w:w="707" w:type="dxa"/>
            <w:tcBorders>
              <w:top w:val="single" w:color="auto" w:sz="4" w:space="0"/>
              <w:left w:val="single" w:color="auto" w:sz="4" w:space="0"/>
              <w:bottom w:val="single" w:color="auto" w:sz="4" w:space="0"/>
              <w:right w:val="single" w:color="auto" w:sz="4" w:space="0"/>
            </w:tcBorders>
            <w:noWrap/>
            <w:vAlign w:val="center"/>
          </w:tcPr>
          <w:p w14:paraId="5C55D08F">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货物</w:t>
            </w:r>
          </w:p>
          <w:p w14:paraId="0F11B2F7">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名称</w:t>
            </w:r>
          </w:p>
        </w:tc>
        <w:tc>
          <w:tcPr>
            <w:tcW w:w="709" w:type="dxa"/>
            <w:tcBorders>
              <w:top w:val="single" w:color="auto" w:sz="4" w:space="0"/>
              <w:left w:val="single" w:color="auto" w:sz="4" w:space="0"/>
              <w:bottom w:val="single" w:color="auto" w:sz="4" w:space="0"/>
              <w:right w:val="single" w:color="auto" w:sz="4" w:space="0"/>
            </w:tcBorders>
            <w:noWrap/>
            <w:vAlign w:val="center"/>
          </w:tcPr>
          <w:p w14:paraId="3267E358">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规格</w:t>
            </w:r>
          </w:p>
          <w:p w14:paraId="352864A6">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条目号</w:t>
            </w:r>
          </w:p>
        </w:tc>
        <w:tc>
          <w:tcPr>
            <w:tcW w:w="5386" w:type="dxa"/>
            <w:tcBorders>
              <w:top w:val="single" w:color="auto" w:sz="4" w:space="0"/>
              <w:left w:val="single" w:color="auto" w:sz="4" w:space="0"/>
              <w:bottom w:val="single" w:color="auto" w:sz="4" w:space="0"/>
              <w:right w:val="single" w:color="auto" w:sz="4" w:space="0"/>
            </w:tcBorders>
            <w:noWrap/>
            <w:vAlign w:val="center"/>
          </w:tcPr>
          <w:p w14:paraId="7C86482F">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招标文件要求</w:t>
            </w:r>
          </w:p>
        </w:tc>
        <w:tc>
          <w:tcPr>
            <w:tcW w:w="779" w:type="dxa"/>
            <w:tcBorders>
              <w:top w:val="single" w:color="auto" w:sz="4" w:space="0"/>
              <w:left w:val="single" w:color="auto" w:sz="4" w:space="0"/>
              <w:bottom w:val="single" w:color="auto" w:sz="4" w:space="0"/>
              <w:right w:val="single" w:color="auto" w:sz="4" w:space="0"/>
            </w:tcBorders>
            <w:noWrap/>
            <w:vAlign w:val="center"/>
          </w:tcPr>
          <w:p w14:paraId="72958A24">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投标响应情况</w:t>
            </w:r>
          </w:p>
        </w:tc>
        <w:tc>
          <w:tcPr>
            <w:tcW w:w="935" w:type="dxa"/>
            <w:tcBorders>
              <w:top w:val="single" w:color="auto" w:sz="4" w:space="0"/>
              <w:left w:val="single" w:color="auto" w:sz="4" w:space="0"/>
              <w:bottom w:val="single" w:color="auto" w:sz="4" w:space="0"/>
              <w:right w:val="single" w:color="auto" w:sz="4" w:space="0"/>
            </w:tcBorders>
            <w:noWrap/>
            <w:vAlign w:val="center"/>
          </w:tcPr>
          <w:p w14:paraId="3C92DCAB">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投标响应对应的页码</w:t>
            </w:r>
          </w:p>
        </w:tc>
        <w:tc>
          <w:tcPr>
            <w:tcW w:w="775" w:type="dxa"/>
            <w:tcBorders>
              <w:top w:val="single" w:color="auto" w:sz="4" w:space="0"/>
              <w:left w:val="single" w:color="auto" w:sz="4" w:space="0"/>
              <w:bottom w:val="single" w:color="auto" w:sz="4" w:space="0"/>
              <w:right w:val="single" w:color="auto" w:sz="4" w:space="0"/>
            </w:tcBorders>
            <w:noWrap/>
            <w:vAlign w:val="center"/>
          </w:tcPr>
          <w:p w14:paraId="18BA60A3">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偏离说明</w:t>
            </w:r>
          </w:p>
        </w:tc>
      </w:tr>
      <w:tr w14:paraId="139488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restart"/>
            <w:tcBorders>
              <w:top w:val="single" w:color="auto" w:sz="4" w:space="0"/>
              <w:left w:val="single" w:color="auto" w:sz="4" w:space="0"/>
              <w:right w:val="single" w:color="auto" w:sz="4" w:space="0"/>
            </w:tcBorders>
            <w:noWrap/>
            <w:vAlign w:val="center"/>
          </w:tcPr>
          <w:p w14:paraId="6FB55B52">
            <w:pPr>
              <w:spacing w:line="360" w:lineRule="auto"/>
              <w:rPr>
                <w:rFonts w:ascii="宋体" w:hAnsi="宋体" w:cs="宋体"/>
                <w:color w:val="auto"/>
                <w:sz w:val="24"/>
                <w:szCs w:val="24"/>
                <w:highlight w:val="none"/>
              </w:rPr>
            </w:pPr>
          </w:p>
        </w:tc>
        <w:tc>
          <w:tcPr>
            <w:tcW w:w="707" w:type="dxa"/>
            <w:vMerge w:val="restart"/>
            <w:tcBorders>
              <w:top w:val="single" w:color="auto" w:sz="4" w:space="0"/>
              <w:left w:val="single" w:color="auto" w:sz="4" w:space="0"/>
              <w:right w:val="single" w:color="auto" w:sz="4" w:space="0"/>
            </w:tcBorders>
            <w:noWrap/>
            <w:vAlign w:val="center"/>
          </w:tcPr>
          <w:p w14:paraId="7F572119">
            <w:pPr>
              <w:spacing w:line="360" w:lineRule="auto"/>
              <w:rPr>
                <w:rFonts w:ascii="宋体" w:hAnsi="宋体" w:cs="宋体"/>
                <w:color w:val="auto"/>
                <w:sz w:val="24"/>
                <w:szCs w:val="24"/>
                <w:highlight w:val="none"/>
              </w:rPr>
            </w:pPr>
          </w:p>
        </w:tc>
        <w:tc>
          <w:tcPr>
            <w:tcW w:w="709" w:type="dxa"/>
            <w:vMerge w:val="restart"/>
            <w:tcBorders>
              <w:top w:val="single" w:color="auto" w:sz="4" w:space="0"/>
              <w:left w:val="single" w:color="auto" w:sz="4" w:space="0"/>
              <w:right w:val="single" w:color="auto" w:sz="4" w:space="0"/>
            </w:tcBorders>
            <w:noWrap/>
            <w:vAlign w:val="center"/>
          </w:tcPr>
          <w:p w14:paraId="260D8170">
            <w:pPr>
              <w:spacing w:line="360" w:lineRule="auto"/>
              <w:jc w:val="center"/>
              <w:rPr>
                <w:rFonts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ign w:val="center"/>
          </w:tcPr>
          <w:p w14:paraId="2E49F83F">
            <w:pPr>
              <w:spacing w:line="360" w:lineRule="auto"/>
              <w:jc w:val="left"/>
              <w:rPr>
                <w:rFonts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442DC111">
            <w:pPr>
              <w:spacing w:line="360" w:lineRule="auto"/>
              <w:jc w:val="center"/>
              <w:rPr>
                <w:rFonts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5B869BD4">
            <w:pPr>
              <w:spacing w:line="360" w:lineRule="auto"/>
              <w:jc w:val="center"/>
              <w:rPr>
                <w:rFonts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3275140E">
            <w:pPr>
              <w:spacing w:line="360" w:lineRule="auto"/>
              <w:jc w:val="center"/>
              <w:rPr>
                <w:rFonts w:ascii="宋体" w:hAnsi="宋体" w:cs="宋体"/>
                <w:color w:val="auto"/>
                <w:sz w:val="24"/>
                <w:szCs w:val="24"/>
                <w:highlight w:val="none"/>
              </w:rPr>
            </w:pPr>
          </w:p>
        </w:tc>
      </w:tr>
      <w:tr w14:paraId="79A467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24B14EBC">
            <w:pPr>
              <w:spacing w:line="360" w:lineRule="auto"/>
              <w:rPr>
                <w:rFonts w:ascii="宋体" w:hAnsi="宋体" w:cs="宋体"/>
                <w:color w:val="auto"/>
                <w:sz w:val="24"/>
                <w:szCs w:val="24"/>
                <w:highlight w:val="none"/>
              </w:rPr>
            </w:pPr>
          </w:p>
        </w:tc>
        <w:tc>
          <w:tcPr>
            <w:tcW w:w="707" w:type="dxa"/>
            <w:vMerge w:val="continue"/>
            <w:tcBorders>
              <w:left w:val="single" w:color="auto" w:sz="4" w:space="0"/>
              <w:right w:val="single" w:color="auto" w:sz="4" w:space="0"/>
            </w:tcBorders>
            <w:noWrap/>
            <w:vAlign w:val="center"/>
          </w:tcPr>
          <w:p w14:paraId="556B8F0B">
            <w:pPr>
              <w:spacing w:line="360" w:lineRule="auto"/>
              <w:jc w:val="center"/>
              <w:rPr>
                <w:rFonts w:ascii="宋体" w:hAnsi="宋体" w:cs="宋体"/>
                <w:color w:val="auto"/>
                <w:sz w:val="24"/>
                <w:szCs w:val="24"/>
                <w:highlight w:val="none"/>
              </w:rPr>
            </w:pPr>
          </w:p>
        </w:tc>
        <w:tc>
          <w:tcPr>
            <w:tcW w:w="709" w:type="dxa"/>
            <w:vMerge w:val="continue"/>
            <w:tcBorders>
              <w:left w:val="single" w:color="auto" w:sz="4" w:space="0"/>
              <w:right w:val="single" w:color="auto" w:sz="4" w:space="0"/>
            </w:tcBorders>
            <w:noWrap/>
            <w:vAlign w:val="center"/>
          </w:tcPr>
          <w:p w14:paraId="430C26EE">
            <w:pPr>
              <w:spacing w:line="360" w:lineRule="auto"/>
              <w:jc w:val="center"/>
              <w:rPr>
                <w:rFonts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ign w:val="center"/>
          </w:tcPr>
          <w:p w14:paraId="16FD2A8D">
            <w:pPr>
              <w:spacing w:line="360" w:lineRule="auto"/>
              <w:jc w:val="left"/>
              <w:rPr>
                <w:rFonts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3BE07081">
            <w:pPr>
              <w:spacing w:line="360" w:lineRule="auto"/>
              <w:jc w:val="center"/>
              <w:rPr>
                <w:rFonts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635B8770">
            <w:pPr>
              <w:spacing w:line="360" w:lineRule="auto"/>
              <w:jc w:val="center"/>
              <w:rPr>
                <w:rFonts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51E28228">
            <w:pPr>
              <w:spacing w:line="360" w:lineRule="auto"/>
              <w:jc w:val="center"/>
              <w:rPr>
                <w:rFonts w:ascii="宋体" w:hAnsi="宋体" w:cs="宋体"/>
                <w:color w:val="auto"/>
                <w:sz w:val="24"/>
                <w:szCs w:val="24"/>
                <w:highlight w:val="none"/>
              </w:rPr>
            </w:pPr>
          </w:p>
        </w:tc>
      </w:tr>
      <w:tr w14:paraId="5977B9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351D0D46">
            <w:pPr>
              <w:spacing w:line="360" w:lineRule="auto"/>
              <w:rPr>
                <w:rFonts w:ascii="宋体" w:hAnsi="宋体" w:cs="宋体"/>
                <w:color w:val="auto"/>
                <w:sz w:val="24"/>
                <w:szCs w:val="24"/>
                <w:highlight w:val="none"/>
              </w:rPr>
            </w:pPr>
          </w:p>
        </w:tc>
        <w:tc>
          <w:tcPr>
            <w:tcW w:w="707" w:type="dxa"/>
            <w:vMerge w:val="continue"/>
            <w:tcBorders>
              <w:left w:val="single" w:color="auto" w:sz="4" w:space="0"/>
              <w:right w:val="single" w:color="auto" w:sz="4" w:space="0"/>
            </w:tcBorders>
            <w:noWrap/>
            <w:vAlign w:val="center"/>
          </w:tcPr>
          <w:p w14:paraId="325D9896">
            <w:pPr>
              <w:spacing w:line="360" w:lineRule="auto"/>
              <w:jc w:val="center"/>
              <w:rPr>
                <w:rFonts w:ascii="宋体" w:hAnsi="宋体" w:cs="宋体"/>
                <w:color w:val="auto"/>
                <w:sz w:val="24"/>
                <w:szCs w:val="24"/>
                <w:highlight w:val="none"/>
              </w:rPr>
            </w:pPr>
          </w:p>
        </w:tc>
        <w:tc>
          <w:tcPr>
            <w:tcW w:w="709" w:type="dxa"/>
            <w:vMerge w:val="continue"/>
            <w:tcBorders>
              <w:left w:val="single" w:color="auto" w:sz="4" w:space="0"/>
              <w:right w:val="single" w:color="auto" w:sz="4" w:space="0"/>
            </w:tcBorders>
            <w:noWrap/>
            <w:vAlign w:val="center"/>
          </w:tcPr>
          <w:p w14:paraId="2E415B02">
            <w:pPr>
              <w:spacing w:line="360" w:lineRule="auto"/>
              <w:jc w:val="center"/>
              <w:rPr>
                <w:rFonts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ign w:val="center"/>
          </w:tcPr>
          <w:p w14:paraId="485F6938">
            <w:pPr>
              <w:spacing w:line="360" w:lineRule="auto"/>
              <w:ind w:firstLine="482" w:firstLineChars="200"/>
              <w:rPr>
                <w:rFonts w:ascii="宋体" w:hAnsi="宋体" w:cs="宋体"/>
                <w:b/>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7FC2ACA5">
            <w:pPr>
              <w:spacing w:line="360" w:lineRule="auto"/>
              <w:jc w:val="center"/>
              <w:rPr>
                <w:rFonts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70C59043">
            <w:pPr>
              <w:spacing w:line="360" w:lineRule="auto"/>
              <w:jc w:val="center"/>
              <w:rPr>
                <w:rFonts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0F09D356">
            <w:pPr>
              <w:spacing w:line="360" w:lineRule="auto"/>
              <w:jc w:val="center"/>
              <w:rPr>
                <w:rFonts w:ascii="宋体" w:hAnsi="宋体" w:cs="宋体"/>
                <w:color w:val="auto"/>
                <w:sz w:val="24"/>
                <w:szCs w:val="24"/>
                <w:highlight w:val="none"/>
              </w:rPr>
            </w:pPr>
          </w:p>
        </w:tc>
      </w:tr>
      <w:tr w14:paraId="507908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5149D79A">
            <w:pPr>
              <w:spacing w:line="360" w:lineRule="auto"/>
              <w:rPr>
                <w:rFonts w:ascii="宋体" w:hAnsi="宋体" w:cs="宋体"/>
                <w:color w:val="auto"/>
                <w:sz w:val="24"/>
                <w:szCs w:val="24"/>
                <w:highlight w:val="none"/>
              </w:rPr>
            </w:pPr>
          </w:p>
        </w:tc>
        <w:tc>
          <w:tcPr>
            <w:tcW w:w="707" w:type="dxa"/>
            <w:vMerge w:val="continue"/>
            <w:tcBorders>
              <w:left w:val="single" w:color="auto" w:sz="4" w:space="0"/>
              <w:right w:val="single" w:color="auto" w:sz="4" w:space="0"/>
            </w:tcBorders>
            <w:noWrap/>
            <w:vAlign w:val="center"/>
          </w:tcPr>
          <w:p w14:paraId="10A0649C">
            <w:pPr>
              <w:spacing w:line="360" w:lineRule="auto"/>
              <w:jc w:val="center"/>
              <w:rPr>
                <w:rFonts w:ascii="宋体" w:hAnsi="宋体" w:cs="宋体"/>
                <w:color w:val="auto"/>
                <w:sz w:val="24"/>
                <w:szCs w:val="24"/>
                <w:highlight w:val="none"/>
              </w:rPr>
            </w:pPr>
          </w:p>
        </w:tc>
        <w:tc>
          <w:tcPr>
            <w:tcW w:w="709" w:type="dxa"/>
            <w:vMerge w:val="continue"/>
            <w:tcBorders>
              <w:left w:val="single" w:color="auto" w:sz="4" w:space="0"/>
              <w:right w:val="single" w:color="auto" w:sz="4" w:space="0"/>
            </w:tcBorders>
            <w:noWrap/>
            <w:vAlign w:val="center"/>
          </w:tcPr>
          <w:p w14:paraId="5033DDE3">
            <w:pPr>
              <w:spacing w:line="360" w:lineRule="auto"/>
              <w:jc w:val="center"/>
              <w:rPr>
                <w:rFonts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ign w:val="center"/>
          </w:tcPr>
          <w:p w14:paraId="209FC547">
            <w:pPr>
              <w:spacing w:line="360" w:lineRule="auto"/>
              <w:rPr>
                <w:rFonts w:ascii="宋体" w:hAnsi="宋体" w:cs="宋体"/>
                <w:b/>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02D4359D">
            <w:pPr>
              <w:spacing w:line="360" w:lineRule="auto"/>
              <w:jc w:val="center"/>
              <w:rPr>
                <w:rFonts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722541A6">
            <w:pPr>
              <w:spacing w:line="360" w:lineRule="auto"/>
              <w:jc w:val="center"/>
              <w:rPr>
                <w:rFonts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74A98BD0">
            <w:pPr>
              <w:spacing w:line="360" w:lineRule="auto"/>
              <w:jc w:val="center"/>
              <w:rPr>
                <w:rFonts w:ascii="宋体" w:hAnsi="宋体" w:cs="宋体"/>
                <w:color w:val="auto"/>
                <w:sz w:val="24"/>
                <w:szCs w:val="24"/>
                <w:highlight w:val="none"/>
              </w:rPr>
            </w:pPr>
          </w:p>
        </w:tc>
      </w:tr>
      <w:tr w14:paraId="5F7DBF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0BB3135F">
            <w:pPr>
              <w:spacing w:line="360" w:lineRule="auto"/>
              <w:rPr>
                <w:rFonts w:ascii="宋体" w:hAnsi="宋体" w:cs="宋体"/>
                <w:color w:val="auto"/>
                <w:sz w:val="24"/>
                <w:szCs w:val="24"/>
                <w:highlight w:val="none"/>
              </w:rPr>
            </w:pPr>
          </w:p>
        </w:tc>
        <w:tc>
          <w:tcPr>
            <w:tcW w:w="707" w:type="dxa"/>
            <w:vMerge w:val="continue"/>
            <w:tcBorders>
              <w:left w:val="single" w:color="auto" w:sz="4" w:space="0"/>
              <w:right w:val="single" w:color="auto" w:sz="4" w:space="0"/>
            </w:tcBorders>
            <w:noWrap/>
            <w:vAlign w:val="center"/>
          </w:tcPr>
          <w:p w14:paraId="02A75E2F">
            <w:pPr>
              <w:spacing w:line="360" w:lineRule="auto"/>
              <w:jc w:val="center"/>
              <w:rPr>
                <w:rFonts w:ascii="宋体" w:hAnsi="宋体" w:cs="宋体"/>
                <w:color w:val="auto"/>
                <w:sz w:val="24"/>
                <w:szCs w:val="24"/>
                <w:highlight w:val="none"/>
              </w:rPr>
            </w:pPr>
          </w:p>
        </w:tc>
        <w:tc>
          <w:tcPr>
            <w:tcW w:w="709" w:type="dxa"/>
            <w:vMerge w:val="continue"/>
            <w:tcBorders>
              <w:left w:val="single" w:color="auto" w:sz="4" w:space="0"/>
              <w:right w:val="single" w:color="auto" w:sz="4" w:space="0"/>
            </w:tcBorders>
            <w:noWrap/>
            <w:vAlign w:val="center"/>
          </w:tcPr>
          <w:p w14:paraId="735D0933">
            <w:pPr>
              <w:spacing w:line="360" w:lineRule="auto"/>
              <w:jc w:val="center"/>
              <w:rPr>
                <w:rFonts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ign w:val="center"/>
          </w:tcPr>
          <w:p w14:paraId="0E82750E">
            <w:pPr>
              <w:tabs>
                <w:tab w:val="left" w:pos="624"/>
                <w:tab w:val="left" w:pos="2988"/>
                <w:tab w:val="left" w:pos="7849"/>
              </w:tabs>
              <w:spacing w:line="360" w:lineRule="auto"/>
              <w:ind w:firstLine="482" w:firstLineChars="200"/>
              <w:rPr>
                <w:rFonts w:ascii="宋体" w:hAnsi="宋体" w:cs="宋体"/>
                <w:b/>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4058676A">
            <w:pPr>
              <w:spacing w:line="360" w:lineRule="auto"/>
              <w:jc w:val="center"/>
              <w:rPr>
                <w:rFonts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74718C7C">
            <w:pPr>
              <w:spacing w:line="360" w:lineRule="auto"/>
              <w:jc w:val="center"/>
              <w:rPr>
                <w:rFonts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7CC99240">
            <w:pPr>
              <w:spacing w:line="360" w:lineRule="auto"/>
              <w:jc w:val="center"/>
              <w:rPr>
                <w:rFonts w:ascii="宋体" w:hAnsi="宋体" w:cs="宋体"/>
                <w:color w:val="auto"/>
                <w:sz w:val="24"/>
                <w:szCs w:val="24"/>
                <w:highlight w:val="none"/>
              </w:rPr>
            </w:pPr>
          </w:p>
        </w:tc>
      </w:tr>
      <w:tr w14:paraId="372E7A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4AF5AF75">
            <w:pPr>
              <w:spacing w:line="360" w:lineRule="auto"/>
              <w:rPr>
                <w:rFonts w:ascii="宋体" w:hAnsi="宋体" w:cs="宋体"/>
                <w:color w:val="auto"/>
                <w:sz w:val="24"/>
                <w:szCs w:val="24"/>
                <w:highlight w:val="none"/>
              </w:rPr>
            </w:pPr>
          </w:p>
        </w:tc>
        <w:tc>
          <w:tcPr>
            <w:tcW w:w="707" w:type="dxa"/>
            <w:vMerge w:val="continue"/>
            <w:tcBorders>
              <w:left w:val="single" w:color="auto" w:sz="4" w:space="0"/>
              <w:right w:val="single" w:color="auto" w:sz="4" w:space="0"/>
            </w:tcBorders>
            <w:noWrap/>
            <w:vAlign w:val="center"/>
          </w:tcPr>
          <w:p w14:paraId="0CA253AA">
            <w:pPr>
              <w:spacing w:line="360" w:lineRule="auto"/>
              <w:jc w:val="center"/>
              <w:rPr>
                <w:rFonts w:ascii="宋体" w:hAnsi="宋体" w:cs="宋体"/>
                <w:color w:val="auto"/>
                <w:sz w:val="24"/>
                <w:szCs w:val="24"/>
                <w:highlight w:val="none"/>
              </w:rPr>
            </w:pPr>
          </w:p>
        </w:tc>
        <w:tc>
          <w:tcPr>
            <w:tcW w:w="709" w:type="dxa"/>
            <w:vMerge w:val="continue"/>
            <w:tcBorders>
              <w:left w:val="single" w:color="auto" w:sz="4" w:space="0"/>
              <w:right w:val="single" w:color="auto" w:sz="4" w:space="0"/>
            </w:tcBorders>
            <w:noWrap/>
            <w:vAlign w:val="center"/>
          </w:tcPr>
          <w:p w14:paraId="0EEFC024">
            <w:pPr>
              <w:spacing w:line="360" w:lineRule="auto"/>
              <w:jc w:val="center"/>
              <w:rPr>
                <w:rFonts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ign w:val="center"/>
          </w:tcPr>
          <w:p w14:paraId="7A0A3452">
            <w:pPr>
              <w:spacing w:line="360" w:lineRule="auto"/>
              <w:ind w:firstLine="482" w:firstLineChars="200"/>
              <w:rPr>
                <w:rFonts w:ascii="宋体" w:hAnsi="宋体" w:cs="宋体"/>
                <w:b/>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1EAA08F5">
            <w:pPr>
              <w:spacing w:line="360" w:lineRule="auto"/>
              <w:jc w:val="center"/>
              <w:rPr>
                <w:rFonts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7DE9C472">
            <w:pPr>
              <w:spacing w:line="360" w:lineRule="auto"/>
              <w:jc w:val="center"/>
              <w:rPr>
                <w:rFonts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0734E4CB">
            <w:pPr>
              <w:spacing w:line="360" w:lineRule="auto"/>
              <w:jc w:val="center"/>
              <w:rPr>
                <w:rFonts w:ascii="宋体" w:hAnsi="宋体" w:cs="宋体"/>
                <w:color w:val="auto"/>
                <w:sz w:val="24"/>
                <w:szCs w:val="24"/>
                <w:highlight w:val="none"/>
              </w:rPr>
            </w:pPr>
          </w:p>
        </w:tc>
      </w:tr>
      <w:tr w14:paraId="0705E3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30F385D9">
            <w:pPr>
              <w:spacing w:line="360" w:lineRule="auto"/>
              <w:rPr>
                <w:rFonts w:ascii="宋体" w:hAnsi="宋体" w:cs="宋体"/>
                <w:color w:val="auto"/>
                <w:sz w:val="24"/>
                <w:szCs w:val="24"/>
                <w:highlight w:val="none"/>
              </w:rPr>
            </w:pPr>
          </w:p>
        </w:tc>
        <w:tc>
          <w:tcPr>
            <w:tcW w:w="707" w:type="dxa"/>
            <w:vMerge w:val="continue"/>
            <w:tcBorders>
              <w:left w:val="single" w:color="auto" w:sz="4" w:space="0"/>
              <w:right w:val="single" w:color="auto" w:sz="4" w:space="0"/>
            </w:tcBorders>
            <w:noWrap/>
            <w:vAlign w:val="center"/>
          </w:tcPr>
          <w:p w14:paraId="708435D8">
            <w:pPr>
              <w:spacing w:line="360" w:lineRule="auto"/>
              <w:jc w:val="center"/>
              <w:rPr>
                <w:rFonts w:ascii="宋体" w:hAnsi="宋体" w:cs="宋体"/>
                <w:color w:val="auto"/>
                <w:sz w:val="24"/>
                <w:szCs w:val="24"/>
                <w:highlight w:val="none"/>
              </w:rPr>
            </w:pPr>
          </w:p>
        </w:tc>
        <w:tc>
          <w:tcPr>
            <w:tcW w:w="709" w:type="dxa"/>
            <w:vMerge w:val="continue"/>
            <w:tcBorders>
              <w:left w:val="single" w:color="auto" w:sz="4" w:space="0"/>
              <w:right w:val="single" w:color="auto" w:sz="4" w:space="0"/>
            </w:tcBorders>
            <w:noWrap/>
            <w:vAlign w:val="center"/>
          </w:tcPr>
          <w:p w14:paraId="29B950DF">
            <w:pPr>
              <w:spacing w:line="360" w:lineRule="auto"/>
              <w:jc w:val="center"/>
              <w:rPr>
                <w:rFonts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ign w:val="center"/>
          </w:tcPr>
          <w:p w14:paraId="071D7130">
            <w:pPr>
              <w:spacing w:line="360" w:lineRule="auto"/>
              <w:ind w:firstLine="482" w:firstLineChars="200"/>
              <w:rPr>
                <w:rFonts w:ascii="宋体" w:hAnsi="宋体" w:cs="宋体"/>
                <w:b/>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134B2885">
            <w:pPr>
              <w:spacing w:line="360" w:lineRule="auto"/>
              <w:jc w:val="center"/>
              <w:rPr>
                <w:rFonts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055EB795">
            <w:pPr>
              <w:spacing w:line="360" w:lineRule="auto"/>
              <w:jc w:val="center"/>
              <w:rPr>
                <w:rFonts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47B23370">
            <w:pPr>
              <w:spacing w:line="360" w:lineRule="auto"/>
              <w:jc w:val="center"/>
              <w:rPr>
                <w:rFonts w:ascii="宋体" w:hAnsi="宋体" w:cs="宋体"/>
                <w:color w:val="auto"/>
                <w:sz w:val="24"/>
                <w:szCs w:val="24"/>
                <w:highlight w:val="none"/>
              </w:rPr>
            </w:pPr>
          </w:p>
        </w:tc>
      </w:tr>
      <w:tr w14:paraId="43B9D4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0659BFEA">
            <w:pPr>
              <w:spacing w:line="360" w:lineRule="auto"/>
              <w:rPr>
                <w:rFonts w:ascii="宋体" w:hAnsi="宋体" w:cs="宋体"/>
                <w:color w:val="auto"/>
                <w:sz w:val="24"/>
                <w:szCs w:val="24"/>
                <w:highlight w:val="none"/>
              </w:rPr>
            </w:pPr>
          </w:p>
        </w:tc>
        <w:tc>
          <w:tcPr>
            <w:tcW w:w="707" w:type="dxa"/>
            <w:vMerge w:val="continue"/>
            <w:tcBorders>
              <w:left w:val="single" w:color="auto" w:sz="4" w:space="0"/>
              <w:right w:val="single" w:color="auto" w:sz="4" w:space="0"/>
            </w:tcBorders>
            <w:noWrap/>
            <w:vAlign w:val="center"/>
          </w:tcPr>
          <w:p w14:paraId="47FE37E1">
            <w:pPr>
              <w:spacing w:line="360" w:lineRule="auto"/>
              <w:jc w:val="center"/>
              <w:rPr>
                <w:rFonts w:ascii="宋体" w:hAnsi="宋体" w:cs="宋体"/>
                <w:color w:val="auto"/>
                <w:sz w:val="24"/>
                <w:szCs w:val="24"/>
                <w:highlight w:val="none"/>
              </w:rPr>
            </w:pPr>
          </w:p>
        </w:tc>
        <w:tc>
          <w:tcPr>
            <w:tcW w:w="709" w:type="dxa"/>
            <w:vMerge w:val="restart"/>
            <w:tcBorders>
              <w:top w:val="single" w:color="auto" w:sz="4" w:space="0"/>
              <w:left w:val="single" w:color="auto" w:sz="4" w:space="0"/>
              <w:right w:val="single" w:color="auto" w:sz="4" w:space="0"/>
            </w:tcBorders>
            <w:noWrap/>
            <w:vAlign w:val="center"/>
          </w:tcPr>
          <w:p w14:paraId="72E62EA1">
            <w:pPr>
              <w:spacing w:line="360" w:lineRule="auto"/>
              <w:jc w:val="center"/>
              <w:rPr>
                <w:rFonts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tcPr>
          <w:p w14:paraId="369E54CD">
            <w:pPr>
              <w:spacing w:line="360" w:lineRule="auto"/>
              <w:jc w:val="left"/>
              <w:rPr>
                <w:rFonts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61B3FD46">
            <w:pPr>
              <w:spacing w:line="360" w:lineRule="auto"/>
              <w:jc w:val="center"/>
              <w:rPr>
                <w:rFonts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0764798C">
            <w:pPr>
              <w:spacing w:line="360" w:lineRule="auto"/>
              <w:jc w:val="center"/>
              <w:rPr>
                <w:rFonts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0E6900B9">
            <w:pPr>
              <w:spacing w:line="360" w:lineRule="auto"/>
              <w:jc w:val="center"/>
              <w:rPr>
                <w:rFonts w:ascii="宋体" w:hAnsi="宋体" w:cs="宋体"/>
                <w:color w:val="auto"/>
                <w:sz w:val="24"/>
                <w:szCs w:val="24"/>
                <w:highlight w:val="none"/>
              </w:rPr>
            </w:pPr>
          </w:p>
        </w:tc>
      </w:tr>
      <w:tr w14:paraId="4F88A9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087300C8">
            <w:pPr>
              <w:spacing w:line="360" w:lineRule="auto"/>
              <w:rPr>
                <w:rFonts w:ascii="宋体" w:hAnsi="宋体" w:cs="宋体"/>
                <w:color w:val="auto"/>
                <w:sz w:val="24"/>
                <w:szCs w:val="24"/>
                <w:highlight w:val="none"/>
              </w:rPr>
            </w:pPr>
          </w:p>
        </w:tc>
        <w:tc>
          <w:tcPr>
            <w:tcW w:w="707" w:type="dxa"/>
            <w:vMerge w:val="continue"/>
            <w:tcBorders>
              <w:left w:val="single" w:color="auto" w:sz="4" w:space="0"/>
              <w:right w:val="single" w:color="auto" w:sz="4" w:space="0"/>
            </w:tcBorders>
            <w:noWrap/>
            <w:vAlign w:val="center"/>
          </w:tcPr>
          <w:p w14:paraId="74353445">
            <w:pPr>
              <w:spacing w:line="360" w:lineRule="auto"/>
              <w:jc w:val="center"/>
              <w:rPr>
                <w:rFonts w:ascii="宋体" w:hAnsi="宋体" w:cs="宋体"/>
                <w:color w:val="auto"/>
                <w:sz w:val="24"/>
                <w:szCs w:val="24"/>
                <w:highlight w:val="none"/>
              </w:rPr>
            </w:pPr>
          </w:p>
        </w:tc>
        <w:tc>
          <w:tcPr>
            <w:tcW w:w="709" w:type="dxa"/>
            <w:vMerge w:val="continue"/>
            <w:tcBorders>
              <w:left w:val="single" w:color="auto" w:sz="4" w:space="0"/>
              <w:right w:val="single" w:color="auto" w:sz="4" w:space="0"/>
            </w:tcBorders>
            <w:noWrap/>
            <w:vAlign w:val="center"/>
          </w:tcPr>
          <w:p w14:paraId="31B63B36">
            <w:pPr>
              <w:spacing w:line="360" w:lineRule="auto"/>
              <w:jc w:val="center"/>
              <w:rPr>
                <w:rFonts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tcPr>
          <w:p w14:paraId="5BA987D1">
            <w:pPr>
              <w:spacing w:line="360" w:lineRule="auto"/>
              <w:jc w:val="left"/>
              <w:rPr>
                <w:rFonts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7A0C19BB">
            <w:pPr>
              <w:spacing w:line="360" w:lineRule="auto"/>
              <w:jc w:val="center"/>
              <w:rPr>
                <w:rFonts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6987C37F">
            <w:pPr>
              <w:spacing w:line="360" w:lineRule="auto"/>
              <w:jc w:val="center"/>
              <w:rPr>
                <w:rFonts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383340F7">
            <w:pPr>
              <w:spacing w:line="360" w:lineRule="auto"/>
              <w:jc w:val="center"/>
              <w:rPr>
                <w:rFonts w:ascii="宋体" w:hAnsi="宋体" w:cs="宋体"/>
                <w:color w:val="auto"/>
                <w:sz w:val="24"/>
                <w:szCs w:val="24"/>
                <w:highlight w:val="none"/>
              </w:rPr>
            </w:pPr>
          </w:p>
        </w:tc>
      </w:tr>
      <w:tr w14:paraId="36F98F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2D6E8579">
            <w:pPr>
              <w:spacing w:line="360" w:lineRule="auto"/>
              <w:rPr>
                <w:rFonts w:ascii="宋体" w:hAnsi="宋体" w:cs="宋体"/>
                <w:color w:val="auto"/>
                <w:sz w:val="24"/>
                <w:szCs w:val="24"/>
                <w:highlight w:val="none"/>
              </w:rPr>
            </w:pPr>
          </w:p>
        </w:tc>
        <w:tc>
          <w:tcPr>
            <w:tcW w:w="707" w:type="dxa"/>
            <w:vMerge w:val="continue"/>
            <w:tcBorders>
              <w:left w:val="single" w:color="auto" w:sz="4" w:space="0"/>
              <w:right w:val="single" w:color="auto" w:sz="4" w:space="0"/>
            </w:tcBorders>
            <w:noWrap/>
            <w:vAlign w:val="center"/>
          </w:tcPr>
          <w:p w14:paraId="7C06DAED">
            <w:pPr>
              <w:spacing w:line="360" w:lineRule="auto"/>
              <w:jc w:val="center"/>
              <w:rPr>
                <w:rFonts w:ascii="宋体" w:hAnsi="宋体" w:cs="宋体"/>
                <w:color w:val="auto"/>
                <w:sz w:val="24"/>
                <w:szCs w:val="24"/>
                <w:highlight w:val="none"/>
              </w:rPr>
            </w:pPr>
          </w:p>
        </w:tc>
        <w:tc>
          <w:tcPr>
            <w:tcW w:w="709" w:type="dxa"/>
            <w:vMerge w:val="continue"/>
            <w:tcBorders>
              <w:left w:val="single" w:color="auto" w:sz="4" w:space="0"/>
              <w:right w:val="single" w:color="auto" w:sz="4" w:space="0"/>
            </w:tcBorders>
            <w:noWrap/>
            <w:vAlign w:val="center"/>
          </w:tcPr>
          <w:p w14:paraId="1FDC4BC0">
            <w:pPr>
              <w:spacing w:line="360" w:lineRule="auto"/>
              <w:jc w:val="center"/>
              <w:rPr>
                <w:rFonts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tcPr>
          <w:p w14:paraId="31A5C352">
            <w:pPr>
              <w:spacing w:line="360" w:lineRule="auto"/>
              <w:jc w:val="left"/>
              <w:rPr>
                <w:rFonts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19E1996F">
            <w:pPr>
              <w:spacing w:line="360" w:lineRule="auto"/>
              <w:jc w:val="center"/>
              <w:rPr>
                <w:rFonts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585D42E2">
            <w:pPr>
              <w:spacing w:line="360" w:lineRule="auto"/>
              <w:jc w:val="center"/>
              <w:rPr>
                <w:rFonts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493A676E">
            <w:pPr>
              <w:spacing w:line="360" w:lineRule="auto"/>
              <w:jc w:val="center"/>
              <w:rPr>
                <w:rFonts w:ascii="宋体" w:hAnsi="宋体" w:cs="宋体"/>
                <w:color w:val="auto"/>
                <w:sz w:val="24"/>
                <w:szCs w:val="24"/>
                <w:highlight w:val="none"/>
              </w:rPr>
            </w:pPr>
          </w:p>
        </w:tc>
      </w:tr>
      <w:tr w14:paraId="2D75ED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126DC58F">
            <w:pPr>
              <w:spacing w:line="360" w:lineRule="auto"/>
              <w:rPr>
                <w:rFonts w:ascii="宋体" w:hAnsi="宋体" w:cs="宋体"/>
                <w:color w:val="auto"/>
                <w:sz w:val="24"/>
                <w:szCs w:val="24"/>
                <w:highlight w:val="none"/>
              </w:rPr>
            </w:pPr>
          </w:p>
        </w:tc>
        <w:tc>
          <w:tcPr>
            <w:tcW w:w="707" w:type="dxa"/>
            <w:vMerge w:val="continue"/>
            <w:tcBorders>
              <w:left w:val="single" w:color="auto" w:sz="4" w:space="0"/>
              <w:right w:val="single" w:color="auto" w:sz="4" w:space="0"/>
            </w:tcBorders>
            <w:noWrap/>
            <w:vAlign w:val="center"/>
          </w:tcPr>
          <w:p w14:paraId="349522BF">
            <w:pPr>
              <w:spacing w:line="360" w:lineRule="auto"/>
              <w:jc w:val="center"/>
              <w:rPr>
                <w:rFonts w:ascii="宋体" w:hAnsi="宋体" w:cs="宋体"/>
                <w:color w:val="auto"/>
                <w:sz w:val="24"/>
                <w:szCs w:val="24"/>
                <w:highlight w:val="none"/>
              </w:rPr>
            </w:pPr>
          </w:p>
        </w:tc>
        <w:tc>
          <w:tcPr>
            <w:tcW w:w="709" w:type="dxa"/>
            <w:vMerge w:val="continue"/>
            <w:tcBorders>
              <w:left w:val="single" w:color="auto" w:sz="4" w:space="0"/>
              <w:right w:val="single" w:color="auto" w:sz="4" w:space="0"/>
            </w:tcBorders>
            <w:noWrap/>
            <w:vAlign w:val="center"/>
          </w:tcPr>
          <w:p w14:paraId="3128C981">
            <w:pPr>
              <w:spacing w:line="360" w:lineRule="auto"/>
              <w:jc w:val="center"/>
              <w:rPr>
                <w:rFonts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tcPr>
          <w:p w14:paraId="3A8A5844">
            <w:pPr>
              <w:tabs>
                <w:tab w:val="left" w:pos="992"/>
                <w:tab w:val="left" w:pos="1080"/>
              </w:tabs>
              <w:spacing w:line="360" w:lineRule="auto"/>
              <w:rPr>
                <w:rFonts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3296368F">
            <w:pPr>
              <w:spacing w:line="360" w:lineRule="auto"/>
              <w:jc w:val="center"/>
              <w:rPr>
                <w:rFonts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46E3D7CA">
            <w:pPr>
              <w:spacing w:line="360" w:lineRule="auto"/>
              <w:jc w:val="center"/>
              <w:rPr>
                <w:rFonts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33E82883">
            <w:pPr>
              <w:spacing w:line="360" w:lineRule="auto"/>
              <w:jc w:val="center"/>
              <w:rPr>
                <w:rFonts w:ascii="宋体" w:hAnsi="宋体" w:cs="宋体"/>
                <w:color w:val="auto"/>
                <w:sz w:val="24"/>
                <w:szCs w:val="24"/>
                <w:highlight w:val="none"/>
              </w:rPr>
            </w:pPr>
          </w:p>
        </w:tc>
      </w:tr>
      <w:tr w14:paraId="4B3F42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528D9530">
            <w:pPr>
              <w:spacing w:line="360" w:lineRule="auto"/>
              <w:rPr>
                <w:rFonts w:ascii="宋体" w:hAnsi="宋体" w:cs="宋体"/>
                <w:color w:val="auto"/>
                <w:sz w:val="24"/>
                <w:szCs w:val="24"/>
                <w:highlight w:val="none"/>
              </w:rPr>
            </w:pPr>
          </w:p>
        </w:tc>
        <w:tc>
          <w:tcPr>
            <w:tcW w:w="707" w:type="dxa"/>
            <w:vMerge w:val="continue"/>
            <w:tcBorders>
              <w:left w:val="single" w:color="auto" w:sz="4" w:space="0"/>
              <w:right w:val="single" w:color="auto" w:sz="4" w:space="0"/>
            </w:tcBorders>
            <w:noWrap/>
            <w:vAlign w:val="center"/>
          </w:tcPr>
          <w:p w14:paraId="12B44577">
            <w:pPr>
              <w:spacing w:line="360" w:lineRule="auto"/>
              <w:jc w:val="center"/>
              <w:rPr>
                <w:rFonts w:ascii="宋体" w:hAnsi="宋体" w:cs="宋体"/>
                <w:color w:val="auto"/>
                <w:sz w:val="24"/>
                <w:szCs w:val="24"/>
                <w:highlight w:val="none"/>
              </w:rPr>
            </w:pPr>
          </w:p>
        </w:tc>
        <w:tc>
          <w:tcPr>
            <w:tcW w:w="709" w:type="dxa"/>
            <w:vMerge w:val="continue"/>
            <w:tcBorders>
              <w:left w:val="single" w:color="auto" w:sz="4" w:space="0"/>
              <w:right w:val="single" w:color="auto" w:sz="4" w:space="0"/>
            </w:tcBorders>
            <w:noWrap/>
            <w:vAlign w:val="center"/>
          </w:tcPr>
          <w:p w14:paraId="05599F5C">
            <w:pPr>
              <w:spacing w:line="360" w:lineRule="auto"/>
              <w:jc w:val="center"/>
              <w:rPr>
                <w:rFonts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ign w:val="center"/>
          </w:tcPr>
          <w:p w14:paraId="6E59D5AD">
            <w:pPr>
              <w:spacing w:line="360" w:lineRule="auto"/>
              <w:rPr>
                <w:rFonts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02C231A0">
            <w:pPr>
              <w:spacing w:line="360" w:lineRule="auto"/>
              <w:jc w:val="center"/>
              <w:rPr>
                <w:rFonts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097925D4">
            <w:pPr>
              <w:spacing w:line="360" w:lineRule="auto"/>
              <w:jc w:val="center"/>
              <w:rPr>
                <w:rFonts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479B7327">
            <w:pPr>
              <w:spacing w:line="360" w:lineRule="auto"/>
              <w:jc w:val="center"/>
              <w:rPr>
                <w:rFonts w:ascii="宋体" w:hAnsi="宋体" w:cs="宋体"/>
                <w:color w:val="auto"/>
                <w:sz w:val="24"/>
                <w:szCs w:val="24"/>
                <w:highlight w:val="none"/>
              </w:rPr>
            </w:pPr>
          </w:p>
        </w:tc>
      </w:tr>
      <w:tr w14:paraId="5AD93D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5AD5CFDE">
            <w:pPr>
              <w:spacing w:line="360" w:lineRule="auto"/>
              <w:rPr>
                <w:rFonts w:ascii="宋体" w:hAnsi="宋体" w:cs="宋体"/>
                <w:color w:val="auto"/>
                <w:sz w:val="24"/>
                <w:szCs w:val="24"/>
                <w:highlight w:val="none"/>
              </w:rPr>
            </w:pPr>
          </w:p>
        </w:tc>
        <w:tc>
          <w:tcPr>
            <w:tcW w:w="707" w:type="dxa"/>
            <w:vMerge w:val="continue"/>
            <w:tcBorders>
              <w:left w:val="single" w:color="auto" w:sz="4" w:space="0"/>
              <w:right w:val="single" w:color="auto" w:sz="4" w:space="0"/>
            </w:tcBorders>
            <w:noWrap/>
            <w:vAlign w:val="center"/>
          </w:tcPr>
          <w:p w14:paraId="1E517383">
            <w:pPr>
              <w:spacing w:line="360" w:lineRule="auto"/>
              <w:jc w:val="center"/>
              <w:rPr>
                <w:rFonts w:ascii="宋体" w:hAnsi="宋体" w:cs="宋体"/>
                <w:color w:val="auto"/>
                <w:sz w:val="24"/>
                <w:szCs w:val="24"/>
                <w:highlight w:val="none"/>
              </w:rPr>
            </w:pPr>
          </w:p>
        </w:tc>
        <w:tc>
          <w:tcPr>
            <w:tcW w:w="709" w:type="dxa"/>
            <w:vMerge w:val="continue"/>
            <w:tcBorders>
              <w:left w:val="single" w:color="auto" w:sz="4" w:space="0"/>
              <w:bottom w:val="single" w:color="auto" w:sz="4" w:space="0"/>
              <w:right w:val="single" w:color="auto" w:sz="4" w:space="0"/>
            </w:tcBorders>
            <w:noWrap/>
            <w:vAlign w:val="center"/>
          </w:tcPr>
          <w:p w14:paraId="540E279B">
            <w:pPr>
              <w:spacing w:line="360" w:lineRule="auto"/>
              <w:jc w:val="center"/>
              <w:rPr>
                <w:rFonts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ign w:val="center"/>
          </w:tcPr>
          <w:p w14:paraId="27CD8757">
            <w:pPr>
              <w:spacing w:line="360" w:lineRule="auto"/>
              <w:rPr>
                <w:rFonts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1815D316">
            <w:pPr>
              <w:spacing w:line="360" w:lineRule="auto"/>
              <w:jc w:val="center"/>
              <w:rPr>
                <w:rFonts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1BC59CC9">
            <w:pPr>
              <w:spacing w:line="360" w:lineRule="auto"/>
              <w:jc w:val="center"/>
              <w:rPr>
                <w:rFonts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428D3295">
            <w:pPr>
              <w:spacing w:line="360" w:lineRule="auto"/>
              <w:jc w:val="center"/>
              <w:rPr>
                <w:rFonts w:ascii="宋体" w:hAnsi="宋体" w:cs="宋体"/>
                <w:color w:val="auto"/>
                <w:sz w:val="24"/>
                <w:szCs w:val="24"/>
                <w:highlight w:val="none"/>
              </w:rPr>
            </w:pPr>
          </w:p>
        </w:tc>
      </w:tr>
      <w:tr w14:paraId="7E33A2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7D88FA68">
            <w:pPr>
              <w:spacing w:line="360" w:lineRule="auto"/>
              <w:rPr>
                <w:rFonts w:ascii="宋体" w:hAnsi="宋体" w:cs="宋体"/>
                <w:color w:val="auto"/>
                <w:sz w:val="24"/>
                <w:szCs w:val="24"/>
                <w:highlight w:val="none"/>
              </w:rPr>
            </w:pPr>
          </w:p>
        </w:tc>
        <w:tc>
          <w:tcPr>
            <w:tcW w:w="707" w:type="dxa"/>
            <w:vMerge w:val="continue"/>
            <w:tcBorders>
              <w:left w:val="single" w:color="auto" w:sz="4" w:space="0"/>
              <w:right w:val="single" w:color="auto" w:sz="4" w:space="0"/>
            </w:tcBorders>
            <w:noWrap/>
            <w:vAlign w:val="center"/>
          </w:tcPr>
          <w:p w14:paraId="74B06828">
            <w:pPr>
              <w:spacing w:line="360" w:lineRule="auto"/>
              <w:jc w:val="center"/>
              <w:rPr>
                <w:rFonts w:ascii="宋体" w:hAnsi="宋体" w:cs="宋体"/>
                <w:color w:val="auto"/>
                <w:sz w:val="24"/>
                <w:szCs w:val="24"/>
                <w:highlight w:val="none"/>
              </w:rPr>
            </w:pPr>
          </w:p>
        </w:tc>
        <w:tc>
          <w:tcPr>
            <w:tcW w:w="709" w:type="dxa"/>
            <w:vMerge w:val="restart"/>
            <w:tcBorders>
              <w:top w:val="single" w:color="auto" w:sz="4" w:space="0"/>
              <w:left w:val="single" w:color="auto" w:sz="4" w:space="0"/>
              <w:right w:val="single" w:color="auto" w:sz="4" w:space="0"/>
            </w:tcBorders>
            <w:noWrap/>
            <w:vAlign w:val="center"/>
          </w:tcPr>
          <w:p w14:paraId="659A35AB">
            <w:pPr>
              <w:spacing w:line="360" w:lineRule="auto"/>
              <w:jc w:val="center"/>
              <w:rPr>
                <w:rFonts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tcPr>
          <w:p w14:paraId="1986EC93">
            <w:pPr>
              <w:spacing w:line="360" w:lineRule="auto"/>
              <w:jc w:val="left"/>
              <w:rPr>
                <w:rFonts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7A16FC77">
            <w:pPr>
              <w:spacing w:line="360" w:lineRule="auto"/>
              <w:jc w:val="center"/>
              <w:rPr>
                <w:rFonts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0E16EA6B">
            <w:pPr>
              <w:spacing w:line="360" w:lineRule="auto"/>
              <w:jc w:val="center"/>
              <w:rPr>
                <w:rFonts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231EB373">
            <w:pPr>
              <w:spacing w:line="360" w:lineRule="auto"/>
              <w:jc w:val="center"/>
              <w:rPr>
                <w:rFonts w:ascii="宋体" w:hAnsi="宋体" w:cs="宋体"/>
                <w:color w:val="auto"/>
                <w:sz w:val="24"/>
                <w:szCs w:val="24"/>
                <w:highlight w:val="none"/>
              </w:rPr>
            </w:pPr>
          </w:p>
        </w:tc>
      </w:tr>
      <w:tr w14:paraId="538473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1054A0C9">
            <w:pPr>
              <w:spacing w:line="360" w:lineRule="auto"/>
              <w:rPr>
                <w:rFonts w:ascii="宋体" w:hAnsi="宋体" w:cs="宋体"/>
                <w:color w:val="auto"/>
                <w:sz w:val="24"/>
                <w:szCs w:val="24"/>
                <w:highlight w:val="none"/>
              </w:rPr>
            </w:pPr>
          </w:p>
        </w:tc>
        <w:tc>
          <w:tcPr>
            <w:tcW w:w="707" w:type="dxa"/>
            <w:vMerge w:val="continue"/>
            <w:tcBorders>
              <w:left w:val="single" w:color="auto" w:sz="4" w:space="0"/>
              <w:right w:val="single" w:color="auto" w:sz="4" w:space="0"/>
            </w:tcBorders>
            <w:noWrap/>
            <w:vAlign w:val="center"/>
          </w:tcPr>
          <w:p w14:paraId="05A3FC3B">
            <w:pPr>
              <w:spacing w:line="360" w:lineRule="auto"/>
              <w:jc w:val="center"/>
              <w:rPr>
                <w:rFonts w:ascii="宋体" w:hAnsi="宋体" w:cs="宋体"/>
                <w:color w:val="auto"/>
                <w:sz w:val="24"/>
                <w:szCs w:val="24"/>
                <w:highlight w:val="none"/>
              </w:rPr>
            </w:pPr>
          </w:p>
        </w:tc>
        <w:tc>
          <w:tcPr>
            <w:tcW w:w="709" w:type="dxa"/>
            <w:vMerge w:val="continue"/>
            <w:tcBorders>
              <w:left w:val="single" w:color="auto" w:sz="4" w:space="0"/>
              <w:right w:val="single" w:color="auto" w:sz="4" w:space="0"/>
            </w:tcBorders>
            <w:noWrap/>
            <w:vAlign w:val="center"/>
          </w:tcPr>
          <w:p w14:paraId="6F105954">
            <w:pPr>
              <w:spacing w:line="360" w:lineRule="auto"/>
              <w:jc w:val="center"/>
              <w:rPr>
                <w:rFonts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tcPr>
          <w:p w14:paraId="504B35E8">
            <w:pPr>
              <w:spacing w:line="360" w:lineRule="auto"/>
              <w:jc w:val="left"/>
              <w:rPr>
                <w:rFonts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4FA17A91">
            <w:pPr>
              <w:spacing w:line="360" w:lineRule="auto"/>
              <w:jc w:val="center"/>
              <w:rPr>
                <w:rFonts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43971B95">
            <w:pPr>
              <w:spacing w:line="360" w:lineRule="auto"/>
              <w:jc w:val="center"/>
              <w:rPr>
                <w:rFonts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37FA934E">
            <w:pPr>
              <w:spacing w:line="360" w:lineRule="auto"/>
              <w:jc w:val="center"/>
              <w:rPr>
                <w:rFonts w:ascii="宋体" w:hAnsi="宋体" w:cs="宋体"/>
                <w:color w:val="auto"/>
                <w:sz w:val="24"/>
                <w:szCs w:val="24"/>
                <w:highlight w:val="none"/>
              </w:rPr>
            </w:pPr>
          </w:p>
        </w:tc>
      </w:tr>
      <w:tr w14:paraId="0A2204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3F1191EC">
            <w:pPr>
              <w:spacing w:line="360" w:lineRule="auto"/>
              <w:rPr>
                <w:rFonts w:ascii="宋体" w:hAnsi="宋体" w:cs="宋体"/>
                <w:color w:val="auto"/>
                <w:sz w:val="24"/>
                <w:szCs w:val="24"/>
                <w:highlight w:val="none"/>
              </w:rPr>
            </w:pPr>
          </w:p>
        </w:tc>
        <w:tc>
          <w:tcPr>
            <w:tcW w:w="707" w:type="dxa"/>
            <w:vMerge w:val="continue"/>
            <w:tcBorders>
              <w:left w:val="single" w:color="auto" w:sz="4" w:space="0"/>
              <w:right w:val="single" w:color="auto" w:sz="4" w:space="0"/>
            </w:tcBorders>
            <w:noWrap/>
            <w:vAlign w:val="center"/>
          </w:tcPr>
          <w:p w14:paraId="5229388C">
            <w:pPr>
              <w:spacing w:line="360" w:lineRule="auto"/>
              <w:jc w:val="center"/>
              <w:rPr>
                <w:rFonts w:ascii="宋体" w:hAnsi="宋体" w:cs="宋体"/>
                <w:color w:val="auto"/>
                <w:sz w:val="24"/>
                <w:szCs w:val="24"/>
                <w:highlight w:val="none"/>
              </w:rPr>
            </w:pPr>
          </w:p>
        </w:tc>
        <w:tc>
          <w:tcPr>
            <w:tcW w:w="709" w:type="dxa"/>
            <w:vMerge w:val="continue"/>
            <w:tcBorders>
              <w:left w:val="single" w:color="auto" w:sz="4" w:space="0"/>
              <w:right w:val="single" w:color="auto" w:sz="4" w:space="0"/>
            </w:tcBorders>
            <w:noWrap/>
            <w:vAlign w:val="center"/>
          </w:tcPr>
          <w:p w14:paraId="78F133D2">
            <w:pPr>
              <w:spacing w:line="360" w:lineRule="auto"/>
              <w:jc w:val="center"/>
              <w:rPr>
                <w:rFonts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tcPr>
          <w:p w14:paraId="3B168D24">
            <w:pPr>
              <w:spacing w:line="360" w:lineRule="auto"/>
              <w:jc w:val="left"/>
              <w:rPr>
                <w:rFonts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5819E4FB">
            <w:pPr>
              <w:spacing w:line="360" w:lineRule="auto"/>
              <w:jc w:val="center"/>
              <w:rPr>
                <w:rFonts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6F54FDA2">
            <w:pPr>
              <w:spacing w:line="360" w:lineRule="auto"/>
              <w:jc w:val="center"/>
              <w:rPr>
                <w:rFonts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5EACB74C">
            <w:pPr>
              <w:spacing w:line="360" w:lineRule="auto"/>
              <w:jc w:val="center"/>
              <w:rPr>
                <w:rFonts w:ascii="宋体" w:hAnsi="宋体" w:cs="宋体"/>
                <w:color w:val="auto"/>
                <w:sz w:val="24"/>
                <w:szCs w:val="24"/>
                <w:highlight w:val="none"/>
              </w:rPr>
            </w:pPr>
          </w:p>
        </w:tc>
      </w:tr>
      <w:tr w14:paraId="574B8C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52DC8264">
            <w:pPr>
              <w:spacing w:line="360" w:lineRule="auto"/>
              <w:rPr>
                <w:rFonts w:ascii="宋体" w:hAnsi="宋体" w:cs="宋体"/>
                <w:color w:val="auto"/>
                <w:sz w:val="24"/>
                <w:szCs w:val="24"/>
                <w:highlight w:val="none"/>
              </w:rPr>
            </w:pPr>
          </w:p>
        </w:tc>
        <w:tc>
          <w:tcPr>
            <w:tcW w:w="707" w:type="dxa"/>
            <w:vMerge w:val="continue"/>
            <w:tcBorders>
              <w:left w:val="single" w:color="auto" w:sz="4" w:space="0"/>
              <w:right w:val="single" w:color="auto" w:sz="4" w:space="0"/>
            </w:tcBorders>
            <w:noWrap/>
            <w:vAlign w:val="center"/>
          </w:tcPr>
          <w:p w14:paraId="29EF6410">
            <w:pPr>
              <w:spacing w:line="360" w:lineRule="auto"/>
              <w:jc w:val="center"/>
              <w:rPr>
                <w:rFonts w:ascii="宋体" w:hAnsi="宋体" w:cs="宋体"/>
                <w:color w:val="auto"/>
                <w:sz w:val="24"/>
                <w:szCs w:val="24"/>
                <w:highlight w:val="none"/>
              </w:rPr>
            </w:pPr>
          </w:p>
        </w:tc>
        <w:tc>
          <w:tcPr>
            <w:tcW w:w="709" w:type="dxa"/>
            <w:vMerge w:val="continue"/>
            <w:tcBorders>
              <w:left w:val="single" w:color="auto" w:sz="4" w:space="0"/>
              <w:right w:val="single" w:color="auto" w:sz="4" w:space="0"/>
            </w:tcBorders>
            <w:noWrap/>
            <w:vAlign w:val="center"/>
          </w:tcPr>
          <w:p w14:paraId="72D79FC6">
            <w:pPr>
              <w:spacing w:line="360" w:lineRule="auto"/>
              <w:jc w:val="center"/>
              <w:rPr>
                <w:rFonts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tcPr>
          <w:p w14:paraId="6F251E57">
            <w:pPr>
              <w:spacing w:line="360" w:lineRule="auto"/>
              <w:jc w:val="left"/>
              <w:rPr>
                <w:rFonts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28C8498F">
            <w:pPr>
              <w:spacing w:line="360" w:lineRule="auto"/>
              <w:jc w:val="center"/>
              <w:rPr>
                <w:rFonts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1E058809">
            <w:pPr>
              <w:spacing w:line="360" w:lineRule="auto"/>
              <w:jc w:val="center"/>
              <w:rPr>
                <w:rFonts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262293DD">
            <w:pPr>
              <w:spacing w:line="360" w:lineRule="auto"/>
              <w:jc w:val="center"/>
              <w:rPr>
                <w:rFonts w:ascii="宋体" w:hAnsi="宋体" w:cs="宋体"/>
                <w:color w:val="auto"/>
                <w:sz w:val="24"/>
                <w:szCs w:val="24"/>
                <w:highlight w:val="none"/>
              </w:rPr>
            </w:pPr>
          </w:p>
        </w:tc>
      </w:tr>
      <w:tr w14:paraId="153E13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31DA75B9">
            <w:pPr>
              <w:spacing w:line="360" w:lineRule="auto"/>
              <w:rPr>
                <w:rFonts w:ascii="宋体" w:hAnsi="宋体" w:cs="宋体"/>
                <w:color w:val="auto"/>
                <w:sz w:val="24"/>
                <w:szCs w:val="24"/>
                <w:highlight w:val="none"/>
              </w:rPr>
            </w:pPr>
          </w:p>
        </w:tc>
        <w:tc>
          <w:tcPr>
            <w:tcW w:w="707" w:type="dxa"/>
            <w:vMerge w:val="continue"/>
            <w:tcBorders>
              <w:left w:val="single" w:color="auto" w:sz="4" w:space="0"/>
              <w:right w:val="single" w:color="auto" w:sz="4" w:space="0"/>
            </w:tcBorders>
            <w:noWrap/>
            <w:vAlign w:val="center"/>
          </w:tcPr>
          <w:p w14:paraId="6D6E0542">
            <w:pPr>
              <w:spacing w:line="360" w:lineRule="auto"/>
              <w:jc w:val="center"/>
              <w:rPr>
                <w:rFonts w:ascii="宋体" w:hAnsi="宋体" w:cs="宋体"/>
                <w:color w:val="auto"/>
                <w:sz w:val="24"/>
                <w:szCs w:val="24"/>
                <w:highlight w:val="none"/>
              </w:rPr>
            </w:pPr>
          </w:p>
        </w:tc>
        <w:tc>
          <w:tcPr>
            <w:tcW w:w="709" w:type="dxa"/>
            <w:vMerge w:val="continue"/>
            <w:tcBorders>
              <w:left w:val="single" w:color="auto" w:sz="4" w:space="0"/>
              <w:right w:val="single" w:color="auto" w:sz="4" w:space="0"/>
            </w:tcBorders>
            <w:noWrap/>
            <w:vAlign w:val="center"/>
          </w:tcPr>
          <w:p w14:paraId="7570117E">
            <w:pPr>
              <w:spacing w:line="360" w:lineRule="auto"/>
              <w:jc w:val="center"/>
              <w:rPr>
                <w:rFonts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tcPr>
          <w:p w14:paraId="08A6B625">
            <w:pPr>
              <w:spacing w:line="360" w:lineRule="auto"/>
              <w:jc w:val="left"/>
              <w:rPr>
                <w:rFonts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1C91476E">
            <w:pPr>
              <w:spacing w:line="360" w:lineRule="auto"/>
              <w:jc w:val="center"/>
              <w:rPr>
                <w:rFonts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3A5D7F29">
            <w:pPr>
              <w:spacing w:line="360" w:lineRule="auto"/>
              <w:jc w:val="center"/>
              <w:rPr>
                <w:rFonts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0D998C35">
            <w:pPr>
              <w:spacing w:line="360" w:lineRule="auto"/>
              <w:jc w:val="center"/>
              <w:rPr>
                <w:rFonts w:ascii="宋体" w:hAnsi="宋体" w:cs="宋体"/>
                <w:color w:val="auto"/>
                <w:sz w:val="24"/>
                <w:szCs w:val="24"/>
                <w:highlight w:val="none"/>
              </w:rPr>
            </w:pPr>
          </w:p>
        </w:tc>
      </w:tr>
      <w:tr w14:paraId="7CD235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7611116E">
            <w:pPr>
              <w:spacing w:line="360" w:lineRule="auto"/>
              <w:rPr>
                <w:rFonts w:ascii="宋体" w:hAnsi="宋体" w:cs="宋体"/>
                <w:color w:val="auto"/>
                <w:sz w:val="24"/>
                <w:szCs w:val="24"/>
                <w:highlight w:val="none"/>
              </w:rPr>
            </w:pPr>
          </w:p>
        </w:tc>
        <w:tc>
          <w:tcPr>
            <w:tcW w:w="707" w:type="dxa"/>
            <w:vMerge w:val="continue"/>
            <w:tcBorders>
              <w:left w:val="single" w:color="auto" w:sz="4" w:space="0"/>
              <w:right w:val="single" w:color="auto" w:sz="4" w:space="0"/>
            </w:tcBorders>
            <w:noWrap/>
            <w:vAlign w:val="center"/>
          </w:tcPr>
          <w:p w14:paraId="58C98A0C">
            <w:pPr>
              <w:spacing w:line="360" w:lineRule="auto"/>
              <w:jc w:val="center"/>
              <w:rPr>
                <w:rFonts w:ascii="宋体" w:hAnsi="宋体" w:cs="宋体"/>
                <w:color w:val="auto"/>
                <w:sz w:val="24"/>
                <w:szCs w:val="24"/>
                <w:highlight w:val="none"/>
              </w:rPr>
            </w:pPr>
          </w:p>
        </w:tc>
        <w:tc>
          <w:tcPr>
            <w:tcW w:w="709" w:type="dxa"/>
            <w:vMerge w:val="continue"/>
            <w:tcBorders>
              <w:left w:val="single" w:color="auto" w:sz="4" w:space="0"/>
              <w:right w:val="single" w:color="auto" w:sz="4" w:space="0"/>
            </w:tcBorders>
            <w:noWrap/>
            <w:vAlign w:val="center"/>
          </w:tcPr>
          <w:p w14:paraId="0DCD326B">
            <w:pPr>
              <w:spacing w:line="360" w:lineRule="auto"/>
              <w:jc w:val="center"/>
              <w:rPr>
                <w:rFonts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tcPr>
          <w:p w14:paraId="7C7834AC">
            <w:pPr>
              <w:spacing w:line="360" w:lineRule="auto"/>
              <w:jc w:val="left"/>
              <w:rPr>
                <w:rFonts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1F4B131E">
            <w:pPr>
              <w:spacing w:line="360" w:lineRule="auto"/>
              <w:jc w:val="center"/>
              <w:rPr>
                <w:rFonts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2C4BD2D4">
            <w:pPr>
              <w:spacing w:line="360" w:lineRule="auto"/>
              <w:jc w:val="center"/>
              <w:rPr>
                <w:rFonts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09EF06BA">
            <w:pPr>
              <w:spacing w:line="360" w:lineRule="auto"/>
              <w:jc w:val="center"/>
              <w:rPr>
                <w:rFonts w:ascii="宋体" w:hAnsi="宋体" w:cs="宋体"/>
                <w:color w:val="auto"/>
                <w:sz w:val="24"/>
                <w:szCs w:val="24"/>
                <w:highlight w:val="none"/>
              </w:rPr>
            </w:pPr>
          </w:p>
        </w:tc>
      </w:tr>
      <w:tr w14:paraId="4FD85B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2AA49DAE">
            <w:pPr>
              <w:spacing w:line="360" w:lineRule="auto"/>
              <w:rPr>
                <w:rFonts w:ascii="宋体" w:hAnsi="宋体" w:cs="宋体"/>
                <w:color w:val="auto"/>
                <w:sz w:val="24"/>
                <w:szCs w:val="24"/>
                <w:highlight w:val="none"/>
              </w:rPr>
            </w:pPr>
          </w:p>
        </w:tc>
        <w:tc>
          <w:tcPr>
            <w:tcW w:w="707" w:type="dxa"/>
            <w:vMerge w:val="continue"/>
            <w:tcBorders>
              <w:left w:val="single" w:color="auto" w:sz="4" w:space="0"/>
              <w:right w:val="single" w:color="auto" w:sz="4" w:space="0"/>
            </w:tcBorders>
            <w:noWrap/>
            <w:vAlign w:val="center"/>
          </w:tcPr>
          <w:p w14:paraId="1FB77EA1">
            <w:pPr>
              <w:spacing w:line="360" w:lineRule="auto"/>
              <w:jc w:val="center"/>
              <w:rPr>
                <w:rFonts w:ascii="宋体" w:hAnsi="宋体" w:cs="宋体"/>
                <w:color w:val="auto"/>
                <w:sz w:val="24"/>
                <w:szCs w:val="24"/>
                <w:highlight w:val="none"/>
              </w:rPr>
            </w:pPr>
          </w:p>
        </w:tc>
        <w:tc>
          <w:tcPr>
            <w:tcW w:w="709" w:type="dxa"/>
            <w:vMerge w:val="continue"/>
            <w:tcBorders>
              <w:left w:val="single" w:color="auto" w:sz="4" w:space="0"/>
              <w:right w:val="single" w:color="auto" w:sz="4" w:space="0"/>
            </w:tcBorders>
            <w:noWrap/>
            <w:vAlign w:val="center"/>
          </w:tcPr>
          <w:p w14:paraId="529E9482">
            <w:pPr>
              <w:spacing w:line="360" w:lineRule="auto"/>
              <w:jc w:val="center"/>
              <w:rPr>
                <w:rFonts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tcPr>
          <w:p w14:paraId="6B34B466">
            <w:pPr>
              <w:spacing w:line="360" w:lineRule="auto"/>
              <w:jc w:val="left"/>
              <w:rPr>
                <w:rFonts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4CB8A7F1">
            <w:pPr>
              <w:spacing w:line="360" w:lineRule="auto"/>
              <w:jc w:val="center"/>
              <w:rPr>
                <w:rFonts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3A957FF3">
            <w:pPr>
              <w:spacing w:line="360" w:lineRule="auto"/>
              <w:jc w:val="center"/>
              <w:rPr>
                <w:rFonts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0926A793">
            <w:pPr>
              <w:spacing w:line="360" w:lineRule="auto"/>
              <w:jc w:val="center"/>
              <w:rPr>
                <w:rFonts w:ascii="宋体" w:hAnsi="宋体" w:cs="宋体"/>
                <w:color w:val="auto"/>
                <w:sz w:val="24"/>
                <w:szCs w:val="24"/>
                <w:highlight w:val="none"/>
              </w:rPr>
            </w:pPr>
          </w:p>
        </w:tc>
      </w:tr>
      <w:tr w14:paraId="058560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211912BE">
            <w:pPr>
              <w:spacing w:line="360" w:lineRule="auto"/>
              <w:rPr>
                <w:rFonts w:ascii="宋体" w:hAnsi="宋体" w:cs="宋体"/>
                <w:color w:val="auto"/>
                <w:sz w:val="24"/>
                <w:szCs w:val="24"/>
                <w:highlight w:val="none"/>
              </w:rPr>
            </w:pPr>
          </w:p>
        </w:tc>
        <w:tc>
          <w:tcPr>
            <w:tcW w:w="707" w:type="dxa"/>
            <w:vMerge w:val="continue"/>
            <w:tcBorders>
              <w:left w:val="single" w:color="auto" w:sz="4" w:space="0"/>
              <w:right w:val="single" w:color="auto" w:sz="4" w:space="0"/>
            </w:tcBorders>
            <w:noWrap/>
            <w:vAlign w:val="center"/>
          </w:tcPr>
          <w:p w14:paraId="214467A7">
            <w:pPr>
              <w:spacing w:line="360" w:lineRule="auto"/>
              <w:jc w:val="center"/>
              <w:rPr>
                <w:rFonts w:ascii="宋体" w:hAnsi="宋体" w:cs="宋体"/>
                <w:color w:val="auto"/>
                <w:sz w:val="24"/>
                <w:szCs w:val="24"/>
                <w:highlight w:val="none"/>
              </w:rPr>
            </w:pPr>
          </w:p>
        </w:tc>
        <w:tc>
          <w:tcPr>
            <w:tcW w:w="709" w:type="dxa"/>
            <w:vMerge w:val="continue"/>
            <w:tcBorders>
              <w:left w:val="single" w:color="auto" w:sz="4" w:space="0"/>
              <w:right w:val="single" w:color="auto" w:sz="4" w:space="0"/>
            </w:tcBorders>
            <w:noWrap/>
            <w:vAlign w:val="center"/>
          </w:tcPr>
          <w:p w14:paraId="6ED125A3">
            <w:pPr>
              <w:spacing w:line="360" w:lineRule="auto"/>
              <w:jc w:val="center"/>
              <w:rPr>
                <w:rFonts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tcPr>
          <w:p w14:paraId="08C5727A">
            <w:pPr>
              <w:spacing w:line="360" w:lineRule="auto"/>
              <w:jc w:val="left"/>
              <w:rPr>
                <w:rFonts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2784CFC4">
            <w:pPr>
              <w:spacing w:line="360" w:lineRule="auto"/>
              <w:jc w:val="center"/>
              <w:rPr>
                <w:rFonts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4211FEC5">
            <w:pPr>
              <w:spacing w:line="360" w:lineRule="auto"/>
              <w:jc w:val="center"/>
              <w:rPr>
                <w:rFonts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02E09A16">
            <w:pPr>
              <w:spacing w:line="360" w:lineRule="auto"/>
              <w:jc w:val="center"/>
              <w:rPr>
                <w:rFonts w:ascii="宋体" w:hAnsi="宋体" w:cs="宋体"/>
                <w:color w:val="auto"/>
                <w:sz w:val="24"/>
                <w:szCs w:val="24"/>
                <w:highlight w:val="none"/>
              </w:rPr>
            </w:pPr>
          </w:p>
        </w:tc>
      </w:tr>
      <w:tr w14:paraId="75D6C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0BCE43F1">
            <w:pPr>
              <w:spacing w:line="360" w:lineRule="auto"/>
              <w:rPr>
                <w:rFonts w:ascii="宋体" w:hAnsi="宋体" w:cs="宋体"/>
                <w:color w:val="auto"/>
                <w:sz w:val="24"/>
                <w:szCs w:val="24"/>
                <w:highlight w:val="none"/>
              </w:rPr>
            </w:pPr>
          </w:p>
        </w:tc>
        <w:tc>
          <w:tcPr>
            <w:tcW w:w="707" w:type="dxa"/>
            <w:vMerge w:val="continue"/>
            <w:tcBorders>
              <w:left w:val="single" w:color="auto" w:sz="4" w:space="0"/>
              <w:right w:val="single" w:color="auto" w:sz="4" w:space="0"/>
            </w:tcBorders>
            <w:noWrap/>
            <w:vAlign w:val="center"/>
          </w:tcPr>
          <w:p w14:paraId="691443B4">
            <w:pPr>
              <w:spacing w:line="360" w:lineRule="auto"/>
              <w:jc w:val="center"/>
              <w:rPr>
                <w:rFonts w:ascii="宋体" w:hAnsi="宋体" w:cs="宋体"/>
                <w:color w:val="auto"/>
                <w:sz w:val="24"/>
                <w:szCs w:val="24"/>
                <w:highlight w:val="none"/>
              </w:rPr>
            </w:pPr>
          </w:p>
        </w:tc>
        <w:tc>
          <w:tcPr>
            <w:tcW w:w="709" w:type="dxa"/>
            <w:vMerge w:val="continue"/>
            <w:tcBorders>
              <w:left w:val="single" w:color="auto" w:sz="4" w:space="0"/>
              <w:bottom w:val="single" w:color="auto" w:sz="4" w:space="0"/>
              <w:right w:val="single" w:color="auto" w:sz="4" w:space="0"/>
            </w:tcBorders>
            <w:noWrap/>
            <w:vAlign w:val="center"/>
          </w:tcPr>
          <w:p w14:paraId="2BA893C9">
            <w:pPr>
              <w:spacing w:line="360" w:lineRule="auto"/>
              <w:jc w:val="center"/>
              <w:rPr>
                <w:rFonts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tcPr>
          <w:p w14:paraId="3F01BD0E">
            <w:pPr>
              <w:spacing w:line="360" w:lineRule="auto"/>
              <w:jc w:val="left"/>
              <w:rPr>
                <w:rFonts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779A0C66">
            <w:pPr>
              <w:spacing w:line="360" w:lineRule="auto"/>
              <w:jc w:val="center"/>
              <w:rPr>
                <w:rFonts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6FF6E47B">
            <w:pPr>
              <w:spacing w:line="360" w:lineRule="auto"/>
              <w:jc w:val="center"/>
              <w:rPr>
                <w:rFonts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17DC2951">
            <w:pPr>
              <w:spacing w:line="360" w:lineRule="auto"/>
              <w:jc w:val="center"/>
              <w:rPr>
                <w:rFonts w:ascii="宋体" w:hAnsi="宋体" w:cs="宋体"/>
                <w:color w:val="auto"/>
                <w:sz w:val="24"/>
                <w:szCs w:val="24"/>
                <w:highlight w:val="none"/>
              </w:rPr>
            </w:pPr>
          </w:p>
        </w:tc>
      </w:tr>
      <w:tr w14:paraId="5A2DE7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1D027375">
            <w:pPr>
              <w:spacing w:line="360" w:lineRule="auto"/>
              <w:rPr>
                <w:rFonts w:ascii="宋体" w:hAnsi="宋体" w:cs="宋体"/>
                <w:color w:val="auto"/>
                <w:sz w:val="24"/>
                <w:szCs w:val="24"/>
                <w:highlight w:val="none"/>
              </w:rPr>
            </w:pPr>
          </w:p>
        </w:tc>
        <w:tc>
          <w:tcPr>
            <w:tcW w:w="707" w:type="dxa"/>
            <w:vMerge w:val="continue"/>
            <w:tcBorders>
              <w:left w:val="single" w:color="auto" w:sz="4" w:space="0"/>
              <w:right w:val="single" w:color="auto" w:sz="4" w:space="0"/>
            </w:tcBorders>
            <w:noWrap/>
            <w:vAlign w:val="center"/>
          </w:tcPr>
          <w:p w14:paraId="2848D717">
            <w:pPr>
              <w:spacing w:line="360" w:lineRule="auto"/>
              <w:jc w:val="center"/>
              <w:rPr>
                <w:rFonts w:ascii="宋体" w:hAnsi="宋体" w:cs="宋体"/>
                <w:color w:val="auto"/>
                <w:sz w:val="24"/>
                <w:szCs w:val="24"/>
                <w:highlight w:val="none"/>
              </w:rPr>
            </w:pPr>
          </w:p>
        </w:tc>
        <w:tc>
          <w:tcPr>
            <w:tcW w:w="709" w:type="dxa"/>
            <w:vMerge w:val="restart"/>
            <w:tcBorders>
              <w:top w:val="single" w:color="auto" w:sz="4" w:space="0"/>
              <w:left w:val="single" w:color="auto" w:sz="4" w:space="0"/>
              <w:right w:val="single" w:color="auto" w:sz="4" w:space="0"/>
            </w:tcBorders>
            <w:noWrap/>
            <w:vAlign w:val="center"/>
          </w:tcPr>
          <w:p w14:paraId="2CE9FDB1">
            <w:pPr>
              <w:spacing w:line="360" w:lineRule="auto"/>
              <w:jc w:val="center"/>
              <w:rPr>
                <w:rFonts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tcPr>
          <w:p w14:paraId="5BD9D763">
            <w:pPr>
              <w:spacing w:line="360" w:lineRule="auto"/>
              <w:jc w:val="left"/>
              <w:rPr>
                <w:rFonts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58400B13">
            <w:pPr>
              <w:spacing w:line="360" w:lineRule="auto"/>
              <w:jc w:val="center"/>
              <w:rPr>
                <w:rFonts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16A54319">
            <w:pPr>
              <w:spacing w:line="360" w:lineRule="auto"/>
              <w:jc w:val="center"/>
              <w:rPr>
                <w:rFonts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6835A843">
            <w:pPr>
              <w:spacing w:line="360" w:lineRule="auto"/>
              <w:jc w:val="center"/>
              <w:rPr>
                <w:rFonts w:ascii="宋体" w:hAnsi="宋体" w:cs="宋体"/>
                <w:color w:val="auto"/>
                <w:sz w:val="24"/>
                <w:szCs w:val="24"/>
                <w:highlight w:val="none"/>
              </w:rPr>
            </w:pPr>
          </w:p>
        </w:tc>
      </w:tr>
      <w:tr w14:paraId="57B46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2C349091">
            <w:pPr>
              <w:spacing w:line="360" w:lineRule="auto"/>
              <w:rPr>
                <w:rFonts w:ascii="宋体" w:hAnsi="宋体" w:cs="宋体"/>
                <w:color w:val="auto"/>
                <w:sz w:val="24"/>
                <w:szCs w:val="24"/>
                <w:highlight w:val="none"/>
              </w:rPr>
            </w:pPr>
          </w:p>
        </w:tc>
        <w:tc>
          <w:tcPr>
            <w:tcW w:w="707" w:type="dxa"/>
            <w:vMerge w:val="continue"/>
            <w:tcBorders>
              <w:left w:val="single" w:color="auto" w:sz="4" w:space="0"/>
              <w:right w:val="single" w:color="auto" w:sz="4" w:space="0"/>
            </w:tcBorders>
            <w:noWrap/>
            <w:vAlign w:val="center"/>
          </w:tcPr>
          <w:p w14:paraId="680BCF83">
            <w:pPr>
              <w:spacing w:line="360" w:lineRule="auto"/>
              <w:jc w:val="center"/>
              <w:rPr>
                <w:rFonts w:ascii="宋体" w:hAnsi="宋体" w:cs="宋体"/>
                <w:color w:val="auto"/>
                <w:sz w:val="24"/>
                <w:szCs w:val="24"/>
                <w:highlight w:val="none"/>
              </w:rPr>
            </w:pPr>
          </w:p>
        </w:tc>
        <w:tc>
          <w:tcPr>
            <w:tcW w:w="709" w:type="dxa"/>
            <w:vMerge w:val="continue"/>
            <w:tcBorders>
              <w:left w:val="single" w:color="auto" w:sz="4" w:space="0"/>
              <w:right w:val="single" w:color="auto" w:sz="4" w:space="0"/>
            </w:tcBorders>
            <w:noWrap/>
            <w:vAlign w:val="center"/>
          </w:tcPr>
          <w:p w14:paraId="7481673A">
            <w:pPr>
              <w:spacing w:line="360" w:lineRule="auto"/>
              <w:jc w:val="center"/>
              <w:rPr>
                <w:rFonts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tcPr>
          <w:p w14:paraId="7B880518">
            <w:pPr>
              <w:spacing w:line="360" w:lineRule="auto"/>
              <w:jc w:val="left"/>
              <w:rPr>
                <w:rFonts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30FAEFAB">
            <w:pPr>
              <w:spacing w:line="360" w:lineRule="auto"/>
              <w:jc w:val="center"/>
              <w:rPr>
                <w:rFonts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0EDD8EC4">
            <w:pPr>
              <w:spacing w:line="360" w:lineRule="auto"/>
              <w:jc w:val="center"/>
              <w:rPr>
                <w:rFonts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17FB7C38">
            <w:pPr>
              <w:spacing w:line="360" w:lineRule="auto"/>
              <w:jc w:val="center"/>
              <w:rPr>
                <w:rFonts w:ascii="宋体" w:hAnsi="宋体" w:cs="宋体"/>
                <w:color w:val="auto"/>
                <w:sz w:val="24"/>
                <w:szCs w:val="24"/>
                <w:highlight w:val="none"/>
              </w:rPr>
            </w:pPr>
          </w:p>
        </w:tc>
      </w:tr>
      <w:tr w14:paraId="1AFEEA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074D6C7E">
            <w:pPr>
              <w:spacing w:line="360" w:lineRule="auto"/>
              <w:rPr>
                <w:rFonts w:ascii="宋体" w:hAnsi="宋体" w:cs="宋体"/>
                <w:color w:val="auto"/>
                <w:sz w:val="24"/>
                <w:szCs w:val="24"/>
                <w:highlight w:val="none"/>
              </w:rPr>
            </w:pPr>
          </w:p>
        </w:tc>
        <w:tc>
          <w:tcPr>
            <w:tcW w:w="707" w:type="dxa"/>
            <w:vMerge w:val="continue"/>
            <w:tcBorders>
              <w:left w:val="single" w:color="auto" w:sz="4" w:space="0"/>
              <w:right w:val="single" w:color="auto" w:sz="4" w:space="0"/>
            </w:tcBorders>
            <w:noWrap/>
            <w:vAlign w:val="center"/>
          </w:tcPr>
          <w:p w14:paraId="30056FD7">
            <w:pPr>
              <w:spacing w:line="360" w:lineRule="auto"/>
              <w:jc w:val="center"/>
              <w:rPr>
                <w:rFonts w:ascii="宋体" w:hAnsi="宋体" w:cs="宋体"/>
                <w:color w:val="auto"/>
                <w:sz w:val="24"/>
                <w:szCs w:val="24"/>
                <w:highlight w:val="none"/>
              </w:rPr>
            </w:pPr>
          </w:p>
        </w:tc>
        <w:tc>
          <w:tcPr>
            <w:tcW w:w="709" w:type="dxa"/>
            <w:vMerge w:val="continue"/>
            <w:tcBorders>
              <w:left w:val="single" w:color="auto" w:sz="4" w:space="0"/>
              <w:right w:val="single" w:color="auto" w:sz="4" w:space="0"/>
            </w:tcBorders>
            <w:noWrap/>
            <w:vAlign w:val="center"/>
          </w:tcPr>
          <w:p w14:paraId="28E22537">
            <w:pPr>
              <w:spacing w:line="360" w:lineRule="auto"/>
              <w:jc w:val="center"/>
              <w:rPr>
                <w:rFonts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tcPr>
          <w:p w14:paraId="333BF1E5">
            <w:pPr>
              <w:spacing w:line="360" w:lineRule="auto"/>
              <w:jc w:val="left"/>
              <w:rPr>
                <w:rFonts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253023F1">
            <w:pPr>
              <w:spacing w:line="360" w:lineRule="auto"/>
              <w:jc w:val="center"/>
              <w:rPr>
                <w:rFonts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461C874B">
            <w:pPr>
              <w:spacing w:line="360" w:lineRule="auto"/>
              <w:jc w:val="center"/>
              <w:rPr>
                <w:rFonts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33629DCE">
            <w:pPr>
              <w:spacing w:line="360" w:lineRule="auto"/>
              <w:jc w:val="center"/>
              <w:rPr>
                <w:rFonts w:ascii="宋体" w:hAnsi="宋体" w:cs="宋体"/>
                <w:color w:val="auto"/>
                <w:sz w:val="24"/>
                <w:szCs w:val="24"/>
                <w:highlight w:val="none"/>
              </w:rPr>
            </w:pPr>
          </w:p>
        </w:tc>
      </w:tr>
      <w:tr w14:paraId="5C2106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1E4F7BEF">
            <w:pPr>
              <w:spacing w:line="360" w:lineRule="auto"/>
              <w:rPr>
                <w:rFonts w:ascii="宋体" w:hAnsi="宋体" w:cs="宋体"/>
                <w:color w:val="auto"/>
                <w:sz w:val="24"/>
                <w:szCs w:val="24"/>
                <w:highlight w:val="none"/>
              </w:rPr>
            </w:pPr>
          </w:p>
        </w:tc>
        <w:tc>
          <w:tcPr>
            <w:tcW w:w="707" w:type="dxa"/>
            <w:vMerge w:val="continue"/>
            <w:tcBorders>
              <w:left w:val="single" w:color="auto" w:sz="4" w:space="0"/>
              <w:right w:val="single" w:color="auto" w:sz="4" w:space="0"/>
            </w:tcBorders>
            <w:noWrap/>
            <w:vAlign w:val="center"/>
          </w:tcPr>
          <w:p w14:paraId="71271A70">
            <w:pPr>
              <w:spacing w:line="360" w:lineRule="auto"/>
              <w:jc w:val="center"/>
              <w:rPr>
                <w:rFonts w:ascii="宋体" w:hAnsi="宋体" w:cs="宋体"/>
                <w:color w:val="auto"/>
                <w:sz w:val="24"/>
                <w:szCs w:val="24"/>
                <w:highlight w:val="none"/>
              </w:rPr>
            </w:pPr>
          </w:p>
        </w:tc>
        <w:tc>
          <w:tcPr>
            <w:tcW w:w="709" w:type="dxa"/>
            <w:vMerge w:val="continue"/>
            <w:tcBorders>
              <w:left w:val="single" w:color="auto" w:sz="4" w:space="0"/>
              <w:right w:val="single" w:color="auto" w:sz="4" w:space="0"/>
            </w:tcBorders>
            <w:noWrap/>
            <w:vAlign w:val="center"/>
          </w:tcPr>
          <w:p w14:paraId="6A44BBE6">
            <w:pPr>
              <w:spacing w:line="360" w:lineRule="auto"/>
              <w:jc w:val="center"/>
              <w:rPr>
                <w:rFonts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tcPr>
          <w:p w14:paraId="247DB851">
            <w:pPr>
              <w:spacing w:line="360" w:lineRule="auto"/>
              <w:jc w:val="left"/>
              <w:rPr>
                <w:rFonts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3E56290A">
            <w:pPr>
              <w:spacing w:line="360" w:lineRule="auto"/>
              <w:jc w:val="center"/>
              <w:rPr>
                <w:rFonts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3E6796F0">
            <w:pPr>
              <w:spacing w:line="360" w:lineRule="auto"/>
              <w:jc w:val="center"/>
              <w:rPr>
                <w:rFonts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6812A4CA">
            <w:pPr>
              <w:spacing w:line="360" w:lineRule="auto"/>
              <w:jc w:val="center"/>
              <w:rPr>
                <w:rFonts w:ascii="宋体" w:hAnsi="宋体" w:cs="宋体"/>
                <w:color w:val="auto"/>
                <w:sz w:val="24"/>
                <w:szCs w:val="24"/>
                <w:highlight w:val="none"/>
              </w:rPr>
            </w:pPr>
          </w:p>
        </w:tc>
      </w:tr>
      <w:tr w14:paraId="5D5E1A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70C09468">
            <w:pPr>
              <w:spacing w:line="360" w:lineRule="auto"/>
              <w:rPr>
                <w:rFonts w:ascii="宋体" w:hAnsi="宋体" w:cs="宋体"/>
                <w:color w:val="auto"/>
                <w:sz w:val="24"/>
                <w:szCs w:val="24"/>
                <w:highlight w:val="none"/>
              </w:rPr>
            </w:pPr>
          </w:p>
        </w:tc>
        <w:tc>
          <w:tcPr>
            <w:tcW w:w="707" w:type="dxa"/>
            <w:vMerge w:val="continue"/>
            <w:tcBorders>
              <w:left w:val="single" w:color="auto" w:sz="4" w:space="0"/>
              <w:right w:val="single" w:color="auto" w:sz="4" w:space="0"/>
            </w:tcBorders>
            <w:noWrap/>
            <w:vAlign w:val="center"/>
          </w:tcPr>
          <w:p w14:paraId="3406614A">
            <w:pPr>
              <w:spacing w:line="360" w:lineRule="auto"/>
              <w:jc w:val="center"/>
              <w:rPr>
                <w:rFonts w:ascii="宋体" w:hAnsi="宋体" w:cs="宋体"/>
                <w:color w:val="auto"/>
                <w:sz w:val="24"/>
                <w:szCs w:val="24"/>
                <w:highlight w:val="none"/>
              </w:rPr>
            </w:pPr>
          </w:p>
        </w:tc>
        <w:tc>
          <w:tcPr>
            <w:tcW w:w="709" w:type="dxa"/>
            <w:vMerge w:val="continue"/>
            <w:tcBorders>
              <w:left w:val="single" w:color="auto" w:sz="4" w:space="0"/>
              <w:bottom w:val="single" w:color="auto" w:sz="4" w:space="0"/>
              <w:right w:val="single" w:color="auto" w:sz="4" w:space="0"/>
            </w:tcBorders>
            <w:noWrap/>
            <w:vAlign w:val="center"/>
          </w:tcPr>
          <w:p w14:paraId="30CC066F">
            <w:pPr>
              <w:spacing w:line="360" w:lineRule="auto"/>
              <w:jc w:val="center"/>
              <w:rPr>
                <w:rFonts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tcPr>
          <w:p w14:paraId="14E70C16">
            <w:pPr>
              <w:spacing w:line="360" w:lineRule="auto"/>
              <w:jc w:val="left"/>
              <w:rPr>
                <w:rFonts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68302A2B">
            <w:pPr>
              <w:spacing w:line="360" w:lineRule="auto"/>
              <w:jc w:val="center"/>
              <w:rPr>
                <w:rFonts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4EB30069">
            <w:pPr>
              <w:spacing w:line="360" w:lineRule="auto"/>
              <w:jc w:val="center"/>
              <w:rPr>
                <w:rFonts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622A8D22">
            <w:pPr>
              <w:spacing w:line="360" w:lineRule="auto"/>
              <w:jc w:val="center"/>
              <w:rPr>
                <w:rFonts w:ascii="宋体" w:hAnsi="宋体" w:cs="宋体"/>
                <w:color w:val="auto"/>
                <w:sz w:val="24"/>
                <w:szCs w:val="24"/>
                <w:highlight w:val="none"/>
              </w:rPr>
            </w:pPr>
          </w:p>
        </w:tc>
      </w:tr>
      <w:tr w14:paraId="758F78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1E7DD8D7">
            <w:pPr>
              <w:spacing w:line="360" w:lineRule="auto"/>
              <w:rPr>
                <w:rFonts w:ascii="宋体" w:hAnsi="宋体" w:cs="宋体"/>
                <w:color w:val="auto"/>
                <w:sz w:val="24"/>
                <w:szCs w:val="24"/>
                <w:highlight w:val="none"/>
              </w:rPr>
            </w:pPr>
          </w:p>
        </w:tc>
        <w:tc>
          <w:tcPr>
            <w:tcW w:w="707" w:type="dxa"/>
            <w:vMerge w:val="continue"/>
            <w:tcBorders>
              <w:left w:val="single" w:color="auto" w:sz="4" w:space="0"/>
              <w:right w:val="single" w:color="auto" w:sz="4" w:space="0"/>
            </w:tcBorders>
            <w:noWrap/>
            <w:vAlign w:val="center"/>
          </w:tcPr>
          <w:p w14:paraId="2EACEA46">
            <w:pPr>
              <w:spacing w:line="360" w:lineRule="auto"/>
              <w:jc w:val="center"/>
              <w:rPr>
                <w:rFonts w:ascii="宋体" w:hAnsi="宋体" w:cs="宋体"/>
                <w:color w:val="auto"/>
                <w:sz w:val="24"/>
                <w:szCs w:val="24"/>
                <w:highlight w:val="none"/>
              </w:rPr>
            </w:pPr>
          </w:p>
        </w:tc>
        <w:tc>
          <w:tcPr>
            <w:tcW w:w="709" w:type="dxa"/>
            <w:vMerge w:val="restart"/>
            <w:tcBorders>
              <w:top w:val="single" w:color="auto" w:sz="4" w:space="0"/>
              <w:left w:val="single" w:color="auto" w:sz="4" w:space="0"/>
              <w:right w:val="single" w:color="auto" w:sz="4" w:space="0"/>
            </w:tcBorders>
            <w:noWrap/>
            <w:vAlign w:val="center"/>
          </w:tcPr>
          <w:p w14:paraId="783FA2B4">
            <w:pPr>
              <w:spacing w:line="360" w:lineRule="auto"/>
              <w:jc w:val="center"/>
              <w:rPr>
                <w:rFonts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ign w:val="center"/>
          </w:tcPr>
          <w:p w14:paraId="65C6E71B">
            <w:pPr>
              <w:spacing w:line="360" w:lineRule="auto"/>
              <w:rPr>
                <w:rFonts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24FB0582">
            <w:pPr>
              <w:spacing w:line="360" w:lineRule="auto"/>
              <w:jc w:val="center"/>
              <w:rPr>
                <w:rFonts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44BBC7B1">
            <w:pPr>
              <w:spacing w:line="360" w:lineRule="auto"/>
              <w:jc w:val="center"/>
              <w:rPr>
                <w:rFonts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4F2468AE">
            <w:pPr>
              <w:spacing w:line="360" w:lineRule="auto"/>
              <w:jc w:val="center"/>
              <w:rPr>
                <w:rFonts w:ascii="宋体" w:hAnsi="宋体" w:cs="宋体"/>
                <w:color w:val="auto"/>
                <w:sz w:val="24"/>
                <w:szCs w:val="24"/>
                <w:highlight w:val="none"/>
              </w:rPr>
            </w:pPr>
          </w:p>
        </w:tc>
      </w:tr>
      <w:tr w14:paraId="000D02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5369B171">
            <w:pPr>
              <w:spacing w:line="360" w:lineRule="auto"/>
              <w:rPr>
                <w:rFonts w:ascii="宋体" w:hAnsi="宋体" w:cs="宋体"/>
                <w:color w:val="auto"/>
                <w:sz w:val="24"/>
                <w:szCs w:val="24"/>
                <w:highlight w:val="none"/>
              </w:rPr>
            </w:pPr>
          </w:p>
        </w:tc>
        <w:tc>
          <w:tcPr>
            <w:tcW w:w="707" w:type="dxa"/>
            <w:vMerge w:val="continue"/>
            <w:tcBorders>
              <w:left w:val="single" w:color="auto" w:sz="4" w:space="0"/>
              <w:right w:val="single" w:color="auto" w:sz="4" w:space="0"/>
            </w:tcBorders>
            <w:noWrap/>
            <w:vAlign w:val="center"/>
          </w:tcPr>
          <w:p w14:paraId="3051D869">
            <w:pPr>
              <w:spacing w:line="360" w:lineRule="auto"/>
              <w:jc w:val="center"/>
              <w:rPr>
                <w:rFonts w:ascii="宋体" w:hAnsi="宋体" w:cs="宋体"/>
                <w:color w:val="auto"/>
                <w:sz w:val="24"/>
                <w:szCs w:val="24"/>
                <w:highlight w:val="none"/>
              </w:rPr>
            </w:pPr>
          </w:p>
        </w:tc>
        <w:tc>
          <w:tcPr>
            <w:tcW w:w="709" w:type="dxa"/>
            <w:vMerge w:val="continue"/>
            <w:tcBorders>
              <w:left w:val="single" w:color="auto" w:sz="4" w:space="0"/>
              <w:bottom w:val="single" w:color="auto" w:sz="4" w:space="0"/>
              <w:right w:val="single" w:color="auto" w:sz="4" w:space="0"/>
            </w:tcBorders>
            <w:noWrap/>
            <w:vAlign w:val="center"/>
          </w:tcPr>
          <w:p w14:paraId="0101DC86">
            <w:pPr>
              <w:spacing w:line="360" w:lineRule="auto"/>
              <w:jc w:val="center"/>
              <w:rPr>
                <w:rFonts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ign w:val="center"/>
          </w:tcPr>
          <w:p w14:paraId="7FB22A84">
            <w:pPr>
              <w:tabs>
                <w:tab w:val="left" w:pos="1080"/>
              </w:tabs>
              <w:spacing w:line="360" w:lineRule="auto"/>
              <w:rPr>
                <w:rFonts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3B48F78B">
            <w:pPr>
              <w:spacing w:line="360" w:lineRule="auto"/>
              <w:jc w:val="center"/>
              <w:rPr>
                <w:rFonts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329C5C0E">
            <w:pPr>
              <w:spacing w:line="360" w:lineRule="auto"/>
              <w:jc w:val="center"/>
              <w:rPr>
                <w:rFonts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1A596A22">
            <w:pPr>
              <w:spacing w:line="360" w:lineRule="auto"/>
              <w:jc w:val="center"/>
              <w:rPr>
                <w:rFonts w:ascii="宋体" w:hAnsi="宋体" w:cs="宋体"/>
                <w:color w:val="auto"/>
                <w:sz w:val="24"/>
                <w:szCs w:val="24"/>
                <w:highlight w:val="none"/>
              </w:rPr>
            </w:pPr>
          </w:p>
        </w:tc>
      </w:tr>
      <w:tr w14:paraId="5F49E5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3FEE462A">
            <w:pPr>
              <w:spacing w:line="360" w:lineRule="auto"/>
              <w:rPr>
                <w:rFonts w:ascii="宋体" w:hAnsi="宋体" w:cs="宋体"/>
                <w:color w:val="auto"/>
                <w:sz w:val="24"/>
                <w:szCs w:val="24"/>
                <w:highlight w:val="none"/>
              </w:rPr>
            </w:pPr>
          </w:p>
        </w:tc>
        <w:tc>
          <w:tcPr>
            <w:tcW w:w="707" w:type="dxa"/>
            <w:vMerge w:val="continue"/>
            <w:tcBorders>
              <w:left w:val="single" w:color="auto" w:sz="4" w:space="0"/>
              <w:right w:val="single" w:color="auto" w:sz="4" w:space="0"/>
            </w:tcBorders>
            <w:noWrap/>
            <w:vAlign w:val="center"/>
          </w:tcPr>
          <w:p w14:paraId="44C43942">
            <w:pPr>
              <w:spacing w:line="360" w:lineRule="auto"/>
              <w:jc w:val="center"/>
              <w:rPr>
                <w:rFonts w:ascii="宋体" w:hAnsi="宋体" w:cs="宋体"/>
                <w:color w:val="auto"/>
                <w:sz w:val="24"/>
                <w:szCs w:val="24"/>
                <w:highlight w:val="none"/>
              </w:rPr>
            </w:pPr>
          </w:p>
        </w:tc>
        <w:tc>
          <w:tcPr>
            <w:tcW w:w="709" w:type="dxa"/>
            <w:tcBorders>
              <w:top w:val="single" w:color="auto" w:sz="4" w:space="0"/>
              <w:left w:val="single" w:color="auto" w:sz="4" w:space="0"/>
              <w:bottom w:val="single" w:color="auto" w:sz="4" w:space="0"/>
              <w:right w:val="single" w:color="auto" w:sz="4" w:space="0"/>
            </w:tcBorders>
            <w:noWrap/>
            <w:vAlign w:val="center"/>
          </w:tcPr>
          <w:p w14:paraId="0FEC4BA8">
            <w:pPr>
              <w:spacing w:line="360" w:lineRule="auto"/>
              <w:jc w:val="center"/>
              <w:rPr>
                <w:rFonts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ign w:val="center"/>
          </w:tcPr>
          <w:p w14:paraId="1F9233C3">
            <w:pPr>
              <w:spacing w:line="360" w:lineRule="auto"/>
              <w:rPr>
                <w:rFonts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748CA737">
            <w:pPr>
              <w:spacing w:line="360" w:lineRule="auto"/>
              <w:jc w:val="center"/>
              <w:rPr>
                <w:rFonts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5127FFFA">
            <w:pPr>
              <w:spacing w:line="360" w:lineRule="auto"/>
              <w:jc w:val="center"/>
              <w:rPr>
                <w:rFonts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05699838">
            <w:pPr>
              <w:spacing w:line="360" w:lineRule="auto"/>
              <w:jc w:val="center"/>
              <w:rPr>
                <w:rFonts w:ascii="宋体" w:hAnsi="宋体" w:cs="宋体"/>
                <w:color w:val="auto"/>
                <w:sz w:val="24"/>
                <w:szCs w:val="24"/>
                <w:highlight w:val="none"/>
              </w:rPr>
            </w:pPr>
          </w:p>
        </w:tc>
      </w:tr>
      <w:tr w14:paraId="36B7EC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359935CC">
            <w:pPr>
              <w:spacing w:line="360" w:lineRule="auto"/>
              <w:rPr>
                <w:rFonts w:ascii="宋体" w:hAnsi="宋体" w:cs="宋体"/>
                <w:color w:val="auto"/>
                <w:sz w:val="24"/>
                <w:szCs w:val="24"/>
                <w:highlight w:val="none"/>
              </w:rPr>
            </w:pPr>
          </w:p>
        </w:tc>
        <w:tc>
          <w:tcPr>
            <w:tcW w:w="707" w:type="dxa"/>
            <w:vMerge w:val="continue"/>
            <w:tcBorders>
              <w:left w:val="single" w:color="auto" w:sz="4" w:space="0"/>
              <w:right w:val="single" w:color="auto" w:sz="4" w:space="0"/>
            </w:tcBorders>
            <w:noWrap/>
            <w:vAlign w:val="center"/>
          </w:tcPr>
          <w:p w14:paraId="4D3AA1B2">
            <w:pPr>
              <w:spacing w:line="360" w:lineRule="auto"/>
              <w:jc w:val="center"/>
              <w:rPr>
                <w:rFonts w:ascii="宋体" w:hAnsi="宋体" w:cs="宋体"/>
                <w:color w:val="auto"/>
                <w:sz w:val="24"/>
                <w:szCs w:val="24"/>
                <w:highlight w:val="none"/>
              </w:rPr>
            </w:pPr>
          </w:p>
        </w:tc>
        <w:tc>
          <w:tcPr>
            <w:tcW w:w="709" w:type="dxa"/>
            <w:vMerge w:val="restart"/>
            <w:tcBorders>
              <w:top w:val="single" w:color="auto" w:sz="4" w:space="0"/>
              <w:left w:val="single" w:color="auto" w:sz="4" w:space="0"/>
              <w:right w:val="single" w:color="auto" w:sz="4" w:space="0"/>
            </w:tcBorders>
            <w:noWrap/>
            <w:vAlign w:val="center"/>
          </w:tcPr>
          <w:p w14:paraId="0518D85F">
            <w:pPr>
              <w:spacing w:line="360" w:lineRule="auto"/>
              <w:jc w:val="center"/>
              <w:rPr>
                <w:rFonts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tcPr>
          <w:p w14:paraId="1F00AF8C">
            <w:pPr>
              <w:spacing w:line="360" w:lineRule="auto"/>
              <w:jc w:val="left"/>
              <w:rPr>
                <w:rFonts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658B322B">
            <w:pPr>
              <w:spacing w:line="360" w:lineRule="auto"/>
              <w:jc w:val="center"/>
              <w:rPr>
                <w:rFonts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79981DB7">
            <w:pPr>
              <w:spacing w:line="360" w:lineRule="auto"/>
              <w:jc w:val="center"/>
              <w:rPr>
                <w:rFonts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6053F2DD">
            <w:pPr>
              <w:spacing w:line="360" w:lineRule="auto"/>
              <w:jc w:val="center"/>
              <w:rPr>
                <w:rFonts w:ascii="宋体" w:hAnsi="宋体" w:cs="宋体"/>
                <w:color w:val="auto"/>
                <w:sz w:val="24"/>
                <w:szCs w:val="24"/>
                <w:highlight w:val="none"/>
              </w:rPr>
            </w:pPr>
          </w:p>
        </w:tc>
      </w:tr>
      <w:tr w14:paraId="3A5940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13D377D2">
            <w:pPr>
              <w:spacing w:line="360" w:lineRule="auto"/>
              <w:rPr>
                <w:rFonts w:ascii="宋体" w:hAnsi="宋体" w:cs="宋体"/>
                <w:color w:val="auto"/>
                <w:sz w:val="24"/>
                <w:szCs w:val="24"/>
                <w:highlight w:val="none"/>
              </w:rPr>
            </w:pPr>
          </w:p>
        </w:tc>
        <w:tc>
          <w:tcPr>
            <w:tcW w:w="707" w:type="dxa"/>
            <w:vMerge w:val="continue"/>
            <w:tcBorders>
              <w:left w:val="single" w:color="auto" w:sz="4" w:space="0"/>
              <w:right w:val="single" w:color="auto" w:sz="4" w:space="0"/>
            </w:tcBorders>
            <w:noWrap/>
            <w:vAlign w:val="center"/>
          </w:tcPr>
          <w:p w14:paraId="480CF428">
            <w:pPr>
              <w:spacing w:line="360" w:lineRule="auto"/>
              <w:jc w:val="center"/>
              <w:rPr>
                <w:rFonts w:ascii="宋体" w:hAnsi="宋体" w:cs="宋体"/>
                <w:color w:val="auto"/>
                <w:sz w:val="24"/>
                <w:szCs w:val="24"/>
                <w:highlight w:val="none"/>
              </w:rPr>
            </w:pPr>
          </w:p>
        </w:tc>
        <w:tc>
          <w:tcPr>
            <w:tcW w:w="709" w:type="dxa"/>
            <w:vMerge w:val="continue"/>
            <w:tcBorders>
              <w:left w:val="single" w:color="auto" w:sz="4" w:space="0"/>
              <w:right w:val="single" w:color="auto" w:sz="4" w:space="0"/>
            </w:tcBorders>
            <w:noWrap/>
            <w:vAlign w:val="center"/>
          </w:tcPr>
          <w:p w14:paraId="0C48EDB9">
            <w:pPr>
              <w:spacing w:line="360" w:lineRule="auto"/>
              <w:jc w:val="center"/>
              <w:rPr>
                <w:rFonts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tcPr>
          <w:p w14:paraId="1644CA8E">
            <w:pPr>
              <w:spacing w:line="360" w:lineRule="auto"/>
              <w:jc w:val="left"/>
              <w:rPr>
                <w:rFonts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35C6E5A9">
            <w:pPr>
              <w:spacing w:line="360" w:lineRule="auto"/>
              <w:jc w:val="center"/>
              <w:rPr>
                <w:rFonts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360C58AA">
            <w:pPr>
              <w:spacing w:line="360" w:lineRule="auto"/>
              <w:jc w:val="center"/>
              <w:rPr>
                <w:rFonts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4F93DF43">
            <w:pPr>
              <w:spacing w:line="360" w:lineRule="auto"/>
              <w:jc w:val="center"/>
              <w:rPr>
                <w:rFonts w:ascii="宋体" w:hAnsi="宋体" w:cs="宋体"/>
                <w:color w:val="auto"/>
                <w:sz w:val="24"/>
                <w:szCs w:val="24"/>
                <w:highlight w:val="none"/>
              </w:rPr>
            </w:pPr>
          </w:p>
        </w:tc>
      </w:tr>
      <w:tr w14:paraId="3B5EC1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248D0921">
            <w:pPr>
              <w:spacing w:line="360" w:lineRule="auto"/>
              <w:rPr>
                <w:rFonts w:ascii="宋体" w:hAnsi="宋体" w:cs="宋体"/>
                <w:color w:val="auto"/>
                <w:sz w:val="24"/>
                <w:szCs w:val="24"/>
                <w:highlight w:val="none"/>
              </w:rPr>
            </w:pPr>
          </w:p>
        </w:tc>
        <w:tc>
          <w:tcPr>
            <w:tcW w:w="707" w:type="dxa"/>
            <w:vMerge w:val="continue"/>
            <w:tcBorders>
              <w:left w:val="single" w:color="auto" w:sz="4" w:space="0"/>
              <w:right w:val="single" w:color="auto" w:sz="4" w:space="0"/>
            </w:tcBorders>
            <w:noWrap/>
            <w:vAlign w:val="center"/>
          </w:tcPr>
          <w:p w14:paraId="0E831358">
            <w:pPr>
              <w:spacing w:line="360" w:lineRule="auto"/>
              <w:jc w:val="center"/>
              <w:rPr>
                <w:rFonts w:ascii="宋体" w:hAnsi="宋体" w:cs="宋体"/>
                <w:color w:val="auto"/>
                <w:sz w:val="24"/>
                <w:szCs w:val="24"/>
                <w:highlight w:val="none"/>
              </w:rPr>
            </w:pPr>
          </w:p>
        </w:tc>
        <w:tc>
          <w:tcPr>
            <w:tcW w:w="709" w:type="dxa"/>
            <w:vMerge w:val="continue"/>
            <w:tcBorders>
              <w:left w:val="single" w:color="auto" w:sz="4" w:space="0"/>
              <w:right w:val="single" w:color="auto" w:sz="4" w:space="0"/>
            </w:tcBorders>
            <w:noWrap/>
            <w:vAlign w:val="center"/>
          </w:tcPr>
          <w:p w14:paraId="1C994AA3">
            <w:pPr>
              <w:spacing w:line="360" w:lineRule="auto"/>
              <w:jc w:val="center"/>
              <w:rPr>
                <w:rFonts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tcPr>
          <w:p w14:paraId="4936721B">
            <w:pPr>
              <w:spacing w:line="360" w:lineRule="auto"/>
              <w:jc w:val="left"/>
              <w:rPr>
                <w:rFonts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75288695">
            <w:pPr>
              <w:spacing w:line="360" w:lineRule="auto"/>
              <w:jc w:val="center"/>
              <w:rPr>
                <w:rFonts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382CE6F4">
            <w:pPr>
              <w:spacing w:line="360" w:lineRule="auto"/>
              <w:jc w:val="center"/>
              <w:rPr>
                <w:rFonts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5ED6F707">
            <w:pPr>
              <w:spacing w:line="360" w:lineRule="auto"/>
              <w:jc w:val="center"/>
              <w:rPr>
                <w:rFonts w:ascii="宋体" w:hAnsi="宋体" w:cs="宋体"/>
                <w:color w:val="auto"/>
                <w:sz w:val="24"/>
                <w:szCs w:val="24"/>
                <w:highlight w:val="none"/>
              </w:rPr>
            </w:pPr>
          </w:p>
        </w:tc>
      </w:tr>
      <w:tr w14:paraId="312387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41378DCF">
            <w:pPr>
              <w:spacing w:line="360" w:lineRule="auto"/>
              <w:rPr>
                <w:rFonts w:ascii="宋体" w:hAnsi="宋体" w:cs="宋体"/>
                <w:color w:val="auto"/>
                <w:sz w:val="24"/>
                <w:szCs w:val="24"/>
                <w:highlight w:val="none"/>
              </w:rPr>
            </w:pPr>
          </w:p>
        </w:tc>
        <w:tc>
          <w:tcPr>
            <w:tcW w:w="707" w:type="dxa"/>
            <w:vMerge w:val="continue"/>
            <w:tcBorders>
              <w:left w:val="single" w:color="auto" w:sz="4" w:space="0"/>
              <w:right w:val="single" w:color="auto" w:sz="4" w:space="0"/>
            </w:tcBorders>
            <w:noWrap/>
            <w:vAlign w:val="center"/>
          </w:tcPr>
          <w:p w14:paraId="30DDCA68">
            <w:pPr>
              <w:spacing w:line="360" w:lineRule="auto"/>
              <w:jc w:val="center"/>
              <w:rPr>
                <w:rFonts w:ascii="宋体" w:hAnsi="宋体" w:cs="宋体"/>
                <w:color w:val="auto"/>
                <w:sz w:val="24"/>
                <w:szCs w:val="24"/>
                <w:highlight w:val="none"/>
              </w:rPr>
            </w:pPr>
          </w:p>
        </w:tc>
        <w:tc>
          <w:tcPr>
            <w:tcW w:w="709" w:type="dxa"/>
            <w:vMerge w:val="continue"/>
            <w:tcBorders>
              <w:left w:val="single" w:color="auto" w:sz="4" w:space="0"/>
              <w:right w:val="single" w:color="auto" w:sz="4" w:space="0"/>
            </w:tcBorders>
            <w:noWrap/>
            <w:vAlign w:val="center"/>
          </w:tcPr>
          <w:p w14:paraId="77C04DCB">
            <w:pPr>
              <w:spacing w:line="360" w:lineRule="auto"/>
              <w:jc w:val="center"/>
              <w:rPr>
                <w:rFonts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tcPr>
          <w:p w14:paraId="44CA722E">
            <w:pPr>
              <w:spacing w:line="360" w:lineRule="auto"/>
              <w:jc w:val="left"/>
              <w:rPr>
                <w:rFonts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6987239C">
            <w:pPr>
              <w:spacing w:line="360" w:lineRule="auto"/>
              <w:jc w:val="center"/>
              <w:rPr>
                <w:rFonts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2DB23A45">
            <w:pPr>
              <w:spacing w:line="360" w:lineRule="auto"/>
              <w:jc w:val="center"/>
              <w:rPr>
                <w:rFonts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31CA4548">
            <w:pPr>
              <w:spacing w:line="360" w:lineRule="auto"/>
              <w:jc w:val="center"/>
              <w:rPr>
                <w:rFonts w:ascii="宋体" w:hAnsi="宋体" w:cs="宋体"/>
                <w:color w:val="auto"/>
                <w:sz w:val="24"/>
                <w:szCs w:val="24"/>
                <w:highlight w:val="none"/>
              </w:rPr>
            </w:pPr>
          </w:p>
        </w:tc>
      </w:tr>
      <w:tr w14:paraId="3DE9CE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04C69D13">
            <w:pPr>
              <w:spacing w:line="360" w:lineRule="auto"/>
              <w:rPr>
                <w:rFonts w:ascii="宋体" w:hAnsi="宋体" w:cs="宋体"/>
                <w:color w:val="auto"/>
                <w:sz w:val="24"/>
                <w:szCs w:val="24"/>
                <w:highlight w:val="none"/>
              </w:rPr>
            </w:pPr>
          </w:p>
        </w:tc>
        <w:tc>
          <w:tcPr>
            <w:tcW w:w="707" w:type="dxa"/>
            <w:vMerge w:val="continue"/>
            <w:tcBorders>
              <w:left w:val="single" w:color="auto" w:sz="4" w:space="0"/>
              <w:right w:val="single" w:color="auto" w:sz="4" w:space="0"/>
            </w:tcBorders>
            <w:noWrap/>
            <w:vAlign w:val="center"/>
          </w:tcPr>
          <w:p w14:paraId="7CBFB76C">
            <w:pPr>
              <w:spacing w:line="360" w:lineRule="auto"/>
              <w:jc w:val="center"/>
              <w:rPr>
                <w:rFonts w:ascii="宋体" w:hAnsi="宋体" w:cs="宋体"/>
                <w:color w:val="auto"/>
                <w:sz w:val="24"/>
                <w:szCs w:val="24"/>
                <w:highlight w:val="none"/>
              </w:rPr>
            </w:pPr>
          </w:p>
        </w:tc>
        <w:tc>
          <w:tcPr>
            <w:tcW w:w="709" w:type="dxa"/>
            <w:vMerge w:val="continue"/>
            <w:tcBorders>
              <w:left w:val="single" w:color="auto" w:sz="4" w:space="0"/>
              <w:right w:val="single" w:color="auto" w:sz="4" w:space="0"/>
            </w:tcBorders>
            <w:noWrap/>
            <w:vAlign w:val="center"/>
          </w:tcPr>
          <w:p w14:paraId="77EE4339">
            <w:pPr>
              <w:spacing w:line="360" w:lineRule="auto"/>
              <w:jc w:val="center"/>
              <w:rPr>
                <w:rFonts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tcPr>
          <w:p w14:paraId="738CF24E">
            <w:pPr>
              <w:spacing w:line="360" w:lineRule="auto"/>
              <w:jc w:val="left"/>
              <w:rPr>
                <w:rFonts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1C9E00E4">
            <w:pPr>
              <w:spacing w:line="360" w:lineRule="auto"/>
              <w:jc w:val="center"/>
              <w:rPr>
                <w:rFonts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57286829">
            <w:pPr>
              <w:spacing w:line="360" w:lineRule="auto"/>
              <w:jc w:val="center"/>
              <w:rPr>
                <w:rFonts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1BD91C99">
            <w:pPr>
              <w:spacing w:line="360" w:lineRule="auto"/>
              <w:jc w:val="center"/>
              <w:rPr>
                <w:rFonts w:ascii="宋体" w:hAnsi="宋体" w:cs="宋体"/>
                <w:color w:val="auto"/>
                <w:sz w:val="24"/>
                <w:szCs w:val="24"/>
                <w:highlight w:val="none"/>
              </w:rPr>
            </w:pPr>
          </w:p>
        </w:tc>
      </w:tr>
      <w:tr w14:paraId="7281C0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bottom w:val="single" w:color="auto" w:sz="4" w:space="0"/>
              <w:right w:val="single" w:color="auto" w:sz="4" w:space="0"/>
            </w:tcBorders>
            <w:noWrap/>
            <w:vAlign w:val="center"/>
          </w:tcPr>
          <w:p w14:paraId="1B0290BF">
            <w:pPr>
              <w:spacing w:line="360" w:lineRule="auto"/>
              <w:rPr>
                <w:rFonts w:ascii="宋体" w:hAnsi="宋体" w:cs="宋体"/>
                <w:color w:val="auto"/>
                <w:sz w:val="24"/>
                <w:szCs w:val="24"/>
                <w:highlight w:val="none"/>
              </w:rPr>
            </w:pPr>
          </w:p>
        </w:tc>
        <w:tc>
          <w:tcPr>
            <w:tcW w:w="707" w:type="dxa"/>
            <w:vMerge w:val="continue"/>
            <w:tcBorders>
              <w:left w:val="single" w:color="auto" w:sz="4" w:space="0"/>
              <w:bottom w:val="single" w:color="auto" w:sz="4" w:space="0"/>
              <w:right w:val="single" w:color="auto" w:sz="4" w:space="0"/>
            </w:tcBorders>
            <w:noWrap/>
            <w:vAlign w:val="center"/>
          </w:tcPr>
          <w:p w14:paraId="52438C6F">
            <w:pPr>
              <w:spacing w:line="360" w:lineRule="auto"/>
              <w:jc w:val="center"/>
              <w:rPr>
                <w:rFonts w:ascii="宋体" w:hAnsi="宋体" w:cs="宋体"/>
                <w:color w:val="auto"/>
                <w:sz w:val="24"/>
                <w:szCs w:val="24"/>
                <w:highlight w:val="none"/>
              </w:rPr>
            </w:pPr>
          </w:p>
        </w:tc>
        <w:tc>
          <w:tcPr>
            <w:tcW w:w="709" w:type="dxa"/>
            <w:vMerge w:val="continue"/>
            <w:tcBorders>
              <w:left w:val="single" w:color="auto" w:sz="4" w:space="0"/>
              <w:bottom w:val="single" w:color="auto" w:sz="4" w:space="0"/>
              <w:right w:val="single" w:color="auto" w:sz="4" w:space="0"/>
            </w:tcBorders>
            <w:noWrap/>
            <w:vAlign w:val="center"/>
          </w:tcPr>
          <w:p w14:paraId="6C9CD6BC">
            <w:pPr>
              <w:spacing w:line="360" w:lineRule="auto"/>
              <w:jc w:val="center"/>
              <w:rPr>
                <w:rFonts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tcPr>
          <w:p w14:paraId="2DACF72A">
            <w:pPr>
              <w:pStyle w:val="9"/>
              <w:spacing w:after="0" w:line="360" w:lineRule="auto"/>
              <w:ind w:left="0"/>
              <w:rPr>
                <w:rFonts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4329DF63">
            <w:pPr>
              <w:spacing w:line="360" w:lineRule="auto"/>
              <w:jc w:val="center"/>
              <w:rPr>
                <w:rFonts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3D31CD6C">
            <w:pPr>
              <w:spacing w:line="360" w:lineRule="auto"/>
              <w:jc w:val="center"/>
              <w:rPr>
                <w:rFonts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66651B12">
            <w:pPr>
              <w:spacing w:line="360" w:lineRule="auto"/>
              <w:jc w:val="center"/>
              <w:rPr>
                <w:rFonts w:ascii="宋体" w:hAnsi="宋体" w:cs="宋体"/>
                <w:color w:val="auto"/>
                <w:sz w:val="24"/>
                <w:szCs w:val="24"/>
                <w:highlight w:val="none"/>
              </w:rPr>
            </w:pPr>
          </w:p>
        </w:tc>
      </w:tr>
    </w:tbl>
    <w:p w14:paraId="1677475F">
      <w:pPr>
        <w:tabs>
          <w:tab w:val="left" w:pos="5130"/>
        </w:tabs>
        <w:spacing w:line="360" w:lineRule="auto"/>
        <w:ind w:firstLine="480" w:firstLineChars="200"/>
        <w:rPr>
          <w:rFonts w:ascii="宋体" w:hAnsi="宋体" w:cs="宋体"/>
          <w:color w:val="auto"/>
          <w:sz w:val="24"/>
          <w:szCs w:val="24"/>
          <w:highlight w:val="none"/>
        </w:rPr>
      </w:pPr>
    </w:p>
    <w:p w14:paraId="36B9566F">
      <w:pPr>
        <w:tabs>
          <w:tab w:val="left" w:pos="5130"/>
        </w:tabs>
        <w:spacing w:line="360" w:lineRule="auto"/>
        <w:ind w:firstLine="480" w:firstLineChars="200"/>
        <w:rPr>
          <w:rFonts w:ascii="宋体" w:hAnsi="宋体" w:cs="宋体"/>
          <w:color w:val="auto"/>
          <w:sz w:val="24"/>
          <w:szCs w:val="24"/>
          <w:highlight w:val="none"/>
        </w:rPr>
      </w:pPr>
    </w:p>
    <w:p w14:paraId="76CC01B8">
      <w:pPr>
        <w:spacing w:line="360" w:lineRule="auto"/>
        <w:rPr>
          <w:rFonts w:ascii="宋体" w:hAnsi="宋体" w:cs="宋体"/>
          <w:color w:val="auto"/>
          <w:sz w:val="24"/>
          <w:szCs w:val="24"/>
          <w:highlight w:val="none"/>
        </w:rPr>
      </w:pPr>
    </w:p>
    <w:p w14:paraId="43659F2F">
      <w:pPr>
        <w:spacing w:line="360" w:lineRule="auto"/>
        <w:rPr>
          <w:rFonts w:ascii="宋体" w:hAnsi="宋体" w:cs="宋体"/>
          <w:color w:val="auto"/>
          <w:sz w:val="24"/>
          <w:szCs w:val="24"/>
          <w:highlight w:val="none"/>
        </w:rPr>
      </w:pPr>
    </w:p>
    <w:p w14:paraId="0B380046">
      <w:pPr>
        <w:spacing w:line="360" w:lineRule="auto"/>
        <w:jc w:val="center"/>
        <w:rPr>
          <w:rFonts w:ascii="宋体" w:hAnsi="宋体" w:cs="宋体"/>
          <w:b/>
          <w:bCs/>
          <w:color w:val="auto"/>
          <w:sz w:val="24"/>
          <w:szCs w:val="24"/>
          <w:highlight w:val="none"/>
        </w:rPr>
        <w:sectPr>
          <w:headerReference r:id="rId7" w:type="default"/>
          <w:footerReference r:id="rId8" w:type="default"/>
          <w:pgSz w:w="11906" w:h="16838"/>
          <w:pgMar w:top="851" w:right="851" w:bottom="851" w:left="1134" w:header="567" w:footer="567" w:gutter="0"/>
          <w:pgNumType w:start="1"/>
          <w:cols w:space="720" w:num="1"/>
          <w:docGrid w:linePitch="312" w:charSpace="0"/>
        </w:sectPr>
      </w:pPr>
    </w:p>
    <w:p w14:paraId="3633A002">
      <w:pPr>
        <w:numPr>
          <w:ilvl w:val="255"/>
          <w:numId w:val="0"/>
        </w:numPr>
        <w:spacing w:line="360" w:lineRule="auto"/>
        <w:ind w:firstLine="1285" w:firstLineChars="400"/>
        <w:rPr>
          <w:rFonts w:ascii="宋体" w:hAnsi="宋体" w:cs="宋体"/>
          <w:b/>
          <w:color w:val="auto"/>
          <w:sz w:val="32"/>
          <w:szCs w:val="32"/>
          <w:highlight w:val="none"/>
        </w:rPr>
      </w:pPr>
      <w:r>
        <w:rPr>
          <w:rFonts w:hint="eastAsia" w:ascii="宋体" w:hAnsi="宋体" w:cs="宋体"/>
          <w:b/>
          <w:color w:val="auto"/>
          <w:sz w:val="32"/>
          <w:szCs w:val="32"/>
          <w:highlight w:val="none"/>
        </w:rPr>
        <w:t>第四章    大宗采购合同</w:t>
      </w:r>
    </w:p>
    <w:tbl>
      <w:tblPr>
        <w:tblStyle w:val="16"/>
        <w:tblW w:w="0" w:type="auto"/>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99"/>
      </w:tblGrid>
      <w:tr w14:paraId="67B50E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8099" w:type="dxa"/>
            <w:noWrap/>
          </w:tcPr>
          <w:p w14:paraId="66772DD3">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注释： </w:t>
            </w:r>
          </w:p>
          <w:p w14:paraId="20A83F97">
            <w:pPr>
              <w:widowControl/>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本格式条款仅作为双方签订合同的参考，为阐明各方的权利和义务，经协商可增加新的条款、修改相关条款， 但不得与招标文件、投标文件的实质性内容相背离。</w:t>
            </w:r>
          </w:p>
        </w:tc>
      </w:tr>
    </w:tbl>
    <w:p w14:paraId="20B56A46">
      <w:pPr>
        <w:spacing w:line="360" w:lineRule="auto"/>
        <w:ind w:firstLine="2650" w:firstLineChars="1100"/>
        <w:rPr>
          <w:rFonts w:ascii="宋体" w:hAnsi="宋体" w:cs="宋体"/>
          <w:b/>
          <w:bCs/>
          <w:color w:val="auto"/>
          <w:sz w:val="24"/>
          <w:szCs w:val="24"/>
          <w:highlight w:val="none"/>
        </w:rPr>
      </w:pPr>
      <w:r>
        <w:rPr>
          <w:rFonts w:ascii="宋体" w:hAnsi="宋体" w:cs="宋体"/>
          <w:b/>
          <w:bCs/>
          <w:color w:val="auto"/>
          <w:sz w:val="24"/>
          <w:szCs w:val="24"/>
          <w:highlight w:val="none"/>
        </w:rPr>
        <w:t>XM202</w:t>
      </w:r>
      <w:r>
        <w:rPr>
          <w:rFonts w:hint="eastAsia" w:ascii="宋体" w:hAnsi="宋体" w:cs="宋体"/>
          <w:b/>
          <w:bCs/>
          <w:color w:val="auto"/>
          <w:sz w:val="24"/>
          <w:szCs w:val="24"/>
          <w:highlight w:val="none"/>
        </w:rPr>
        <w:t>5</w:t>
      </w:r>
      <w:r>
        <w:rPr>
          <w:rFonts w:ascii="宋体" w:hAnsi="宋体" w:cs="宋体"/>
          <w:b/>
          <w:bCs/>
          <w:color w:val="auto"/>
          <w:sz w:val="24"/>
          <w:szCs w:val="24"/>
          <w:highlight w:val="none"/>
        </w:rPr>
        <w:t>-DZ00</w:t>
      </w:r>
      <w:r>
        <w:rPr>
          <w:rFonts w:hint="eastAsia" w:ascii="宋体" w:hAnsi="宋体" w:cs="宋体"/>
          <w:b/>
          <w:bCs/>
          <w:color w:val="auto"/>
          <w:sz w:val="24"/>
          <w:szCs w:val="24"/>
          <w:highlight w:val="none"/>
        </w:rPr>
        <w:t>48 采购合同</w:t>
      </w:r>
    </w:p>
    <w:p w14:paraId="28D5E6B5">
      <w:pPr>
        <w:spacing w:line="360" w:lineRule="auto"/>
        <w:ind w:right="480"/>
        <w:jc w:val="center"/>
        <w:rPr>
          <w:rFonts w:ascii="宋体" w:hAnsi="宋体" w:cs="宋体"/>
          <w:b/>
          <w:color w:val="auto"/>
          <w:kern w:val="0"/>
          <w:sz w:val="24"/>
          <w:szCs w:val="24"/>
          <w:highlight w:val="none"/>
        </w:rPr>
      </w:pPr>
      <w:r>
        <w:rPr>
          <w:rFonts w:hint="eastAsia" w:ascii="宋体" w:hAnsi="宋体" w:cs="宋体"/>
          <w:color w:val="auto"/>
          <w:sz w:val="24"/>
          <w:szCs w:val="24"/>
          <w:highlight w:val="none"/>
        </w:rPr>
        <w:t>合同编号：</w:t>
      </w:r>
    </w:p>
    <w:p w14:paraId="1A802249">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买方</w:t>
      </w:r>
      <w:r>
        <w:rPr>
          <w:rFonts w:ascii="宋体" w:hAnsi="宋体" w:cs="宋体"/>
          <w:color w:val="auto"/>
          <w:sz w:val="24"/>
          <w:szCs w:val="24"/>
          <w:highlight w:val="none"/>
        </w:rPr>
        <w:t>（甲方）</w:t>
      </w:r>
      <w:r>
        <w:rPr>
          <w:rFonts w:hint="eastAsia" w:ascii="宋体" w:hAnsi="宋体" w:cs="宋体"/>
          <w:color w:val="auto"/>
          <w:sz w:val="24"/>
          <w:szCs w:val="24"/>
          <w:highlight w:val="none"/>
        </w:rPr>
        <w:t>（采购单位）：厦门万翔网络商务有限公司       签订地点：厦门</w:t>
      </w:r>
    </w:p>
    <w:p w14:paraId="26E8D302">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卖方</w:t>
      </w:r>
      <w:r>
        <w:rPr>
          <w:rFonts w:ascii="宋体" w:hAnsi="宋体" w:cs="宋体"/>
          <w:color w:val="auto"/>
          <w:sz w:val="24"/>
          <w:szCs w:val="24"/>
          <w:highlight w:val="none"/>
        </w:rPr>
        <w:t>（乙方）</w:t>
      </w:r>
      <w:r>
        <w:rPr>
          <w:rFonts w:hint="eastAsia" w:ascii="宋体" w:hAnsi="宋体" w:cs="宋体"/>
          <w:color w:val="auto"/>
          <w:sz w:val="24"/>
          <w:szCs w:val="24"/>
          <w:highlight w:val="none"/>
        </w:rPr>
        <w:t xml:space="preserve">（中标/成交供应商）：                                  </w:t>
      </w:r>
    </w:p>
    <w:p w14:paraId="55D8D2B2">
      <w:pPr>
        <w:spacing w:line="360" w:lineRule="auto"/>
        <w:ind w:right="480"/>
        <w:jc w:val="center"/>
        <w:rPr>
          <w:rFonts w:ascii="宋体" w:hAnsi="宋体" w:cs="宋体"/>
          <w:color w:val="auto"/>
          <w:sz w:val="24"/>
          <w:szCs w:val="24"/>
          <w:highlight w:val="none"/>
        </w:rPr>
      </w:pPr>
    </w:p>
    <w:p w14:paraId="189D4810">
      <w:pPr>
        <w:spacing w:line="360" w:lineRule="auto"/>
        <w:ind w:firstLine="600" w:firstLineChars="250"/>
        <w:rPr>
          <w:rFonts w:ascii="宋体" w:hAnsi="宋体" w:cs="宋体"/>
          <w:color w:val="auto"/>
          <w:sz w:val="24"/>
          <w:szCs w:val="24"/>
          <w:highlight w:val="none"/>
        </w:rPr>
      </w:pPr>
      <w:r>
        <w:rPr>
          <w:rFonts w:hint="eastAsia" w:ascii="宋体" w:hAnsi="宋体" w:cs="宋体"/>
          <w:color w:val="auto"/>
          <w:sz w:val="24"/>
          <w:szCs w:val="24"/>
          <w:highlight w:val="none"/>
        </w:rPr>
        <w:t>根据买方对</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进行采购（招标/项目编号：      ）的采购结果，现依照招标/招标文件、投标/报价文件及有关法律、法规、规章规定的内容，双方达成如下协议：</w:t>
      </w:r>
    </w:p>
    <w:p w14:paraId="43190411">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1、合同标的物和合同价格：</w:t>
      </w:r>
    </w:p>
    <w:tbl>
      <w:tblPr>
        <w:tblStyle w:val="16"/>
        <w:tblW w:w="8866" w:type="dxa"/>
        <w:tblInd w:w="103" w:type="dxa"/>
        <w:tblLayout w:type="autofit"/>
        <w:tblCellMar>
          <w:top w:w="0" w:type="dxa"/>
          <w:left w:w="108" w:type="dxa"/>
          <w:bottom w:w="0" w:type="dxa"/>
          <w:right w:w="108" w:type="dxa"/>
        </w:tblCellMar>
      </w:tblPr>
      <w:tblGrid>
        <w:gridCol w:w="1565"/>
        <w:gridCol w:w="2205"/>
        <w:gridCol w:w="1881"/>
        <w:gridCol w:w="1894"/>
        <w:gridCol w:w="1321"/>
      </w:tblGrid>
      <w:tr w14:paraId="36734C9B">
        <w:trPr>
          <w:trHeight w:val="615" w:hRule="atLeast"/>
        </w:trPr>
        <w:tc>
          <w:tcPr>
            <w:tcW w:w="1565" w:type="dxa"/>
            <w:tcBorders>
              <w:top w:val="single" w:color="auto" w:sz="4" w:space="0"/>
              <w:left w:val="single" w:color="auto" w:sz="4" w:space="0"/>
              <w:bottom w:val="single" w:color="auto" w:sz="4" w:space="0"/>
              <w:right w:val="single" w:color="auto" w:sz="4" w:space="0"/>
            </w:tcBorders>
            <w:vAlign w:val="center"/>
          </w:tcPr>
          <w:p w14:paraId="7AED1550">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品名</w:t>
            </w:r>
          </w:p>
        </w:tc>
        <w:tc>
          <w:tcPr>
            <w:tcW w:w="2205" w:type="dxa"/>
            <w:tcBorders>
              <w:top w:val="single" w:color="auto" w:sz="4" w:space="0"/>
              <w:left w:val="nil"/>
              <w:bottom w:val="single" w:color="auto" w:sz="4" w:space="0"/>
              <w:right w:val="single" w:color="auto" w:sz="4" w:space="0"/>
            </w:tcBorders>
            <w:vAlign w:val="center"/>
          </w:tcPr>
          <w:p w14:paraId="6790F537">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规格</w:t>
            </w:r>
          </w:p>
        </w:tc>
        <w:tc>
          <w:tcPr>
            <w:tcW w:w="1881" w:type="dxa"/>
            <w:tcBorders>
              <w:top w:val="single" w:color="auto" w:sz="4" w:space="0"/>
              <w:left w:val="nil"/>
              <w:bottom w:val="single" w:color="auto" w:sz="4" w:space="0"/>
              <w:right w:val="single" w:color="auto" w:sz="4" w:space="0"/>
            </w:tcBorders>
            <w:vAlign w:val="center"/>
          </w:tcPr>
          <w:p w14:paraId="24B5980E">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制造商</w:t>
            </w:r>
          </w:p>
        </w:tc>
        <w:tc>
          <w:tcPr>
            <w:tcW w:w="1894" w:type="dxa"/>
            <w:tcBorders>
              <w:top w:val="single" w:color="auto" w:sz="4" w:space="0"/>
              <w:left w:val="nil"/>
              <w:bottom w:val="single" w:color="auto" w:sz="4" w:space="0"/>
              <w:right w:val="single" w:color="auto" w:sz="4" w:space="0"/>
            </w:tcBorders>
            <w:vAlign w:val="center"/>
          </w:tcPr>
          <w:p w14:paraId="748F393A">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数量</w:t>
            </w:r>
          </w:p>
        </w:tc>
        <w:tc>
          <w:tcPr>
            <w:tcW w:w="1321" w:type="dxa"/>
            <w:tcBorders>
              <w:top w:val="single" w:color="auto" w:sz="4" w:space="0"/>
              <w:left w:val="nil"/>
              <w:bottom w:val="single" w:color="auto" w:sz="4" w:space="0"/>
              <w:right w:val="single" w:color="auto" w:sz="4" w:space="0"/>
            </w:tcBorders>
            <w:vAlign w:val="center"/>
          </w:tcPr>
          <w:p w14:paraId="130FA26F">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合同总价，金额（元）</w:t>
            </w:r>
          </w:p>
        </w:tc>
      </w:tr>
      <w:tr w14:paraId="7E520463">
        <w:tblPrEx>
          <w:tblCellMar>
            <w:top w:w="0" w:type="dxa"/>
            <w:left w:w="108" w:type="dxa"/>
            <w:bottom w:w="0" w:type="dxa"/>
            <w:right w:w="108" w:type="dxa"/>
          </w:tblCellMar>
        </w:tblPrEx>
        <w:trPr>
          <w:trHeight w:val="559" w:hRule="atLeast"/>
        </w:trPr>
        <w:tc>
          <w:tcPr>
            <w:tcW w:w="1565" w:type="dxa"/>
            <w:tcBorders>
              <w:top w:val="nil"/>
              <w:left w:val="single" w:color="auto" w:sz="4" w:space="0"/>
              <w:bottom w:val="nil"/>
              <w:right w:val="single" w:color="auto" w:sz="4" w:space="0"/>
            </w:tcBorders>
            <w:vAlign w:val="center"/>
          </w:tcPr>
          <w:p w14:paraId="178DB789">
            <w:pPr>
              <w:widowControl/>
              <w:spacing w:line="360" w:lineRule="auto"/>
              <w:ind w:firstLine="480" w:firstLineChars="200"/>
              <w:jc w:val="left"/>
              <w:rPr>
                <w:rFonts w:ascii="宋体" w:hAnsi="宋体" w:cs="宋体"/>
                <w:color w:val="auto"/>
                <w:kern w:val="0"/>
                <w:sz w:val="24"/>
                <w:szCs w:val="24"/>
                <w:highlight w:val="none"/>
              </w:rPr>
            </w:pPr>
          </w:p>
        </w:tc>
        <w:tc>
          <w:tcPr>
            <w:tcW w:w="2205" w:type="dxa"/>
            <w:tcBorders>
              <w:top w:val="nil"/>
              <w:left w:val="nil"/>
              <w:bottom w:val="single" w:color="auto" w:sz="4" w:space="0"/>
              <w:right w:val="single" w:color="auto" w:sz="4" w:space="0"/>
            </w:tcBorders>
            <w:vAlign w:val="center"/>
          </w:tcPr>
          <w:p w14:paraId="7AED6627">
            <w:pPr>
              <w:spacing w:line="360" w:lineRule="auto"/>
              <w:jc w:val="center"/>
              <w:rPr>
                <w:rFonts w:ascii="宋体" w:hAnsi="宋体" w:cs="宋体"/>
                <w:color w:val="auto"/>
                <w:sz w:val="24"/>
                <w:szCs w:val="24"/>
                <w:highlight w:val="none"/>
              </w:rPr>
            </w:pPr>
          </w:p>
        </w:tc>
        <w:tc>
          <w:tcPr>
            <w:tcW w:w="1881" w:type="dxa"/>
            <w:tcBorders>
              <w:top w:val="nil"/>
              <w:left w:val="single" w:color="auto" w:sz="4" w:space="0"/>
              <w:bottom w:val="single" w:color="auto" w:sz="4" w:space="0"/>
              <w:right w:val="single" w:color="auto" w:sz="4" w:space="0"/>
            </w:tcBorders>
            <w:vAlign w:val="center"/>
          </w:tcPr>
          <w:p w14:paraId="7E6F8F7A">
            <w:pPr>
              <w:spacing w:line="360" w:lineRule="auto"/>
              <w:jc w:val="center"/>
              <w:rPr>
                <w:rFonts w:ascii="宋体" w:hAnsi="宋体" w:cs="宋体"/>
                <w:color w:val="auto"/>
                <w:sz w:val="24"/>
                <w:szCs w:val="24"/>
                <w:highlight w:val="none"/>
              </w:rPr>
            </w:pPr>
          </w:p>
        </w:tc>
        <w:tc>
          <w:tcPr>
            <w:tcW w:w="1894" w:type="dxa"/>
            <w:tcBorders>
              <w:top w:val="nil"/>
              <w:left w:val="nil"/>
              <w:bottom w:val="single" w:color="auto" w:sz="4" w:space="0"/>
              <w:right w:val="single" w:color="auto" w:sz="4" w:space="0"/>
            </w:tcBorders>
            <w:vAlign w:val="center"/>
          </w:tcPr>
          <w:p w14:paraId="33F17052">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sz w:val="24"/>
                <w:szCs w:val="24"/>
                <w:highlight w:val="none"/>
              </w:rPr>
              <w:t>1批（详见附件</w:t>
            </w:r>
            <w:r>
              <w:rPr>
                <w:rFonts w:ascii="宋体" w:hAnsi="宋体" w:cs="宋体"/>
                <w:color w:val="auto"/>
                <w:sz w:val="24"/>
                <w:szCs w:val="24"/>
                <w:highlight w:val="none"/>
              </w:rPr>
              <w:t>1《</w:t>
            </w:r>
            <w:r>
              <w:rPr>
                <w:rFonts w:hint="eastAsia" w:ascii="宋体" w:hAnsi="宋体" w:cs="宋体"/>
                <w:color w:val="auto"/>
                <w:sz w:val="24"/>
                <w:szCs w:val="24"/>
                <w:highlight w:val="none"/>
              </w:rPr>
              <w:t>供货清单</w:t>
            </w:r>
            <w:r>
              <w:rPr>
                <w:rFonts w:ascii="宋体" w:hAnsi="宋体" w:cs="宋体"/>
                <w:color w:val="auto"/>
                <w:sz w:val="24"/>
                <w:szCs w:val="24"/>
                <w:highlight w:val="none"/>
              </w:rPr>
              <w:t>》</w:t>
            </w:r>
            <w:r>
              <w:rPr>
                <w:rFonts w:hint="eastAsia" w:ascii="宋体" w:hAnsi="宋体" w:cs="宋体"/>
                <w:color w:val="auto"/>
                <w:sz w:val="24"/>
                <w:szCs w:val="24"/>
                <w:highlight w:val="none"/>
              </w:rPr>
              <w:t>）</w:t>
            </w:r>
          </w:p>
        </w:tc>
        <w:tc>
          <w:tcPr>
            <w:tcW w:w="1321" w:type="dxa"/>
            <w:tcBorders>
              <w:top w:val="nil"/>
              <w:left w:val="nil"/>
              <w:bottom w:val="single" w:color="auto" w:sz="4" w:space="0"/>
              <w:right w:val="single" w:color="auto" w:sz="4" w:space="0"/>
            </w:tcBorders>
            <w:vAlign w:val="center"/>
          </w:tcPr>
          <w:p w14:paraId="6FAD7C5F">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sz w:val="24"/>
                <w:szCs w:val="24"/>
                <w:highlight w:val="none"/>
              </w:rPr>
              <w:t>￥</w:t>
            </w:r>
          </w:p>
        </w:tc>
      </w:tr>
      <w:tr w14:paraId="55772BE3">
        <w:tblPrEx>
          <w:tblCellMar>
            <w:top w:w="0" w:type="dxa"/>
            <w:left w:w="108" w:type="dxa"/>
            <w:bottom w:w="0" w:type="dxa"/>
            <w:right w:w="108" w:type="dxa"/>
          </w:tblCellMar>
        </w:tblPrEx>
        <w:trPr>
          <w:trHeight w:val="540" w:hRule="atLeast"/>
        </w:trPr>
        <w:tc>
          <w:tcPr>
            <w:tcW w:w="8866" w:type="dxa"/>
            <w:gridSpan w:val="5"/>
            <w:tcBorders>
              <w:top w:val="single" w:color="auto" w:sz="4" w:space="0"/>
              <w:left w:val="single" w:color="auto" w:sz="4" w:space="0"/>
              <w:bottom w:val="single" w:color="auto" w:sz="4" w:space="0"/>
              <w:right w:val="single" w:color="000000" w:sz="4" w:space="0"/>
            </w:tcBorders>
            <w:vAlign w:val="center"/>
          </w:tcPr>
          <w:p w14:paraId="14B94034">
            <w:pPr>
              <w:widowControl/>
              <w:spacing w:line="360" w:lineRule="auto"/>
              <w:rPr>
                <w:rFonts w:ascii="宋体" w:hAnsi="宋体" w:cs="宋体"/>
                <w:bCs/>
                <w:color w:val="auto"/>
                <w:sz w:val="24"/>
                <w:szCs w:val="24"/>
                <w:highlight w:val="none"/>
              </w:rPr>
            </w:pPr>
            <w:r>
              <w:rPr>
                <w:rFonts w:hint="eastAsia" w:ascii="宋体" w:hAnsi="宋体" w:cs="宋体"/>
                <w:b/>
                <w:bCs/>
                <w:color w:val="auto"/>
                <w:kern w:val="0"/>
                <w:sz w:val="24"/>
                <w:szCs w:val="24"/>
                <w:highlight w:val="none"/>
              </w:rPr>
              <w:t>中标总价：</w:t>
            </w:r>
            <w:r>
              <w:rPr>
                <w:rFonts w:hint="eastAsia" w:ascii="宋体" w:hAnsi="宋体" w:cs="宋体"/>
                <w:b/>
                <w:color w:val="auto"/>
                <w:sz w:val="24"/>
                <w:szCs w:val="24"/>
                <w:highlight w:val="none"/>
              </w:rPr>
              <w:t>￥元（</w:t>
            </w:r>
            <w:r>
              <w:rPr>
                <w:rFonts w:hint="eastAsia" w:ascii="宋体" w:hAnsi="宋体" w:cs="宋体"/>
                <w:color w:val="auto"/>
                <w:kern w:val="0"/>
                <w:sz w:val="24"/>
                <w:szCs w:val="24"/>
                <w:highlight w:val="none"/>
              </w:rPr>
              <w:t>元整</w:t>
            </w:r>
            <w:r>
              <w:rPr>
                <w:rFonts w:hint="eastAsia" w:ascii="宋体" w:hAnsi="宋体" w:cs="宋体"/>
                <w:b/>
                <w:color w:val="auto"/>
                <w:sz w:val="24"/>
                <w:szCs w:val="24"/>
                <w:highlight w:val="none"/>
              </w:rPr>
              <w:t>）</w:t>
            </w:r>
            <w:r>
              <w:rPr>
                <w:rFonts w:hint="eastAsia" w:ascii="宋体" w:hAnsi="宋体"/>
                <w:color w:val="auto"/>
                <w:sz w:val="24"/>
                <w:highlight w:val="none"/>
              </w:rPr>
              <w:t>合同总金额包含备件、专用工具、安装、调试、检验、售后服务、税费、技术培训及技术资料和运输保险等费用；若卖方在投标及签约时存在漏项漏报的其他费用，买方均不再另行承担或补偿。</w:t>
            </w:r>
          </w:p>
        </w:tc>
      </w:tr>
      <w:tr w14:paraId="1910E62B">
        <w:tblPrEx>
          <w:tblCellMar>
            <w:top w:w="0" w:type="dxa"/>
            <w:left w:w="108" w:type="dxa"/>
            <w:bottom w:w="0" w:type="dxa"/>
            <w:right w:w="108" w:type="dxa"/>
          </w:tblCellMar>
        </w:tblPrEx>
        <w:trPr>
          <w:trHeight w:val="780" w:hRule="atLeast"/>
        </w:trPr>
        <w:tc>
          <w:tcPr>
            <w:tcW w:w="8866" w:type="dxa"/>
            <w:gridSpan w:val="5"/>
            <w:tcBorders>
              <w:top w:val="single" w:color="auto" w:sz="4" w:space="0"/>
              <w:left w:val="single" w:color="auto" w:sz="4" w:space="0"/>
              <w:bottom w:val="single" w:color="auto" w:sz="4" w:space="0"/>
              <w:right w:val="single" w:color="auto" w:sz="4" w:space="0"/>
            </w:tcBorders>
            <w:vAlign w:val="center"/>
          </w:tcPr>
          <w:p w14:paraId="53A454E2">
            <w:pPr>
              <w:widowControl/>
              <w:spacing w:line="360" w:lineRule="auto"/>
              <w:jc w:val="left"/>
              <w:rPr>
                <w:rFonts w:ascii="宋体" w:hAnsi="宋体" w:cs="宋体"/>
                <w:b/>
                <w:color w:val="auto"/>
                <w:kern w:val="0"/>
                <w:sz w:val="24"/>
                <w:szCs w:val="24"/>
                <w:highlight w:val="none"/>
              </w:rPr>
            </w:pPr>
            <w:r>
              <w:rPr>
                <w:rFonts w:hint="eastAsia" w:ascii="宋体" w:hAnsi="宋体" w:cs="宋体"/>
                <w:b/>
                <w:color w:val="auto"/>
                <w:kern w:val="0"/>
                <w:sz w:val="24"/>
                <w:szCs w:val="24"/>
                <w:highlight w:val="none"/>
              </w:rPr>
              <w:t>备注说明： 本项目使用单位（最终用户）：</w:t>
            </w:r>
            <w:r>
              <w:rPr>
                <w:rFonts w:hint="eastAsia" w:ascii="宋体" w:hAnsi="宋体" w:cs="宋体"/>
                <w:b/>
                <w:color w:val="auto"/>
                <w:sz w:val="24"/>
                <w:szCs w:val="24"/>
                <w:highlight w:val="none"/>
                <w:u w:val="single"/>
              </w:rPr>
              <w:t>。</w:t>
            </w:r>
          </w:p>
        </w:tc>
      </w:tr>
    </w:tbl>
    <w:p w14:paraId="58486CD4">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2、交货</w:t>
      </w:r>
    </w:p>
    <w:p w14:paraId="4EA7C27B">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2.1交货方式：卖方负责送货到交货地点完成安装，并承担运输过程中发生的一切费用及风险。</w:t>
      </w:r>
    </w:p>
    <w:p w14:paraId="08F623AC">
      <w:pPr>
        <w:spacing w:line="360" w:lineRule="auto"/>
        <w:ind w:firstLine="480" w:firstLineChars="200"/>
        <w:rPr>
          <w:rFonts w:ascii="宋体" w:hAnsi="宋体" w:cs="宋体"/>
          <w:color w:val="auto"/>
          <w:sz w:val="24"/>
          <w:szCs w:val="24"/>
          <w:highlight w:val="none"/>
          <w:u w:val="single"/>
        </w:rPr>
      </w:pPr>
      <w:r>
        <w:rPr>
          <w:rFonts w:hint="eastAsia" w:ascii="宋体" w:hAnsi="宋体" w:cs="宋体"/>
          <w:color w:val="auto"/>
          <w:sz w:val="24"/>
          <w:szCs w:val="24"/>
          <w:highlight w:val="none"/>
        </w:rPr>
        <w:t>2.2交货地点：使用单位指定地点。</w:t>
      </w:r>
    </w:p>
    <w:p w14:paraId="756EA2F3">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2.3交付使用期: 合同签订之日起  个日历日内（含交货、安装）。</w:t>
      </w:r>
    </w:p>
    <w:p w14:paraId="22396BA1">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2.4到货签收：卖方每批次供货到指定地点后，卖方应当组织最终用户对到货数量、型号等进行清点签收，并向买方提交最终用户签署的到货签收单原件。</w:t>
      </w:r>
    </w:p>
    <w:p w14:paraId="4D0D7965">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 xml:space="preserve">3、采购清单： </w:t>
      </w:r>
    </w:p>
    <w:p w14:paraId="57730E18">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4、履约保证金及付款条件、方式</w:t>
      </w:r>
    </w:p>
    <w:p w14:paraId="3E35DC07">
      <w:pPr>
        <w:pStyle w:val="46"/>
        <w:spacing w:line="360" w:lineRule="auto"/>
        <w:ind w:firstLine="482" w:firstLineChars="200"/>
        <w:rPr>
          <w:color w:val="auto"/>
          <w:highlight w:val="none"/>
        </w:rPr>
      </w:pPr>
      <w:r>
        <w:rPr>
          <w:rFonts w:hint="eastAsia" w:ascii="宋体"/>
          <w:b/>
          <w:bCs/>
          <w:color w:val="auto"/>
          <w:sz w:val="24"/>
          <w:highlight w:val="none"/>
        </w:rPr>
        <w:t>（中标供应商为中小企业）</w:t>
      </w:r>
      <w:r>
        <w:rPr>
          <w:rFonts w:ascii="宋体" w:hAnsi="宋体" w:cs="宋体"/>
          <w:b/>
          <w:color w:val="auto"/>
          <w:sz w:val="24"/>
          <w:szCs w:val="24"/>
          <w:highlight w:val="none"/>
        </w:rPr>
        <w:t>4.1</w:t>
      </w:r>
      <w:r>
        <w:rPr>
          <w:rFonts w:hint="eastAsia" w:ascii="宋体"/>
          <w:b/>
          <w:bCs/>
          <w:color w:val="auto"/>
          <w:sz w:val="24"/>
          <w:highlight w:val="none"/>
        </w:rPr>
        <w:t>履约保证金：合同签订后7个日历日，卖方向</w:t>
      </w:r>
      <w:r>
        <w:rPr>
          <w:rFonts w:ascii="宋体"/>
          <w:b/>
          <w:bCs/>
          <w:color w:val="auto"/>
          <w:sz w:val="24"/>
          <w:highlight w:val="none"/>
        </w:rPr>
        <w:t>最终用户</w:t>
      </w:r>
      <w:r>
        <w:rPr>
          <w:rFonts w:hint="eastAsia" w:ascii="宋体"/>
          <w:b/>
          <w:bCs/>
          <w:color w:val="auto"/>
          <w:sz w:val="24"/>
          <w:highlight w:val="none"/>
        </w:rPr>
        <w:t>交纳合同总价1.5%的履约保证金，履约保证金提交形式：可采用现金转账或非现金形式的保函形式提交。在合同履约完毕（质保期满）、需提供最终用户书面确认无质量问题且无合同纠纷后7个工作日内，</w:t>
      </w:r>
      <w:r>
        <w:rPr>
          <w:rFonts w:ascii="宋体"/>
          <w:b/>
          <w:bCs/>
          <w:color w:val="auto"/>
          <w:sz w:val="24"/>
          <w:highlight w:val="none"/>
        </w:rPr>
        <w:t>最终用户</w:t>
      </w:r>
      <w:r>
        <w:rPr>
          <w:rFonts w:hint="eastAsia" w:ascii="宋体"/>
          <w:b/>
          <w:bCs/>
          <w:color w:val="auto"/>
          <w:sz w:val="24"/>
          <w:highlight w:val="none"/>
        </w:rPr>
        <w:t>以转账方式或者退还保函形式无息退还。卖方未交纳履约保证金的，</w:t>
      </w:r>
      <w:r>
        <w:rPr>
          <w:rFonts w:ascii="宋体"/>
          <w:b/>
          <w:bCs/>
          <w:color w:val="auto"/>
          <w:sz w:val="24"/>
          <w:highlight w:val="none"/>
        </w:rPr>
        <w:t>最终用户</w:t>
      </w:r>
      <w:r>
        <w:rPr>
          <w:rFonts w:hint="eastAsia" w:ascii="宋体"/>
          <w:b/>
          <w:bCs/>
          <w:color w:val="auto"/>
          <w:sz w:val="24"/>
          <w:highlight w:val="none"/>
        </w:rPr>
        <w:t>有权拒绝付款。</w:t>
      </w:r>
      <w:r>
        <w:rPr>
          <w:rFonts w:hint="eastAsia" w:ascii="宋体" w:hAnsi="宋体" w:cs="Helvetica"/>
          <w:b/>
          <w:bCs/>
          <w:color w:val="auto"/>
          <w:kern w:val="0"/>
          <w:sz w:val="24"/>
          <w:highlight w:val="none"/>
        </w:rPr>
        <w:t>因卖方违约造成本合同解除的，履约保证金不予退还。</w:t>
      </w:r>
    </w:p>
    <w:p w14:paraId="74459E69">
      <w:pPr>
        <w:pStyle w:val="46"/>
        <w:spacing w:line="360" w:lineRule="auto"/>
        <w:ind w:firstLine="482" w:firstLineChars="200"/>
        <w:rPr>
          <w:color w:val="auto"/>
          <w:highlight w:val="none"/>
        </w:rPr>
      </w:pPr>
      <w:r>
        <w:rPr>
          <w:rFonts w:hint="eastAsia" w:ascii="宋体"/>
          <w:b/>
          <w:bCs/>
          <w:color w:val="auto"/>
          <w:sz w:val="24"/>
          <w:highlight w:val="none"/>
        </w:rPr>
        <w:t>（中标供应商评审过程中未认定为中小企业）</w:t>
      </w:r>
      <w:r>
        <w:rPr>
          <w:rFonts w:ascii="宋体" w:hAnsi="宋体" w:cs="宋体"/>
          <w:b/>
          <w:color w:val="auto"/>
          <w:sz w:val="24"/>
          <w:szCs w:val="24"/>
          <w:highlight w:val="none"/>
        </w:rPr>
        <w:t>4.1</w:t>
      </w:r>
      <w:r>
        <w:rPr>
          <w:rFonts w:hint="eastAsia" w:ascii="宋体"/>
          <w:b/>
          <w:bCs/>
          <w:color w:val="auto"/>
          <w:sz w:val="24"/>
          <w:highlight w:val="none"/>
        </w:rPr>
        <w:t>履约保证金：合同签订后7个日历日，卖方向</w:t>
      </w:r>
      <w:r>
        <w:rPr>
          <w:rFonts w:ascii="宋体"/>
          <w:b/>
          <w:bCs/>
          <w:color w:val="auto"/>
          <w:sz w:val="24"/>
          <w:highlight w:val="none"/>
        </w:rPr>
        <w:t>最终用户</w:t>
      </w:r>
      <w:r>
        <w:rPr>
          <w:rFonts w:hint="eastAsia" w:ascii="宋体"/>
          <w:b/>
          <w:bCs/>
          <w:color w:val="auto"/>
          <w:sz w:val="24"/>
          <w:highlight w:val="none"/>
        </w:rPr>
        <w:t>交纳合同总价3%的履约保证金，履约保证金提交形式：可采用现金转账或非现金形式的保函形式提交。在合同履约完毕（质保期满）、需提供最终用户书面确认无质量问题且无合同纠纷后7个工作日内，</w:t>
      </w:r>
      <w:r>
        <w:rPr>
          <w:rFonts w:ascii="宋体"/>
          <w:b/>
          <w:bCs/>
          <w:color w:val="auto"/>
          <w:sz w:val="24"/>
          <w:highlight w:val="none"/>
        </w:rPr>
        <w:t>最终用户</w:t>
      </w:r>
      <w:r>
        <w:rPr>
          <w:rFonts w:hint="eastAsia" w:ascii="宋体"/>
          <w:b/>
          <w:bCs/>
          <w:color w:val="auto"/>
          <w:sz w:val="24"/>
          <w:highlight w:val="none"/>
        </w:rPr>
        <w:t>以转账方式或者退还保函形式无息退还剩余的履约保证金。卖方未交纳履约保证金的，</w:t>
      </w:r>
      <w:r>
        <w:rPr>
          <w:rFonts w:ascii="宋体"/>
          <w:b/>
          <w:bCs/>
          <w:color w:val="auto"/>
          <w:sz w:val="24"/>
          <w:highlight w:val="none"/>
        </w:rPr>
        <w:t>最终用户</w:t>
      </w:r>
      <w:r>
        <w:rPr>
          <w:rFonts w:hint="eastAsia" w:ascii="宋体"/>
          <w:b/>
          <w:bCs/>
          <w:color w:val="auto"/>
          <w:sz w:val="24"/>
          <w:highlight w:val="none"/>
        </w:rPr>
        <w:t>有权拒绝付款。</w:t>
      </w:r>
      <w:r>
        <w:rPr>
          <w:rFonts w:hint="eastAsia" w:ascii="宋体" w:hAnsi="宋体" w:cs="Helvetica"/>
          <w:b/>
          <w:bCs/>
          <w:color w:val="auto"/>
          <w:kern w:val="0"/>
          <w:sz w:val="24"/>
          <w:highlight w:val="none"/>
        </w:rPr>
        <w:t>因卖方违约造成本合同解除的，履约保证金不予退还。</w:t>
      </w:r>
    </w:p>
    <w:p w14:paraId="5C760C0A">
      <w:pPr>
        <w:pStyle w:val="8"/>
        <w:spacing w:line="360" w:lineRule="auto"/>
        <w:ind w:firstLine="482" w:firstLineChars="200"/>
        <w:rPr>
          <w:rFonts w:hAnsi="宋体" w:cs="宋体"/>
          <w:b/>
          <w:color w:val="auto"/>
          <w:sz w:val="24"/>
          <w:szCs w:val="24"/>
          <w:highlight w:val="none"/>
        </w:rPr>
      </w:pPr>
      <w:r>
        <w:rPr>
          <w:rFonts w:hint="eastAsia" w:hAnsi="宋体" w:cs="宋体"/>
          <w:b/>
          <w:color w:val="auto"/>
          <w:sz w:val="24"/>
          <w:szCs w:val="24"/>
          <w:highlight w:val="none"/>
        </w:rPr>
        <w:t>4.2付款条件</w:t>
      </w:r>
    </w:p>
    <w:p w14:paraId="686A83BC">
      <w:pPr>
        <w:pStyle w:val="8"/>
        <w:spacing w:line="360" w:lineRule="auto"/>
        <w:ind w:firstLine="482" w:firstLineChars="200"/>
        <w:rPr>
          <w:rFonts w:hAnsi="宋体" w:cs="宋体"/>
          <w:b/>
          <w:color w:val="auto"/>
          <w:sz w:val="24"/>
          <w:szCs w:val="24"/>
          <w:highlight w:val="none"/>
        </w:rPr>
      </w:pPr>
      <w:r>
        <w:rPr>
          <w:rFonts w:hint="eastAsia" w:hAnsi="宋体" w:cs="宋体"/>
          <w:b/>
          <w:color w:val="auto"/>
          <w:sz w:val="24"/>
          <w:szCs w:val="24"/>
          <w:highlight w:val="none"/>
        </w:rPr>
        <w:t>卖方同意，待买方收到使用单位分批的货款后，买方按4.3约定同步向卖方付款。</w:t>
      </w:r>
    </w:p>
    <w:p w14:paraId="749A0C42">
      <w:pPr>
        <w:tabs>
          <w:tab w:val="left" w:pos="5130"/>
        </w:tabs>
        <w:spacing w:line="360" w:lineRule="auto"/>
        <w:ind w:firstLine="482" w:firstLineChars="200"/>
        <w:rPr>
          <w:rFonts w:ascii="宋体" w:hAnsi="宋体" w:cs="宋体"/>
          <w:b/>
          <w:color w:val="auto"/>
          <w:sz w:val="24"/>
          <w:szCs w:val="24"/>
          <w:highlight w:val="none"/>
        </w:rPr>
      </w:pPr>
      <w:r>
        <w:rPr>
          <w:rFonts w:hint="eastAsia" w:ascii="宋体" w:hAnsi="宋体" w:cs="宋体"/>
          <w:b/>
          <w:color w:val="auto"/>
          <w:sz w:val="24"/>
          <w:szCs w:val="24"/>
          <w:highlight w:val="none"/>
        </w:rPr>
        <w:t>4.3付款方式</w:t>
      </w:r>
    </w:p>
    <w:p w14:paraId="1ECDC984">
      <w:pPr>
        <w:pStyle w:val="46"/>
        <w:spacing w:line="360" w:lineRule="auto"/>
        <w:ind w:firstLine="482" w:firstLineChars="200"/>
        <w:rPr>
          <w:rFonts w:hint="eastAsia" w:ascii="宋体" w:hAnsi="宋体" w:cs="宋体"/>
          <w:b/>
          <w:color w:val="auto"/>
          <w:sz w:val="24"/>
          <w:szCs w:val="24"/>
          <w:highlight w:val="none"/>
        </w:rPr>
      </w:pPr>
      <w:r>
        <w:rPr>
          <w:rFonts w:hint="eastAsia" w:ascii="宋体" w:hAnsi="宋体" w:cs="宋体"/>
          <w:b/>
          <w:color w:val="auto"/>
          <w:sz w:val="24"/>
          <w:szCs w:val="24"/>
          <w:highlight w:val="none"/>
        </w:rPr>
        <w:t>4.3.1合同签订之日起3个工作日内</w:t>
      </w:r>
      <w:r>
        <w:rPr>
          <w:rFonts w:hint="eastAsia" w:ascii="宋体" w:hAnsi="宋体" w:cs="宋体"/>
          <w:b/>
          <w:color w:val="auto"/>
          <w:sz w:val="24"/>
          <w:szCs w:val="24"/>
          <w:highlight w:val="none"/>
          <w:lang w:eastAsia="zh-CN"/>
        </w:rPr>
        <w:t>，</w:t>
      </w:r>
      <w:r>
        <w:rPr>
          <w:rFonts w:hint="eastAsia" w:ascii="宋体" w:hAnsi="宋体" w:cs="宋体"/>
          <w:b/>
          <w:color w:val="auto"/>
          <w:sz w:val="24"/>
          <w:szCs w:val="24"/>
          <w:highlight w:val="none"/>
        </w:rPr>
        <w:t>卖方应提供与预付款等额的银行保函。最终用户收到卖方的预付款保函(金额为合同总价的 70%)15个工作日内，买方以电汇或转帐方式向卖方支付合同总价 70%的预付款。</w:t>
      </w:r>
    </w:p>
    <w:p w14:paraId="24F40AE0">
      <w:pPr>
        <w:pStyle w:val="46"/>
        <w:spacing w:line="360" w:lineRule="auto"/>
        <w:ind w:firstLine="482" w:firstLineChars="200"/>
        <w:rPr>
          <w:color w:val="auto"/>
          <w:highlight w:val="none"/>
        </w:rPr>
      </w:pPr>
      <w:r>
        <w:rPr>
          <w:rFonts w:hint="eastAsia" w:ascii="宋体" w:hAnsi="宋体" w:cs="宋体"/>
          <w:b/>
          <w:color w:val="auto"/>
          <w:sz w:val="24"/>
          <w:szCs w:val="24"/>
          <w:highlight w:val="none"/>
        </w:rPr>
        <w:t>4.3.1</w:t>
      </w:r>
      <w:r>
        <w:rPr>
          <w:rFonts w:hint="eastAsia" w:ascii="宋体"/>
          <w:b/>
          <w:bCs/>
          <w:color w:val="auto"/>
          <w:sz w:val="24"/>
          <w:highlight w:val="none"/>
        </w:rPr>
        <w:t>卖方供货安装、调试完毕，使用单位验收合格后，且卖方开具合同总价100%的</w:t>
      </w:r>
      <w:r>
        <w:rPr>
          <w:rFonts w:hint="eastAsia" w:ascii="宋体" w:hAnsi="宋体" w:cs="宋体"/>
          <w:b/>
          <w:color w:val="auto"/>
          <w:sz w:val="24"/>
          <w:szCs w:val="24"/>
          <w:highlight w:val="none"/>
        </w:rPr>
        <w:t>等额增值税</w:t>
      </w:r>
      <w:r>
        <w:rPr>
          <w:rFonts w:hint="eastAsia" w:ascii="宋体"/>
          <w:b/>
          <w:bCs/>
          <w:color w:val="auto"/>
          <w:sz w:val="24"/>
          <w:highlight w:val="none"/>
        </w:rPr>
        <w:t>正规发票、凭履约保证金缴交凭证和全部货物清单给买方后，买方在10个工作日内支付至合同总价100%的款项。</w:t>
      </w:r>
    </w:p>
    <w:p w14:paraId="22FB2803">
      <w:pPr>
        <w:spacing w:line="360" w:lineRule="auto"/>
        <w:ind w:firstLine="482" w:firstLineChars="200"/>
        <w:rPr>
          <w:rFonts w:ascii="宋体"/>
          <w:b/>
          <w:bCs/>
          <w:color w:val="auto"/>
          <w:sz w:val="24"/>
          <w:highlight w:val="none"/>
        </w:rPr>
      </w:pPr>
      <w:r>
        <w:rPr>
          <w:rFonts w:hint="eastAsia" w:ascii="宋体"/>
          <w:b/>
          <w:bCs/>
          <w:color w:val="auto"/>
          <w:sz w:val="24"/>
          <w:highlight w:val="none"/>
        </w:rPr>
        <w:t>4.3.2付款时需具备以下材料：</w:t>
      </w:r>
    </w:p>
    <w:p w14:paraId="1ED8CBB3">
      <w:pPr>
        <w:spacing w:line="360" w:lineRule="auto"/>
        <w:ind w:firstLine="482" w:firstLineChars="200"/>
        <w:rPr>
          <w:rFonts w:ascii="宋体"/>
          <w:b/>
          <w:bCs/>
          <w:color w:val="auto"/>
          <w:sz w:val="24"/>
          <w:highlight w:val="none"/>
        </w:rPr>
      </w:pPr>
      <w:r>
        <w:rPr>
          <w:rFonts w:hint="eastAsia" w:ascii="宋体"/>
          <w:b/>
          <w:bCs/>
          <w:color w:val="auto"/>
          <w:sz w:val="24"/>
          <w:highlight w:val="none"/>
        </w:rPr>
        <w:t>（1）一般纳税人增值税专用发票（需附清单）。</w:t>
      </w:r>
    </w:p>
    <w:p w14:paraId="0B2EAE8F">
      <w:pPr>
        <w:spacing w:line="360" w:lineRule="auto"/>
        <w:ind w:firstLine="482" w:firstLineChars="200"/>
        <w:rPr>
          <w:rFonts w:ascii="宋体"/>
          <w:b/>
          <w:bCs/>
          <w:color w:val="auto"/>
          <w:sz w:val="24"/>
          <w:highlight w:val="none"/>
        </w:rPr>
      </w:pPr>
      <w:r>
        <w:rPr>
          <w:rFonts w:hint="eastAsia" w:ascii="宋体"/>
          <w:b/>
          <w:bCs/>
          <w:color w:val="auto"/>
          <w:sz w:val="24"/>
          <w:highlight w:val="none"/>
        </w:rPr>
        <w:t>（2）采购单位、使用单位签署的《厦门市政府采购验收报告》。</w:t>
      </w:r>
    </w:p>
    <w:p w14:paraId="6DCD3954">
      <w:pPr>
        <w:spacing w:line="360" w:lineRule="auto"/>
        <w:ind w:firstLine="482" w:firstLineChars="200"/>
        <w:rPr>
          <w:rFonts w:ascii="宋体"/>
          <w:b/>
          <w:bCs/>
          <w:color w:val="auto"/>
          <w:sz w:val="24"/>
          <w:highlight w:val="none"/>
        </w:rPr>
      </w:pPr>
      <w:r>
        <w:rPr>
          <w:rFonts w:hint="eastAsia" w:ascii="宋体"/>
          <w:b/>
          <w:bCs/>
          <w:color w:val="auto"/>
          <w:sz w:val="24"/>
          <w:highlight w:val="none"/>
        </w:rPr>
        <w:t>（3）制造厂家出具的货物质量合格证书。</w:t>
      </w:r>
    </w:p>
    <w:p w14:paraId="6A09A637">
      <w:pPr>
        <w:pStyle w:val="46"/>
        <w:ind w:firstLine="482" w:firstLineChars="200"/>
        <w:rPr>
          <w:b/>
          <w:bCs/>
          <w:color w:val="auto"/>
          <w:highlight w:val="none"/>
        </w:rPr>
      </w:pPr>
      <w:r>
        <w:rPr>
          <w:rFonts w:hint="eastAsia" w:ascii="宋体"/>
          <w:b/>
          <w:bCs/>
          <w:color w:val="auto"/>
          <w:sz w:val="24"/>
          <w:highlight w:val="none"/>
        </w:rPr>
        <w:t>（4）</w:t>
      </w:r>
      <w:r>
        <w:rPr>
          <w:rFonts w:hint="eastAsia" w:asciiTheme="minorEastAsia" w:hAnsiTheme="minorEastAsia" w:eastAsiaTheme="minorEastAsia" w:cstheme="minorEastAsia"/>
          <w:b/>
          <w:bCs/>
          <w:color w:val="auto"/>
          <w:kern w:val="0"/>
          <w:sz w:val="24"/>
          <w:szCs w:val="24"/>
          <w:highlight w:val="none"/>
        </w:rPr>
        <w:t>凭履约保证金缴交凭证</w:t>
      </w:r>
    </w:p>
    <w:p w14:paraId="646DF309">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5、技术资料：</w:t>
      </w:r>
    </w:p>
    <w:p w14:paraId="305CA5A0">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5.1卖方应在交付使用时向使用单位提供配套资料1套。</w:t>
      </w:r>
    </w:p>
    <w:p w14:paraId="4CC33896">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5.2卖方在交货时应向使用单位提供货物的相关手续，包括品牌证书、装箱清单含货物的主附件、原产地证明书、品质保证书、出厂检验报告、合格证书、使用及维护说明书等。</w:t>
      </w:r>
    </w:p>
    <w:p w14:paraId="0B35ADC8">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6、验收</w:t>
      </w:r>
    </w:p>
    <w:p w14:paraId="6A031425">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6.1合同货物到达交货地点且卖方完成安装工作后，买卖双方同意，合同货物由使用单位验收并以使用单位的验收意见为准。合同货物安装后经使用单位验收合格视为最终验收合格。</w:t>
      </w:r>
    </w:p>
    <w:p w14:paraId="66D6C6EF">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6.2合同货物验收时，由使用单位签署《</w:t>
      </w:r>
      <w:r>
        <w:rPr>
          <w:rFonts w:ascii="宋体" w:hAnsi="宋体" w:cs="宋体"/>
          <w:color w:val="auto"/>
          <w:sz w:val="24"/>
          <w:szCs w:val="24"/>
          <w:highlight w:val="none"/>
        </w:rPr>
        <w:t>厦门市大宗货物政府采购供货验收单</w:t>
      </w:r>
      <w:r>
        <w:rPr>
          <w:rFonts w:hint="eastAsia" w:ascii="宋体" w:hAnsi="宋体" w:cs="宋体"/>
          <w:color w:val="auto"/>
          <w:sz w:val="24"/>
          <w:szCs w:val="24"/>
          <w:highlight w:val="none"/>
        </w:rPr>
        <w:t>》</w:t>
      </w:r>
      <w:r>
        <w:rPr>
          <w:rFonts w:ascii="宋体" w:hAnsi="宋体" w:cs="宋体"/>
          <w:color w:val="auto"/>
          <w:sz w:val="24"/>
          <w:szCs w:val="24"/>
          <w:highlight w:val="none"/>
        </w:rPr>
        <w:t>（附件2）</w:t>
      </w:r>
      <w:r>
        <w:rPr>
          <w:rFonts w:hint="eastAsia" w:ascii="宋体" w:hAnsi="宋体" w:cs="宋体"/>
          <w:color w:val="auto"/>
          <w:sz w:val="24"/>
          <w:szCs w:val="24"/>
          <w:highlight w:val="none"/>
        </w:rPr>
        <w:t>。</w:t>
      </w:r>
    </w:p>
    <w:p w14:paraId="52122481">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6.3卖方应派代表参与验收过程，卖方未派代表参与或对验收意见有异议但未在验收完成后3个工作日内书面提出的，视为卖方对验收意见无异议。</w:t>
      </w:r>
    </w:p>
    <w:p w14:paraId="48381E39">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6.4最终验收合格后，卖方应在使用单位要求的时间内直接交付使用单位使用。合同货物交付使用前由卖方负责保管，合同货物的毁损或灭失风险由卖方承担。</w:t>
      </w:r>
    </w:p>
    <w:p w14:paraId="12276424">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6.5买方根据本合同约定提出换货、退货或解除合同的，卖方应在收到买方或使用单位通知后3个工作日内自行收回不符合合同约定的货物，并承担相应费用。</w:t>
      </w:r>
    </w:p>
    <w:p w14:paraId="537A22AE">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7、售后服务</w:t>
      </w:r>
    </w:p>
    <w:p w14:paraId="0AB9AEC8">
      <w:pPr>
        <w:tabs>
          <w:tab w:val="left" w:pos="0"/>
        </w:tabs>
        <w:adjustRightIn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货物验收后的维修等售后服务由卖方直接向最终用户提供，买方不向最终用户承担售后服务义务。</w:t>
      </w:r>
      <w:r>
        <w:rPr>
          <w:rFonts w:ascii="宋体" w:hAnsi="宋体"/>
          <w:b/>
          <w:color w:val="auto"/>
          <w:sz w:val="24"/>
          <w:szCs w:val="24"/>
          <w:highlight w:val="none"/>
        </w:rPr>
        <w:t>自</w:t>
      </w:r>
      <w:r>
        <w:rPr>
          <w:rFonts w:hint="eastAsia" w:ascii="宋体" w:hAnsi="宋体"/>
          <w:b/>
          <w:color w:val="auto"/>
          <w:sz w:val="24"/>
          <w:szCs w:val="24"/>
          <w:highlight w:val="none"/>
        </w:rPr>
        <w:t>产品通过验收之日</w:t>
      </w:r>
      <w:r>
        <w:rPr>
          <w:rFonts w:ascii="宋体" w:hAnsi="宋体"/>
          <w:b/>
          <w:color w:val="auto"/>
          <w:sz w:val="24"/>
          <w:szCs w:val="24"/>
          <w:highlight w:val="none"/>
        </w:rPr>
        <w:t>起，</w:t>
      </w:r>
      <w:r>
        <w:rPr>
          <w:rFonts w:hint="eastAsia" w:ascii="宋体" w:hAnsi="宋体"/>
          <w:b/>
          <w:color w:val="auto"/>
          <w:sz w:val="24"/>
          <w:szCs w:val="24"/>
          <w:highlight w:val="none"/>
        </w:rPr>
        <w:t>卖方</w:t>
      </w:r>
      <w:r>
        <w:rPr>
          <w:rFonts w:ascii="宋体" w:hAnsi="宋体"/>
          <w:b/>
          <w:color w:val="auto"/>
          <w:sz w:val="24"/>
          <w:szCs w:val="24"/>
          <w:highlight w:val="none"/>
        </w:rPr>
        <w:t>应</w:t>
      </w:r>
      <w:r>
        <w:rPr>
          <w:rFonts w:hint="eastAsia" w:ascii="宋体" w:hAnsi="宋体"/>
          <w:b/>
          <w:color w:val="auto"/>
          <w:sz w:val="24"/>
          <w:szCs w:val="24"/>
          <w:highlight w:val="none"/>
        </w:rPr>
        <w:t xml:space="preserve">对提供的所有产品提供至少  </w:t>
      </w:r>
      <w:r>
        <w:rPr>
          <w:rFonts w:ascii="宋体" w:hAnsi="宋体"/>
          <w:b/>
          <w:color w:val="auto"/>
          <w:sz w:val="24"/>
          <w:szCs w:val="24"/>
          <w:highlight w:val="none"/>
        </w:rPr>
        <w:t>年原厂整机质保，年原厂免费上门服务</w:t>
      </w:r>
      <w:r>
        <w:rPr>
          <w:rFonts w:hint="eastAsia" w:ascii="宋体" w:hAnsi="宋体"/>
          <w:b/>
          <w:color w:val="auto"/>
          <w:sz w:val="24"/>
          <w:szCs w:val="24"/>
          <w:highlight w:val="none"/>
        </w:rPr>
        <w:t>。</w:t>
      </w:r>
      <w:r>
        <w:rPr>
          <w:rFonts w:hint="eastAsia" w:ascii="宋体" w:hAnsi="宋体"/>
          <w:b/>
          <w:color w:val="auto"/>
          <w:sz w:val="24"/>
          <w:highlight w:val="none"/>
        </w:rPr>
        <w:t>在质量保证期内设备运行发生故障时，卖方在接到使用单位故障通知后小时内应委派专业技术人员到现场免费提供咨询、维修和更换零部件等服务，并及时填写维修报告（包括故障原因、处理情况及使用单位意见等）报使用单位备案，若小时内无法排除故障，则应先提供同档次备用机供使用单位使用。其中发生一切费用由卖方承担。质量保证期内卖方有责任对设备进行不定期的巡查检修。</w:t>
      </w:r>
    </w:p>
    <w:p w14:paraId="10B00AA9">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8、知识产权</w:t>
      </w:r>
    </w:p>
    <w:p w14:paraId="4D355C29">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卖方保证使用单位在使用该货物或其任何一部分时不受到行政机关及第三方关于侵犯专利权、商标权或著作权等知识产权的指控</w:t>
      </w:r>
      <w:r>
        <w:rPr>
          <w:rFonts w:hint="eastAsia" w:ascii="宋体" w:hAnsi="宋体"/>
          <w:color w:val="auto"/>
          <w:sz w:val="24"/>
          <w:highlight w:val="none"/>
        </w:rPr>
        <w:t>、处罚或索赔</w:t>
      </w:r>
      <w:r>
        <w:rPr>
          <w:rFonts w:hint="eastAsia" w:ascii="宋体" w:hAnsi="宋体" w:cs="宋体"/>
          <w:color w:val="auto"/>
          <w:sz w:val="24"/>
          <w:szCs w:val="24"/>
          <w:highlight w:val="none"/>
        </w:rPr>
        <w:t>。如果任何</w:t>
      </w:r>
      <w:r>
        <w:rPr>
          <w:rFonts w:hint="eastAsia" w:ascii="宋体" w:hAnsi="宋体"/>
          <w:color w:val="auto"/>
          <w:sz w:val="24"/>
          <w:highlight w:val="none"/>
        </w:rPr>
        <w:t>行政机关或</w:t>
      </w:r>
      <w:r>
        <w:rPr>
          <w:rFonts w:hint="eastAsia" w:ascii="宋体" w:hAnsi="宋体" w:cs="宋体"/>
          <w:color w:val="auto"/>
          <w:sz w:val="24"/>
          <w:szCs w:val="24"/>
          <w:highlight w:val="none"/>
        </w:rPr>
        <w:t>第三方</w:t>
      </w:r>
      <w:r>
        <w:rPr>
          <w:rFonts w:hint="eastAsia" w:ascii="宋体" w:hAnsi="宋体"/>
          <w:color w:val="auto"/>
          <w:sz w:val="24"/>
          <w:highlight w:val="none"/>
        </w:rPr>
        <w:t>的行政处罚或</w:t>
      </w:r>
      <w:r>
        <w:rPr>
          <w:rFonts w:hint="eastAsia" w:ascii="宋体" w:hAnsi="宋体" w:cs="宋体"/>
          <w:color w:val="auto"/>
          <w:sz w:val="24"/>
          <w:szCs w:val="24"/>
          <w:highlight w:val="none"/>
        </w:rPr>
        <w:t>提出侵权指控，则与买方、使用单位无关，卖方须自行与</w:t>
      </w:r>
      <w:r>
        <w:rPr>
          <w:rFonts w:hint="eastAsia" w:ascii="宋体" w:hAnsi="宋体"/>
          <w:color w:val="auto"/>
          <w:sz w:val="24"/>
          <w:highlight w:val="none"/>
        </w:rPr>
        <w:t>行政机关或</w:t>
      </w:r>
      <w:r>
        <w:rPr>
          <w:rFonts w:hint="eastAsia" w:ascii="宋体" w:hAnsi="宋体" w:cs="宋体"/>
          <w:color w:val="auto"/>
          <w:sz w:val="24"/>
          <w:szCs w:val="24"/>
          <w:highlight w:val="none"/>
        </w:rPr>
        <w:t>第三方交涉并承担可能发生的责任与一切费用。如买方因此而遭致损失的，卖方应赔偿该损失</w:t>
      </w:r>
      <w:r>
        <w:rPr>
          <w:rFonts w:hint="eastAsia" w:ascii="宋体" w:hAnsi="宋体"/>
          <w:color w:val="auto"/>
          <w:sz w:val="24"/>
          <w:highlight w:val="none"/>
        </w:rPr>
        <w:t>（包括买方因解决前述行政处罚或侵权指控而产生的诉讼费及律师费等各项合理费用支出）</w:t>
      </w:r>
      <w:r>
        <w:rPr>
          <w:rFonts w:hint="eastAsia" w:ascii="宋体" w:hAnsi="宋体" w:cs="宋体"/>
          <w:color w:val="auto"/>
          <w:sz w:val="24"/>
          <w:szCs w:val="24"/>
          <w:highlight w:val="none"/>
        </w:rPr>
        <w:t>。</w:t>
      </w:r>
    </w:p>
    <w:p w14:paraId="35FD835C">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9、违约责任</w:t>
      </w:r>
    </w:p>
    <w:p w14:paraId="7E954FB8">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9.1卖方未能按时交货或未能按时交付使用的，每逾期一日，卖方应支付逾期交货货款1‰的违约金。逾期超过10个日历日，买方有权单方解除本合同，卖方应另外支付合同总价30％的违约金。</w:t>
      </w:r>
    </w:p>
    <w:p w14:paraId="03F637AB">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9.2合同货物验收不合格的，买方有权选择解除合同或换货。如买方选择换货，卖方重新供货导致的交货期延迟的，按9.1条处理；若买方选择单方解除合同的，卖方支付合同总价30%的违约金。</w:t>
      </w:r>
    </w:p>
    <w:p w14:paraId="44585537">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9.3</w:t>
      </w:r>
      <w:r>
        <w:rPr>
          <w:rFonts w:hint="eastAsia" w:ascii="宋体" w:hAnsi="宋体" w:cs="宋体"/>
          <w:bCs/>
          <w:color w:val="auto"/>
          <w:kern w:val="0"/>
          <w:sz w:val="24"/>
          <w:szCs w:val="24"/>
          <w:highlight w:val="none"/>
        </w:rPr>
        <w:t>卖方应保证提供原产、正宗品牌货物，不得用伪劣货物替代。否则，如</w:t>
      </w:r>
      <w:r>
        <w:rPr>
          <w:rFonts w:hint="eastAsia" w:ascii="宋体" w:hAnsi="宋体" w:cs="宋体"/>
          <w:color w:val="auto"/>
          <w:sz w:val="24"/>
          <w:szCs w:val="24"/>
          <w:highlight w:val="none"/>
        </w:rPr>
        <w:t>在合同货物最终验收合格前发现的，按9.2条处理；在合同货物最终验收合格后发现的，买方有权退货，卖方应另外向买方支付合同总价30％的违约金。</w:t>
      </w:r>
    </w:p>
    <w:p w14:paraId="36513152">
      <w:pPr>
        <w:spacing w:line="360" w:lineRule="auto"/>
        <w:ind w:firstLine="480" w:firstLineChars="200"/>
        <w:rPr>
          <w:rFonts w:ascii="宋体" w:hAnsi="宋体" w:cs="宋体"/>
          <w:bCs/>
          <w:color w:val="auto"/>
          <w:kern w:val="0"/>
          <w:sz w:val="24"/>
          <w:szCs w:val="24"/>
          <w:highlight w:val="none"/>
        </w:rPr>
      </w:pPr>
      <w:r>
        <w:rPr>
          <w:rFonts w:hint="eastAsia" w:ascii="宋体" w:hAnsi="宋体" w:cs="宋体"/>
          <w:bCs/>
          <w:color w:val="auto"/>
          <w:kern w:val="0"/>
          <w:sz w:val="24"/>
          <w:szCs w:val="24"/>
          <w:highlight w:val="none"/>
        </w:rPr>
        <w:t>9.4在生产过程或验收过程中发现卖方对中标货物进行分包、转包，买方有权单方解除合同并有权拒付全部货款。</w:t>
      </w:r>
    </w:p>
    <w:p w14:paraId="0B543C74">
      <w:pPr>
        <w:spacing w:line="360" w:lineRule="auto"/>
        <w:ind w:firstLine="480" w:firstLineChars="200"/>
        <w:rPr>
          <w:rFonts w:ascii="宋体" w:hAnsi="宋体" w:cs="宋体"/>
          <w:color w:val="auto"/>
          <w:sz w:val="24"/>
          <w:szCs w:val="24"/>
          <w:highlight w:val="none"/>
        </w:rPr>
      </w:pPr>
      <w:r>
        <w:rPr>
          <w:rFonts w:hint="eastAsia" w:ascii="宋体" w:hAnsi="宋体" w:cs="宋体"/>
          <w:bCs/>
          <w:color w:val="auto"/>
          <w:kern w:val="0"/>
          <w:sz w:val="24"/>
          <w:szCs w:val="24"/>
          <w:highlight w:val="none"/>
        </w:rPr>
        <w:t>9.5卖方有虚报各项技术指标等</w:t>
      </w:r>
      <w:r>
        <w:rPr>
          <w:rFonts w:hint="eastAsia" w:ascii="宋体" w:hAnsi="宋体" w:cs="宋体"/>
          <w:color w:val="auto"/>
          <w:sz w:val="24"/>
          <w:szCs w:val="24"/>
          <w:highlight w:val="none"/>
        </w:rPr>
        <w:t>弄虚作假、隐瞒事实内容等情形</w:t>
      </w:r>
      <w:r>
        <w:rPr>
          <w:rFonts w:hint="eastAsia" w:ascii="宋体" w:hAnsi="宋体" w:cs="宋体"/>
          <w:bCs/>
          <w:color w:val="auto"/>
          <w:kern w:val="0"/>
          <w:sz w:val="24"/>
          <w:szCs w:val="24"/>
          <w:highlight w:val="none"/>
        </w:rPr>
        <w:t>，</w:t>
      </w:r>
      <w:r>
        <w:rPr>
          <w:rFonts w:hint="eastAsia" w:ascii="宋体" w:hAnsi="宋体" w:cs="宋体"/>
          <w:color w:val="auto"/>
          <w:sz w:val="24"/>
          <w:szCs w:val="24"/>
          <w:highlight w:val="none"/>
        </w:rPr>
        <w:t>在合同货物最终验收合格前发现的，按9.2条处理；在合同货物最终验收合格后发现的，买方有权退货，卖方应另外向买方支付合同总价30％的违约金。</w:t>
      </w:r>
    </w:p>
    <w:p w14:paraId="1F989609">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9.6因卖方原因导致退换货的，卖方应承担退换货所需的一切费用。如卖方未在规定时间内收回不合格货物，买方不对上述货物的灭失或损坏承担任何责任。如卖方逾期超过20个日历日仍未收回的，买方有权自行处理上述货物。</w:t>
      </w:r>
    </w:p>
    <w:p w14:paraId="7BBA6223">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9.7除本合同另有约定外，在买方发出的违约通知后30天内仍未纠正其任何一种违约行为，买方有权单方解除本合同，卖方除应退还买方已支付的款项外，还应向买方支付合同总价30％的违约金。</w:t>
      </w:r>
    </w:p>
    <w:p w14:paraId="1DA7B4DE">
      <w:pPr>
        <w:spacing w:line="360" w:lineRule="auto"/>
        <w:ind w:firstLine="460" w:firstLineChars="192"/>
        <w:rPr>
          <w:rFonts w:ascii="宋体" w:hAnsi="宋体" w:cs="宋体"/>
          <w:color w:val="auto"/>
          <w:sz w:val="24"/>
          <w:szCs w:val="24"/>
          <w:highlight w:val="none"/>
        </w:rPr>
      </w:pPr>
      <w:r>
        <w:rPr>
          <w:rFonts w:hint="eastAsia" w:ascii="宋体" w:hAnsi="宋体" w:cs="宋体"/>
          <w:color w:val="auto"/>
          <w:sz w:val="24"/>
          <w:szCs w:val="24"/>
          <w:highlight w:val="none"/>
        </w:rPr>
        <w:t>9.8本合同约定的违约金无法弥补买方损失的，卖方应继续承担相应的赔偿责任（包括因此产生的诉讼费、财产保全费、财产保全责任险费、律师费等）。买方有权直接从未付的款项中扣除卖方根据本合同约定应付未付的违约金、赔偿金等。</w:t>
      </w:r>
    </w:p>
    <w:p w14:paraId="75A99146">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10、不可抗力</w:t>
      </w:r>
    </w:p>
    <w:p w14:paraId="114C82D7">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10.1因不可抗力造成违约的，遭受不可抗力一方应及时向对方通报不能履行或不能完全履行的理由，并在随后取得有关主管机关证明后的15日内向另一方提供不可抗力发生以及持续期间的充分证据。基于以上行为，允许遭受不可抗力一方延期履行、部分履行或者不履行合同，并根据情况可部分或全部免于承担违约责任。</w:t>
      </w:r>
    </w:p>
    <w:p w14:paraId="33F02B5E">
      <w:pPr>
        <w:spacing w:line="360" w:lineRule="auto"/>
        <w:ind w:firstLine="470" w:firstLineChars="196"/>
        <w:rPr>
          <w:rFonts w:ascii="宋体" w:hAnsi="宋体" w:cs="宋体"/>
          <w:color w:val="auto"/>
          <w:sz w:val="24"/>
          <w:szCs w:val="24"/>
          <w:highlight w:val="none"/>
        </w:rPr>
      </w:pPr>
      <w:r>
        <w:rPr>
          <w:rFonts w:hint="eastAsia" w:ascii="宋体" w:hAnsi="宋体" w:cs="宋体"/>
          <w:color w:val="auto"/>
          <w:sz w:val="24"/>
          <w:szCs w:val="24"/>
          <w:highlight w:val="none"/>
        </w:rPr>
        <w:t>10.2本合同中的不可抗力指不能预见、不能避免并不能克服的客观情况。包括但不限于：自然灾害如地震、台风、洪水、火灾；政府行为、法律规定或其适用的变化或者其他任何无法预见、避免或者控制的事件。</w:t>
      </w:r>
    </w:p>
    <w:p w14:paraId="3928EAA0">
      <w:pPr>
        <w:spacing w:line="360" w:lineRule="auto"/>
        <w:ind w:firstLine="470" w:firstLineChars="196"/>
        <w:rPr>
          <w:rFonts w:ascii="宋体" w:hAnsi="宋体" w:cs="宋体"/>
          <w:b/>
          <w:color w:val="auto"/>
          <w:sz w:val="24"/>
          <w:szCs w:val="24"/>
          <w:highlight w:val="none"/>
        </w:rPr>
      </w:pPr>
      <w:r>
        <w:rPr>
          <w:rFonts w:hint="eastAsia" w:ascii="宋体" w:hAnsi="宋体" w:cs="宋体"/>
          <w:color w:val="auto"/>
          <w:sz w:val="24"/>
          <w:szCs w:val="24"/>
          <w:highlight w:val="none"/>
        </w:rPr>
        <w:t>10.3当事人一方因不可抗力的原因不能履行合同的，应及时通知对方，以减轻可能给对方造成的损失，并应当在合理期限内提供证明。</w:t>
      </w:r>
    </w:p>
    <w:p w14:paraId="2E6AA9AD">
      <w:pPr>
        <w:spacing w:line="360" w:lineRule="auto"/>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11、合同纠纷处理方式</w:t>
      </w:r>
    </w:p>
    <w:p w14:paraId="478BA310">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因本合同或与本合同有关的一切事项发生争议，由双方友好协商解决。协商不成的，任何一方均可向</w:t>
      </w:r>
      <w:r>
        <w:rPr>
          <w:rFonts w:ascii="宋体" w:hAnsi="宋体" w:cs="宋体"/>
          <w:color w:val="auto"/>
          <w:sz w:val="24"/>
          <w:szCs w:val="24"/>
          <w:highlight w:val="none"/>
        </w:rPr>
        <w:t>合同履行</w:t>
      </w:r>
      <w:r>
        <w:rPr>
          <w:rFonts w:hint="eastAsia" w:ascii="宋体" w:hAnsi="宋体" w:cs="宋体"/>
          <w:color w:val="auto"/>
          <w:sz w:val="24"/>
          <w:szCs w:val="24"/>
          <w:highlight w:val="none"/>
        </w:rPr>
        <w:t>地</w:t>
      </w:r>
      <w:r>
        <w:rPr>
          <w:rFonts w:ascii="宋体" w:hAnsi="宋体" w:cs="宋体"/>
          <w:color w:val="auto"/>
          <w:sz w:val="24"/>
          <w:szCs w:val="24"/>
          <w:highlight w:val="none"/>
        </w:rPr>
        <w:t>（交货地）</w:t>
      </w:r>
      <w:r>
        <w:rPr>
          <w:rFonts w:hint="eastAsia" w:ascii="宋体" w:hAnsi="宋体" w:cs="宋体"/>
          <w:color w:val="auto"/>
          <w:sz w:val="24"/>
          <w:szCs w:val="24"/>
          <w:highlight w:val="none"/>
        </w:rPr>
        <w:t>人民法院提起诉讼。</w:t>
      </w:r>
    </w:p>
    <w:p w14:paraId="49EB4CA6">
      <w:pPr>
        <w:spacing w:line="360" w:lineRule="auto"/>
        <w:rPr>
          <w:rFonts w:ascii="宋体" w:hAnsi="宋体" w:cs="宋体"/>
          <w:b/>
          <w:bCs/>
          <w:color w:val="auto"/>
          <w:kern w:val="0"/>
          <w:sz w:val="24"/>
          <w:szCs w:val="24"/>
          <w:highlight w:val="none"/>
        </w:rPr>
      </w:pPr>
      <w:r>
        <w:rPr>
          <w:rFonts w:hint="eastAsia" w:ascii="宋体" w:hAnsi="宋体" w:cs="宋体"/>
          <w:b/>
          <w:color w:val="auto"/>
          <w:sz w:val="24"/>
          <w:szCs w:val="24"/>
          <w:highlight w:val="none"/>
        </w:rPr>
        <w:t>12、</w:t>
      </w:r>
      <w:r>
        <w:rPr>
          <w:rFonts w:hint="eastAsia" w:ascii="宋体" w:hAnsi="宋体" w:cs="宋体"/>
          <w:b/>
          <w:bCs/>
          <w:color w:val="auto"/>
          <w:kern w:val="0"/>
          <w:sz w:val="24"/>
          <w:szCs w:val="24"/>
          <w:highlight w:val="none"/>
        </w:rPr>
        <w:t>其他约定</w:t>
      </w:r>
    </w:p>
    <w:p w14:paraId="22E1EF4D">
      <w:pPr>
        <w:spacing w:line="360" w:lineRule="auto"/>
        <w:ind w:firstLine="600" w:firstLineChars="250"/>
        <w:rPr>
          <w:rFonts w:ascii="宋体" w:hAnsi="宋体" w:cs="宋体"/>
          <w:color w:val="auto"/>
          <w:sz w:val="24"/>
          <w:szCs w:val="24"/>
          <w:highlight w:val="none"/>
        </w:rPr>
      </w:pPr>
      <w:r>
        <w:rPr>
          <w:rFonts w:hint="eastAsia" w:ascii="宋体" w:hAnsi="宋体" w:cs="宋体"/>
          <w:color w:val="auto"/>
          <w:sz w:val="24"/>
          <w:szCs w:val="24"/>
          <w:highlight w:val="none"/>
        </w:rPr>
        <w:t>12.1本合同未尽事宜，买卖双方另行补充。</w:t>
      </w:r>
    </w:p>
    <w:p w14:paraId="7A0A1DBA">
      <w:pPr>
        <w:spacing w:line="360" w:lineRule="auto"/>
        <w:ind w:firstLine="600" w:firstLineChars="250"/>
        <w:rPr>
          <w:rFonts w:ascii="宋体" w:hAnsi="宋体" w:cs="宋体"/>
          <w:color w:val="auto"/>
          <w:sz w:val="24"/>
          <w:szCs w:val="24"/>
          <w:highlight w:val="none"/>
        </w:rPr>
      </w:pPr>
      <w:r>
        <w:rPr>
          <w:rFonts w:hint="eastAsia" w:ascii="宋体" w:hAnsi="宋体" w:cs="宋体"/>
          <w:color w:val="auto"/>
          <w:sz w:val="24"/>
          <w:szCs w:val="24"/>
          <w:highlight w:val="none"/>
        </w:rPr>
        <w:t>12.2卖方同意，由卖方依据与最终用户的服务协议直接向最终用户履行保修等售后服务义务。</w:t>
      </w:r>
    </w:p>
    <w:p w14:paraId="50965D4F">
      <w:pPr>
        <w:widowControl/>
        <w:spacing w:line="360" w:lineRule="auto"/>
        <w:ind w:firstLine="600" w:firstLineChars="250"/>
        <w:jc w:val="left"/>
        <w:rPr>
          <w:rFonts w:ascii="宋体" w:hAnsi="宋体" w:cs="宋体"/>
          <w:color w:val="auto"/>
          <w:sz w:val="24"/>
          <w:szCs w:val="24"/>
          <w:highlight w:val="none"/>
        </w:rPr>
      </w:pPr>
      <w:r>
        <w:rPr>
          <w:rFonts w:hint="eastAsia" w:ascii="宋体" w:hAnsi="宋体" w:cs="宋体"/>
          <w:color w:val="auto"/>
          <w:sz w:val="24"/>
          <w:szCs w:val="24"/>
          <w:highlight w:val="none"/>
        </w:rPr>
        <w:t>12.3本项目的下述文件均为本合同不可分割的一部分，且应当互为解释；存在不一致时，应按下列顺序优先解释：</w:t>
      </w:r>
    </w:p>
    <w:p w14:paraId="217B5856">
      <w:pPr>
        <w:widowControl/>
        <w:spacing w:line="360" w:lineRule="auto"/>
        <w:ind w:firstLine="600" w:firstLineChars="250"/>
        <w:jc w:val="left"/>
        <w:rPr>
          <w:rFonts w:ascii="宋体" w:hAnsi="宋体" w:cs="宋体"/>
          <w:color w:val="auto"/>
          <w:sz w:val="24"/>
          <w:szCs w:val="24"/>
          <w:highlight w:val="none"/>
        </w:rPr>
      </w:pPr>
      <w:r>
        <w:rPr>
          <w:rFonts w:hint="eastAsia" w:ascii="宋体" w:hAnsi="宋体" w:cs="宋体"/>
          <w:color w:val="auto"/>
          <w:sz w:val="24"/>
          <w:szCs w:val="24"/>
          <w:highlight w:val="none"/>
        </w:rPr>
        <w:t>（</w:t>
      </w:r>
      <w:r>
        <w:rPr>
          <w:rFonts w:ascii="宋体" w:hAnsi="宋体" w:cs="宋体"/>
          <w:color w:val="auto"/>
          <w:sz w:val="24"/>
          <w:szCs w:val="24"/>
          <w:highlight w:val="none"/>
        </w:rPr>
        <w:t>1</w:t>
      </w:r>
      <w:r>
        <w:rPr>
          <w:rFonts w:hint="eastAsia" w:ascii="宋体" w:hAnsi="宋体" w:cs="宋体"/>
          <w:color w:val="auto"/>
          <w:sz w:val="24"/>
          <w:szCs w:val="24"/>
          <w:highlight w:val="none"/>
        </w:rPr>
        <w:t>）采购合同</w:t>
      </w:r>
      <w:r>
        <w:rPr>
          <w:rFonts w:ascii="宋体" w:hAnsi="宋体" w:cs="宋体"/>
          <w:color w:val="auto"/>
          <w:sz w:val="24"/>
          <w:szCs w:val="24"/>
          <w:highlight w:val="none"/>
        </w:rPr>
        <w:t>;</w:t>
      </w:r>
    </w:p>
    <w:p w14:paraId="081B5585">
      <w:pPr>
        <w:widowControl/>
        <w:spacing w:line="360" w:lineRule="auto"/>
        <w:ind w:firstLine="600" w:firstLineChars="250"/>
        <w:jc w:val="left"/>
        <w:rPr>
          <w:rFonts w:ascii="宋体" w:hAnsi="宋体" w:cs="宋体"/>
          <w:color w:val="auto"/>
          <w:sz w:val="24"/>
          <w:szCs w:val="24"/>
          <w:highlight w:val="none"/>
        </w:rPr>
      </w:pPr>
      <w:r>
        <w:rPr>
          <w:rFonts w:hint="eastAsia" w:ascii="宋体" w:hAnsi="宋体" w:cs="宋体"/>
          <w:color w:val="auto"/>
          <w:sz w:val="24"/>
          <w:szCs w:val="24"/>
          <w:highlight w:val="none"/>
        </w:rPr>
        <w:t>（</w:t>
      </w:r>
      <w:r>
        <w:rPr>
          <w:rFonts w:ascii="宋体" w:hAnsi="宋体" w:cs="宋体"/>
          <w:color w:val="auto"/>
          <w:sz w:val="24"/>
          <w:szCs w:val="24"/>
          <w:highlight w:val="none"/>
        </w:rPr>
        <w:t>2</w:t>
      </w:r>
      <w:r>
        <w:rPr>
          <w:rFonts w:hint="eastAsia" w:ascii="宋体" w:hAnsi="宋体" w:cs="宋体"/>
          <w:color w:val="auto"/>
          <w:sz w:val="24"/>
          <w:szCs w:val="24"/>
          <w:highlight w:val="none"/>
        </w:rPr>
        <w:t>）买卖合同</w:t>
      </w:r>
      <w:r>
        <w:rPr>
          <w:rFonts w:ascii="宋体" w:hAnsi="宋体" w:cs="宋体"/>
          <w:color w:val="auto"/>
          <w:sz w:val="24"/>
          <w:szCs w:val="24"/>
          <w:highlight w:val="none"/>
        </w:rPr>
        <w:t>;</w:t>
      </w:r>
    </w:p>
    <w:p w14:paraId="4D423B1B">
      <w:pPr>
        <w:widowControl/>
        <w:spacing w:line="360" w:lineRule="auto"/>
        <w:ind w:firstLine="600" w:firstLineChars="250"/>
        <w:jc w:val="left"/>
        <w:rPr>
          <w:rFonts w:ascii="宋体" w:hAnsi="宋体" w:cs="宋体"/>
          <w:color w:val="auto"/>
          <w:sz w:val="24"/>
          <w:szCs w:val="24"/>
          <w:highlight w:val="none"/>
        </w:rPr>
      </w:pPr>
      <w:r>
        <w:rPr>
          <w:rFonts w:hint="eastAsia" w:ascii="宋体" w:hAnsi="宋体" w:cs="宋体"/>
          <w:color w:val="auto"/>
          <w:sz w:val="24"/>
          <w:szCs w:val="24"/>
          <w:highlight w:val="none"/>
        </w:rPr>
        <w:t>（</w:t>
      </w:r>
      <w:r>
        <w:rPr>
          <w:rFonts w:ascii="宋体" w:hAnsi="宋体" w:cs="宋体"/>
          <w:color w:val="auto"/>
          <w:sz w:val="24"/>
          <w:szCs w:val="24"/>
          <w:highlight w:val="none"/>
        </w:rPr>
        <w:t>3</w:t>
      </w:r>
      <w:r>
        <w:rPr>
          <w:rFonts w:hint="eastAsia" w:ascii="宋体" w:hAnsi="宋体" w:cs="宋体"/>
          <w:color w:val="auto"/>
          <w:sz w:val="24"/>
          <w:szCs w:val="24"/>
          <w:highlight w:val="none"/>
        </w:rPr>
        <w:t>）招标文件及补充规定</w:t>
      </w:r>
      <w:r>
        <w:rPr>
          <w:rFonts w:ascii="宋体" w:hAnsi="宋体" w:cs="宋体"/>
          <w:color w:val="auto"/>
          <w:sz w:val="24"/>
          <w:szCs w:val="24"/>
          <w:highlight w:val="none"/>
        </w:rPr>
        <w:t>;</w:t>
      </w:r>
    </w:p>
    <w:p w14:paraId="1D8DBD0B">
      <w:pPr>
        <w:widowControl/>
        <w:spacing w:line="360" w:lineRule="auto"/>
        <w:ind w:firstLine="600" w:firstLineChars="250"/>
        <w:jc w:val="left"/>
        <w:rPr>
          <w:rFonts w:ascii="宋体" w:hAnsi="宋体" w:cs="宋体"/>
          <w:color w:val="auto"/>
          <w:sz w:val="24"/>
          <w:szCs w:val="24"/>
          <w:highlight w:val="none"/>
        </w:rPr>
      </w:pPr>
      <w:r>
        <w:rPr>
          <w:rFonts w:hint="eastAsia" w:ascii="宋体" w:hAnsi="宋体" w:cs="宋体"/>
          <w:color w:val="auto"/>
          <w:sz w:val="24"/>
          <w:szCs w:val="24"/>
          <w:highlight w:val="none"/>
        </w:rPr>
        <w:t>（</w:t>
      </w:r>
      <w:r>
        <w:rPr>
          <w:rFonts w:ascii="宋体" w:hAnsi="宋体" w:cs="宋体"/>
          <w:color w:val="auto"/>
          <w:sz w:val="24"/>
          <w:szCs w:val="24"/>
          <w:highlight w:val="none"/>
        </w:rPr>
        <w:t>4</w:t>
      </w:r>
      <w:r>
        <w:rPr>
          <w:rFonts w:hint="eastAsia" w:ascii="宋体" w:hAnsi="宋体" w:cs="宋体"/>
          <w:color w:val="auto"/>
          <w:sz w:val="24"/>
          <w:szCs w:val="24"/>
          <w:highlight w:val="none"/>
        </w:rPr>
        <w:t>）投标文件及澄清说明。</w:t>
      </w:r>
    </w:p>
    <w:p w14:paraId="48BB2442">
      <w:pPr>
        <w:spacing w:line="360" w:lineRule="auto"/>
        <w:ind w:firstLine="600" w:firstLineChars="250"/>
        <w:rPr>
          <w:rFonts w:ascii="宋体" w:hAnsi="宋体" w:cs="宋体"/>
          <w:color w:val="auto"/>
          <w:sz w:val="24"/>
          <w:szCs w:val="24"/>
          <w:highlight w:val="none"/>
        </w:rPr>
      </w:pPr>
      <w:r>
        <w:rPr>
          <w:rFonts w:hint="eastAsia" w:ascii="宋体" w:hAnsi="宋体" w:cs="宋体"/>
          <w:color w:val="auto"/>
          <w:sz w:val="24"/>
          <w:szCs w:val="24"/>
          <w:highlight w:val="none"/>
        </w:rPr>
        <w:t>12.4本合同经双方签订之日起生效。一式伍份，买方贰份，卖方贰份，送厦门市财政局政府采购监管处备案壹份，具有同等法律效力。</w:t>
      </w:r>
    </w:p>
    <w:p w14:paraId="04A915DC">
      <w:pPr>
        <w:spacing w:line="360" w:lineRule="auto"/>
        <w:jc w:val="center"/>
        <w:rPr>
          <w:rFonts w:ascii="宋体" w:hAnsi="宋体"/>
          <w:color w:val="auto"/>
          <w:sz w:val="24"/>
          <w:szCs w:val="24"/>
          <w:highlight w:val="none"/>
        </w:rPr>
      </w:pPr>
      <w:r>
        <w:rPr>
          <w:rFonts w:hint="eastAsia" w:ascii="宋体" w:hAnsi="宋体" w:cs="宋体"/>
          <w:color w:val="auto"/>
          <w:sz w:val="24"/>
          <w:szCs w:val="24"/>
          <w:highlight w:val="none"/>
        </w:rPr>
        <w:t>（以下无正文）</w:t>
      </w:r>
    </w:p>
    <w:tbl>
      <w:tblPr>
        <w:tblStyle w:val="16"/>
        <w:tblW w:w="4998" w:type="pct"/>
        <w:jc w:val="center"/>
        <w:tblLayout w:type="autofit"/>
        <w:tblCellMar>
          <w:top w:w="0" w:type="dxa"/>
          <w:left w:w="108" w:type="dxa"/>
          <w:bottom w:w="0" w:type="dxa"/>
          <w:right w:w="108" w:type="dxa"/>
        </w:tblCellMar>
      </w:tblPr>
      <w:tblGrid>
        <w:gridCol w:w="1314"/>
        <w:gridCol w:w="2845"/>
        <w:gridCol w:w="1353"/>
        <w:gridCol w:w="3007"/>
      </w:tblGrid>
      <w:tr w14:paraId="004AC2CC">
        <w:tblPrEx>
          <w:tblCellMar>
            <w:top w:w="0" w:type="dxa"/>
            <w:left w:w="108" w:type="dxa"/>
            <w:bottom w:w="0" w:type="dxa"/>
            <w:right w:w="108" w:type="dxa"/>
          </w:tblCellMar>
        </w:tblPrEx>
        <w:trPr>
          <w:trHeight w:val="438" w:hRule="atLeast"/>
          <w:jc w:val="center"/>
        </w:trPr>
        <w:tc>
          <w:tcPr>
            <w:tcW w:w="771" w:type="pct"/>
            <w:tcBorders>
              <w:top w:val="single" w:color="auto" w:sz="4" w:space="0"/>
              <w:left w:val="single" w:color="auto" w:sz="4" w:space="0"/>
              <w:bottom w:val="single" w:color="auto" w:sz="4" w:space="0"/>
              <w:right w:val="single" w:color="auto" w:sz="4" w:space="0"/>
            </w:tcBorders>
            <w:vAlign w:val="center"/>
          </w:tcPr>
          <w:p w14:paraId="70D5C936">
            <w:pPr>
              <w:pStyle w:val="2"/>
              <w:snapToGrid w:val="0"/>
              <w:spacing w:line="360" w:lineRule="auto"/>
              <w:jc w:val="center"/>
              <w:rPr>
                <w:color w:val="auto"/>
                <w:highlight w:val="none"/>
              </w:rPr>
            </w:pPr>
            <w:r>
              <w:rPr>
                <w:rFonts w:hint="eastAsia"/>
                <w:b/>
                <w:bCs/>
                <w:color w:val="auto"/>
                <w:kern w:val="2"/>
                <w:highlight w:val="none"/>
              </w:rPr>
              <w:t>买  方</w:t>
            </w:r>
          </w:p>
        </w:tc>
        <w:tc>
          <w:tcPr>
            <w:tcW w:w="1669" w:type="pct"/>
            <w:tcBorders>
              <w:top w:val="single" w:color="auto" w:sz="4" w:space="0"/>
              <w:left w:val="nil"/>
              <w:bottom w:val="single" w:color="auto" w:sz="4" w:space="0"/>
              <w:right w:val="single" w:color="auto" w:sz="4" w:space="0"/>
            </w:tcBorders>
            <w:vAlign w:val="center"/>
          </w:tcPr>
          <w:p w14:paraId="048CF50D">
            <w:pPr>
              <w:pStyle w:val="2"/>
              <w:snapToGrid w:val="0"/>
              <w:rPr>
                <w:color w:val="auto"/>
                <w:highlight w:val="none"/>
              </w:rPr>
            </w:pPr>
            <w:r>
              <w:rPr>
                <w:rFonts w:hint="eastAsia"/>
                <w:color w:val="auto"/>
                <w:highlight w:val="none"/>
              </w:rPr>
              <w:t>厦门万翔网络商务有限公司</w:t>
            </w:r>
          </w:p>
        </w:tc>
        <w:tc>
          <w:tcPr>
            <w:tcW w:w="794" w:type="pct"/>
            <w:tcBorders>
              <w:top w:val="single" w:color="auto" w:sz="4" w:space="0"/>
              <w:left w:val="nil"/>
              <w:bottom w:val="single" w:color="auto" w:sz="4" w:space="0"/>
              <w:right w:val="single" w:color="auto" w:sz="4" w:space="0"/>
            </w:tcBorders>
            <w:vAlign w:val="center"/>
          </w:tcPr>
          <w:p w14:paraId="27DEE7DE">
            <w:pPr>
              <w:pStyle w:val="2"/>
              <w:snapToGrid w:val="0"/>
              <w:spacing w:line="360" w:lineRule="auto"/>
              <w:jc w:val="center"/>
              <w:rPr>
                <w:color w:val="auto"/>
                <w:highlight w:val="none"/>
              </w:rPr>
            </w:pPr>
            <w:r>
              <w:rPr>
                <w:rFonts w:hint="eastAsia"/>
                <w:b/>
                <w:bCs/>
                <w:color w:val="auto"/>
                <w:kern w:val="2"/>
                <w:highlight w:val="none"/>
              </w:rPr>
              <w:t>卖  方</w:t>
            </w:r>
          </w:p>
        </w:tc>
        <w:tc>
          <w:tcPr>
            <w:tcW w:w="1764" w:type="pct"/>
            <w:tcBorders>
              <w:top w:val="single" w:color="auto" w:sz="4" w:space="0"/>
              <w:left w:val="nil"/>
              <w:bottom w:val="single" w:color="auto" w:sz="4" w:space="0"/>
              <w:right w:val="single" w:color="auto" w:sz="4" w:space="0"/>
            </w:tcBorders>
            <w:vAlign w:val="center"/>
          </w:tcPr>
          <w:p w14:paraId="0E22757E">
            <w:pPr>
              <w:pStyle w:val="2"/>
              <w:snapToGrid w:val="0"/>
              <w:rPr>
                <w:color w:val="auto"/>
                <w:highlight w:val="none"/>
              </w:rPr>
            </w:pPr>
          </w:p>
        </w:tc>
      </w:tr>
      <w:tr w14:paraId="7B653769">
        <w:tblPrEx>
          <w:tblCellMar>
            <w:top w:w="0" w:type="dxa"/>
            <w:left w:w="108" w:type="dxa"/>
            <w:bottom w:w="0" w:type="dxa"/>
            <w:right w:w="108" w:type="dxa"/>
          </w:tblCellMar>
        </w:tblPrEx>
        <w:trPr>
          <w:trHeight w:val="585" w:hRule="atLeast"/>
          <w:jc w:val="center"/>
        </w:trPr>
        <w:tc>
          <w:tcPr>
            <w:tcW w:w="771" w:type="pct"/>
            <w:tcBorders>
              <w:top w:val="single" w:color="auto" w:sz="4" w:space="0"/>
              <w:left w:val="single" w:color="auto" w:sz="4" w:space="0"/>
              <w:bottom w:val="single" w:color="auto" w:sz="4" w:space="0"/>
              <w:right w:val="single" w:color="auto" w:sz="4" w:space="0"/>
            </w:tcBorders>
            <w:vAlign w:val="center"/>
          </w:tcPr>
          <w:p w14:paraId="41E3A040">
            <w:pPr>
              <w:pStyle w:val="2"/>
              <w:snapToGrid w:val="0"/>
              <w:spacing w:line="360" w:lineRule="auto"/>
              <w:jc w:val="center"/>
              <w:rPr>
                <w:color w:val="auto"/>
                <w:highlight w:val="none"/>
              </w:rPr>
            </w:pPr>
            <w:r>
              <w:rPr>
                <w:rFonts w:hint="eastAsia"/>
                <w:b/>
                <w:bCs/>
                <w:color w:val="auto"/>
                <w:kern w:val="2"/>
                <w:highlight w:val="none"/>
              </w:rPr>
              <w:t>单位地址</w:t>
            </w:r>
          </w:p>
        </w:tc>
        <w:tc>
          <w:tcPr>
            <w:tcW w:w="1669" w:type="pct"/>
            <w:tcBorders>
              <w:top w:val="single" w:color="auto" w:sz="4" w:space="0"/>
              <w:left w:val="nil"/>
              <w:bottom w:val="single" w:color="auto" w:sz="4" w:space="0"/>
              <w:right w:val="single" w:color="auto" w:sz="4" w:space="0"/>
            </w:tcBorders>
            <w:vAlign w:val="center"/>
          </w:tcPr>
          <w:p w14:paraId="37C324C6">
            <w:pPr>
              <w:pStyle w:val="2"/>
              <w:snapToGrid w:val="0"/>
              <w:rPr>
                <w:color w:val="auto"/>
                <w:highlight w:val="none"/>
              </w:rPr>
            </w:pPr>
            <w:r>
              <w:rPr>
                <w:rFonts w:hint="eastAsia"/>
                <w:color w:val="auto"/>
                <w:highlight w:val="none"/>
              </w:rPr>
              <w:t xml:space="preserve">厦门市湖里区机场北路476号 </w:t>
            </w:r>
          </w:p>
        </w:tc>
        <w:tc>
          <w:tcPr>
            <w:tcW w:w="794" w:type="pct"/>
            <w:tcBorders>
              <w:top w:val="single" w:color="auto" w:sz="4" w:space="0"/>
              <w:left w:val="nil"/>
              <w:bottom w:val="single" w:color="auto" w:sz="4" w:space="0"/>
              <w:right w:val="single" w:color="auto" w:sz="4" w:space="0"/>
            </w:tcBorders>
            <w:vAlign w:val="center"/>
          </w:tcPr>
          <w:p w14:paraId="5E5E9004">
            <w:pPr>
              <w:pStyle w:val="2"/>
              <w:snapToGrid w:val="0"/>
              <w:spacing w:line="360" w:lineRule="auto"/>
              <w:jc w:val="center"/>
              <w:rPr>
                <w:color w:val="auto"/>
                <w:highlight w:val="none"/>
              </w:rPr>
            </w:pPr>
            <w:r>
              <w:rPr>
                <w:rFonts w:hint="eastAsia"/>
                <w:b/>
                <w:bCs/>
                <w:color w:val="auto"/>
                <w:kern w:val="2"/>
                <w:highlight w:val="none"/>
              </w:rPr>
              <w:t>单位地址</w:t>
            </w:r>
          </w:p>
        </w:tc>
        <w:tc>
          <w:tcPr>
            <w:tcW w:w="1764" w:type="pct"/>
            <w:tcBorders>
              <w:top w:val="single" w:color="auto" w:sz="4" w:space="0"/>
              <w:left w:val="nil"/>
              <w:bottom w:val="single" w:color="auto" w:sz="4" w:space="0"/>
              <w:right w:val="single" w:color="auto" w:sz="4" w:space="0"/>
            </w:tcBorders>
            <w:vAlign w:val="center"/>
          </w:tcPr>
          <w:p w14:paraId="47DA2F7A">
            <w:pPr>
              <w:pStyle w:val="2"/>
              <w:snapToGrid w:val="0"/>
              <w:rPr>
                <w:color w:val="auto"/>
                <w:highlight w:val="none"/>
              </w:rPr>
            </w:pPr>
          </w:p>
        </w:tc>
      </w:tr>
      <w:tr w14:paraId="5C62FE0E">
        <w:tblPrEx>
          <w:tblCellMar>
            <w:top w:w="0" w:type="dxa"/>
            <w:left w:w="108" w:type="dxa"/>
            <w:bottom w:w="0" w:type="dxa"/>
            <w:right w:w="108" w:type="dxa"/>
          </w:tblCellMar>
        </w:tblPrEx>
        <w:trPr>
          <w:trHeight w:val="499" w:hRule="atLeast"/>
          <w:jc w:val="center"/>
        </w:trPr>
        <w:tc>
          <w:tcPr>
            <w:tcW w:w="771" w:type="pct"/>
            <w:tcBorders>
              <w:top w:val="single" w:color="auto" w:sz="4" w:space="0"/>
              <w:left w:val="single" w:color="auto" w:sz="4" w:space="0"/>
              <w:bottom w:val="single" w:color="auto" w:sz="4" w:space="0"/>
              <w:right w:val="single" w:color="auto" w:sz="4" w:space="0"/>
            </w:tcBorders>
            <w:vAlign w:val="center"/>
          </w:tcPr>
          <w:p w14:paraId="00EE698A">
            <w:pPr>
              <w:pStyle w:val="2"/>
              <w:snapToGrid w:val="0"/>
              <w:spacing w:line="360" w:lineRule="auto"/>
              <w:jc w:val="center"/>
              <w:rPr>
                <w:b/>
                <w:bCs/>
                <w:color w:val="auto"/>
                <w:highlight w:val="none"/>
              </w:rPr>
            </w:pPr>
            <w:r>
              <w:rPr>
                <w:rFonts w:hint="eastAsia"/>
                <w:b/>
                <w:bCs/>
                <w:color w:val="auto"/>
                <w:kern w:val="2"/>
                <w:highlight w:val="none"/>
              </w:rPr>
              <w:t>法定代表人</w:t>
            </w:r>
          </w:p>
        </w:tc>
        <w:tc>
          <w:tcPr>
            <w:tcW w:w="1669" w:type="pct"/>
            <w:tcBorders>
              <w:top w:val="single" w:color="auto" w:sz="4" w:space="0"/>
              <w:left w:val="nil"/>
              <w:bottom w:val="single" w:color="auto" w:sz="4" w:space="0"/>
              <w:right w:val="single" w:color="auto" w:sz="4" w:space="0"/>
            </w:tcBorders>
            <w:vAlign w:val="center"/>
          </w:tcPr>
          <w:p w14:paraId="3FAD5829">
            <w:pPr>
              <w:pStyle w:val="2"/>
              <w:snapToGrid w:val="0"/>
              <w:rPr>
                <w:color w:val="auto"/>
                <w:highlight w:val="none"/>
              </w:rPr>
            </w:pPr>
          </w:p>
        </w:tc>
        <w:tc>
          <w:tcPr>
            <w:tcW w:w="794" w:type="pct"/>
            <w:tcBorders>
              <w:top w:val="single" w:color="auto" w:sz="4" w:space="0"/>
              <w:left w:val="nil"/>
              <w:bottom w:val="single" w:color="auto" w:sz="4" w:space="0"/>
              <w:right w:val="single" w:color="auto" w:sz="4" w:space="0"/>
            </w:tcBorders>
            <w:vAlign w:val="center"/>
          </w:tcPr>
          <w:p w14:paraId="6355683B">
            <w:pPr>
              <w:pStyle w:val="2"/>
              <w:snapToGrid w:val="0"/>
              <w:spacing w:line="360" w:lineRule="auto"/>
              <w:jc w:val="center"/>
              <w:rPr>
                <w:b/>
                <w:bCs/>
                <w:color w:val="auto"/>
                <w:highlight w:val="none"/>
              </w:rPr>
            </w:pPr>
            <w:r>
              <w:rPr>
                <w:rFonts w:hint="eastAsia"/>
                <w:b/>
                <w:bCs/>
                <w:color w:val="auto"/>
                <w:kern w:val="2"/>
                <w:highlight w:val="none"/>
              </w:rPr>
              <w:t>法定代表人</w:t>
            </w:r>
          </w:p>
        </w:tc>
        <w:tc>
          <w:tcPr>
            <w:tcW w:w="1764" w:type="pct"/>
            <w:tcBorders>
              <w:top w:val="single" w:color="auto" w:sz="4" w:space="0"/>
              <w:left w:val="nil"/>
              <w:bottom w:val="single" w:color="auto" w:sz="4" w:space="0"/>
              <w:right w:val="single" w:color="auto" w:sz="4" w:space="0"/>
            </w:tcBorders>
            <w:vAlign w:val="center"/>
          </w:tcPr>
          <w:p w14:paraId="6F528D4D">
            <w:pPr>
              <w:pStyle w:val="2"/>
              <w:snapToGrid w:val="0"/>
              <w:rPr>
                <w:color w:val="auto"/>
                <w:highlight w:val="none"/>
              </w:rPr>
            </w:pPr>
          </w:p>
        </w:tc>
      </w:tr>
      <w:tr w14:paraId="71A4F485">
        <w:tblPrEx>
          <w:tblCellMar>
            <w:top w:w="0" w:type="dxa"/>
            <w:left w:w="108" w:type="dxa"/>
            <w:bottom w:w="0" w:type="dxa"/>
            <w:right w:w="108" w:type="dxa"/>
          </w:tblCellMar>
        </w:tblPrEx>
        <w:trPr>
          <w:trHeight w:val="542" w:hRule="atLeast"/>
          <w:jc w:val="center"/>
        </w:trPr>
        <w:tc>
          <w:tcPr>
            <w:tcW w:w="771" w:type="pct"/>
            <w:tcBorders>
              <w:top w:val="single" w:color="auto" w:sz="4" w:space="0"/>
              <w:left w:val="single" w:color="auto" w:sz="4" w:space="0"/>
              <w:bottom w:val="single" w:color="auto" w:sz="4" w:space="0"/>
              <w:right w:val="single" w:color="auto" w:sz="4" w:space="0"/>
            </w:tcBorders>
            <w:vAlign w:val="center"/>
          </w:tcPr>
          <w:p w14:paraId="269783E1">
            <w:pPr>
              <w:pStyle w:val="2"/>
              <w:snapToGrid w:val="0"/>
              <w:spacing w:line="360" w:lineRule="auto"/>
              <w:jc w:val="center"/>
              <w:rPr>
                <w:color w:val="auto"/>
                <w:highlight w:val="none"/>
              </w:rPr>
            </w:pPr>
            <w:r>
              <w:rPr>
                <w:rFonts w:hint="eastAsia"/>
                <w:b/>
                <w:bCs/>
                <w:color w:val="auto"/>
                <w:kern w:val="2"/>
                <w:highlight w:val="none"/>
              </w:rPr>
              <w:t>签字代表</w:t>
            </w:r>
          </w:p>
        </w:tc>
        <w:tc>
          <w:tcPr>
            <w:tcW w:w="1669" w:type="pct"/>
            <w:tcBorders>
              <w:top w:val="single" w:color="auto" w:sz="4" w:space="0"/>
              <w:left w:val="nil"/>
              <w:bottom w:val="single" w:color="auto" w:sz="4" w:space="0"/>
              <w:right w:val="single" w:color="auto" w:sz="4" w:space="0"/>
            </w:tcBorders>
            <w:vAlign w:val="center"/>
          </w:tcPr>
          <w:p w14:paraId="6251D64D">
            <w:pPr>
              <w:pStyle w:val="2"/>
              <w:snapToGrid w:val="0"/>
              <w:rPr>
                <w:color w:val="auto"/>
                <w:highlight w:val="none"/>
              </w:rPr>
            </w:pPr>
          </w:p>
        </w:tc>
        <w:tc>
          <w:tcPr>
            <w:tcW w:w="794" w:type="pct"/>
            <w:tcBorders>
              <w:top w:val="single" w:color="auto" w:sz="4" w:space="0"/>
              <w:left w:val="nil"/>
              <w:bottom w:val="single" w:color="auto" w:sz="4" w:space="0"/>
              <w:right w:val="single" w:color="auto" w:sz="4" w:space="0"/>
            </w:tcBorders>
            <w:vAlign w:val="center"/>
          </w:tcPr>
          <w:p w14:paraId="7E426D94">
            <w:pPr>
              <w:pStyle w:val="2"/>
              <w:snapToGrid w:val="0"/>
              <w:spacing w:line="360" w:lineRule="auto"/>
              <w:jc w:val="center"/>
              <w:rPr>
                <w:color w:val="auto"/>
                <w:highlight w:val="none"/>
              </w:rPr>
            </w:pPr>
            <w:r>
              <w:rPr>
                <w:rFonts w:hint="eastAsia"/>
                <w:b/>
                <w:bCs/>
                <w:color w:val="auto"/>
                <w:kern w:val="2"/>
                <w:highlight w:val="none"/>
              </w:rPr>
              <w:t>签字代表</w:t>
            </w:r>
          </w:p>
        </w:tc>
        <w:tc>
          <w:tcPr>
            <w:tcW w:w="1764" w:type="pct"/>
            <w:tcBorders>
              <w:top w:val="single" w:color="auto" w:sz="4" w:space="0"/>
              <w:left w:val="nil"/>
              <w:bottom w:val="single" w:color="auto" w:sz="4" w:space="0"/>
              <w:right w:val="single" w:color="auto" w:sz="4" w:space="0"/>
            </w:tcBorders>
            <w:vAlign w:val="center"/>
          </w:tcPr>
          <w:p w14:paraId="7096FE97">
            <w:pPr>
              <w:pStyle w:val="2"/>
              <w:snapToGrid w:val="0"/>
              <w:rPr>
                <w:color w:val="auto"/>
                <w:highlight w:val="none"/>
              </w:rPr>
            </w:pPr>
          </w:p>
        </w:tc>
      </w:tr>
      <w:tr w14:paraId="046D7B58">
        <w:tblPrEx>
          <w:tblCellMar>
            <w:top w:w="0" w:type="dxa"/>
            <w:left w:w="108" w:type="dxa"/>
            <w:bottom w:w="0" w:type="dxa"/>
            <w:right w:w="108" w:type="dxa"/>
          </w:tblCellMar>
        </w:tblPrEx>
        <w:trPr>
          <w:trHeight w:val="327" w:hRule="atLeast"/>
          <w:jc w:val="center"/>
        </w:trPr>
        <w:tc>
          <w:tcPr>
            <w:tcW w:w="771" w:type="pct"/>
            <w:tcBorders>
              <w:top w:val="single" w:color="auto" w:sz="4" w:space="0"/>
              <w:left w:val="single" w:color="auto" w:sz="4" w:space="0"/>
              <w:bottom w:val="single" w:color="auto" w:sz="4" w:space="0"/>
              <w:right w:val="single" w:color="auto" w:sz="4" w:space="0"/>
            </w:tcBorders>
            <w:vAlign w:val="center"/>
          </w:tcPr>
          <w:p w14:paraId="436CE9AC">
            <w:pPr>
              <w:pStyle w:val="2"/>
              <w:snapToGrid w:val="0"/>
              <w:spacing w:line="360" w:lineRule="auto"/>
              <w:jc w:val="center"/>
              <w:rPr>
                <w:color w:val="auto"/>
                <w:highlight w:val="none"/>
              </w:rPr>
            </w:pPr>
            <w:r>
              <w:rPr>
                <w:rFonts w:hint="eastAsia"/>
                <w:b/>
                <w:bCs/>
                <w:color w:val="auto"/>
                <w:kern w:val="2"/>
                <w:highlight w:val="none"/>
              </w:rPr>
              <w:t>电   话</w:t>
            </w:r>
          </w:p>
        </w:tc>
        <w:tc>
          <w:tcPr>
            <w:tcW w:w="1669" w:type="pct"/>
            <w:tcBorders>
              <w:top w:val="single" w:color="auto" w:sz="4" w:space="0"/>
              <w:left w:val="nil"/>
              <w:bottom w:val="single" w:color="auto" w:sz="4" w:space="0"/>
              <w:right w:val="single" w:color="auto" w:sz="4" w:space="0"/>
            </w:tcBorders>
            <w:vAlign w:val="center"/>
          </w:tcPr>
          <w:p w14:paraId="6502DF55">
            <w:pPr>
              <w:pStyle w:val="2"/>
              <w:snapToGrid w:val="0"/>
              <w:rPr>
                <w:color w:val="auto"/>
                <w:highlight w:val="none"/>
              </w:rPr>
            </w:pPr>
          </w:p>
        </w:tc>
        <w:tc>
          <w:tcPr>
            <w:tcW w:w="794" w:type="pct"/>
            <w:tcBorders>
              <w:top w:val="single" w:color="auto" w:sz="4" w:space="0"/>
              <w:left w:val="nil"/>
              <w:bottom w:val="single" w:color="auto" w:sz="4" w:space="0"/>
              <w:right w:val="single" w:color="auto" w:sz="4" w:space="0"/>
            </w:tcBorders>
            <w:vAlign w:val="center"/>
          </w:tcPr>
          <w:p w14:paraId="651150ED">
            <w:pPr>
              <w:pStyle w:val="2"/>
              <w:snapToGrid w:val="0"/>
              <w:spacing w:line="360" w:lineRule="auto"/>
              <w:jc w:val="center"/>
              <w:rPr>
                <w:color w:val="auto"/>
                <w:highlight w:val="none"/>
              </w:rPr>
            </w:pPr>
            <w:r>
              <w:rPr>
                <w:rFonts w:hint="eastAsia"/>
                <w:b/>
                <w:bCs/>
                <w:color w:val="auto"/>
                <w:kern w:val="2"/>
                <w:highlight w:val="none"/>
              </w:rPr>
              <w:t>电  话</w:t>
            </w:r>
          </w:p>
        </w:tc>
        <w:tc>
          <w:tcPr>
            <w:tcW w:w="1764" w:type="pct"/>
            <w:tcBorders>
              <w:top w:val="single" w:color="auto" w:sz="4" w:space="0"/>
              <w:left w:val="nil"/>
              <w:bottom w:val="single" w:color="auto" w:sz="4" w:space="0"/>
              <w:right w:val="single" w:color="auto" w:sz="4" w:space="0"/>
            </w:tcBorders>
            <w:vAlign w:val="center"/>
          </w:tcPr>
          <w:p w14:paraId="3ACECB85">
            <w:pPr>
              <w:pStyle w:val="2"/>
              <w:snapToGrid w:val="0"/>
              <w:rPr>
                <w:color w:val="auto"/>
                <w:highlight w:val="none"/>
              </w:rPr>
            </w:pPr>
          </w:p>
        </w:tc>
      </w:tr>
      <w:tr w14:paraId="0B7803A4">
        <w:tblPrEx>
          <w:tblCellMar>
            <w:top w:w="0" w:type="dxa"/>
            <w:left w:w="108" w:type="dxa"/>
            <w:bottom w:w="0" w:type="dxa"/>
            <w:right w:w="108" w:type="dxa"/>
          </w:tblCellMar>
        </w:tblPrEx>
        <w:trPr>
          <w:trHeight w:val="746" w:hRule="atLeast"/>
          <w:jc w:val="center"/>
        </w:trPr>
        <w:tc>
          <w:tcPr>
            <w:tcW w:w="771" w:type="pct"/>
            <w:tcBorders>
              <w:top w:val="single" w:color="auto" w:sz="4" w:space="0"/>
              <w:left w:val="single" w:color="auto" w:sz="4" w:space="0"/>
              <w:bottom w:val="single" w:color="auto" w:sz="4" w:space="0"/>
              <w:right w:val="single" w:color="auto" w:sz="4" w:space="0"/>
            </w:tcBorders>
            <w:vAlign w:val="center"/>
          </w:tcPr>
          <w:p w14:paraId="2DF43136">
            <w:pPr>
              <w:pStyle w:val="2"/>
              <w:snapToGrid w:val="0"/>
              <w:spacing w:line="360" w:lineRule="auto"/>
              <w:jc w:val="center"/>
              <w:rPr>
                <w:b/>
                <w:bCs/>
                <w:color w:val="auto"/>
                <w:highlight w:val="none"/>
              </w:rPr>
            </w:pPr>
            <w:r>
              <w:rPr>
                <w:rFonts w:hint="eastAsia"/>
                <w:b/>
                <w:bCs/>
                <w:color w:val="auto"/>
                <w:kern w:val="2"/>
                <w:highlight w:val="none"/>
              </w:rPr>
              <w:t>开户行</w:t>
            </w:r>
          </w:p>
        </w:tc>
        <w:tc>
          <w:tcPr>
            <w:tcW w:w="1669" w:type="pct"/>
            <w:tcBorders>
              <w:top w:val="single" w:color="auto" w:sz="4" w:space="0"/>
              <w:left w:val="nil"/>
              <w:bottom w:val="single" w:color="auto" w:sz="4" w:space="0"/>
              <w:right w:val="single" w:color="auto" w:sz="4" w:space="0"/>
            </w:tcBorders>
            <w:vAlign w:val="center"/>
          </w:tcPr>
          <w:p w14:paraId="27360AB5">
            <w:pPr>
              <w:pStyle w:val="2"/>
              <w:snapToGrid w:val="0"/>
              <w:rPr>
                <w:color w:val="auto"/>
                <w:highlight w:val="none"/>
              </w:rPr>
            </w:pPr>
            <w:r>
              <w:rPr>
                <w:rFonts w:hint="eastAsia"/>
                <w:color w:val="auto"/>
                <w:highlight w:val="none"/>
              </w:rPr>
              <w:t>中国建设银行股份有限公司厦门自贸试验区航空港支行</w:t>
            </w:r>
          </w:p>
        </w:tc>
        <w:tc>
          <w:tcPr>
            <w:tcW w:w="794" w:type="pct"/>
            <w:tcBorders>
              <w:top w:val="single" w:color="auto" w:sz="4" w:space="0"/>
              <w:left w:val="nil"/>
              <w:bottom w:val="single" w:color="auto" w:sz="4" w:space="0"/>
              <w:right w:val="single" w:color="auto" w:sz="4" w:space="0"/>
            </w:tcBorders>
            <w:vAlign w:val="center"/>
          </w:tcPr>
          <w:p w14:paraId="56E1B223">
            <w:pPr>
              <w:pStyle w:val="2"/>
              <w:snapToGrid w:val="0"/>
              <w:spacing w:line="360" w:lineRule="auto"/>
              <w:jc w:val="center"/>
              <w:rPr>
                <w:b/>
                <w:bCs/>
                <w:color w:val="auto"/>
                <w:highlight w:val="none"/>
              </w:rPr>
            </w:pPr>
            <w:r>
              <w:rPr>
                <w:rFonts w:hint="eastAsia"/>
                <w:b/>
                <w:bCs/>
                <w:color w:val="auto"/>
                <w:kern w:val="2"/>
                <w:highlight w:val="none"/>
              </w:rPr>
              <w:t>开户行</w:t>
            </w:r>
          </w:p>
        </w:tc>
        <w:tc>
          <w:tcPr>
            <w:tcW w:w="1764" w:type="pct"/>
            <w:tcBorders>
              <w:top w:val="single" w:color="auto" w:sz="4" w:space="0"/>
              <w:left w:val="nil"/>
              <w:bottom w:val="single" w:color="auto" w:sz="4" w:space="0"/>
              <w:right w:val="single" w:color="auto" w:sz="4" w:space="0"/>
            </w:tcBorders>
            <w:vAlign w:val="center"/>
          </w:tcPr>
          <w:p w14:paraId="5D8627AA">
            <w:pPr>
              <w:spacing w:line="240" w:lineRule="atLeast"/>
              <w:jc w:val="left"/>
              <w:rPr>
                <w:rFonts w:ascii="宋体" w:hAnsi="宋体"/>
                <w:color w:val="auto"/>
                <w:kern w:val="0"/>
                <w:sz w:val="24"/>
                <w:szCs w:val="24"/>
                <w:highlight w:val="none"/>
              </w:rPr>
            </w:pPr>
          </w:p>
        </w:tc>
      </w:tr>
      <w:tr w14:paraId="119726C6">
        <w:tblPrEx>
          <w:tblCellMar>
            <w:top w:w="0" w:type="dxa"/>
            <w:left w:w="108" w:type="dxa"/>
            <w:bottom w:w="0" w:type="dxa"/>
            <w:right w:w="108" w:type="dxa"/>
          </w:tblCellMar>
        </w:tblPrEx>
        <w:trPr>
          <w:trHeight w:val="336" w:hRule="atLeast"/>
          <w:jc w:val="center"/>
        </w:trPr>
        <w:tc>
          <w:tcPr>
            <w:tcW w:w="771" w:type="pct"/>
            <w:tcBorders>
              <w:top w:val="single" w:color="auto" w:sz="4" w:space="0"/>
              <w:left w:val="single" w:color="auto" w:sz="4" w:space="0"/>
              <w:bottom w:val="single" w:color="auto" w:sz="4" w:space="0"/>
              <w:right w:val="single" w:color="auto" w:sz="4" w:space="0"/>
            </w:tcBorders>
            <w:vAlign w:val="center"/>
          </w:tcPr>
          <w:p w14:paraId="68503BE9">
            <w:pPr>
              <w:pStyle w:val="2"/>
              <w:snapToGrid w:val="0"/>
              <w:rPr>
                <w:color w:val="auto"/>
                <w:highlight w:val="none"/>
              </w:rPr>
            </w:pPr>
            <w:r>
              <w:rPr>
                <w:rFonts w:hint="eastAsia"/>
                <w:color w:val="auto"/>
                <w:kern w:val="2"/>
                <w:highlight w:val="none"/>
              </w:rPr>
              <w:t>账</w:t>
            </w:r>
            <w:r>
              <w:rPr>
                <w:color w:val="auto"/>
                <w:kern w:val="2"/>
                <w:highlight w:val="none"/>
              </w:rPr>
              <w:t xml:space="preserve">  号</w:t>
            </w:r>
          </w:p>
        </w:tc>
        <w:tc>
          <w:tcPr>
            <w:tcW w:w="1669" w:type="pct"/>
            <w:tcBorders>
              <w:top w:val="single" w:color="auto" w:sz="4" w:space="0"/>
              <w:left w:val="nil"/>
              <w:bottom w:val="single" w:color="auto" w:sz="4" w:space="0"/>
              <w:right w:val="single" w:color="auto" w:sz="4" w:space="0"/>
            </w:tcBorders>
            <w:vAlign w:val="center"/>
          </w:tcPr>
          <w:p w14:paraId="7D892020">
            <w:pPr>
              <w:pStyle w:val="2"/>
              <w:snapToGrid w:val="0"/>
              <w:rPr>
                <w:color w:val="auto"/>
                <w:kern w:val="2"/>
                <w:highlight w:val="none"/>
              </w:rPr>
            </w:pPr>
            <w:r>
              <w:rPr>
                <w:color w:val="auto"/>
                <w:highlight w:val="none"/>
              </w:rPr>
              <w:t xml:space="preserve">35101570201052503924  </w:t>
            </w:r>
          </w:p>
        </w:tc>
        <w:tc>
          <w:tcPr>
            <w:tcW w:w="794" w:type="pct"/>
            <w:tcBorders>
              <w:top w:val="single" w:color="auto" w:sz="4" w:space="0"/>
              <w:left w:val="nil"/>
              <w:bottom w:val="single" w:color="auto" w:sz="4" w:space="0"/>
              <w:right w:val="single" w:color="auto" w:sz="4" w:space="0"/>
            </w:tcBorders>
            <w:vAlign w:val="center"/>
          </w:tcPr>
          <w:p w14:paraId="7F83B950">
            <w:pPr>
              <w:pStyle w:val="2"/>
              <w:snapToGrid w:val="0"/>
              <w:spacing w:line="360" w:lineRule="auto"/>
              <w:jc w:val="center"/>
              <w:rPr>
                <w:b/>
                <w:bCs/>
                <w:color w:val="auto"/>
                <w:highlight w:val="none"/>
              </w:rPr>
            </w:pPr>
            <w:r>
              <w:rPr>
                <w:rFonts w:hint="eastAsia"/>
                <w:b/>
                <w:bCs/>
                <w:color w:val="auto"/>
                <w:spacing w:val="20"/>
                <w:highlight w:val="none"/>
              </w:rPr>
              <w:t>账 号</w:t>
            </w:r>
          </w:p>
        </w:tc>
        <w:tc>
          <w:tcPr>
            <w:tcW w:w="1764" w:type="pct"/>
            <w:tcBorders>
              <w:top w:val="single" w:color="auto" w:sz="4" w:space="0"/>
              <w:left w:val="nil"/>
              <w:bottom w:val="single" w:color="auto" w:sz="4" w:space="0"/>
              <w:right w:val="single" w:color="auto" w:sz="4" w:space="0"/>
            </w:tcBorders>
            <w:vAlign w:val="center"/>
          </w:tcPr>
          <w:p w14:paraId="4D2BFE21">
            <w:pPr>
              <w:spacing w:line="360" w:lineRule="auto"/>
              <w:jc w:val="left"/>
              <w:rPr>
                <w:rFonts w:ascii="宋体" w:hAnsi="宋体"/>
                <w:color w:val="auto"/>
                <w:kern w:val="0"/>
                <w:sz w:val="24"/>
                <w:szCs w:val="24"/>
                <w:highlight w:val="none"/>
              </w:rPr>
            </w:pPr>
          </w:p>
        </w:tc>
      </w:tr>
      <w:tr w14:paraId="230EA398">
        <w:tblPrEx>
          <w:tblCellMar>
            <w:top w:w="0" w:type="dxa"/>
            <w:left w:w="108" w:type="dxa"/>
            <w:bottom w:w="0" w:type="dxa"/>
            <w:right w:w="108" w:type="dxa"/>
          </w:tblCellMar>
        </w:tblPrEx>
        <w:trPr>
          <w:trHeight w:val="465" w:hRule="atLeast"/>
          <w:jc w:val="center"/>
        </w:trPr>
        <w:tc>
          <w:tcPr>
            <w:tcW w:w="771" w:type="pct"/>
            <w:tcBorders>
              <w:top w:val="single" w:color="auto" w:sz="4" w:space="0"/>
              <w:left w:val="single" w:color="auto" w:sz="4" w:space="0"/>
              <w:bottom w:val="single" w:color="auto" w:sz="4" w:space="0"/>
              <w:right w:val="single" w:color="auto" w:sz="4" w:space="0"/>
            </w:tcBorders>
            <w:vAlign w:val="center"/>
          </w:tcPr>
          <w:p w14:paraId="1AB543EC">
            <w:pPr>
              <w:pStyle w:val="2"/>
              <w:snapToGrid w:val="0"/>
              <w:spacing w:line="360" w:lineRule="auto"/>
              <w:jc w:val="center"/>
              <w:rPr>
                <w:color w:val="auto"/>
                <w:highlight w:val="none"/>
              </w:rPr>
            </w:pPr>
            <w:r>
              <w:rPr>
                <w:rFonts w:hint="eastAsia"/>
                <w:b/>
                <w:bCs/>
                <w:color w:val="auto"/>
                <w:kern w:val="2"/>
                <w:highlight w:val="none"/>
              </w:rPr>
              <w:t>签订日期</w:t>
            </w:r>
          </w:p>
        </w:tc>
        <w:tc>
          <w:tcPr>
            <w:tcW w:w="1669" w:type="pct"/>
            <w:tcBorders>
              <w:top w:val="single" w:color="auto" w:sz="4" w:space="0"/>
              <w:left w:val="nil"/>
              <w:bottom w:val="single" w:color="auto" w:sz="4" w:space="0"/>
              <w:right w:val="single" w:color="auto" w:sz="4" w:space="0"/>
            </w:tcBorders>
            <w:vAlign w:val="center"/>
          </w:tcPr>
          <w:p w14:paraId="5BAE2BEC">
            <w:pPr>
              <w:pStyle w:val="2"/>
              <w:snapToGrid w:val="0"/>
              <w:spacing w:line="360" w:lineRule="auto"/>
              <w:rPr>
                <w:color w:val="auto"/>
                <w:highlight w:val="none"/>
              </w:rPr>
            </w:pPr>
          </w:p>
        </w:tc>
        <w:tc>
          <w:tcPr>
            <w:tcW w:w="794" w:type="pct"/>
            <w:tcBorders>
              <w:top w:val="single" w:color="auto" w:sz="4" w:space="0"/>
              <w:left w:val="nil"/>
              <w:bottom w:val="single" w:color="auto" w:sz="4" w:space="0"/>
              <w:right w:val="single" w:color="auto" w:sz="4" w:space="0"/>
            </w:tcBorders>
            <w:vAlign w:val="center"/>
          </w:tcPr>
          <w:p w14:paraId="11488A49">
            <w:pPr>
              <w:pStyle w:val="2"/>
              <w:snapToGrid w:val="0"/>
              <w:spacing w:line="360" w:lineRule="auto"/>
              <w:jc w:val="center"/>
              <w:rPr>
                <w:color w:val="auto"/>
                <w:highlight w:val="none"/>
              </w:rPr>
            </w:pPr>
            <w:r>
              <w:rPr>
                <w:rFonts w:hint="eastAsia"/>
                <w:b/>
                <w:bCs/>
                <w:color w:val="auto"/>
                <w:kern w:val="2"/>
                <w:highlight w:val="none"/>
              </w:rPr>
              <w:t>签订日期</w:t>
            </w:r>
          </w:p>
        </w:tc>
        <w:tc>
          <w:tcPr>
            <w:tcW w:w="1764" w:type="pct"/>
            <w:tcBorders>
              <w:top w:val="single" w:color="auto" w:sz="4" w:space="0"/>
              <w:left w:val="nil"/>
              <w:bottom w:val="single" w:color="auto" w:sz="4" w:space="0"/>
              <w:right w:val="single" w:color="auto" w:sz="4" w:space="0"/>
            </w:tcBorders>
            <w:vAlign w:val="center"/>
          </w:tcPr>
          <w:p w14:paraId="0074BAC4">
            <w:pPr>
              <w:pStyle w:val="2"/>
              <w:snapToGrid w:val="0"/>
              <w:spacing w:line="360" w:lineRule="auto"/>
              <w:rPr>
                <w:color w:val="auto"/>
                <w:highlight w:val="none"/>
              </w:rPr>
            </w:pPr>
          </w:p>
        </w:tc>
      </w:tr>
    </w:tbl>
    <w:p w14:paraId="29815B24">
      <w:pPr>
        <w:widowControl/>
        <w:jc w:val="left"/>
        <w:rPr>
          <w:rFonts w:ascii="宋体" w:hAnsi="宋体" w:cs="宋体"/>
          <w:color w:val="auto"/>
          <w:sz w:val="24"/>
          <w:szCs w:val="24"/>
          <w:highlight w:val="none"/>
        </w:rPr>
      </w:pPr>
      <w:r>
        <w:rPr>
          <w:rFonts w:ascii="宋体" w:hAnsi="宋体" w:cs="宋体"/>
          <w:color w:val="auto"/>
          <w:sz w:val="24"/>
          <w:szCs w:val="24"/>
          <w:highlight w:val="none"/>
        </w:rPr>
        <w:br w:type="page"/>
      </w:r>
    </w:p>
    <w:p w14:paraId="5BF276E1">
      <w:pPr>
        <w:widowControl/>
        <w:ind w:left="-850" w:leftChars="-405" w:firstLine="720" w:firstLineChars="300"/>
        <w:rPr>
          <w:rFonts w:ascii="宋体" w:hAnsi="宋体" w:cs="宋体"/>
          <w:color w:val="auto"/>
          <w:sz w:val="24"/>
          <w:szCs w:val="24"/>
          <w:highlight w:val="none"/>
        </w:rPr>
      </w:pPr>
      <w:r>
        <w:rPr>
          <w:rFonts w:ascii="宋体" w:hAnsi="宋体" w:cs="宋体"/>
          <w:color w:val="auto"/>
          <w:sz w:val="24"/>
          <w:szCs w:val="24"/>
          <w:highlight w:val="none"/>
        </w:rPr>
        <w:t>附件1：供货清单</w:t>
      </w:r>
    </w:p>
    <w:p w14:paraId="737A02B7">
      <w:pPr>
        <w:pStyle w:val="2"/>
        <w:textAlignment w:val="baseline"/>
        <w:rPr>
          <w:rFonts w:eastAsia="等线"/>
          <w:color w:val="auto"/>
          <w:highlight w:val="none"/>
        </w:rPr>
      </w:pPr>
    </w:p>
    <w:tbl>
      <w:tblPr>
        <w:tblStyle w:val="16"/>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39"/>
        <w:gridCol w:w="856"/>
        <w:gridCol w:w="775"/>
        <w:gridCol w:w="775"/>
        <w:gridCol w:w="1502"/>
        <w:gridCol w:w="1967"/>
        <w:gridCol w:w="993"/>
        <w:gridCol w:w="1105"/>
      </w:tblGrid>
      <w:tr w14:paraId="672FBC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vAlign w:val="center"/>
          </w:tcPr>
          <w:p w14:paraId="0DF1952C">
            <w:pPr>
              <w:pStyle w:val="47"/>
              <w:widowControl w:val="0"/>
              <w:spacing w:line="460" w:lineRule="exact"/>
              <w:jc w:val="center"/>
              <w:rPr>
                <w:rFonts w:ascii="华文楷体" w:hAnsi="华文楷体" w:eastAsia="华文楷体"/>
                <w:b/>
                <w:color w:val="auto"/>
                <w:sz w:val="24"/>
                <w:szCs w:val="24"/>
                <w:highlight w:val="none"/>
              </w:rPr>
            </w:pPr>
            <w:r>
              <w:rPr>
                <w:rFonts w:ascii="华文楷体" w:hAnsi="华文楷体" w:eastAsia="华文楷体" w:cs="华文楷体"/>
                <w:b/>
                <w:color w:val="auto"/>
                <w:sz w:val="24"/>
                <w:szCs w:val="24"/>
                <w:highlight w:val="none"/>
              </w:rPr>
              <w:t>序号</w:t>
            </w:r>
          </w:p>
        </w:tc>
        <w:tc>
          <w:tcPr>
            <w:tcW w:w="503" w:type="pct"/>
            <w:tcBorders>
              <w:top w:val="single" w:color="auto" w:sz="4" w:space="0"/>
              <w:left w:val="single" w:color="auto" w:sz="4" w:space="0"/>
              <w:bottom w:val="single" w:color="auto" w:sz="4" w:space="0"/>
              <w:right w:val="single" w:color="auto" w:sz="4" w:space="0"/>
            </w:tcBorders>
            <w:vAlign w:val="center"/>
          </w:tcPr>
          <w:p w14:paraId="396D46F3">
            <w:pPr>
              <w:pStyle w:val="47"/>
              <w:widowControl w:val="0"/>
              <w:spacing w:line="460" w:lineRule="exact"/>
              <w:jc w:val="center"/>
              <w:rPr>
                <w:rFonts w:ascii="华文楷体" w:hAnsi="华文楷体" w:eastAsia="华文楷体"/>
                <w:b/>
                <w:color w:val="auto"/>
                <w:sz w:val="24"/>
                <w:szCs w:val="24"/>
                <w:highlight w:val="none"/>
              </w:rPr>
            </w:pPr>
            <w:r>
              <w:rPr>
                <w:rFonts w:ascii="华文楷体" w:hAnsi="华文楷体" w:eastAsia="华文楷体" w:cs="华文楷体"/>
                <w:b/>
                <w:color w:val="auto"/>
                <w:sz w:val="24"/>
                <w:szCs w:val="24"/>
                <w:highlight w:val="none"/>
              </w:rPr>
              <w:t>名 称</w:t>
            </w:r>
          </w:p>
        </w:tc>
        <w:tc>
          <w:tcPr>
            <w:tcW w:w="455" w:type="pct"/>
            <w:tcBorders>
              <w:top w:val="single" w:color="auto" w:sz="4" w:space="0"/>
              <w:left w:val="single" w:color="auto" w:sz="4" w:space="0"/>
              <w:bottom w:val="single" w:color="auto" w:sz="4" w:space="0"/>
              <w:right w:val="single" w:color="auto" w:sz="4" w:space="0"/>
            </w:tcBorders>
            <w:vAlign w:val="center"/>
          </w:tcPr>
          <w:p w14:paraId="5FEEFB33">
            <w:pPr>
              <w:pStyle w:val="47"/>
              <w:widowControl w:val="0"/>
              <w:spacing w:line="460" w:lineRule="exact"/>
              <w:jc w:val="center"/>
              <w:rPr>
                <w:rFonts w:ascii="华文楷体" w:hAnsi="华文楷体" w:eastAsia="华文楷体"/>
                <w:b/>
                <w:color w:val="auto"/>
                <w:sz w:val="24"/>
                <w:szCs w:val="24"/>
                <w:highlight w:val="none"/>
              </w:rPr>
            </w:pPr>
            <w:r>
              <w:rPr>
                <w:rFonts w:ascii="华文楷体" w:hAnsi="华文楷体" w:eastAsia="华文楷体" w:cs="华文楷体"/>
                <w:b/>
                <w:color w:val="auto"/>
                <w:sz w:val="24"/>
                <w:szCs w:val="24"/>
                <w:highlight w:val="none"/>
              </w:rPr>
              <w:t>数量</w:t>
            </w:r>
          </w:p>
        </w:tc>
        <w:tc>
          <w:tcPr>
            <w:tcW w:w="455" w:type="pct"/>
            <w:tcBorders>
              <w:top w:val="single" w:color="auto" w:sz="4" w:space="0"/>
              <w:left w:val="single" w:color="auto" w:sz="4" w:space="0"/>
              <w:bottom w:val="single" w:color="auto" w:sz="4" w:space="0"/>
              <w:right w:val="single" w:color="auto" w:sz="4" w:space="0"/>
            </w:tcBorders>
            <w:vAlign w:val="center"/>
          </w:tcPr>
          <w:p w14:paraId="234DDAC6">
            <w:pPr>
              <w:pStyle w:val="47"/>
              <w:widowControl w:val="0"/>
              <w:spacing w:line="460" w:lineRule="exact"/>
              <w:jc w:val="center"/>
              <w:rPr>
                <w:rFonts w:ascii="华文楷体" w:hAnsi="华文楷体" w:eastAsia="华文楷体"/>
                <w:b/>
                <w:color w:val="auto"/>
                <w:sz w:val="24"/>
                <w:szCs w:val="24"/>
                <w:highlight w:val="none"/>
              </w:rPr>
            </w:pPr>
            <w:r>
              <w:rPr>
                <w:rFonts w:ascii="华文楷体" w:hAnsi="华文楷体" w:eastAsia="华文楷体" w:cs="华文楷体"/>
                <w:b/>
                <w:color w:val="auto"/>
                <w:sz w:val="24"/>
                <w:szCs w:val="24"/>
                <w:highlight w:val="none"/>
              </w:rPr>
              <w:t>原产地</w:t>
            </w:r>
          </w:p>
        </w:tc>
        <w:tc>
          <w:tcPr>
            <w:tcW w:w="882" w:type="pct"/>
            <w:tcBorders>
              <w:top w:val="single" w:color="auto" w:sz="4" w:space="0"/>
              <w:left w:val="single" w:color="auto" w:sz="4" w:space="0"/>
              <w:bottom w:val="single" w:color="auto" w:sz="4" w:space="0"/>
              <w:right w:val="single" w:color="auto" w:sz="4" w:space="0"/>
            </w:tcBorders>
            <w:vAlign w:val="center"/>
          </w:tcPr>
          <w:p w14:paraId="1F850294">
            <w:pPr>
              <w:pStyle w:val="47"/>
              <w:widowControl w:val="0"/>
              <w:spacing w:line="460" w:lineRule="exact"/>
              <w:jc w:val="center"/>
              <w:rPr>
                <w:rFonts w:ascii="华文楷体" w:hAnsi="华文楷体" w:eastAsia="华文楷体"/>
                <w:b/>
                <w:color w:val="auto"/>
                <w:sz w:val="24"/>
                <w:szCs w:val="24"/>
                <w:highlight w:val="none"/>
              </w:rPr>
            </w:pPr>
            <w:r>
              <w:rPr>
                <w:rFonts w:ascii="华文楷体" w:hAnsi="华文楷体" w:eastAsia="华文楷体" w:cs="华文楷体"/>
                <w:b/>
                <w:color w:val="auto"/>
                <w:sz w:val="24"/>
                <w:szCs w:val="24"/>
                <w:highlight w:val="none"/>
              </w:rPr>
              <w:t>制造商</w:t>
            </w:r>
          </w:p>
        </w:tc>
        <w:tc>
          <w:tcPr>
            <w:tcW w:w="1153" w:type="pct"/>
            <w:tcBorders>
              <w:top w:val="single" w:color="auto" w:sz="4" w:space="0"/>
              <w:left w:val="single" w:color="auto" w:sz="4" w:space="0"/>
              <w:bottom w:val="single" w:color="auto" w:sz="4" w:space="0"/>
              <w:right w:val="single" w:color="auto" w:sz="4" w:space="0"/>
            </w:tcBorders>
            <w:vAlign w:val="center"/>
          </w:tcPr>
          <w:p w14:paraId="33419274">
            <w:pPr>
              <w:pStyle w:val="47"/>
              <w:widowControl w:val="0"/>
              <w:spacing w:line="460" w:lineRule="exact"/>
              <w:jc w:val="center"/>
              <w:rPr>
                <w:rFonts w:ascii="华文楷体" w:hAnsi="华文楷体" w:eastAsia="华文楷体"/>
                <w:b/>
                <w:color w:val="auto"/>
                <w:sz w:val="24"/>
                <w:szCs w:val="24"/>
                <w:highlight w:val="none"/>
              </w:rPr>
            </w:pPr>
            <w:r>
              <w:rPr>
                <w:rFonts w:ascii="华文楷体" w:hAnsi="华文楷体" w:eastAsia="华文楷体" w:cs="华文楷体"/>
                <w:b/>
                <w:color w:val="auto"/>
                <w:sz w:val="24"/>
                <w:szCs w:val="24"/>
                <w:highlight w:val="none"/>
              </w:rPr>
              <w:t>规 格型号</w:t>
            </w:r>
          </w:p>
        </w:tc>
        <w:tc>
          <w:tcPr>
            <w:tcW w:w="583" w:type="pct"/>
            <w:tcBorders>
              <w:top w:val="single" w:color="auto" w:sz="4" w:space="0"/>
              <w:left w:val="single" w:color="auto" w:sz="4" w:space="0"/>
              <w:bottom w:val="single" w:color="auto" w:sz="4" w:space="0"/>
              <w:right w:val="single" w:color="auto" w:sz="4" w:space="0"/>
            </w:tcBorders>
            <w:vAlign w:val="center"/>
          </w:tcPr>
          <w:p w14:paraId="33C138E4">
            <w:pPr>
              <w:pStyle w:val="47"/>
              <w:widowControl w:val="0"/>
              <w:spacing w:line="460" w:lineRule="exact"/>
              <w:jc w:val="center"/>
              <w:rPr>
                <w:rFonts w:ascii="华文楷体" w:hAnsi="华文楷体" w:eastAsia="华文楷体"/>
                <w:b/>
                <w:color w:val="auto"/>
                <w:sz w:val="24"/>
                <w:szCs w:val="24"/>
                <w:highlight w:val="none"/>
              </w:rPr>
            </w:pPr>
            <w:r>
              <w:rPr>
                <w:rFonts w:ascii="华文楷体" w:hAnsi="华文楷体" w:eastAsia="华文楷体" w:cs="华文楷体"/>
                <w:b/>
                <w:color w:val="auto"/>
                <w:sz w:val="24"/>
                <w:szCs w:val="24"/>
                <w:highlight w:val="none"/>
              </w:rPr>
              <w:t>单价（元）</w:t>
            </w:r>
          </w:p>
        </w:tc>
        <w:tc>
          <w:tcPr>
            <w:tcW w:w="649" w:type="pct"/>
            <w:tcBorders>
              <w:top w:val="single" w:color="auto" w:sz="4" w:space="0"/>
              <w:left w:val="single" w:color="auto" w:sz="4" w:space="0"/>
              <w:bottom w:val="single" w:color="auto" w:sz="4" w:space="0"/>
              <w:right w:val="single" w:color="auto" w:sz="4" w:space="0"/>
            </w:tcBorders>
          </w:tcPr>
          <w:p w14:paraId="4A1017A8">
            <w:pPr>
              <w:pStyle w:val="47"/>
              <w:widowControl w:val="0"/>
              <w:spacing w:line="460" w:lineRule="exact"/>
              <w:jc w:val="center"/>
              <w:rPr>
                <w:rFonts w:ascii="华文楷体" w:hAnsi="华文楷体" w:eastAsia="华文楷体"/>
                <w:b/>
                <w:color w:val="auto"/>
                <w:sz w:val="24"/>
                <w:szCs w:val="24"/>
                <w:highlight w:val="none"/>
              </w:rPr>
            </w:pPr>
            <w:r>
              <w:rPr>
                <w:rFonts w:ascii="华文楷体" w:hAnsi="华文楷体" w:eastAsia="华文楷体" w:cs="华文楷体"/>
                <w:b/>
                <w:color w:val="auto"/>
                <w:sz w:val="24"/>
                <w:szCs w:val="24"/>
                <w:highlight w:val="none"/>
              </w:rPr>
              <w:t>金额（元）</w:t>
            </w:r>
          </w:p>
        </w:tc>
      </w:tr>
      <w:tr w14:paraId="610CD1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vAlign w:val="center"/>
          </w:tcPr>
          <w:p w14:paraId="136BCBAB">
            <w:pPr>
              <w:spacing w:line="460" w:lineRule="exact"/>
              <w:jc w:val="center"/>
              <w:rPr>
                <w:rFonts w:ascii="华文楷体" w:hAnsi="华文楷体" w:eastAsia="华文楷体" w:cs="华文楷体"/>
                <w:color w:val="auto"/>
                <w:kern w:val="0"/>
                <w:sz w:val="24"/>
                <w:szCs w:val="24"/>
                <w:highlight w:val="none"/>
              </w:rPr>
            </w:pPr>
          </w:p>
        </w:tc>
        <w:tc>
          <w:tcPr>
            <w:tcW w:w="503" w:type="pct"/>
            <w:tcBorders>
              <w:top w:val="single" w:color="auto" w:sz="4" w:space="0"/>
              <w:left w:val="single" w:color="auto" w:sz="4" w:space="0"/>
              <w:bottom w:val="single" w:color="auto" w:sz="4" w:space="0"/>
              <w:right w:val="single" w:color="auto" w:sz="4" w:space="0"/>
            </w:tcBorders>
            <w:vAlign w:val="center"/>
          </w:tcPr>
          <w:p w14:paraId="1CAC38E0">
            <w:pPr>
              <w:spacing w:line="460" w:lineRule="exact"/>
              <w:jc w:val="center"/>
              <w:rPr>
                <w:rFonts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vAlign w:val="center"/>
          </w:tcPr>
          <w:p w14:paraId="73841CC7">
            <w:pPr>
              <w:spacing w:line="460" w:lineRule="exact"/>
              <w:jc w:val="center"/>
              <w:rPr>
                <w:rFonts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vAlign w:val="center"/>
          </w:tcPr>
          <w:p w14:paraId="172F3353">
            <w:pPr>
              <w:pStyle w:val="47"/>
              <w:widowControl w:val="0"/>
              <w:spacing w:line="460" w:lineRule="exact"/>
              <w:jc w:val="center"/>
              <w:rPr>
                <w:rFonts w:ascii="华文楷体" w:hAnsi="华文楷体" w:eastAsia="华文楷体"/>
                <w:color w:val="auto"/>
                <w:sz w:val="24"/>
                <w:szCs w:val="24"/>
                <w:highlight w:val="none"/>
              </w:rPr>
            </w:pPr>
          </w:p>
        </w:tc>
        <w:tc>
          <w:tcPr>
            <w:tcW w:w="882" w:type="pct"/>
            <w:tcBorders>
              <w:top w:val="single" w:color="auto" w:sz="4" w:space="0"/>
              <w:left w:val="single" w:color="auto" w:sz="4" w:space="0"/>
              <w:bottom w:val="single" w:color="auto" w:sz="4" w:space="0"/>
              <w:right w:val="single" w:color="auto" w:sz="4" w:space="0"/>
            </w:tcBorders>
            <w:vAlign w:val="center"/>
          </w:tcPr>
          <w:p w14:paraId="365536CD">
            <w:pPr>
              <w:pStyle w:val="47"/>
              <w:widowControl w:val="0"/>
              <w:spacing w:line="460" w:lineRule="exact"/>
              <w:jc w:val="center"/>
              <w:rPr>
                <w:rFonts w:ascii="华文楷体" w:hAnsi="华文楷体" w:eastAsia="华文楷体"/>
                <w:color w:val="auto"/>
                <w:sz w:val="24"/>
                <w:szCs w:val="24"/>
                <w:highlight w:val="none"/>
              </w:rPr>
            </w:pPr>
          </w:p>
        </w:tc>
        <w:tc>
          <w:tcPr>
            <w:tcW w:w="1153" w:type="pct"/>
            <w:tcBorders>
              <w:top w:val="single" w:color="auto" w:sz="4" w:space="0"/>
              <w:left w:val="single" w:color="auto" w:sz="4" w:space="0"/>
              <w:bottom w:val="single" w:color="auto" w:sz="4" w:space="0"/>
              <w:right w:val="single" w:color="auto" w:sz="4" w:space="0"/>
            </w:tcBorders>
            <w:vAlign w:val="center"/>
          </w:tcPr>
          <w:p w14:paraId="5A0763E6">
            <w:pPr>
              <w:spacing w:line="460" w:lineRule="exact"/>
              <w:ind w:firstLine="480" w:firstLineChars="200"/>
              <w:rPr>
                <w:rFonts w:ascii="华文楷体" w:hAnsi="华文楷体" w:eastAsia="华文楷体" w:cs="宋体"/>
                <w:color w:val="auto"/>
                <w:kern w:val="0"/>
                <w:sz w:val="24"/>
                <w:szCs w:val="24"/>
                <w:highlight w:val="none"/>
              </w:rPr>
            </w:pPr>
          </w:p>
        </w:tc>
        <w:tc>
          <w:tcPr>
            <w:tcW w:w="583" w:type="pct"/>
            <w:tcBorders>
              <w:top w:val="single" w:color="auto" w:sz="4" w:space="0"/>
              <w:left w:val="single" w:color="auto" w:sz="4" w:space="0"/>
              <w:bottom w:val="single" w:color="auto" w:sz="4" w:space="0"/>
              <w:right w:val="single" w:color="auto" w:sz="4" w:space="0"/>
            </w:tcBorders>
            <w:vAlign w:val="center"/>
          </w:tcPr>
          <w:p w14:paraId="61ABB95D">
            <w:pPr>
              <w:spacing w:line="460" w:lineRule="exact"/>
              <w:jc w:val="center"/>
              <w:rPr>
                <w:rFonts w:ascii="华文楷体" w:hAnsi="华文楷体" w:eastAsia="华文楷体" w:cs="华文楷体"/>
                <w:b/>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vAlign w:val="center"/>
          </w:tcPr>
          <w:p w14:paraId="4D99566B">
            <w:pPr>
              <w:jc w:val="center"/>
              <w:rPr>
                <w:rFonts w:ascii="华文楷体" w:hAnsi="华文楷体" w:eastAsia="华文楷体" w:cs="宋体"/>
                <w:b/>
                <w:color w:val="auto"/>
                <w:kern w:val="0"/>
                <w:sz w:val="24"/>
                <w:szCs w:val="24"/>
                <w:highlight w:val="none"/>
              </w:rPr>
            </w:pPr>
          </w:p>
        </w:tc>
      </w:tr>
      <w:tr w14:paraId="448694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vAlign w:val="center"/>
          </w:tcPr>
          <w:p w14:paraId="60C42D8D">
            <w:pPr>
              <w:spacing w:line="460" w:lineRule="exact"/>
              <w:jc w:val="center"/>
              <w:rPr>
                <w:rFonts w:ascii="华文楷体" w:hAnsi="华文楷体" w:eastAsia="华文楷体" w:cs="华文楷体"/>
                <w:color w:val="auto"/>
                <w:kern w:val="0"/>
                <w:sz w:val="24"/>
                <w:szCs w:val="24"/>
                <w:highlight w:val="none"/>
              </w:rPr>
            </w:pPr>
          </w:p>
        </w:tc>
        <w:tc>
          <w:tcPr>
            <w:tcW w:w="503" w:type="pct"/>
            <w:tcBorders>
              <w:top w:val="single" w:color="auto" w:sz="4" w:space="0"/>
              <w:left w:val="single" w:color="auto" w:sz="4" w:space="0"/>
              <w:bottom w:val="single" w:color="auto" w:sz="4" w:space="0"/>
              <w:right w:val="single" w:color="auto" w:sz="4" w:space="0"/>
            </w:tcBorders>
            <w:vAlign w:val="center"/>
          </w:tcPr>
          <w:p w14:paraId="6933ECF1">
            <w:pPr>
              <w:spacing w:line="460" w:lineRule="exact"/>
              <w:jc w:val="center"/>
              <w:rPr>
                <w:rFonts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vAlign w:val="center"/>
          </w:tcPr>
          <w:p w14:paraId="41FC7AA8">
            <w:pPr>
              <w:spacing w:line="460" w:lineRule="exact"/>
              <w:jc w:val="center"/>
              <w:rPr>
                <w:rFonts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vAlign w:val="center"/>
          </w:tcPr>
          <w:p w14:paraId="5B910E5A">
            <w:pPr>
              <w:pStyle w:val="47"/>
              <w:widowControl w:val="0"/>
              <w:spacing w:line="460" w:lineRule="exact"/>
              <w:jc w:val="center"/>
              <w:rPr>
                <w:rFonts w:ascii="华文楷体" w:hAnsi="华文楷体" w:eastAsia="华文楷体"/>
                <w:color w:val="auto"/>
                <w:sz w:val="24"/>
                <w:szCs w:val="24"/>
                <w:highlight w:val="none"/>
              </w:rPr>
            </w:pPr>
          </w:p>
        </w:tc>
        <w:tc>
          <w:tcPr>
            <w:tcW w:w="882" w:type="pct"/>
            <w:tcBorders>
              <w:top w:val="single" w:color="auto" w:sz="4" w:space="0"/>
              <w:left w:val="single" w:color="auto" w:sz="4" w:space="0"/>
              <w:bottom w:val="single" w:color="auto" w:sz="4" w:space="0"/>
              <w:right w:val="single" w:color="auto" w:sz="4" w:space="0"/>
            </w:tcBorders>
            <w:vAlign w:val="center"/>
          </w:tcPr>
          <w:p w14:paraId="76480F98">
            <w:pPr>
              <w:pStyle w:val="47"/>
              <w:widowControl w:val="0"/>
              <w:spacing w:line="460" w:lineRule="exact"/>
              <w:jc w:val="center"/>
              <w:rPr>
                <w:rFonts w:ascii="华文楷体" w:hAnsi="华文楷体" w:eastAsia="华文楷体"/>
                <w:color w:val="auto"/>
                <w:sz w:val="24"/>
                <w:szCs w:val="24"/>
                <w:highlight w:val="none"/>
              </w:rPr>
            </w:pPr>
          </w:p>
        </w:tc>
        <w:tc>
          <w:tcPr>
            <w:tcW w:w="1153" w:type="pct"/>
            <w:tcBorders>
              <w:top w:val="single" w:color="auto" w:sz="4" w:space="0"/>
              <w:left w:val="single" w:color="auto" w:sz="4" w:space="0"/>
              <w:bottom w:val="single" w:color="auto" w:sz="4" w:space="0"/>
              <w:right w:val="single" w:color="auto" w:sz="4" w:space="0"/>
            </w:tcBorders>
            <w:vAlign w:val="center"/>
          </w:tcPr>
          <w:p w14:paraId="2F644630">
            <w:pPr>
              <w:spacing w:line="460" w:lineRule="exact"/>
              <w:ind w:firstLine="480" w:firstLineChars="200"/>
              <w:rPr>
                <w:rFonts w:ascii="华文楷体" w:hAnsi="华文楷体" w:eastAsia="华文楷体" w:cs="宋体"/>
                <w:color w:val="auto"/>
                <w:kern w:val="0"/>
                <w:sz w:val="24"/>
                <w:szCs w:val="24"/>
                <w:highlight w:val="none"/>
              </w:rPr>
            </w:pPr>
          </w:p>
        </w:tc>
        <w:tc>
          <w:tcPr>
            <w:tcW w:w="583" w:type="pct"/>
            <w:tcBorders>
              <w:top w:val="single" w:color="auto" w:sz="4" w:space="0"/>
              <w:left w:val="single" w:color="auto" w:sz="4" w:space="0"/>
              <w:bottom w:val="single" w:color="auto" w:sz="4" w:space="0"/>
              <w:right w:val="single" w:color="auto" w:sz="4" w:space="0"/>
            </w:tcBorders>
            <w:vAlign w:val="center"/>
          </w:tcPr>
          <w:p w14:paraId="53ED26DB">
            <w:pPr>
              <w:spacing w:line="460" w:lineRule="exact"/>
              <w:jc w:val="center"/>
              <w:rPr>
                <w:rFonts w:ascii="华文楷体" w:hAnsi="华文楷体" w:eastAsia="华文楷体" w:cs="华文楷体"/>
                <w:b/>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vAlign w:val="center"/>
          </w:tcPr>
          <w:p w14:paraId="7DF44CB4">
            <w:pPr>
              <w:jc w:val="center"/>
              <w:rPr>
                <w:rFonts w:ascii="华文楷体" w:hAnsi="华文楷体" w:eastAsia="华文楷体" w:cs="宋体"/>
                <w:b/>
                <w:color w:val="auto"/>
                <w:kern w:val="0"/>
                <w:sz w:val="24"/>
                <w:szCs w:val="24"/>
                <w:highlight w:val="none"/>
              </w:rPr>
            </w:pPr>
          </w:p>
        </w:tc>
      </w:tr>
      <w:tr w14:paraId="47E39F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vAlign w:val="center"/>
          </w:tcPr>
          <w:p w14:paraId="04D773D0">
            <w:pPr>
              <w:spacing w:line="460" w:lineRule="exact"/>
              <w:jc w:val="center"/>
              <w:rPr>
                <w:rFonts w:ascii="华文楷体" w:hAnsi="华文楷体" w:eastAsia="华文楷体" w:cs="华文楷体"/>
                <w:color w:val="auto"/>
                <w:kern w:val="0"/>
                <w:sz w:val="24"/>
                <w:szCs w:val="24"/>
                <w:highlight w:val="none"/>
              </w:rPr>
            </w:pPr>
          </w:p>
        </w:tc>
        <w:tc>
          <w:tcPr>
            <w:tcW w:w="503" w:type="pct"/>
            <w:tcBorders>
              <w:top w:val="single" w:color="auto" w:sz="4" w:space="0"/>
              <w:left w:val="single" w:color="auto" w:sz="4" w:space="0"/>
              <w:bottom w:val="single" w:color="auto" w:sz="4" w:space="0"/>
              <w:right w:val="single" w:color="auto" w:sz="4" w:space="0"/>
            </w:tcBorders>
            <w:vAlign w:val="center"/>
          </w:tcPr>
          <w:p w14:paraId="6145A2F4">
            <w:pPr>
              <w:spacing w:line="460" w:lineRule="exact"/>
              <w:jc w:val="center"/>
              <w:rPr>
                <w:rFonts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vAlign w:val="center"/>
          </w:tcPr>
          <w:p w14:paraId="0E851A7A">
            <w:pPr>
              <w:spacing w:line="460" w:lineRule="exact"/>
              <w:jc w:val="center"/>
              <w:rPr>
                <w:rFonts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vAlign w:val="center"/>
          </w:tcPr>
          <w:p w14:paraId="5DEF6412">
            <w:pPr>
              <w:pStyle w:val="47"/>
              <w:widowControl w:val="0"/>
              <w:spacing w:line="460" w:lineRule="exact"/>
              <w:jc w:val="center"/>
              <w:rPr>
                <w:rFonts w:ascii="华文楷体" w:hAnsi="华文楷体" w:eastAsia="华文楷体"/>
                <w:color w:val="auto"/>
                <w:sz w:val="24"/>
                <w:szCs w:val="24"/>
                <w:highlight w:val="none"/>
              </w:rPr>
            </w:pPr>
          </w:p>
        </w:tc>
        <w:tc>
          <w:tcPr>
            <w:tcW w:w="882" w:type="pct"/>
            <w:tcBorders>
              <w:top w:val="single" w:color="auto" w:sz="4" w:space="0"/>
              <w:left w:val="single" w:color="auto" w:sz="4" w:space="0"/>
              <w:bottom w:val="single" w:color="auto" w:sz="4" w:space="0"/>
              <w:right w:val="single" w:color="auto" w:sz="4" w:space="0"/>
            </w:tcBorders>
            <w:vAlign w:val="center"/>
          </w:tcPr>
          <w:p w14:paraId="7F677968">
            <w:pPr>
              <w:pStyle w:val="47"/>
              <w:widowControl w:val="0"/>
              <w:spacing w:line="460" w:lineRule="exact"/>
              <w:jc w:val="center"/>
              <w:rPr>
                <w:rFonts w:ascii="华文楷体" w:hAnsi="华文楷体" w:eastAsia="华文楷体"/>
                <w:color w:val="auto"/>
                <w:sz w:val="24"/>
                <w:szCs w:val="24"/>
                <w:highlight w:val="none"/>
              </w:rPr>
            </w:pPr>
          </w:p>
        </w:tc>
        <w:tc>
          <w:tcPr>
            <w:tcW w:w="1153" w:type="pct"/>
            <w:tcBorders>
              <w:top w:val="single" w:color="auto" w:sz="4" w:space="0"/>
              <w:left w:val="single" w:color="auto" w:sz="4" w:space="0"/>
              <w:bottom w:val="single" w:color="auto" w:sz="4" w:space="0"/>
              <w:right w:val="single" w:color="auto" w:sz="4" w:space="0"/>
            </w:tcBorders>
            <w:vAlign w:val="center"/>
          </w:tcPr>
          <w:p w14:paraId="624C2C40">
            <w:pPr>
              <w:spacing w:line="460" w:lineRule="exact"/>
              <w:ind w:firstLine="480" w:firstLineChars="200"/>
              <w:rPr>
                <w:rFonts w:ascii="华文楷体" w:hAnsi="华文楷体" w:eastAsia="华文楷体" w:cs="宋体"/>
                <w:color w:val="auto"/>
                <w:kern w:val="0"/>
                <w:sz w:val="24"/>
                <w:szCs w:val="24"/>
                <w:highlight w:val="none"/>
              </w:rPr>
            </w:pPr>
          </w:p>
        </w:tc>
        <w:tc>
          <w:tcPr>
            <w:tcW w:w="583" w:type="pct"/>
            <w:tcBorders>
              <w:top w:val="single" w:color="auto" w:sz="4" w:space="0"/>
              <w:left w:val="single" w:color="auto" w:sz="4" w:space="0"/>
              <w:bottom w:val="single" w:color="auto" w:sz="4" w:space="0"/>
              <w:right w:val="single" w:color="auto" w:sz="4" w:space="0"/>
            </w:tcBorders>
            <w:vAlign w:val="center"/>
          </w:tcPr>
          <w:p w14:paraId="4F2080D0">
            <w:pPr>
              <w:spacing w:line="460" w:lineRule="exact"/>
              <w:jc w:val="center"/>
              <w:rPr>
                <w:rFonts w:ascii="华文楷体" w:hAnsi="华文楷体" w:eastAsia="华文楷体" w:cs="华文楷体"/>
                <w:b/>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vAlign w:val="center"/>
          </w:tcPr>
          <w:p w14:paraId="7ADF6658">
            <w:pPr>
              <w:jc w:val="center"/>
              <w:rPr>
                <w:rFonts w:ascii="华文楷体" w:hAnsi="华文楷体" w:eastAsia="华文楷体" w:cs="宋体"/>
                <w:b/>
                <w:color w:val="auto"/>
                <w:kern w:val="0"/>
                <w:sz w:val="24"/>
                <w:szCs w:val="24"/>
                <w:highlight w:val="none"/>
              </w:rPr>
            </w:pPr>
          </w:p>
        </w:tc>
      </w:tr>
      <w:tr w14:paraId="435039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vAlign w:val="center"/>
          </w:tcPr>
          <w:p w14:paraId="4858847C">
            <w:pPr>
              <w:spacing w:line="460" w:lineRule="exact"/>
              <w:jc w:val="center"/>
              <w:rPr>
                <w:rFonts w:ascii="华文楷体" w:hAnsi="华文楷体" w:eastAsia="华文楷体" w:cs="华文楷体"/>
                <w:color w:val="auto"/>
                <w:kern w:val="0"/>
                <w:sz w:val="24"/>
                <w:szCs w:val="24"/>
                <w:highlight w:val="none"/>
              </w:rPr>
            </w:pPr>
          </w:p>
        </w:tc>
        <w:tc>
          <w:tcPr>
            <w:tcW w:w="503" w:type="pct"/>
            <w:tcBorders>
              <w:top w:val="single" w:color="auto" w:sz="4" w:space="0"/>
              <w:left w:val="single" w:color="auto" w:sz="4" w:space="0"/>
              <w:bottom w:val="single" w:color="auto" w:sz="4" w:space="0"/>
              <w:right w:val="single" w:color="auto" w:sz="4" w:space="0"/>
            </w:tcBorders>
            <w:vAlign w:val="center"/>
          </w:tcPr>
          <w:p w14:paraId="27AD1E59">
            <w:pPr>
              <w:spacing w:line="460" w:lineRule="exact"/>
              <w:jc w:val="center"/>
              <w:rPr>
                <w:rFonts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vAlign w:val="center"/>
          </w:tcPr>
          <w:p w14:paraId="3AC1F2C0">
            <w:pPr>
              <w:spacing w:line="460" w:lineRule="exact"/>
              <w:jc w:val="center"/>
              <w:rPr>
                <w:rFonts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vAlign w:val="center"/>
          </w:tcPr>
          <w:p w14:paraId="3DAC8735">
            <w:pPr>
              <w:pStyle w:val="47"/>
              <w:widowControl w:val="0"/>
              <w:spacing w:line="460" w:lineRule="exact"/>
              <w:jc w:val="center"/>
              <w:rPr>
                <w:rFonts w:ascii="华文楷体" w:hAnsi="华文楷体" w:eastAsia="华文楷体"/>
                <w:color w:val="auto"/>
                <w:sz w:val="24"/>
                <w:szCs w:val="24"/>
                <w:highlight w:val="none"/>
              </w:rPr>
            </w:pPr>
          </w:p>
        </w:tc>
        <w:tc>
          <w:tcPr>
            <w:tcW w:w="882" w:type="pct"/>
            <w:tcBorders>
              <w:top w:val="single" w:color="auto" w:sz="4" w:space="0"/>
              <w:left w:val="single" w:color="auto" w:sz="4" w:space="0"/>
              <w:bottom w:val="single" w:color="auto" w:sz="4" w:space="0"/>
              <w:right w:val="single" w:color="auto" w:sz="4" w:space="0"/>
            </w:tcBorders>
            <w:vAlign w:val="center"/>
          </w:tcPr>
          <w:p w14:paraId="43EB5D5B">
            <w:pPr>
              <w:pStyle w:val="47"/>
              <w:widowControl w:val="0"/>
              <w:spacing w:line="460" w:lineRule="exact"/>
              <w:jc w:val="center"/>
              <w:rPr>
                <w:rFonts w:ascii="华文楷体" w:hAnsi="华文楷体" w:eastAsia="华文楷体"/>
                <w:color w:val="auto"/>
                <w:sz w:val="24"/>
                <w:szCs w:val="24"/>
                <w:highlight w:val="none"/>
              </w:rPr>
            </w:pPr>
          </w:p>
        </w:tc>
        <w:tc>
          <w:tcPr>
            <w:tcW w:w="1153" w:type="pct"/>
            <w:tcBorders>
              <w:top w:val="single" w:color="auto" w:sz="4" w:space="0"/>
              <w:left w:val="single" w:color="auto" w:sz="4" w:space="0"/>
              <w:bottom w:val="single" w:color="auto" w:sz="4" w:space="0"/>
              <w:right w:val="single" w:color="auto" w:sz="4" w:space="0"/>
            </w:tcBorders>
            <w:vAlign w:val="center"/>
          </w:tcPr>
          <w:p w14:paraId="6E931D9C">
            <w:pPr>
              <w:spacing w:line="460" w:lineRule="exact"/>
              <w:ind w:firstLine="480" w:firstLineChars="200"/>
              <w:rPr>
                <w:rFonts w:ascii="华文楷体" w:hAnsi="华文楷体" w:eastAsia="华文楷体" w:cs="宋体"/>
                <w:color w:val="auto"/>
                <w:kern w:val="0"/>
                <w:sz w:val="24"/>
                <w:szCs w:val="24"/>
                <w:highlight w:val="none"/>
              </w:rPr>
            </w:pPr>
          </w:p>
        </w:tc>
        <w:tc>
          <w:tcPr>
            <w:tcW w:w="583" w:type="pct"/>
            <w:tcBorders>
              <w:top w:val="single" w:color="auto" w:sz="4" w:space="0"/>
              <w:left w:val="single" w:color="auto" w:sz="4" w:space="0"/>
              <w:bottom w:val="single" w:color="auto" w:sz="4" w:space="0"/>
              <w:right w:val="single" w:color="auto" w:sz="4" w:space="0"/>
            </w:tcBorders>
            <w:vAlign w:val="center"/>
          </w:tcPr>
          <w:p w14:paraId="474D0B3F">
            <w:pPr>
              <w:spacing w:line="460" w:lineRule="exact"/>
              <w:jc w:val="center"/>
              <w:rPr>
                <w:rFonts w:ascii="华文楷体" w:hAnsi="华文楷体" w:eastAsia="华文楷体" w:cs="华文楷体"/>
                <w:b/>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vAlign w:val="center"/>
          </w:tcPr>
          <w:p w14:paraId="13E4D81E">
            <w:pPr>
              <w:jc w:val="center"/>
              <w:rPr>
                <w:rFonts w:ascii="华文楷体" w:hAnsi="华文楷体" w:eastAsia="华文楷体" w:cs="宋体"/>
                <w:b/>
                <w:color w:val="auto"/>
                <w:kern w:val="0"/>
                <w:sz w:val="24"/>
                <w:szCs w:val="24"/>
                <w:highlight w:val="none"/>
              </w:rPr>
            </w:pPr>
          </w:p>
        </w:tc>
      </w:tr>
      <w:tr w14:paraId="0D1B5E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vAlign w:val="center"/>
          </w:tcPr>
          <w:p w14:paraId="2520FCA5">
            <w:pPr>
              <w:spacing w:line="460" w:lineRule="exact"/>
              <w:jc w:val="center"/>
              <w:rPr>
                <w:rFonts w:ascii="华文楷体" w:hAnsi="华文楷体" w:eastAsia="华文楷体" w:cs="华文楷体"/>
                <w:color w:val="auto"/>
                <w:kern w:val="0"/>
                <w:sz w:val="24"/>
                <w:szCs w:val="24"/>
                <w:highlight w:val="none"/>
              </w:rPr>
            </w:pPr>
          </w:p>
        </w:tc>
        <w:tc>
          <w:tcPr>
            <w:tcW w:w="503" w:type="pct"/>
            <w:tcBorders>
              <w:top w:val="single" w:color="auto" w:sz="4" w:space="0"/>
              <w:left w:val="single" w:color="auto" w:sz="4" w:space="0"/>
              <w:bottom w:val="single" w:color="auto" w:sz="4" w:space="0"/>
              <w:right w:val="single" w:color="auto" w:sz="4" w:space="0"/>
            </w:tcBorders>
            <w:vAlign w:val="center"/>
          </w:tcPr>
          <w:p w14:paraId="791F3244">
            <w:pPr>
              <w:spacing w:line="460" w:lineRule="exact"/>
              <w:jc w:val="center"/>
              <w:rPr>
                <w:rFonts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vAlign w:val="center"/>
          </w:tcPr>
          <w:p w14:paraId="2FDB0238">
            <w:pPr>
              <w:spacing w:line="460" w:lineRule="exact"/>
              <w:jc w:val="center"/>
              <w:rPr>
                <w:rFonts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vAlign w:val="center"/>
          </w:tcPr>
          <w:p w14:paraId="41136585">
            <w:pPr>
              <w:pStyle w:val="47"/>
              <w:widowControl w:val="0"/>
              <w:spacing w:line="460" w:lineRule="exact"/>
              <w:jc w:val="center"/>
              <w:rPr>
                <w:rFonts w:ascii="华文楷体" w:hAnsi="华文楷体" w:eastAsia="华文楷体"/>
                <w:color w:val="auto"/>
                <w:sz w:val="24"/>
                <w:szCs w:val="24"/>
                <w:highlight w:val="none"/>
              </w:rPr>
            </w:pPr>
          </w:p>
        </w:tc>
        <w:tc>
          <w:tcPr>
            <w:tcW w:w="882" w:type="pct"/>
            <w:tcBorders>
              <w:top w:val="single" w:color="auto" w:sz="4" w:space="0"/>
              <w:left w:val="single" w:color="auto" w:sz="4" w:space="0"/>
              <w:bottom w:val="single" w:color="auto" w:sz="4" w:space="0"/>
              <w:right w:val="single" w:color="auto" w:sz="4" w:space="0"/>
            </w:tcBorders>
            <w:vAlign w:val="center"/>
          </w:tcPr>
          <w:p w14:paraId="7E1AD958">
            <w:pPr>
              <w:pStyle w:val="47"/>
              <w:widowControl w:val="0"/>
              <w:spacing w:line="460" w:lineRule="exact"/>
              <w:jc w:val="center"/>
              <w:rPr>
                <w:rFonts w:ascii="华文楷体" w:hAnsi="华文楷体" w:eastAsia="华文楷体"/>
                <w:color w:val="auto"/>
                <w:sz w:val="24"/>
                <w:szCs w:val="24"/>
                <w:highlight w:val="none"/>
              </w:rPr>
            </w:pPr>
          </w:p>
        </w:tc>
        <w:tc>
          <w:tcPr>
            <w:tcW w:w="1153" w:type="pct"/>
            <w:tcBorders>
              <w:top w:val="single" w:color="auto" w:sz="4" w:space="0"/>
              <w:left w:val="single" w:color="auto" w:sz="4" w:space="0"/>
              <w:bottom w:val="single" w:color="auto" w:sz="4" w:space="0"/>
              <w:right w:val="single" w:color="auto" w:sz="4" w:space="0"/>
            </w:tcBorders>
            <w:vAlign w:val="center"/>
          </w:tcPr>
          <w:p w14:paraId="08E98062">
            <w:pPr>
              <w:spacing w:line="460" w:lineRule="exact"/>
              <w:ind w:firstLine="480" w:firstLineChars="200"/>
              <w:rPr>
                <w:rFonts w:ascii="华文楷体" w:hAnsi="华文楷体" w:eastAsia="华文楷体" w:cs="宋体"/>
                <w:color w:val="auto"/>
                <w:kern w:val="0"/>
                <w:sz w:val="24"/>
                <w:szCs w:val="24"/>
                <w:highlight w:val="none"/>
              </w:rPr>
            </w:pPr>
          </w:p>
        </w:tc>
        <w:tc>
          <w:tcPr>
            <w:tcW w:w="583" w:type="pct"/>
            <w:tcBorders>
              <w:top w:val="single" w:color="auto" w:sz="4" w:space="0"/>
              <w:left w:val="single" w:color="auto" w:sz="4" w:space="0"/>
              <w:bottom w:val="single" w:color="auto" w:sz="4" w:space="0"/>
              <w:right w:val="single" w:color="auto" w:sz="4" w:space="0"/>
            </w:tcBorders>
            <w:vAlign w:val="center"/>
          </w:tcPr>
          <w:p w14:paraId="30EA2D43">
            <w:pPr>
              <w:spacing w:line="460" w:lineRule="exact"/>
              <w:jc w:val="center"/>
              <w:rPr>
                <w:rFonts w:ascii="华文楷体" w:hAnsi="华文楷体" w:eastAsia="华文楷体" w:cs="华文楷体"/>
                <w:b/>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vAlign w:val="center"/>
          </w:tcPr>
          <w:p w14:paraId="64140393">
            <w:pPr>
              <w:jc w:val="center"/>
              <w:rPr>
                <w:rFonts w:ascii="华文楷体" w:hAnsi="华文楷体" w:eastAsia="华文楷体" w:cs="宋体"/>
                <w:b/>
                <w:color w:val="auto"/>
                <w:kern w:val="0"/>
                <w:sz w:val="24"/>
                <w:szCs w:val="24"/>
                <w:highlight w:val="none"/>
              </w:rPr>
            </w:pPr>
          </w:p>
        </w:tc>
      </w:tr>
      <w:tr w14:paraId="0EFC9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vAlign w:val="center"/>
          </w:tcPr>
          <w:p w14:paraId="481BFA18">
            <w:pPr>
              <w:spacing w:line="460" w:lineRule="exact"/>
              <w:jc w:val="center"/>
              <w:rPr>
                <w:rFonts w:ascii="华文楷体" w:hAnsi="华文楷体" w:eastAsia="华文楷体" w:cs="华文楷体"/>
                <w:color w:val="auto"/>
                <w:kern w:val="0"/>
                <w:sz w:val="24"/>
                <w:szCs w:val="24"/>
                <w:highlight w:val="none"/>
              </w:rPr>
            </w:pPr>
          </w:p>
        </w:tc>
        <w:tc>
          <w:tcPr>
            <w:tcW w:w="503" w:type="pct"/>
            <w:tcBorders>
              <w:top w:val="single" w:color="auto" w:sz="4" w:space="0"/>
              <w:left w:val="single" w:color="auto" w:sz="4" w:space="0"/>
              <w:bottom w:val="single" w:color="auto" w:sz="4" w:space="0"/>
              <w:right w:val="single" w:color="auto" w:sz="4" w:space="0"/>
            </w:tcBorders>
            <w:vAlign w:val="center"/>
          </w:tcPr>
          <w:p w14:paraId="5AACA58B">
            <w:pPr>
              <w:spacing w:line="460" w:lineRule="exact"/>
              <w:jc w:val="center"/>
              <w:rPr>
                <w:rFonts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vAlign w:val="center"/>
          </w:tcPr>
          <w:p w14:paraId="69B0B923">
            <w:pPr>
              <w:spacing w:line="460" w:lineRule="exact"/>
              <w:jc w:val="center"/>
              <w:rPr>
                <w:rFonts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vAlign w:val="center"/>
          </w:tcPr>
          <w:p w14:paraId="0861EB1C">
            <w:pPr>
              <w:pStyle w:val="47"/>
              <w:widowControl w:val="0"/>
              <w:spacing w:line="460" w:lineRule="exact"/>
              <w:jc w:val="center"/>
              <w:rPr>
                <w:rFonts w:ascii="华文楷体" w:hAnsi="华文楷体" w:eastAsia="华文楷体"/>
                <w:color w:val="auto"/>
                <w:sz w:val="24"/>
                <w:szCs w:val="24"/>
                <w:highlight w:val="none"/>
              </w:rPr>
            </w:pPr>
          </w:p>
        </w:tc>
        <w:tc>
          <w:tcPr>
            <w:tcW w:w="882" w:type="pct"/>
            <w:tcBorders>
              <w:top w:val="single" w:color="auto" w:sz="4" w:space="0"/>
              <w:left w:val="single" w:color="auto" w:sz="4" w:space="0"/>
              <w:bottom w:val="single" w:color="auto" w:sz="4" w:space="0"/>
              <w:right w:val="single" w:color="auto" w:sz="4" w:space="0"/>
            </w:tcBorders>
            <w:vAlign w:val="center"/>
          </w:tcPr>
          <w:p w14:paraId="35B68EBD">
            <w:pPr>
              <w:pStyle w:val="47"/>
              <w:widowControl w:val="0"/>
              <w:spacing w:line="460" w:lineRule="exact"/>
              <w:jc w:val="center"/>
              <w:rPr>
                <w:rFonts w:ascii="华文楷体" w:hAnsi="华文楷体" w:eastAsia="华文楷体"/>
                <w:color w:val="auto"/>
                <w:sz w:val="24"/>
                <w:szCs w:val="24"/>
                <w:highlight w:val="none"/>
              </w:rPr>
            </w:pPr>
          </w:p>
        </w:tc>
        <w:tc>
          <w:tcPr>
            <w:tcW w:w="1153" w:type="pct"/>
            <w:tcBorders>
              <w:top w:val="single" w:color="auto" w:sz="4" w:space="0"/>
              <w:left w:val="single" w:color="auto" w:sz="4" w:space="0"/>
              <w:bottom w:val="single" w:color="auto" w:sz="4" w:space="0"/>
              <w:right w:val="single" w:color="auto" w:sz="4" w:space="0"/>
            </w:tcBorders>
            <w:vAlign w:val="center"/>
          </w:tcPr>
          <w:p w14:paraId="214C6D37">
            <w:pPr>
              <w:spacing w:line="460" w:lineRule="exact"/>
              <w:ind w:firstLine="480" w:firstLineChars="200"/>
              <w:rPr>
                <w:rFonts w:ascii="华文楷体" w:hAnsi="华文楷体" w:eastAsia="华文楷体" w:cs="宋体"/>
                <w:color w:val="auto"/>
                <w:kern w:val="0"/>
                <w:sz w:val="24"/>
                <w:szCs w:val="24"/>
                <w:highlight w:val="none"/>
              </w:rPr>
            </w:pPr>
          </w:p>
        </w:tc>
        <w:tc>
          <w:tcPr>
            <w:tcW w:w="583" w:type="pct"/>
            <w:tcBorders>
              <w:top w:val="single" w:color="auto" w:sz="4" w:space="0"/>
              <w:left w:val="single" w:color="auto" w:sz="4" w:space="0"/>
              <w:bottom w:val="single" w:color="auto" w:sz="4" w:space="0"/>
              <w:right w:val="single" w:color="auto" w:sz="4" w:space="0"/>
            </w:tcBorders>
            <w:vAlign w:val="center"/>
          </w:tcPr>
          <w:p w14:paraId="645B64A3">
            <w:pPr>
              <w:spacing w:line="460" w:lineRule="exact"/>
              <w:jc w:val="center"/>
              <w:rPr>
                <w:rFonts w:ascii="华文楷体" w:hAnsi="华文楷体" w:eastAsia="华文楷体" w:cs="华文楷体"/>
                <w:b/>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vAlign w:val="center"/>
          </w:tcPr>
          <w:p w14:paraId="716B6FFC">
            <w:pPr>
              <w:jc w:val="center"/>
              <w:rPr>
                <w:rFonts w:ascii="华文楷体" w:hAnsi="华文楷体" w:eastAsia="华文楷体" w:cs="宋体"/>
                <w:b/>
                <w:color w:val="auto"/>
                <w:kern w:val="0"/>
                <w:sz w:val="24"/>
                <w:szCs w:val="24"/>
                <w:highlight w:val="none"/>
              </w:rPr>
            </w:pPr>
          </w:p>
        </w:tc>
      </w:tr>
      <w:tr w14:paraId="07CAEF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vAlign w:val="center"/>
          </w:tcPr>
          <w:p w14:paraId="2B79964F">
            <w:pPr>
              <w:spacing w:line="460" w:lineRule="exact"/>
              <w:jc w:val="center"/>
              <w:rPr>
                <w:rFonts w:ascii="华文楷体" w:hAnsi="华文楷体" w:eastAsia="华文楷体" w:cs="华文楷体"/>
                <w:color w:val="auto"/>
                <w:kern w:val="0"/>
                <w:sz w:val="24"/>
                <w:szCs w:val="24"/>
                <w:highlight w:val="none"/>
              </w:rPr>
            </w:pPr>
          </w:p>
        </w:tc>
        <w:tc>
          <w:tcPr>
            <w:tcW w:w="503" w:type="pct"/>
            <w:tcBorders>
              <w:top w:val="single" w:color="auto" w:sz="4" w:space="0"/>
              <w:left w:val="single" w:color="auto" w:sz="4" w:space="0"/>
              <w:bottom w:val="single" w:color="auto" w:sz="4" w:space="0"/>
              <w:right w:val="single" w:color="auto" w:sz="4" w:space="0"/>
            </w:tcBorders>
            <w:vAlign w:val="center"/>
          </w:tcPr>
          <w:p w14:paraId="59DBFCBD">
            <w:pPr>
              <w:spacing w:line="460" w:lineRule="exact"/>
              <w:jc w:val="center"/>
              <w:rPr>
                <w:rFonts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vAlign w:val="center"/>
          </w:tcPr>
          <w:p w14:paraId="37F0C946">
            <w:pPr>
              <w:spacing w:line="460" w:lineRule="exact"/>
              <w:jc w:val="center"/>
              <w:rPr>
                <w:rFonts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vAlign w:val="center"/>
          </w:tcPr>
          <w:p w14:paraId="42680B24">
            <w:pPr>
              <w:pStyle w:val="47"/>
              <w:widowControl w:val="0"/>
              <w:spacing w:line="460" w:lineRule="exact"/>
              <w:jc w:val="center"/>
              <w:rPr>
                <w:rFonts w:ascii="华文楷体" w:hAnsi="华文楷体" w:eastAsia="华文楷体"/>
                <w:color w:val="auto"/>
                <w:sz w:val="24"/>
                <w:szCs w:val="24"/>
                <w:highlight w:val="none"/>
              </w:rPr>
            </w:pPr>
          </w:p>
        </w:tc>
        <w:tc>
          <w:tcPr>
            <w:tcW w:w="882" w:type="pct"/>
            <w:tcBorders>
              <w:top w:val="single" w:color="auto" w:sz="4" w:space="0"/>
              <w:left w:val="single" w:color="auto" w:sz="4" w:space="0"/>
              <w:bottom w:val="single" w:color="auto" w:sz="4" w:space="0"/>
              <w:right w:val="single" w:color="auto" w:sz="4" w:space="0"/>
            </w:tcBorders>
            <w:vAlign w:val="center"/>
          </w:tcPr>
          <w:p w14:paraId="6F28EDC1">
            <w:pPr>
              <w:pStyle w:val="47"/>
              <w:widowControl w:val="0"/>
              <w:spacing w:line="460" w:lineRule="exact"/>
              <w:jc w:val="center"/>
              <w:rPr>
                <w:rFonts w:ascii="华文楷体" w:hAnsi="华文楷体" w:eastAsia="华文楷体"/>
                <w:color w:val="auto"/>
                <w:sz w:val="24"/>
                <w:szCs w:val="24"/>
                <w:highlight w:val="none"/>
              </w:rPr>
            </w:pPr>
          </w:p>
        </w:tc>
        <w:tc>
          <w:tcPr>
            <w:tcW w:w="1153" w:type="pct"/>
            <w:tcBorders>
              <w:top w:val="single" w:color="auto" w:sz="4" w:space="0"/>
              <w:left w:val="single" w:color="auto" w:sz="4" w:space="0"/>
              <w:bottom w:val="single" w:color="auto" w:sz="4" w:space="0"/>
              <w:right w:val="single" w:color="auto" w:sz="4" w:space="0"/>
            </w:tcBorders>
            <w:vAlign w:val="center"/>
          </w:tcPr>
          <w:p w14:paraId="1C300E25">
            <w:pPr>
              <w:spacing w:line="460" w:lineRule="exact"/>
              <w:ind w:firstLine="480" w:firstLineChars="200"/>
              <w:rPr>
                <w:rFonts w:ascii="华文楷体" w:hAnsi="华文楷体" w:eastAsia="华文楷体" w:cs="宋体"/>
                <w:color w:val="auto"/>
                <w:kern w:val="0"/>
                <w:sz w:val="24"/>
                <w:szCs w:val="24"/>
                <w:highlight w:val="none"/>
              </w:rPr>
            </w:pPr>
          </w:p>
        </w:tc>
        <w:tc>
          <w:tcPr>
            <w:tcW w:w="583" w:type="pct"/>
            <w:tcBorders>
              <w:top w:val="single" w:color="auto" w:sz="4" w:space="0"/>
              <w:left w:val="single" w:color="auto" w:sz="4" w:space="0"/>
              <w:bottom w:val="single" w:color="auto" w:sz="4" w:space="0"/>
              <w:right w:val="single" w:color="auto" w:sz="4" w:space="0"/>
            </w:tcBorders>
            <w:vAlign w:val="center"/>
          </w:tcPr>
          <w:p w14:paraId="76D173C6">
            <w:pPr>
              <w:spacing w:line="460" w:lineRule="exact"/>
              <w:jc w:val="center"/>
              <w:rPr>
                <w:rFonts w:ascii="华文楷体" w:hAnsi="华文楷体" w:eastAsia="华文楷体" w:cs="华文楷体"/>
                <w:b/>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vAlign w:val="center"/>
          </w:tcPr>
          <w:p w14:paraId="21B10CA0">
            <w:pPr>
              <w:jc w:val="center"/>
              <w:rPr>
                <w:rFonts w:ascii="华文楷体" w:hAnsi="华文楷体" w:eastAsia="华文楷体" w:cs="宋体"/>
                <w:b/>
                <w:color w:val="auto"/>
                <w:kern w:val="0"/>
                <w:sz w:val="24"/>
                <w:szCs w:val="24"/>
                <w:highlight w:val="none"/>
              </w:rPr>
            </w:pPr>
          </w:p>
        </w:tc>
      </w:tr>
      <w:tr w14:paraId="06FF2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vAlign w:val="center"/>
          </w:tcPr>
          <w:p w14:paraId="10FFF984">
            <w:pPr>
              <w:spacing w:line="460" w:lineRule="exact"/>
              <w:jc w:val="center"/>
              <w:rPr>
                <w:rFonts w:ascii="华文楷体" w:hAnsi="华文楷体" w:eastAsia="华文楷体" w:cs="华文楷体"/>
                <w:color w:val="auto"/>
                <w:kern w:val="0"/>
                <w:sz w:val="24"/>
                <w:szCs w:val="24"/>
                <w:highlight w:val="none"/>
              </w:rPr>
            </w:pPr>
          </w:p>
        </w:tc>
        <w:tc>
          <w:tcPr>
            <w:tcW w:w="503" w:type="pct"/>
            <w:tcBorders>
              <w:top w:val="single" w:color="auto" w:sz="4" w:space="0"/>
              <w:left w:val="single" w:color="auto" w:sz="4" w:space="0"/>
              <w:bottom w:val="single" w:color="auto" w:sz="4" w:space="0"/>
              <w:right w:val="single" w:color="auto" w:sz="4" w:space="0"/>
            </w:tcBorders>
            <w:vAlign w:val="center"/>
          </w:tcPr>
          <w:p w14:paraId="016986B7">
            <w:pPr>
              <w:spacing w:line="460" w:lineRule="exact"/>
              <w:jc w:val="center"/>
              <w:rPr>
                <w:rFonts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vAlign w:val="center"/>
          </w:tcPr>
          <w:p w14:paraId="2CBB34CF">
            <w:pPr>
              <w:spacing w:line="460" w:lineRule="exact"/>
              <w:jc w:val="center"/>
              <w:rPr>
                <w:rFonts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vAlign w:val="center"/>
          </w:tcPr>
          <w:p w14:paraId="525228B6">
            <w:pPr>
              <w:pStyle w:val="47"/>
              <w:widowControl w:val="0"/>
              <w:spacing w:line="460" w:lineRule="exact"/>
              <w:jc w:val="center"/>
              <w:rPr>
                <w:rFonts w:ascii="华文楷体" w:hAnsi="华文楷体" w:eastAsia="华文楷体"/>
                <w:color w:val="auto"/>
                <w:sz w:val="24"/>
                <w:szCs w:val="24"/>
                <w:highlight w:val="none"/>
              </w:rPr>
            </w:pPr>
          </w:p>
        </w:tc>
        <w:tc>
          <w:tcPr>
            <w:tcW w:w="882" w:type="pct"/>
            <w:tcBorders>
              <w:top w:val="single" w:color="auto" w:sz="4" w:space="0"/>
              <w:left w:val="single" w:color="auto" w:sz="4" w:space="0"/>
              <w:bottom w:val="single" w:color="auto" w:sz="4" w:space="0"/>
              <w:right w:val="single" w:color="auto" w:sz="4" w:space="0"/>
            </w:tcBorders>
            <w:vAlign w:val="center"/>
          </w:tcPr>
          <w:p w14:paraId="24154354">
            <w:pPr>
              <w:pStyle w:val="47"/>
              <w:widowControl w:val="0"/>
              <w:spacing w:line="460" w:lineRule="exact"/>
              <w:jc w:val="center"/>
              <w:rPr>
                <w:rFonts w:ascii="华文楷体" w:hAnsi="华文楷体" w:eastAsia="华文楷体"/>
                <w:color w:val="auto"/>
                <w:sz w:val="24"/>
                <w:szCs w:val="24"/>
                <w:highlight w:val="none"/>
              </w:rPr>
            </w:pPr>
          </w:p>
        </w:tc>
        <w:tc>
          <w:tcPr>
            <w:tcW w:w="1153" w:type="pct"/>
            <w:tcBorders>
              <w:top w:val="single" w:color="auto" w:sz="4" w:space="0"/>
              <w:left w:val="single" w:color="auto" w:sz="4" w:space="0"/>
              <w:bottom w:val="single" w:color="auto" w:sz="4" w:space="0"/>
              <w:right w:val="single" w:color="auto" w:sz="4" w:space="0"/>
            </w:tcBorders>
            <w:vAlign w:val="center"/>
          </w:tcPr>
          <w:p w14:paraId="4DB8C31F">
            <w:pPr>
              <w:spacing w:line="460" w:lineRule="exact"/>
              <w:ind w:firstLine="480" w:firstLineChars="200"/>
              <w:rPr>
                <w:rFonts w:ascii="华文楷体" w:hAnsi="华文楷体" w:eastAsia="华文楷体" w:cs="宋体"/>
                <w:color w:val="auto"/>
                <w:kern w:val="0"/>
                <w:sz w:val="24"/>
                <w:szCs w:val="24"/>
                <w:highlight w:val="none"/>
              </w:rPr>
            </w:pPr>
          </w:p>
        </w:tc>
        <w:tc>
          <w:tcPr>
            <w:tcW w:w="583" w:type="pct"/>
            <w:tcBorders>
              <w:top w:val="single" w:color="auto" w:sz="4" w:space="0"/>
              <w:left w:val="single" w:color="auto" w:sz="4" w:space="0"/>
              <w:bottom w:val="single" w:color="auto" w:sz="4" w:space="0"/>
              <w:right w:val="single" w:color="auto" w:sz="4" w:space="0"/>
            </w:tcBorders>
            <w:vAlign w:val="center"/>
          </w:tcPr>
          <w:p w14:paraId="2E014277">
            <w:pPr>
              <w:spacing w:line="460" w:lineRule="exact"/>
              <w:jc w:val="center"/>
              <w:rPr>
                <w:rFonts w:ascii="华文楷体" w:hAnsi="华文楷体" w:eastAsia="华文楷体" w:cs="华文楷体"/>
                <w:b/>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vAlign w:val="center"/>
          </w:tcPr>
          <w:p w14:paraId="2B73C913">
            <w:pPr>
              <w:jc w:val="center"/>
              <w:rPr>
                <w:rFonts w:ascii="华文楷体" w:hAnsi="华文楷体" w:eastAsia="华文楷体" w:cs="宋体"/>
                <w:b/>
                <w:color w:val="auto"/>
                <w:kern w:val="0"/>
                <w:sz w:val="24"/>
                <w:szCs w:val="24"/>
                <w:highlight w:val="none"/>
              </w:rPr>
            </w:pPr>
          </w:p>
        </w:tc>
      </w:tr>
      <w:tr w14:paraId="55664D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vAlign w:val="center"/>
          </w:tcPr>
          <w:p w14:paraId="58E7BE87">
            <w:pPr>
              <w:spacing w:line="460" w:lineRule="exact"/>
              <w:jc w:val="center"/>
              <w:rPr>
                <w:rFonts w:ascii="华文楷体" w:hAnsi="华文楷体" w:eastAsia="华文楷体" w:cs="华文楷体"/>
                <w:color w:val="auto"/>
                <w:kern w:val="0"/>
                <w:sz w:val="24"/>
                <w:szCs w:val="24"/>
                <w:highlight w:val="none"/>
              </w:rPr>
            </w:pPr>
          </w:p>
        </w:tc>
        <w:tc>
          <w:tcPr>
            <w:tcW w:w="503" w:type="pct"/>
            <w:tcBorders>
              <w:top w:val="single" w:color="auto" w:sz="4" w:space="0"/>
              <w:left w:val="single" w:color="auto" w:sz="4" w:space="0"/>
              <w:bottom w:val="single" w:color="auto" w:sz="4" w:space="0"/>
              <w:right w:val="single" w:color="auto" w:sz="4" w:space="0"/>
            </w:tcBorders>
            <w:vAlign w:val="center"/>
          </w:tcPr>
          <w:p w14:paraId="4F651CE8">
            <w:pPr>
              <w:spacing w:line="460" w:lineRule="exact"/>
              <w:jc w:val="center"/>
              <w:rPr>
                <w:rFonts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vAlign w:val="center"/>
          </w:tcPr>
          <w:p w14:paraId="31C9253C">
            <w:pPr>
              <w:spacing w:line="460" w:lineRule="exact"/>
              <w:jc w:val="center"/>
              <w:rPr>
                <w:rFonts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vAlign w:val="center"/>
          </w:tcPr>
          <w:p w14:paraId="424316C3">
            <w:pPr>
              <w:pStyle w:val="47"/>
              <w:widowControl w:val="0"/>
              <w:spacing w:line="460" w:lineRule="exact"/>
              <w:jc w:val="center"/>
              <w:rPr>
                <w:rFonts w:ascii="华文楷体" w:hAnsi="华文楷体" w:eastAsia="华文楷体"/>
                <w:color w:val="auto"/>
                <w:sz w:val="24"/>
                <w:szCs w:val="24"/>
                <w:highlight w:val="none"/>
              </w:rPr>
            </w:pPr>
          </w:p>
        </w:tc>
        <w:tc>
          <w:tcPr>
            <w:tcW w:w="882" w:type="pct"/>
            <w:tcBorders>
              <w:top w:val="single" w:color="auto" w:sz="4" w:space="0"/>
              <w:left w:val="single" w:color="auto" w:sz="4" w:space="0"/>
              <w:bottom w:val="single" w:color="auto" w:sz="4" w:space="0"/>
              <w:right w:val="single" w:color="auto" w:sz="4" w:space="0"/>
            </w:tcBorders>
            <w:vAlign w:val="center"/>
          </w:tcPr>
          <w:p w14:paraId="2ED4DDE0">
            <w:pPr>
              <w:pStyle w:val="47"/>
              <w:widowControl w:val="0"/>
              <w:spacing w:line="460" w:lineRule="exact"/>
              <w:jc w:val="center"/>
              <w:rPr>
                <w:rFonts w:ascii="华文楷体" w:hAnsi="华文楷体" w:eastAsia="华文楷体"/>
                <w:color w:val="auto"/>
                <w:sz w:val="24"/>
                <w:szCs w:val="24"/>
                <w:highlight w:val="none"/>
              </w:rPr>
            </w:pPr>
          </w:p>
        </w:tc>
        <w:tc>
          <w:tcPr>
            <w:tcW w:w="1153" w:type="pct"/>
            <w:tcBorders>
              <w:top w:val="single" w:color="auto" w:sz="4" w:space="0"/>
              <w:left w:val="single" w:color="auto" w:sz="4" w:space="0"/>
              <w:bottom w:val="single" w:color="auto" w:sz="4" w:space="0"/>
              <w:right w:val="single" w:color="auto" w:sz="4" w:space="0"/>
            </w:tcBorders>
            <w:vAlign w:val="center"/>
          </w:tcPr>
          <w:p w14:paraId="07BF46C6">
            <w:pPr>
              <w:spacing w:line="460" w:lineRule="exact"/>
              <w:ind w:firstLine="480" w:firstLineChars="200"/>
              <w:rPr>
                <w:rFonts w:ascii="华文楷体" w:hAnsi="华文楷体" w:eastAsia="华文楷体" w:cs="宋体"/>
                <w:color w:val="auto"/>
                <w:kern w:val="0"/>
                <w:sz w:val="24"/>
                <w:szCs w:val="24"/>
                <w:highlight w:val="none"/>
              </w:rPr>
            </w:pPr>
          </w:p>
        </w:tc>
        <w:tc>
          <w:tcPr>
            <w:tcW w:w="583" w:type="pct"/>
            <w:tcBorders>
              <w:top w:val="single" w:color="auto" w:sz="4" w:space="0"/>
              <w:left w:val="single" w:color="auto" w:sz="4" w:space="0"/>
              <w:bottom w:val="single" w:color="auto" w:sz="4" w:space="0"/>
              <w:right w:val="single" w:color="auto" w:sz="4" w:space="0"/>
            </w:tcBorders>
            <w:vAlign w:val="center"/>
          </w:tcPr>
          <w:p w14:paraId="3965D428">
            <w:pPr>
              <w:spacing w:line="460" w:lineRule="exact"/>
              <w:jc w:val="center"/>
              <w:rPr>
                <w:rFonts w:ascii="华文楷体" w:hAnsi="华文楷体" w:eastAsia="华文楷体" w:cs="华文楷体"/>
                <w:b/>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vAlign w:val="center"/>
          </w:tcPr>
          <w:p w14:paraId="15916DC8">
            <w:pPr>
              <w:jc w:val="center"/>
              <w:rPr>
                <w:rFonts w:ascii="华文楷体" w:hAnsi="华文楷体" w:eastAsia="华文楷体" w:cs="宋体"/>
                <w:b/>
                <w:color w:val="auto"/>
                <w:kern w:val="0"/>
                <w:sz w:val="24"/>
                <w:szCs w:val="24"/>
                <w:highlight w:val="none"/>
              </w:rPr>
            </w:pPr>
          </w:p>
        </w:tc>
      </w:tr>
      <w:tr w14:paraId="206604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vAlign w:val="center"/>
          </w:tcPr>
          <w:p w14:paraId="40462728">
            <w:pPr>
              <w:spacing w:line="460" w:lineRule="exact"/>
              <w:jc w:val="center"/>
              <w:rPr>
                <w:rFonts w:ascii="华文楷体" w:hAnsi="华文楷体" w:eastAsia="华文楷体" w:cs="华文楷体"/>
                <w:color w:val="auto"/>
                <w:kern w:val="0"/>
                <w:sz w:val="24"/>
                <w:szCs w:val="24"/>
                <w:highlight w:val="none"/>
              </w:rPr>
            </w:pPr>
          </w:p>
        </w:tc>
        <w:tc>
          <w:tcPr>
            <w:tcW w:w="503" w:type="pct"/>
            <w:tcBorders>
              <w:top w:val="single" w:color="auto" w:sz="4" w:space="0"/>
              <w:left w:val="single" w:color="auto" w:sz="4" w:space="0"/>
              <w:bottom w:val="single" w:color="auto" w:sz="4" w:space="0"/>
              <w:right w:val="single" w:color="auto" w:sz="4" w:space="0"/>
            </w:tcBorders>
            <w:vAlign w:val="center"/>
          </w:tcPr>
          <w:p w14:paraId="09E3531E">
            <w:pPr>
              <w:spacing w:line="460" w:lineRule="exact"/>
              <w:jc w:val="center"/>
              <w:rPr>
                <w:rFonts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vAlign w:val="center"/>
          </w:tcPr>
          <w:p w14:paraId="1AF025B3">
            <w:pPr>
              <w:spacing w:line="460" w:lineRule="exact"/>
              <w:jc w:val="center"/>
              <w:rPr>
                <w:rFonts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vAlign w:val="center"/>
          </w:tcPr>
          <w:p w14:paraId="62D730DE">
            <w:pPr>
              <w:pStyle w:val="47"/>
              <w:widowControl w:val="0"/>
              <w:spacing w:line="460" w:lineRule="exact"/>
              <w:jc w:val="center"/>
              <w:rPr>
                <w:rFonts w:ascii="华文楷体" w:hAnsi="华文楷体" w:eastAsia="华文楷体"/>
                <w:color w:val="auto"/>
                <w:sz w:val="24"/>
                <w:szCs w:val="24"/>
                <w:highlight w:val="none"/>
              </w:rPr>
            </w:pPr>
          </w:p>
        </w:tc>
        <w:tc>
          <w:tcPr>
            <w:tcW w:w="882" w:type="pct"/>
            <w:tcBorders>
              <w:top w:val="single" w:color="auto" w:sz="4" w:space="0"/>
              <w:left w:val="single" w:color="auto" w:sz="4" w:space="0"/>
              <w:bottom w:val="single" w:color="auto" w:sz="4" w:space="0"/>
              <w:right w:val="single" w:color="auto" w:sz="4" w:space="0"/>
            </w:tcBorders>
            <w:vAlign w:val="center"/>
          </w:tcPr>
          <w:p w14:paraId="542EB1AE">
            <w:pPr>
              <w:pStyle w:val="47"/>
              <w:widowControl w:val="0"/>
              <w:spacing w:line="460" w:lineRule="exact"/>
              <w:jc w:val="center"/>
              <w:rPr>
                <w:rFonts w:ascii="华文楷体" w:hAnsi="华文楷体" w:eastAsia="华文楷体"/>
                <w:color w:val="auto"/>
                <w:sz w:val="24"/>
                <w:szCs w:val="24"/>
                <w:highlight w:val="none"/>
              </w:rPr>
            </w:pPr>
          </w:p>
        </w:tc>
        <w:tc>
          <w:tcPr>
            <w:tcW w:w="1153" w:type="pct"/>
            <w:tcBorders>
              <w:top w:val="single" w:color="auto" w:sz="4" w:space="0"/>
              <w:left w:val="single" w:color="auto" w:sz="4" w:space="0"/>
              <w:bottom w:val="single" w:color="auto" w:sz="4" w:space="0"/>
              <w:right w:val="single" w:color="auto" w:sz="4" w:space="0"/>
            </w:tcBorders>
            <w:vAlign w:val="center"/>
          </w:tcPr>
          <w:p w14:paraId="13A548B6">
            <w:pPr>
              <w:spacing w:line="460" w:lineRule="exact"/>
              <w:ind w:firstLine="480" w:firstLineChars="200"/>
              <w:rPr>
                <w:rFonts w:ascii="华文楷体" w:hAnsi="华文楷体" w:eastAsia="华文楷体" w:cs="宋体"/>
                <w:color w:val="auto"/>
                <w:kern w:val="0"/>
                <w:sz w:val="24"/>
                <w:szCs w:val="24"/>
                <w:highlight w:val="none"/>
              </w:rPr>
            </w:pPr>
          </w:p>
        </w:tc>
        <w:tc>
          <w:tcPr>
            <w:tcW w:w="583" w:type="pct"/>
            <w:tcBorders>
              <w:top w:val="single" w:color="auto" w:sz="4" w:space="0"/>
              <w:left w:val="single" w:color="auto" w:sz="4" w:space="0"/>
              <w:bottom w:val="single" w:color="auto" w:sz="4" w:space="0"/>
              <w:right w:val="single" w:color="auto" w:sz="4" w:space="0"/>
            </w:tcBorders>
            <w:vAlign w:val="center"/>
          </w:tcPr>
          <w:p w14:paraId="499E27D7">
            <w:pPr>
              <w:spacing w:line="460" w:lineRule="exact"/>
              <w:jc w:val="center"/>
              <w:rPr>
                <w:rFonts w:ascii="华文楷体" w:hAnsi="华文楷体" w:eastAsia="华文楷体" w:cs="华文楷体"/>
                <w:b/>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vAlign w:val="center"/>
          </w:tcPr>
          <w:p w14:paraId="368481A3">
            <w:pPr>
              <w:jc w:val="center"/>
              <w:rPr>
                <w:rFonts w:ascii="华文楷体" w:hAnsi="华文楷体" w:eastAsia="华文楷体" w:cs="宋体"/>
                <w:b/>
                <w:color w:val="auto"/>
                <w:kern w:val="0"/>
                <w:sz w:val="24"/>
                <w:szCs w:val="24"/>
                <w:highlight w:val="none"/>
              </w:rPr>
            </w:pPr>
          </w:p>
        </w:tc>
      </w:tr>
      <w:tr w14:paraId="20ABD0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vAlign w:val="center"/>
          </w:tcPr>
          <w:p w14:paraId="561F8670">
            <w:pPr>
              <w:spacing w:line="460" w:lineRule="exact"/>
              <w:jc w:val="center"/>
              <w:rPr>
                <w:rFonts w:ascii="华文楷体" w:hAnsi="华文楷体" w:eastAsia="华文楷体" w:cs="华文楷体"/>
                <w:color w:val="auto"/>
                <w:kern w:val="0"/>
                <w:sz w:val="24"/>
                <w:szCs w:val="24"/>
                <w:highlight w:val="none"/>
              </w:rPr>
            </w:pPr>
          </w:p>
        </w:tc>
        <w:tc>
          <w:tcPr>
            <w:tcW w:w="503" w:type="pct"/>
            <w:tcBorders>
              <w:top w:val="single" w:color="auto" w:sz="4" w:space="0"/>
              <w:left w:val="single" w:color="auto" w:sz="4" w:space="0"/>
              <w:bottom w:val="single" w:color="auto" w:sz="4" w:space="0"/>
              <w:right w:val="single" w:color="auto" w:sz="4" w:space="0"/>
            </w:tcBorders>
            <w:vAlign w:val="center"/>
          </w:tcPr>
          <w:p w14:paraId="099E211B">
            <w:pPr>
              <w:spacing w:line="460" w:lineRule="exact"/>
              <w:jc w:val="center"/>
              <w:rPr>
                <w:rFonts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vAlign w:val="center"/>
          </w:tcPr>
          <w:p w14:paraId="11B80770">
            <w:pPr>
              <w:spacing w:line="460" w:lineRule="exact"/>
              <w:jc w:val="center"/>
              <w:rPr>
                <w:rFonts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vAlign w:val="center"/>
          </w:tcPr>
          <w:p w14:paraId="24E92363">
            <w:pPr>
              <w:pStyle w:val="47"/>
              <w:widowControl w:val="0"/>
              <w:spacing w:line="460" w:lineRule="exact"/>
              <w:jc w:val="center"/>
              <w:rPr>
                <w:rFonts w:ascii="华文楷体" w:hAnsi="华文楷体" w:eastAsia="华文楷体"/>
                <w:color w:val="auto"/>
                <w:sz w:val="24"/>
                <w:szCs w:val="24"/>
                <w:highlight w:val="none"/>
              </w:rPr>
            </w:pPr>
          </w:p>
        </w:tc>
        <w:tc>
          <w:tcPr>
            <w:tcW w:w="882" w:type="pct"/>
            <w:tcBorders>
              <w:top w:val="single" w:color="auto" w:sz="4" w:space="0"/>
              <w:left w:val="single" w:color="auto" w:sz="4" w:space="0"/>
              <w:bottom w:val="single" w:color="auto" w:sz="4" w:space="0"/>
              <w:right w:val="single" w:color="auto" w:sz="4" w:space="0"/>
            </w:tcBorders>
            <w:vAlign w:val="center"/>
          </w:tcPr>
          <w:p w14:paraId="47F87B85">
            <w:pPr>
              <w:pStyle w:val="47"/>
              <w:widowControl w:val="0"/>
              <w:spacing w:line="460" w:lineRule="exact"/>
              <w:jc w:val="center"/>
              <w:rPr>
                <w:rFonts w:ascii="华文楷体" w:hAnsi="华文楷体" w:eastAsia="华文楷体"/>
                <w:color w:val="auto"/>
                <w:sz w:val="24"/>
                <w:szCs w:val="24"/>
                <w:highlight w:val="none"/>
              </w:rPr>
            </w:pPr>
          </w:p>
        </w:tc>
        <w:tc>
          <w:tcPr>
            <w:tcW w:w="1153" w:type="pct"/>
            <w:tcBorders>
              <w:top w:val="single" w:color="auto" w:sz="4" w:space="0"/>
              <w:left w:val="single" w:color="auto" w:sz="4" w:space="0"/>
              <w:bottom w:val="single" w:color="auto" w:sz="4" w:space="0"/>
              <w:right w:val="single" w:color="auto" w:sz="4" w:space="0"/>
            </w:tcBorders>
            <w:vAlign w:val="center"/>
          </w:tcPr>
          <w:p w14:paraId="677E3734">
            <w:pPr>
              <w:spacing w:line="460" w:lineRule="exact"/>
              <w:ind w:firstLine="480" w:firstLineChars="200"/>
              <w:rPr>
                <w:rFonts w:ascii="华文楷体" w:hAnsi="华文楷体" w:eastAsia="华文楷体" w:cs="宋体"/>
                <w:color w:val="auto"/>
                <w:kern w:val="0"/>
                <w:sz w:val="24"/>
                <w:szCs w:val="24"/>
                <w:highlight w:val="none"/>
              </w:rPr>
            </w:pPr>
          </w:p>
        </w:tc>
        <w:tc>
          <w:tcPr>
            <w:tcW w:w="583" w:type="pct"/>
            <w:tcBorders>
              <w:top w:val="single" w:color="auto" w:sz="4" w:space="0"/>
              <w:left w:val="single" w:color="auto" w:sz="4" w:space="0"/>
              <w:bottom w:val="single" w:color="auto" w:sz="4" w:space="0"/>
              <w:right w:val="single" w:color="auto" w:sz="4" w:space="0"/>
            </w:tcBorders>
            <w:vAlign w:val="center"/>
          </w:tcPr>
          <w:p w14:paraId="4B5BF418">
            <w:pPr>
              <w:spacing w:line="460" w:lineRule="exact"/>
              <w:jc w:val="center"/>
              <w:rPr>
                <w:rFonts w:ascii="华文楷体" w:hAnsi="华文楷体" w:eastAsia="华文楷体" w:cs="华文楷体"/>
                <w:b/>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vAlign w:val="center"/>
          </w:tcPr>
          <w:p w14:paraId="3D20520F">
            <w:pPr>
              <w:jc w:val="center"/>
              <w:rPr>
                <w:rFonts w:ascii="华文楷体" w:hAnsi="华文楷体" w:eastAsia="华文楷体" w:cs="宋体"/>
                <w:b/>
                <w:color w:val="auto"/>
                <w:kern w:val="0"/>
                <w:sz w:val="24"/>
                <w:szCs w:val="24"/>
                <w:highlight w:val="none"/>
              </w:rPr>
            </w:pPr>
          </w:p>
        </w:tc>
      </w:tr>
      <w:tr w14:paraId="675015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vAlign w:val="center"/>
          </w:tcPr>
          <w:p w14:paraId="2A98982D">
            <w:pPr>
              <w:spacing w:line="460" w:lineRule="exact"/>
              <w:jc w:val="center"/>
              <w:rPr>
                <w:rFonts w:ascii="华文楷体" w:hAnsi="华文楷体" w:eastAsia="华文楷体" w:cs="华文楷体"/>
                <w:color w:val="auto"/>
                <w:kern w:val="0"/>
                <w:sz w:val="24"/>
                <w:szCs w:val="24"/>
                <w:highlight w:val="none"/>
              </w:rPr>
            </w:pPr>
          </w:p>
        </w:tc>
        <w:tc>
          <w:tcPr>
            <w:tcW w:w="503" w:type="pct"/>
            <w:tcBorders>
              <w:top w:val="single" w:color="auto" w:sz="4" w:space="0"/>
              <w:left w:val="single" w:color="auto" w:sz="4" w:space="0"/>
              <w:bottom w:val="single" w:color="auto" w:sz="4" w:space="0"/>
              <w:right w:val="single" w:color="auto" w:sz="4" w:space="0"/>
            </w:tcBorders>
            <w:vAlign w:val="center"/>
          </w:tcPr>
          <w:p w14:paraId="1FDEAC1A">
            <w:pPr>
              <w:spacing w:line="460" w:lineRule="exact"/>
              <w:jc w:val="center"/>
              <w:rPr>
                <w:rFonts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vAlign w:val="center"/>
          </w:tcPr>
          <w:p w14:paraId="2186E6F2">
            <w:pPr>
              <w:spacing w:line="460" w:lineRule="exact"/>
              <w:jc w:val="center"/>
              <w:rPr>
                <w:rFonts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vAlign w:val="center"/>
          </w:tcPr>
          <w:p w14:paraId="65F2131B">
            <w:pPr>
              <w:pStyle w:val="47"/>
              <w:widowControl w:val="0"/>
              <w:spacing w:line="460" w:lineRule="exact"/>
              <w:jc w:val="center"/>
              <w:rPr>
                <w:rFonts w:ascii="华文楷体" w:hAnsi="华文楷体" w:eastAsia="华文楷体"/>
                <w:color w:val="auto"/>
                <w:sz w:val="24"/>
                <w:szCs w:val="24"/>
                <w:highlight w:val="none"/>
              </w:rPr>
            </w:pPr>
          </w:p>
        </w:tc>
        <w:tc>
          <w:tcPr>
            <w:tcW w:w="882" w:type="pct"/>
            <w:tcBorders>
              <w:top w:val="single" w:color="auto" w:sz="4" w:space="0"/>
              <w:left w:val="single" w:color="auto" w:sz="4" w:space="0"/>
              <w:bottom w:val="single" w:color="auto" w:sz="4" w:space="0"/>
              <w:right w:val="single" w:color="auto" w:sz="4" w:space="0"/>
            </w:tcBorders>
            <w:vAlign w:val="center"/>
          </w:tcPr>
          <w:p w14:paraId="46C772B4">
            <w:pPr>
              <w:pStyle w:val="47"/>
              <w:widowControl w:val="0"/>
              <w:spacing w:line="460" w:lineRule="exact"/>
              <w:jc w:val="center"/>
              <w:rPr>
                <w:rFonts w:ascii="华文楷体" w:hAnsi="华文楷体" w:eastAsia="华文楷体"/>
                <w:color w:val="auto"/>
                <w:sz w:val="24"/>
                <w:szCs w:val="24"/>
                <w:highlight w:val="none"/>
              </w:rPr>
            </w:pPr>
          </w:p>
        </w:tc>
        <w:tc>
          <w:tcPr>
            <w:tcW w:w="1153" w:type="pct"/>
            <w:tcBorders>
              <w:top w:val="single" w:color="auto" w:sz="4" w:space="0"/>
              <w:left w:val="single" w:color="auto" w:sz="4" w:space="0"/>
              <w:bottom w:val="single" w:color="auto" w:sz="4" w:space="0"/>
              <w:right w:val="single" w:color="auto" w:sz="4" w:space="0"/>
            </w:tcBorders>
            <w:vAlign w:val="center"/>
          </w:tcPr>
          <w:p w14:paraId="1E77C9B0">
            <w:pPr>
              <w:spacing w:line="460" w:lineRule="exact"/>
              <w:ind w:firstLine="480" w:firstLineChars="200"/>
              <w:rPr>
                <w:rFonts w:ascii="华文楷体" w:hAnsi="华文楷体" w:eastAsia="华文楷体" w:cs="宋体"/>
                <w:color w:val="auto"/>
                <w:kern w:val="0"/>
                <w:sz w:val="24"/>
                <w:szCs w:val="24"/>
                <w:highlight w:val="none"/>
              </w:rPr>
            </w:pPr>
          </w:p>
        </w:tc>
        <w:tc>
          <w:tcPr>
            <w:tcW w:w="583" w:type="pct"/>
            <w:tcBorders>
              <w:top w:val="single" w:color="auto" w:sz="4" w:space="0"/>
              <w:left w:val="single" w:color="auto" w:sz="4" w:space="0"/>
              <w:bottom w:val="single" w:color="auto" w:sz="4" w:space="0"/>
              <w:right w:val="single" w:color="auto" w:sz="4" w:space="0"/>
            </w:tcBorders>
            <w:vAlign w:val="center"/>
          </w:tcPr>
          <w:p w14:paraId="0516AA21">
            <w:pPr>
              <w:spacing w:line="460" w:lineRule="exact"/>
              <w:jc w:val="center"/>
              <w:rPr>
                <w:rFonts w:ascii="华文楷体" w:hAnsi="华文楷体" w:eastAsia="华文楷体" w:cs="华文楷体"/>
                <w:b/>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vAlign w:val="center"/>
          </w:tcPr>
          <w:p w14:paraId="77A5EB5C">
            <w:pPr>
              <w:jc w:val="center"/>
              <w:rPr>
                <w:rFonts w:ascii="华文楷体" w:hAnsi="华文楷体" w:eastAsia="华文楷体" w:cs="宋体"/>
                <w:b/>
                <w:color w:val="auto"/>
                <w:kern w:val="0"/>
                <w:sz w:val="24"/>
                <w:szCs w:val="24"/>
                <w:highlight w:val="none"/>
              </w:rPr>
            </w:pPr>
          </w:p>
        </w:tc>
      </w:tr>
      <w:tr w14:paraId="472D4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vAlign w:val="center"/>
          </w:tcPr>
          <w:p w14:paraId="052C7F22">
            <w:pPr>
              <w:spacing w:line="460" w:lineRule="exact"/>
              <w:jc w:val="center"/>
              <w:rPr>
                <w:rFonts w:ascii="华文楷体" w:hAnsi="华文楷体" w:eastAsia="华文楷体" w:cs="华文楷体"/>
                <w:color w:val="auto"/>
                <w:kern w:val="0"/>
                <w:sz w:val="24"/>
                <w:szCs w:val="24"/>
                <w:highlight w:val="none"/>
              </w:rPr>
            </w:pPr>
          </w:p>
        </w:tc>
        <w:tc>
          <w:tcPr>
            <w:tcW w:w="503" w:type="pct"/>
            <w:tcBorders>
              <w:top w:val="single" w:color="auto" w:sz="4" w:space="0"/>
              <w:left w:val="single" w:color="auto" w:sz="4" w:space="0"/>
              <w:bottom w:val="single" w:color="auto" w:sz="4" w:space="0"/>
              <w:right w:val="single" w:color="auto" w:sz="4" w:space="0"/>
            </w:tcBorders>
            <w:vAlign w:val="center"/>
          </w:tcPr>
          <w:p w14:paraId="1292B3E6">
            <w:pPr>
              <w:spacing w:line="460" w:lineRule="exact"/>
              <w:jc w:val="center"/>
              <w:rPr>
                <w:rFonts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vAlign w:val="center"/>
          </w:tcPr>
          <w:p w14:paraId="5B1A82FB">
            <w:pPr>
              <w:spacing w:line="460" w:lineRule="exact"/>
              <w:jc w:val="center"/>
              <w:rPr>
                <w:rFonts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vAlign w:val="center"/>
          </w:tcPr>
          <w:p w14:paraId="7ED64BB7">
            <w:pPr>
              <w:pStyle w:val="47"/>
              <w:widowControl w:val="0"/>
              <w:spacing w:line="460" w:lineRule="exact"/>
              <w:jc w:val="center"/>
              <w:rPr>
                <w:rFonts w:ascii="华文楷体" w:hAnsi="华文楷体" w:eastAsia="华文楷体"/>
                <w:color w:val="auto"/>
                <w:sz w:val="24"/>
                <w:szCs w:val="24"/>
                <w:highlight w:val="none"/>
              </w:rPr>
            </w:pPr>
          </w:p>
        </w:tc>
        <w:tc>
          <w:tcPr>
            <w:tcW w:w="882" w:type="pct"/>
            <w:tcBorders>
              <w:top w:val="single" w:color="auto" w:sz="4" w:space="0"/>
              <w:left w:val="single" w:color="auto" w:sz="4" w:space="0"/>
              <w:bottom w:val="single" w:color="auto" w:sz="4" w:space="0"/>
              <w:right w:val="single" w:color="auto" w:sz="4" w:space="0"/>
            </w:tcBorders>
            <w:vAlign w:val="center"/>
          </w:tcPr>
          <w:p w14:paraId="6AD36D51">
            <w:pPr>
              <w:pStyle w:val="47"/>
              <w:widowControl w:val="0"/>
              <w:spacing w:line="460" w:lineRule="exact"/>
              <w:jc w:val="center"/>
              <w:rPr>
                <w:rFonts w:ascii="华文楷体" w:hAnsi="华文楷体" w:eastAsia="华文楷体"/>
                <w:color w:val="auto"/>
                <w:sz w:val="24"/>
                <w:szCs w:val="24"/>
                <w:highlight w:val="none"/>
              </w:rPr>
            </w:pPr>
          </w:p>
        </w:tc>
        <w:tc>
          <w:tcPr>
            <w:tcW w:w="1153" w:type="pct"/>
            <w:tcBorders>
              <w:top w:val="single" w:color="auto" w:sz="4" w:space="0"/>
              <w:left w:val="single" w:color="auto" w:sz="4" w:space="0"/>
              <w:bottom w:val="single" w:color="auto" w:sz="4" w:space="0"/>
              <w:right w:val="single" w:color="auto" w:sz="4" w:space="0"/>
            </w:tcBorders>
            <w:vAlign w:val="center"/>
          </w:tcPr>
          <w:p w14:paraId="31E8A977">
            <w:pPr>
              <w:spacing w:line="460" w:lineRule="exact"/>
              <w:ind w:firstLine="480" w:firstLineChars="200"/>
              <w:rPr>
                <w:rFonts w:ascii="华文楷体" w:hAnsi="华文楷体" w:eastAsia="华文楷体" w:cs="宋体"/>
                <w:color w:val="auto"/>
                <w:kern w:val="0"/>
                <w:sz w:val="24"/>
                <w:szCs w:val="24"/>
                <w:highlight w:val="none"/>
              </w:rPr>
            </w:pPr>
          </w:p>
        </w:tc>
        <w:tc>
          <w:tcPr>
            <w:tcW w:w="583" w:type="pct"/>
            <w:tcBorders>
              <w:top w:val="single" w:color="auto" w:sz="4" w:space="0"/>
              <w:left w:val="single" w:color="auto" w:sz="4" w:space="0"/>
              <w:bottom w:val="single" w:color="auto" w:sz="4" w:space="0"/>
              <w:right w:val="single" w:color="auto" w:sz="4" w:space="0"/>
            </w:tcBorders>
            <w:vAlign w:val="center"/>
          </w:tcPr>
          <w:p w14:paraId="2515FDD3">
            <w:pPr>
              <w:spacing w:line="460" w:lineRule="exact"/>
              <w:jc w:val="center"/>
              <w:rPr>
                <w:rFonts w:ascii="华文楷体" w:hAnsi="华文楷体" w:eastAsia="华文楷体" w:cs="华文楷体"/>
                <w:b/>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vAlign w:val="center"/>
          </w:tcPr>
          <w:p w14:paraId="0C06304F">
            <w:pPr>
              <w:jc w:val="center"/>
              <w:rPr>
                <w:rFonts w:ascii="华文楷体" w:hAnsi="华文楷体" w:eastAsia="华文楷体" w:cs="宋体"/>
                <w:b/>
                <w:color w:val="auto"/>
                <w:kern w:val="0"/>
                <w:sz w:val="24"/>
                <w:szCs w:val="24"/>
                <w:highlight w:val="none"/>
              </w:rPr>
            </w:pPr>
          </w:p>
        </w:tc>
      </w:tr>
      <w:tr w14:paraId="3884DA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vAlign w:val="center"/>
          </w:tcPr>
          <w:p w14:paraId="2067B5C4">
            <w:pPr>
              <w:spacing w:line="460" w:lineRule="exact"/>
              <w:jc w:val="center"/>
              <w:rPr>
                <w:rFonts w:ascii="华文楷体" w:hAnsi="华文楷体" w:eastAsia="华文楷体" w:cs="华文楷体"/>
                <w:color w:val="auto"/>
                <w:kern w:val="0"/>
                <w:sz w:val="24"/>
                <w:szCs w:val="24"/>
                <w:highlight w:val="none"/>
              </w:rPr>
            </w:pPr>
          </w:p>
        </w:tc>
        <w:tc>
          <w:tcPr>
            <w:tcW w:w="503" w:type="pct"/>
            <w:tcBorders>
              <w:top w:val="single" w:color="auto" w:sz="4" w:space="0"/>
              <w:left w:val="single" w:color="auto" w:sz="4" w:space="0"/>
              <w:bottom w:val="single" w:color="auto" w:sz="4" w:space="0"/>
              <w:right w:val="single" w:color="auto" w:sz="4" w:space="0"/>
            </w:tcBorders>
            <w:vAlign w:val="center"/>
          </w:tcPr>
          <w:p w14:paraId="5694115B">
            <w:pPr>
              <w:spacing w:line="460" w:lineRule="exact"/>
              <w:jc w:val="center"/>
              <w:rPr>
                <w:rFonts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vAlign w:val="center"/>
          </w:tcPr>
          <w:p w14:paraId="4776582A">
            <w:pPr>
              <w:spacing w:line="460" w:lineRule="exact"/>
              <w:jc w:val="center"/>
              <w:rPr>
                <w:rFonts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vAlign w:val="center"/>
          </w:tcPr>
          <w:p w14:paraId="4E5C6B86">
            <w:pPr>
              <w:pStyle w:val="47"/>
              <w:widowControl w:val="0"/>
              <w:spacing w:line="460" w:lineRule="exact"/>
              <w:jc w:val="center"/>
              <w:rPr>
                <w:rFonts w:ascii="华文楷体" w:hAnsi="华文楷体" w:eastAsia="华文楷体"/>
                <w:color w:val="auto"/>
                <w:sz w:val="24"/>
                <w:szCs w:val="24"/>
                <w:highlight w:val="none"/>
              </w:rPr>
            </w:pPr>
          </w:p>
        </w:tc>
        <w:tc>
          <w:tcPr>
            <w:tcW w:w="882" w:type="pct"/>
            <w:tcBorders>
              <w:top w:val="single" w:color="auto" w:sz="4" w:space="0"/>
              <w:left w:val="single" w:color="auto" w:sz="4" w:space="0"/>
              <w:bottom w:val="single" w:color="auto" w:sz="4" w:space="0"/>
              <w:right w:val="single" w:color="auto" w:sz="4" w:space="0"/>
            </w:tcBorders>
            <w:vAlign w:val="center"/>
          </w:tcPr>
          <w:p w14:paraId="08961A6B">
            <w:pPr>
              <w:pStyle w:val="47"/>
              <w:widowControl w:val="0"/>
              <w:spacing w:line="460" w:lineRule="exact"/>
              <w:jc w:val="center"/>
              <w:rPr>
                <w:rFonts w:ascii="华文楷体" w:hAnsi="华文楷体" w:eastAsia="华文楷体"/>
                <w:color w:val="auto"/>
                <w:sz w:val="24"/>
                <w:szCs w:val="24"/>
                <w:highlight w:val="none"/>
              </w:rPr>
            </w:pPr>
          </w:p>
        </w:tc>
        <w:tc>
          <w:tcPr>
            <w:tcW w:w="1153" w:type="pct"/>
            <w:tcBorders>
              <w:top w:val="single" w:color="auto" w:sz="4" w:space="0"/>
              <w:left w:val="single" w:color="auto" w:sz="4" w:space="0"/>
              <w:bottom w:val="single" w:color="auto" w:sz="4" w:space="0"/>
              <w:right w:val="single" w:color="auto" w:sz="4" w:space="0"/>
            </w:tcBorders>
            <w:vAlign w:val="center"/>
          </w:tcPr>
          <w:p w14:paraId="388E4A47">
            <w:pPr>
              <w:spacing w:line="460" w:lineRule="exact"/>
              <w:ind w:firstLine="480" w:firstLineChars="200"/>
              <w:rPr>
                <w:rFonts w:ascii="华文楷体" w:hAnsi="华文楷体" w:eastAsia="华文楷体" w:cs="宋体"/>
                <w:color w:val="auto"/>
                <w:kern w:val="0"/>
                <w:sz w:val="24"/>
                <w:szCs w:val="24"/>
                <w:highlight w:val="none"/>
              </w:rPr>
            </w:pPr>
          </w:p>
        </w:tc>
        <w:tc>
          <w:tcPr>
            <w:tcW w:w="583" w:type="pct"/>
            <w:tcBorders>
              <w:top w:val="single" w:color="auto" w:sz="4" w:space="0"/>
              <w:left w:val="single" w:color="auto" w:sz="4" w:space="0"/>
              <w:bottom w:val="single" w:color="auto" w:sz="4" w:space="0"/>
              <w:right w:val="single" w:color="auto" w:sz="4" w:space="0"/>
            </w:tcBorders>
            <w:vAlign w:val="center"/>
          </w:tcPr>
          <w:p w14:paraId="4E185450">
            <w:pPr>
              <w:spacing w:line="460" w:lineRule="exact"/>
              <w:jc w:val="center"/>
              <w:rPr>
                <w:rFonts w:ascii="华文楷体" w:hAnsi="华文楷体" w:eastAsia="华文楷体" w:cs="华文楷体"/>
                <w:b/>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vAlign w:val="center"/>
          </w:tcPr>
          <w:p w14:paraId="29C04D82">
            <w:pPr>
              <w:jc w:val="center"/>
              <w:rPr>
                <w:rFonts w:ascii="华文楷体" w:hAnsi="华文楷体" w:eastAsia="华文楷体" w:cs="宋体"/>
                <w:b/>
                <w:color w:val="auto"/>
                <w:kern w:val="0"/>
                <w:sz w:val="24"/>
                <w:szCs w:val="24"/>
                <w:highlight w:val="none"/>
              </w:rPr>
            </w:pPr>
          </w:p>
        </w:tc>
      </w:tr>
      <w:tr w14:paraId="6CA99D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67" w:type="pct"/>
            <w:gridSpan w:val="6"/>
            <w:tcBorders>
              <w:top w:val="single" w:color="auto" w:sz="4" w:space="0"/>
              <w:left w:val="single" w:color="auto" w:sz="4" w:space="0"/>
              <w:bottom w:val="single" w:color="auto" w:sz="4" w:space="0"/>
              <w:right w:val="single" w:color="auto" w:sz="4" w:space="0"/>
            </w:tcBorders>
            <w:vAlign w:val="center"/>
          </w:tcPr>
          <w:p w14:paraId="668176D7">
            <w:pPr>
              <w:spacing w:line="460" w:lineRule="exact"/>
              <w:rPr>
                <w:rFonts w:ascii="华文楷体" w:hAnsi="华文楷体" w:eastAsia="华文楷体" w:cs="华文楷体"/>
                <w:b/>
                <w:color w:val="auto"/>
                <w:kern w:val="0"/>
                <w:sz w:val="24"/>
                <w:szCs w:val="24"/>
                <w:highlight w:val="none"/>
              </w:rPr>
            </w:pPr>
            <w:r>
              <w:rPr>
                <w:rFonts w:ascii="华文楷体" w:hAnsi="华文楷体" w:eastAsia="华文楷体" w:cs="华文楷体"/>
                <w:b/>
                <w:color w:val="auto"/>
                <w:kern w:val="0"/>
                <w:sz w:val="24"/>
                <w:szCs w:val="24"/>
                <w:highlight w:val="none"/>
              </w:rPr>
              <w:t>合计（元）：</w:t>
            </w:r>
          </w:p>
        </w:tc>
        <w:tc>
          <w:tcPr>
            <w:tcW w:w="583" w:type="pct"/>
            <w:tcBorders>
              <w:top w:val="single" w:color="auto" w:sz="4" w:space="0"/>
              <w:left w:val="single" w:color="auto" w:sz="4" w:space="0"/>
              <w:bottom w:val="single" w:color="auto" w:sz="4" w:space="0"/>
              <w:right w:val="single" w:color="auto" w:sz="4" w:space="0"/>
            </w:tcBorders>
            <w:vAlign w:val="center"/>
          </w:tcPr>
          <w:p w14:paraId="70885407">
            <w:pPr>
              <w:jc w:val="center"/>
              <w:rPr>
                <w:rFonts w:ascii="华文楷体" w:hAnsi="华文楷体" w:eastAsia="华文楷体" w:cs="华文楷体"/>
                <w:b/>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vAlign w:val="center"/>
          </w:tcPr>
          <w:p w14:paraId="4721D2B8">
            <w:pPr>
              <w:jc w:val="center"/>
              <w:rPr>
                <w:rFonts w:ascii="华文楷体" w:hAnsi="华文楷体" w:eastAsia="华文楷体" w:cs="华文楷体"/>
                <w:b/>
                <w:color w:val="auto"/>
                <w:kern w:val="0"/>
                <w:sz w:val="24"/>
                <w:szCs w:val="24"/>
                <w:highlight w:val="none"/>
              </w:rPr>
            </w:pPr>
          </w:p>
        </w:tc>
      </w:tr>
    </w:tbl>
    <w:p w14:paraId="6C9CF20A">
      <w:pPr>
        <w:rPr>
          <w:rFonts w:ascii="宋体" w:hAnsi="宋体" w:cs="宋体"/>
          <w:color w:val="auto"/>
          <w:sz w:val="24"/>
          <w:szCs w:val="24"/>
          <w:highlight w:val="none"/>
        </w:rPr>
      </w:pPr>
    </w:p>
    <w:p w14:paraId="3BDABA4A">
      <w:pPr>
        <w:spacing w:line="360" w:lineRule="auto"/>
        <w:rPr>
          <w:rFonts w:ascii="宋体" w:hAnsi="宋体" w:cs="宋体"/>
          <w:color w:val="auto"/>
          <w:sz w:val="24"/>
          <w:szCs w:val="24"/>
          <w:highlight w:val="none"/>
        </w:rPr>
        <w:sectPr>
          <w:footerReference r:id="rId9" w:type="default"/>
          <w:pgSz w:w="11906" w:h="16838"/>
          <w:pgMar w:top="1440" w:right="1800" w:bottom="1440" w:left="1800" w:header="851" w:footer="992" w:gutter="0"/>
          <w:pgNumType w:start="1"/>
          <w:cols w:space="720" w:num="1"/>
          <w:docGrid w:type="lines" w:linePitch="312" w:charSpace="0"/>
        </w:sectPr>
      </w:pPr>
    </w:p>
    <w:p w14:paraId="563AC65D">
      <w:pPr>
        <w:spacing w:line="360" w:lineRule="auto"/>
        <w:rPr>
          <w:rFonts w:ascii="宋体" w:hAnsi="宋体" w:cs="宋体"/>
          <w:color w:val="auto"/>
          <w:sz w:val="24"/>
          <w:szCs w:val="24"/>
          <w:highlight w:val="none"/>
        </w:rPr>
      </w:pPr>
      <w:r>
        <w:rPr>
          <w:rFonts w:ascii="宋体" w:hAnsi="宋体" w:cs="宋体"/>
          <w:color w:val="auto"/>
          <w:sz w:val="24"/>
          <w:szCs w:val="24"/>
          <w:highlight w:val="none"/>
        </w:rPr>
        <w:t>附件2：</w:t>
      </w:r>
      <w:r>
        <w:rPr>
          <w:rFonts w:hint="eastAsia" w:ascii="宋体" w:hAnsi="宋体" w:cs="宋体"/>
          <w:color w:val="auto"/>
          <w:sz w:val="24"/>
          <w:szCs w:val="24"/>
          <w:highlight w:val="none"/>
        </w:rPr>
        <w:t>《</w:t>
      </w:r>
      <w:r>
        <w:rPr>
          <w:rFonts w:ascii="宋体" w:hAnsi="宋体" w:cs="宋体"/>
          <w:color w:val="auto"/>
          <w:sz w:val="24"/>
          <w:szCs w:val="24"/>
          <w:highlight w:val="none"/>
        </w:rPr>
        <w:t>厦门市大宗货物政府采购供货验收单</w:t>
      </w:r>
      <w:r>
        <w:rPr>
          <w:rFonts w:hint="eastAsia" w:ascii="宋体" w:hAnsi="宋体" w:cs="宋体"/>
          <w:color w:val="auto"/>
          <w:sz w:val="24"/>
          <w:szCs w:val="24"/>
          <w:highlight w:val="none"/>
        </w:rPr>
        <w:t>》</w:t>
      </w:r>
    </w:p>
    <w:p w14:paraId="51DA2FDF">
      <w:pPr>
        <w:spacing w:line="360" w:lineRule="auto"/>
        <w:rPr>
          <w:rFonts w:ascii="宋体" w:hAnsi="宋体" w:cs="宋体"/>
          <w:b/>
          <w:bCs/>
          <w:color w:val="auto"/>
          <w:sz w:val="24"/>
          <w:szCs w:val="24"/>
          <w:highlight w:val="none"/>
        </w:rPr>
      </w:pPr>
      <w:r>
        <w:rPr>
          <w:rFonts w:ascii="宋体" w:hAnsi="宋体" w:cs="宋体"/>
          <w:b/>
          <w:bCs/>
          <w:color w:val="auto"/>
          <w:sz w:val="24"/>
          <w:szCs w:val="24"/>
          <w:highlight w:val="none"/>
        </w:rPr>
        <w:drawing>
          <wp:inline distT="0" distB="0" distL="114300" distR="114300">
            <wp:extent cx="5271770" cy="7526655"/>
            <wp:effectExtent l="0" t="0" r="5080" b="17145"/>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13"/>
                    <a:stretch>
                      <a:fillRect/>
                    </a:stretch>
                  </pic:blipFill>
                  <pic:spPr>
                    <a:xfrm>
                      <a:off x="0" y="0"/>
                      <a:ext cx="5271770" cy="7526655"/>
                    </a:xfrm>
                    <a:prstGeom prst="rect">
                      <a:avLst/>
                    </a:prstGeom>
                    <a:noFill/>
                    <a:ln>
                      <a:noFill/>
                    </a:ln>
                  </pic:spPr>
                </pic:pic>
              </a:graphicData>
            </a:graphic>
          </wp:inline>
        </w:drawing>
      </w:r>
    </w:p>
    <w:p w14:paraId="3589D602">
      <w:pPr>
        <w:pStyle w:val="46"/>
        <w:rPr>
          <w:color w:val="auto"/>
          <w:highlight w:val="none"/>
        </w:rPr>
      </w:pPr>
      <w:r>
        <w:rPr>
          <w:rFonts w:hint="eastAsia"/>
          <w:color w:val="auto"/>
          <w:highlight w:val="none"/>
        </w:rPr>
        <w:t>附件</w:t>
      </w:r>
      <w:r>
        <w:rPr>
          <w:color w:val="auto"/>
          <w:highlight w:val="none"/>
        </w:rPr>
        <w:t>3</w:t>
      </w:r>
      <w:r>
        <w:rPr>
          <w:rFonts w:hint="eastAsia"/>
          <w:color w:val="auto"/>
          <w:highlight w:val="none"/>
        </w:rPr>
        <w:t>：《廉政责任书》</w:t>
      </w:r>
    </w:p>
    <w:p w14:paraId="0BCB134F">
      <w:pPr>
        <w:pStyle w:val="46"/>
        <w:rPr>
          <w:color w:val="auto"/>
          <w:highlight w:val="none"/>
        </w:rPr>
      </w:pPr>
      <w:r>
        <w:rPr>
          <w:rFonts w:hint="eastAsia"/>
          <w:color w:val="auto"/>
          <w:highlight w:val="none"/>
        </w:rPr>
        <w:t>一、甲乙双方的责任</w:t>
      </w:r>
    </w:p>
    <w:p w14:paraId="65A8440C">
      <w:pPr>
        <w:pStyle w:val="46"/>
        <w:rPr>
          <w:color w:val="auto"/>
          <w:highlight w:val="none"/>
        </w:rPr>
      </w:pPr>
      <w:r>
        <w:rPr>
          <w:rFonts w:hint="eastAsia"/>
          <w:color w:val="auto"/>
          <w:highlight w:val="none"/>
        </w:rPr>
        <w:t>第一条  严格遵守国家关于市场准入、项目招标投标、工程建设等有关法律、法规、政策以及党风廉政建设的各项规定。</w:t>
      </w:r>
    </w:p>
    <w:p w14:paraId="3C8308F6">
      <w:pPr>
        <w:pStyle w:val="46"/>
        <w:rPr>
          <w:color w:val="auto"/>
          <w:highlight w:val="none"/>
        </w:rPr>
      </w:pPr>
      <w:r>
        <w:rPr>
          <w:rFonts w:hint="eastAsia"/>
          <w:color w:val="auto"/>
          <w:highlight w:val="none"/>
        </w:rPr>
        <w:t>第二条  严格执行工程建设项目承发包合同文件、物资采购购销合同文件，自觉按合同办事。</w:t>
      </w:r>
    </w:p>
    <w:p w14:paraId="7F07150F">
      <w:pPr>
        <w:pStyle w:val="46"/>
        <w:rPr>
          <w:color w:val="auto"/>
          <w:highlight w:val="none"/>
        </w:rPr>
      </w:pPr>
      <w:r>
        <w:rPr>
          <w:rFonts w:hint="eastAsia"/>
          <w:color w:val="auto"/>
          <w:highlight w:val="none"/>
        </w:rPr>
        <w:t>第三条  业务活动必须坚持公开、公平、公正和诚信的原则（法律法规另有规定除外），不得为获取不正当的利益，损害国家、集体和对方利益，不得违反工程建设、物资采购管理等规章制度。</w:t>
      </w:r>
    </w:p>
    <w:p w14:paraId="43CB02D1">
      <w:pPr>
        <w:pStyle w:val="46"/>
        <w:rPr>
          <w:color w:val="auto"/>
          <w:highlight w:val="none"/>
        </w:rPr>
      </w:pPr>
      <w:r>
        <w:rPr>
          <w:rFonts w:hint="eastAsia"/>
          <w:color w:val="auto"/>
          <w:highlight w:val="none"/>
        </w:rPr>
        <w:t>第四条  发现对方在业务活动中有违规、违纪、违法行为的，应及时提醒对方，情节严重的，应向其上级主管部门或纪检监察、司法等有关机关举报。</w:t>
      </w:r>
    </w:p>
    <w:p w14:paraId="74930B18">
      <w:pPr>
        <w:pStyle w:val="46"/>
        <w:rPr>
          <w:color w:val="auto"/>
          <w:highlight w:val="none"/>
        </w:rPr>
      </w:pPr>
      <w:r>
        <w:rPr>
          <w:rFonts w:hint="eastAsia"/>
          <w:color w:val="auto"/>
          <w:highlight w:val="none"/>
        </w:rPr>
        <w:t>二、甲方的责任</w:t>
      </w:r>
    </w:p>
    <w:p w14:paraId="0DAE4D40">
      <w:pPr>
        <w:pStyle w:val="46"/>
        <w:rPr>
          <w:color w:val="auto"/>
          <w:highlight w:val="none"/>
        </w:rPr>
      </w:pPr>
      <w:r>
        <w:rPr>
          <w:rFonts w:hint="eastAsia"/>
          <w:color w:val="auto"/>
          <w:highlight w:val="none"/>
        </w:rPr>
        <w:t>甲方的领导和从事该项目的工作人员，在项目的事前、事中、事后应遵守以下规定：</w:t>
      </w:r>
    </w:p>
    <w:p w14:paraId="48BFA957">
      <w:pPr>
        <w:pStyle w:val="46"/>
        <w:rPr>
          <w:color w:val="auto"/>
          <w:highlight w:val="none"/>
        </w:rPr>
      </w:pPr>
      <w:r>
        <w:rPr>
          <w:rFonts w:hint="eastAsia"/>
          <w:color w:val="auto"/>
          <w:highlight w:val="none"/>
        </w:rPr>
        <w:t>第五条  不准向乙方和相关单位索要或接受回扣、礼金、有价证券、贵重物品和好处费、感谢费等。</w:t>
      </w:r>
    </w:p>
    <w:p w14:paraId="3960D406">
      <w:pPr>
        <w:pStyle w:val="46"/>
        <w:rPr>
          <w:color w:val="auto"/>
          <w:highlight w:val="none"/>
        </w:rPr>
      </w:pPr>
      <w:r>
        <w:rPr>
          <w:rFonts w:hint="eastAsia"/>
          <w:color w:val="auto"/>
          <w:highlight w:val="none"/>
        </w:rPr>
        <w:t>第六条  不准在乙方和相关单位报销任何应由甲方或个人支付的费用。</w:t>
      </w:r>
    </w:p>
    <w:p w14:paraId="285A13B9">
      <w:pPr>
        <w:pStyle w:val="46"/>
        <w:rPr>
          <w:color w:val="auto"/>
          <w:highlight w:val="none"/>
        </w:rPr>
      </w:pPr>
      <w:r>
        <w:rPr>
          <w:rFonts w:hint="eastAsia"/>
          <w:color w:val="auto"/>
          <w:highlight w:val="none"/>
        </w:rPr>
        <w:t>第七条  不准要求、暗示或接受乙方和相关单位为个人装修住房、婚丧嫁娶、配偶子女的工作安排以及出国（境）、旅游等提供方便。</w:t>
      </w:r>
    </w:p>
    <w:p w14:paraId="3D06C064">
      <w:pPr>
        <w:pStyle w:val="46"/>
        <w:rPr>
          <w:color w:val="auto"/>
          <w:highlight w:val="none"/>
        </w:rPr>
      </w:pPr>
      <w:r>
        <w:rPr>
          <w:rFonts w:hint="eastAsia"/>
          <w:color w:val="auto"/>
          <w:highlight w:val="none"/>
        </w:rPr>
        <w:t>第八条  不准参加有可能影响公正执行公务的乙方和相关单位安排的宴请和健身、娱乐等活动。</w:t>
      </w:r>
    </w:p>
    <w:p w14:paraId="1732AEE0">
      <w:pPr>
        <w:pStyle w:val="46"/>
        <w:rPr>
          <w:color w:val="auto"/>
          <w:highlight w:val="none"/>
        </w:rPr>
      </w:pPr>
      <w:r>
        <w:rPr>
          <w:rFonts w:hint="eastAsia"/>
          <w:color w:val="auto"/>
          <w:highlight w:val="none"/>
        </w:rPr>
        <w:t>第九条  不准向乙方介绍或为配偶、子女、亲属安排参与同甲方项目合同有关的工程建设、物资采购等经济活动和项目。不得以任何理由要求乙方和相关单位推荐分包单位和要求乙方购买项目合同规定以外的物资等。</w:t>
      </w:r>
    </w:p>
    <w:p w14:paraId="6CDFA1C9">
      <w:pPr>
        <w:pStyle w:val="46"/>
        <w:rPr>
          <w:color w:val="auto"/>
          <w:highlight w:val="none"/>
        </w:rPr>
      </w:pPr>
      <w:r>
        <w:rPr>
          <w:rFonts w:hint="eastAsia"/>
          <w:color w:val="auto"/>
          <w:highlight w:val="none"/>
        </w:rPr>
        <w:t>三、乙方的责任</w:t>
      </w:r>
    </w:p>
    <w:p w14:paraId="1471A6AE">
      <w:pPr>
        <w:pStyle w:val="46"/>
        <w:rPr>
          <w:color w:val="auto"/>
          <w:highlight w:val="none"/>
        </w:rPr>
      </w:pPr>
      <w:r>
        <w:rPr>
          <w:rFonts w:hint="eastAsia"/>
          <w:color w:val="auto"/>
          <w:highlight w:val="none"/>
        </w:rPr>
        <w:t>应与甲方保持正常的业务交往，按照有关法律法规和程序开展业务工作，严格执行工程建设、物资采购的有关政策规定，尤其是有关工程建设的强制性标准和规范，并遵守以下规定：</w:t>
      </w:r>
    </w:p>
    <w:p w14:paraId="370426A9">
      <w:pPr>
        <w:pStyle w:val="46"/>
        <w:rPr>
          <w:color w:val="auto"/>
          <w:highlight w:val="none"/>
        </w:rPr>
      </w:pPr>
      <w:r>
        <w:rPr>
          <w:rFonts w:hint="eastAsia"/>
          <w:color w:val="auto"/>
          <w:highlight w:val="none"/>
        </w:rPr>
        <w:t>第十条  不准以任何理由向甲方、相关单位及其工作人员行贿或赠送礼金、有价证券、贵重物品及回扣、好处费、感谢费等。</w:t>
      </w:r>
    </w:p>
    <w:p w14:paraId="499888E4">
      <w:pPr>
        <w:pStyle w:val="46"/>
        <w:rPr>
          <w:color w:val="auto"/>
          <w:highlight w:val="none"/>
        </w:rPr>
      </w:pPr>
      <w:r>
        <w:rPr>
          <w:rFonts w:hint="eastAsia"/>
          <w:color w:val="auto"/>
          <w:highlight w:val="none"/>
        </w:rPr>
        <w:t>第十一条  不准以任何理由为甲方和相关单位报销应由对方或个人支付的费用。</w:t>
      </w:r>
    </w:p>
    <w:p w14:paraId="0FD4D4CB">
      <w:pPr>
        <w:pStyle w:val="46"/>
        <w:rPr>
          <w:color w:val="auto"/>
          <w:highlight w:val="none"/>
        </w:rPr>
      </w:pPr>
      <w:r>
        <w:rPr>
          <w:rFonts w:hint="eastAsia"/>
          <w:color w:val="auto"/>
          <w:highlight w:val="none"/>
        </w:rPr>
        <w:t>第十二条  不准接受或暗示为甲方、相关单位或个人装修住房、婚丧嫁娶、配偶子女的工作安排以及出国（境）、旅游等提供方便。</w:t>
      </w:r>
    </w:p>
    <w:p w14:paraId="6D9D5D70">
      <w:pPr>
        <w:pStyle w:val="46"/>
        <w:rPr>
          <w:color w:val="auto"/>
          <w:highlight w:val="none"/>
        </w:rPr>
      </w:pPr>
      <w:r>
        <w:rPr>
          <w:rFonts w:hint="eastAsia"/>
          <w:color w:val="auto"/>
          <w:highlight w:val="none"/>
        </w:rPr>
        <w:t>第十三条  不准以任何理由为甲方、相关单位或个人组织有可能影响公正执行公务的宴请、健身、娱乐等活动。</w:t>
      </w:r>
    </w:p>
    <w:p w14:paraId="18F43C08">
      <w:pPr>
        <w:pStyle w:val="46"/>
        <w:rPr>
          <w:color w:val="auto"/>
          <w:highlight w:val="none"/>
        </w:rPr>
      </w:pPr>
      <w:r>
        <w:rPr>
          <w:rFonts w:hint="eastAsia"/>
          <w:color w:val="auto"/>
          <w:highlight w:val="none"/>
        </w:rPr>
        <w:t>第十四条  不准以任何理由向甲方、相关单位或个人介绍或为其配偶、子女、亲属安排参与同甲方项目合同有关的工程建设、物资采购等经济活动和项目。</w:t>
      </w:r>
    </w:p>
    <w:p w14:paraId="0FB50097">
      <w:pPr>
        <w:pStyle w:val="46"/>
        <w:rPr>
          <w:color w:val="auto"/>
          <w:highlight w:val="none"/>
        </w:rPr>
      </w:pPr>
      <w:r>
        <w:rPr>
          <w:rFonts w:hint="eastAsia"/>
          <w:color w:val="auto"/>
          <w:highlight w:val="none"/>
        </w:rPr>
        <w:t>四、违约责任</w:t>
      </w:r>
    </w:p>
    <w:p w14:paraId="7ACC87B5">
      <w:pPr>
        <w:pStyle w:val="46"/>
        <w:rPr>
          <w:color w:val="auto"/>
          <w:highlight w:val="none"/>
        </w:rPr>
      </w:pPr>
      <w:r>
        <w:rPr>
          <w:rFonts w:hint="eastAsia"/>
          <w:color w:val="auto"/>
          <w:highlight w:val="none"/>
        </w:rPr>
        <w:t>第十五条  甲方工作人员有违反本责任书（一、二）责任行为的，按照管理权限，依据有关法规给予党纪、政纪处分或组织处理；涉嫌违法犯罪的，移交司法机关追究刑事责任；给乙方单位造成经济损失的，应予以赔偿。</w:t>
      </w:r>
    </w:p>
    <w:p w14:paraId="12D64814">
      <w:pPr>
        <w:pStyle w:val="46"/>
        <w:rPr>
          <w:color w:val="auto"/>
          <w:highlight w:val="none"/>
        </w:rPr>
      </w:pPr>
      <w:r>
        <w:rPr>
          <w:rFonts w:hint="eastAsia"/>
          <w:color w:val="auto"/>
          <w:highlight w:val="none"/>
        </w:rPr>
        <w:t>第十六条  乙方工作人员有违反本责任书（一、三）责任行为的，甲方有权视违约情节采取取消乙方中标资格、解除合同、没收项目质保金、限制参加学院以后项目招标活动等措施，给甲方造成经济损失的，应予以赔偿。涉嫌违法犯罪的，移交司法机关追究刑事责任。</w:t>
      </w:r>
    </w:p>
    <w:p w14:paraId="526B64B0">
      <w:pPr>
        <w:pStyle w:val="46"/>
        <w:rPr>
          <w:color w:val="auto"/>
          <w:highlight w:val="none"/>
        </w:rPr>
      </w:pPr>
      <w:r>
        <w:rPr>
          <w:rFonts w:hint="eastAsia"/>
          <w:color w:val="auto"/>
          <w:highlight w:val="none"/>
        </w:rPr>
        <w:t>五、附则</w:t>
      </w:r>
    </w:p>
    <w:p w14:paraId="53CDD4F6">
      <w:pPr>
        <w:pStyle w:val="46"/>
        <w:rPr>
          <w:color w:val="auto"/>
          <w:highlight w:val="none"/>
        </w:rPr>
      </w:pPr>
      <w:r>
        <w:rPr>
          <w:rFonts w:hint="eastAsia"/>
          <w:color w:val="auto"/>
          <w:highlight w:val="none"/>
        </w:rPr>
        <w:t>第十七条　本责任书作为工程施工、勘察、设计、监理或物资采购合同的附件，与工程施工、勘察、设计、监理或物资采购合同具有同等法律效力。</w:t>
      </w:r>
    </w:p>
    <w:p w14:paraId="77FF3AC7">
      <w:pPr>
        <w:pStyle w:val="46"/>
        <w:rPr>
          <w:color w:val="auto"/>
          <w:highlight w:val="none"/>
        </w:rPr>
      </w:pPr>
    </w:p>
    <w:p w14:paraId="651DA7B9">
      <w:pPr>
        <w:spacing w:line="360" w:lineRule="auto"/>
        <w:jc w:val="center"/>
        <w:rPr>
          <w:rFonts w:ascii="宋体" w:hAnsi="宋体" w:cs="宋体"/>
          <w:b/>
          <w:bCs/>
          <w:color w:val="auto"/>
          <w:sz w:val="24"/>
          <w:szCs w:val="24"/>
          <w:highlight w:val="none"/>
        </w:rPr>
      </w:pPr>
    </w:p>
    <w:p w14:paraId="09A3E544">
      <w:pPr>
        <w:spacing w:line="360" w:lineRule="auto"/>
        <w:rPr>
          <w:rFonts w:ascii="宋体" w:hAnsi="宋体" w:cs="宋体"/>
          <w:color w:val="auto"/>
          <w:sz w:val="24"/>
          <w:szCs w:val="24"/>
          <w:highlight w:val="none"/>
        </w:rPr>
      </w:pPr>
    </w:p>
    <w:p w14:paraId="28A78C5A">
      <w:pPr>
        <w:spacing w:line="360" w:lineRule="auto"/>
        <w:rPr>
          <w:rFonts w:ascii="宋体" w:hAnsi="宋体" w:cs="宋体"/>
          <w:color w:val="auto"/>
          <w:sz w:val="24"/>
          <w:szCs w:val="24"/>
          <w:highlight w:val="none"/>
        </w:rPr>
      </w:pPr>
    </w:p>
    <w:p w14:paraId="2C1C7DC3">
      <w:pPr>
        <w:spacing w:line="360" w:lineRule="auto"/>
        <w:jc w:val="center"/>
        <w:rPr>
          <w:rFonts w:ascii="宋体" w:hAnsi="宋体"/>
          <w:b/>
          <w:bCs/>
          <w:color w:val="auto"/>
          <w:sz w:val="32"/>
          <w:szCs w:val="32"/>
          <w:highlight w:val="none"/>
        </w:rPr>
      </w:pPr>
      <w:r>
        <w:rPr>
          <w:rFonts w:hint="eastAsia" w:ascii="宋体" w:hAnsi="宋体"/>
          <w:b/>
          <w:bCs/>
          <w:color w:val="auto"/>
          <w:sz w:val="32"/>
          <w:szCs w:val="32"/>
          <w:highlight w:val="none"/>
        </w:rPr>
        <w:t>XM2025-DZ0048买卖合同</w:t>
      </w:r>
    </w:p>
    <w:p w14:paraId="17F00A65">
      <w:pPr>
        <w:spacing w:line="360" w:lineRule="auto"/>
        <w:ind w:right="480"/>
        <w:jc w:val="center"/>
        <w:rPr>
          <w:rFonts w:ascii="宋体" w:hAnsi="宋体"/>
          <w:color w:val="auto"/>
          <w:sz w:val="24"/>
          <w:highlight w:val="none"/>
        </w:rPr>
      </w:pPr>
    </w:p>
    <w:p w14:paraId="03ED3CE3">
      <w:pPr>
        <w:spacing w:line="360" w:lineRule="auto"/>
        <w:ind w:right="480"/>
        <w:jc w:val="center"/>
        <w:rPr>
          <w:rFonts w:ascii="宋体" w:hAnsi="宋体"/>
          <w:b/>
          <w:color w:val="auto"/>
          <w:kern w:val="0"/>
          <w:sz w:val="24"/>
          <w:highlight w:val="none"/>
        </w:rPr>
      </w:pPr>
      <w:r>
        <w:rPr>
          <w:rFonts w:hint="eastAsia" w:ascii="宋体" w:hAnsi="宋体"/>
          <w:color w:val="auto"/>
          <w:sz w:val="24"/>
          <w:highlight w:val="none"/>
        </w:rPr>
        <w:t xml:space="preserve">                                    合同编号：</w:t>
      </w:r>
    </w:p>
    <w:p w14:paraId="100A24F9">
      <w:pPr>
        <w:spacing w:line="360" w:lineRule="auto"/>
        <w:rPr>
          <w:rFonts w:ascii="宋体" w:hAnsi="宋体"/>
          <w:color w:val="auto"/>
          <w:sz w:val="24"/>
          <w:highlight w:val="none"/>
        </w:rPr>
      </w:pPr>
      <w:r>
        <w:rPr>
          <w:rFonts w:hint="eastAsia" w:ascii="宋体" w:hAnsi="宋体"/>
          <w:color w:val="auto"/>
          <w:sz w:val="24"/>
          <w:highlight w:val="none"/>
        </w:rPr>
        <w:t xml:space="preserve">买方： </w:t>
      </w:r>
    </w:p>
    <w:p w14:paraId="7D047322">
      <w:pPr>
        <w:spacing w:line="360" w:lineRule="auto"/>
        <w:rPr>
          <w:rFonts w:ascii="宋体" w:hAnsi="宋体"/>
          <w:color w:val="auto"/>
          <w:sz w:val="24"/>
          <w:highlight w:val="none"/>
        </w:rPr>
      </w:pPr>
      <w:r>
        <w:rPr>
          <w:rFonts w:hint="eastAsia" w:ascii="宋体" w:hAnsi="宋体"/>
          <w:color w:val="auto"/>
          <w:sz w:val="24"/>
          <w:highlight w:val="none"/>
        </w:rPr>
        <w:t>卖方：厦门万翔网络商务有限公司</w:t>
      </w:r>
    </w:p>
    <w:p w14:paraId="3EF53195">
      <w:pPr>
        <w:spacing w:before="240"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现根据项目编号</w:t>
      </w:r>
      <w:r>
        <w:rPr>
          <w:rFonts w:ascii="宋体" w:hAnsi="宋体"/>
          <w:color w:val="auto"/>
          <w:sz w:val="24"/>
          <w:szCs w:val="24"/>
          <w:highlight w:val="none"/>
        </w:rPr>
        <w:t>:</w:t>
      </w:r>
      <w:r>
        <w:rPr>
          <w:rFonts w:hint="eastAsia" w:ascii="宋体" w:hAnsi="宋体" w:cs="宋体"/>
          <w:b/>
          <w:bCs/>
          <w:color w:val="auto"/>
          <w:sz w:val="24"/>
          <w:szCs w:val="24"/>
          <w:highlight w:val="none"/>
        </w:rPr>
        <w:t>XM2025-DZ0048</w:t>
      </w:r>
      <w:r>
        <w:rPr>
          <w:rFonts w:hint="eastAsia" w:ascii="宋体" w:hAnsi="宋体"/>
          <w:color w:val="auto"/>
          <w:sz w:val="24"/>
          <w:szCs w:val="24"/>
          <w:highlight w:val="none"/>
        </w:rPr>
        <w:t>的招标文件、投标文件以及评审结果通知书（中标供应商为 ），买卖双方经协商一致，就卖方将从中标供应商处采购的货物出售给买方、并约定由中标供应商直接向买方履行安装及售后服务等义务，特制定本合同，以资共同遵守：</w:t>
      </w:r>
    </w:p>
    <w:p w14:paraId="21E39F88">
      <w:pPr>
        <w:tabs>
          <w:tab w:val="left" w:pos="315"/>
        </w:tabs>
        <w:spacing w:line="360" w:lineRule="auto"/>
        <w:rPr>
          <w:rFonts w:ascii="宋体" w:hAnsi="宋体"/>
          <w:b/>
          <w:color w:val="auto"/>
          <w:sz w:val="24"/>
          <w:szCs w:val="24"/>
          <w:highlight w:val="none"/>
        </w:rPr>
      </w:pPr>
      <w:r>
        <w:rPr>
          <w:rFonts w:ascii="宋体" w:hAnsi="宋体"/>
          <w:b/>
          <w:color w:val="auto"/>
          <w:sz w:val="24"/>
          <w:szCs w:val="24"/>
          <w:highlight w:val="none"/>
        </w:rPr>
        <w:t>1、合同标的物和价格（详见附件）</w:t>
      </w:r>
    </w:p>
    <w:tbl>
      <w:tblPr>
        <w:tblStyle w:val="16"/>
        <w:tblW w:w="8936" w:type="dxa"/>
        <w:tblInd w:w="103" w:type="dxa"/>
        <w:tblLayout w:type="fixed"/>
        <w:tblCellMar>
          <w:top w:w="0" w:type="dxa"/>
          <w:left w:w="108" w:type="dxa"/>
          <w:bottom w:w="0" w:type="dxa"/>
          <w:right w:w="108" w:type="dxa"/>
        </w:tblCellMar>
      </w:tblPr>
      <w:tblGrid>
        <w:gridCol w:w="1281"/>
        <w:gridCol w:w="2268"/>
        <w:gridCol w:w="2268"/>
        <w:gridCol w:w="1559"/>
        <w:gridCol w:w="1560"/>
      </w:tblGrid>
      <w:tr w14:paraId="37B66379">
        <w:tblPrEx>
          <w:tblCellMar>
            <w:top w:w="0" w:type="dxa"/>
            <w:left w:w="108" w:type="dxa"/>
            <w:bottom w:w="0" w:type="dxa"/>
            <w:right w:w="108" w:type="dxa"/>
          </w:tblCellMar>
        </w:tblPrEx>
        <w:trPr>
          <w:trHeight w:val="615" w:hRule="atLeast"/>
        </w:trPr>
        <w:tc>
          <w:tcPr>
            <w:tcW w:w="1281" w:type="dxa"/>
            <w:tcBorders>
              <w:top w:val="single" w:color="auto" w:sz="4" w:space="0"/>
              <w:left w:val="single" w:color="auto" w:sz="4" w:space="0"/>
              <w:bottom w:val="single" w:color="auto" w:sz="4" w:space="0"/>
              <w:right w:val="single" w:color="auto" w:sz="4" w:space="0"/>
            </w:tcBorders>
            <w:vAlign w:val="center"/>
          </w:tcPr>
          <w:p w14:paraId="06B2067F">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品名</w:t>
            </w:r>
          </w:p>
        </w:tc>
        <w:tc>
          <w:tcPr>
            <w:tcW w:w="2268" w:type="dxa"/>
            <w:tcBorders>
              <w:top w:val="single" w:color="auto" w:sz="4" w:space="0"/>
              <w:left w:val="nil"/>
              <w:bottom w:val="single" w:color="auto" w:sz="4" w:space="0"/>
              <w:right w:val="single" w:color="auto" w:sz="4" w:space="0"/>
            </w:tcBorders>
            <w:vAlign w:val="center"/>
          </w:tcPr>
          <w:p w14:paraId="68348473">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规格</w:t>
            </w:r>
          </w:p>
        </w:tc>
        <w:tc>
          <w:tcPr>
            <w:tcW w:w="2268" w:type="dxa"/>
            <w:tcBorders>
              <w:top w:val="single" w:color="auto" w:sz="4" w:space="0"/>
              <w:left w:val="nil"/>
              <w:bottom w:val="single" w:color="auto" w:sz="4" w:space="0"/>
              <w:right w:val="single" w:color="auto" w:sz="4" w:space="0"/>
            </w:tcBorders>
            <w:vAlign w:val="center"/>
          </w:tcPr>
          <w:p w14:paraId="628E315B">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制造商</w:t>
            </w:r>
          </w:p>
        </w:tc>
        <w:tc>
          <w:tcPr>
            <w:tcW w:w="1559" w:type="dxa"/>
            <w:tcBorders>
              <w:top w:val="single" w:color="auto" w:sz="4" w:space="0"/>
              <w:left w:val="nil"/>
              <w:bottom w:val="single" w:color="auto" w:sz="4" w:space="0"/>
              <w:right w:val="single" w:color="auto" w:sz="4" w:space="0"/>
            </w:tcBorders>
            <w:vAlign w:val="center"/>
          </w:tcPr>
          <w:p w14:paraId="5EDCF974">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数量</w:t>
            </w:r>
          </w:p>
        </w:tc>
        <w:tc>
          <w:tcPr>
            <w:tcW w:w="1560" w:type="dxa"/>
            <w:tcBorders>
              <w:top w:val="single" w:color="auto" w:sz="4" w:space="0"/>
              <w:left w:val="nil"/>
              <w:bottom w:val="single" w:color="auto" w:sz="4" w:space="0"/>
              <w:right w:val="single" w:color="auto" w:sz="4" w:space="0"/>
            </w:tcBorders>
            <w:vAlign w:val="center"/>
          </w:tcPr>
          <w:p w14:paraId="41B85A5F">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金额</w:t>
            </w:r>
          </w:p>
        </w:tc>
      </w:tr>
      <w:tr w14:paraId="37BA6740">
        <w:tblPrEx>
          <w:tblCellMar>
            <w:top w:w="0" w:type="dxa"/>
            <w:left w:w="108" w:type="dxa"/>
            <w:bottom w:w="0" w:type="dxa"/>
            <w:right w:w="108" w:type="dxa"/>
          </w:tblCellMar>
        </w:tblPrEx>
        <w:trPr>
          <w:trHeight w:val="559" w:hRule="atLeast"/>
        </w:trPr>
        <w:tc>
          <w:tcPr>
            <w:tcW w:w="1281" w:type="dxa"/>
            <w:tcBorders>
              <w:top w:val="nil"/>
              <w:left w:val="single" w:color="auto" w:sz="4" w:space="0"/>
              <w:bottom w:val="single" w:color="auto" w:sz="4" w:space="0"/>
              <w:right w:val="single" w:color="auto" w:sz="4" w:space="0"/>
            </w:tcBorders>
            <w:vAlign w:val="center"/>
          </w:tcPr>
          <w:p w14:paraId="580E406E">
            <w:pPr>
              <w:rPr>
                <w:rFonts w:asciiTheme="minorEastAsia" w:hAnsiTheme="minorEastAsia"/>
                <w:color w:val="auto"/>
                <w:szCs w:val="24"/>
                <w:highlight w:val="none"/>
              </w:rPr>
            </w:pPr>
            <w:r>
              <w:rPr>
                <w:rFonts w:hint="eastAsia" w:asciiTheme="minorEastAsia" w:hAnsiTheme="minorEastAsia"/>
                <w:color w:val="auto"/>
                <w:sz w:val="24"/>
                <w:szCs w:val="24"/>
                <w:highlight w:val="none"/>
              </w:rPr>
              <w:t>高性能计算机</w:t>
            </w:r>
          </w:p>
          <w:p w14:paraId="1456EE47">
            <w:pPr>
              <w:ind w:firstLine="452"/>
              <w:rPr>
                <w:rFonts w:asciiTheme="minorEastAsia" w:hAnsiTheme="minorEastAsia" w:cstheme="minorEastAsia"/>
                <w:color w:val="auto"/>
                <w:szCs w:val="24"/>
                <w:highlight w:val="none"/>
              </w:rPr>
            </w:pPr>
          </w:p>
        </w:tc>
        <w:tc>
          <w:tcPr>
            <w:tcW w:w="2268" w:type="dxa"/>
            <w:tcBorders>
              <w:top w:val="nil"/>
              <w:left w:val="nil"/>
              <w:bottom w:val="single" w:color="auto" w:sz="4" w:space="0"/>
              <w:right w:val="single" w:color="auto" w:sz="4" w:space="0"/>
            </w:tcBorders>
            <w:vAlign w:val="center"/>
          </w:tcPr>
          <w:p w14:paraId="36F833F2">
            <w:pPr>
              <w:spacing w:line="360" w:lineRule="auto"/>
              <w:jc w:val="center"/>
              <w:rPr>
                <w:rFonts w:ascii="宋体" w:hAnsi="宋体"/>
                <w:color w:val="auto"/>
                <w:sz w:val="24"/>
                <w:szCs w:val="24"/>
                <w:highlight w:val="none"/>
              </w:rPr>
            </w:pPr>
            <w:r>
              <w:rPr>
                <w:rFonts w:hint="eastAsia" w:ascii="宋体" w:hAnsi="宋体"/>
                <w:color w:val="auto"/>
                <w:sz w:val="24"/>
                <w:szCs w:val="24"/>
                <w:highlight w:val="none"/>
              </w:rPr>
              <w:t>以招标文件附件一为准</w:t>
            </w:r>
          </w:p>
        </w:tc>
        <w:tc>
          <w:tcPr>
            <w:tcW w:w="2268" w:type="dxa"/>
            <w:tcBorders>
              <w:top w:val="nil"/>
              <w:left w:val="single" w:color="auto" w:sz="4" w:space="0"/>
              <w:bottom w:val="single" w:color="auto" w:sz="4" w:space="0"/>
              <w:right w:val="single" w:color="auto" w:sz="4" w:space="0"/>
            </w:tcBorders>
            <w:vAlign w:val="center"/>
          </w:tcPr>
          <w:p w14:paraId="4DAFC9F6">
            <w:pPr>
              <w:spacing w:line="360" w:lineRule="auto"/>
              <w:jc w:val="center"/>
              <w:rPr>
                <w:rFonts w:ascii="宋体" w:hAnsi="宋体"/>
                <w:color w:val="auto"/>
                <w:sz w:val="24"/>
                <w:szCs w:val="24"/>
                <w:highlight w:val="none"/>
              </w:rPr>
            </w:pPr>
          </w:p>
        </w:tc>
        <w:tc>
          <w:tcPr>
            <w:tcW w:w="1559" w:type="dxa"/>
            <w:tcBorders>
              <w:top w:val="nil"/>
              <w:left w:val="nil"/>
              <w:bottom w:val="single" w:color="auto" w:sz="4" w:space="0"/>
              <w:right w:val="single" w:color="auto" w:sz="4" w:space="0"/>
            </w:tcBorders>
            <w:vAlign w:val="center"/>
          </w:tcPr>
          <w:p w14:paraId="24B077A6">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80台</w:t>
            </w:r>
          </w:p>
        </w:tc>
        <w:tc>
          <w:tcPr>
            <w:tcW w:w="1560" w:type="dxa"/>
            <w:tcBorders>
              <w:top w:val="nil"/>
              <w:left w:val="nil"/>
              <w:bottom w:val="single" w:color="auto" w:sz="4" w:space="0"/>
              <w:right w:val="single" w:color="auto" w:sz="4" w:space="0"/>
            </w:tcBorders>
            <w:vAlign w:val="center"/>
          </w:tcPr>
          <w:p w14:paraId="6A5F4486">
            <w:pPr>
              <w:widowControl/>
              <w:spacing w:line="360" w:lineRule="auto"/>
              <w:jc w:val="center"/>
              <w:rPr>
                <w:rFonts w:ascii="宋体" w:hAnsi="宋体" w:cs="宋体"/>
                <w:color w:val="auto"/>
                <w:kern w:val="0"/>
                <w:sz w:val="24"/>
                <w:szCs w:val="24"/>
                <w:highlight w:val="none"/>
              </w:rPr>
            </w:pPr>
          </w:p>
        </w:tc>
      </w:tr>
      <w:tr w14:paraId="10278A3F">
        <w:tblPrEx>
          <w:tblCellMar>
            <w:top w:w="0" w:type="dxa"/>
            <w:left w:w="108" w:type="dxa"/>
            <w:bottom w:w="0" w:type="dxa"/>
            <w:right w:w="108" w:type="dxa"/>
          </w:tblCellMar>
        </w:tblPrEx>
        <w:trPr>
          <w:trHeight w:val="559" w:hRule="atLeast"/>
        </w:trPr>
        <w:tc>
          <w:tcPr>
            <w:tcW w:w="1281" w:type="dxa"/>
            <w:tcBorders>
              <w:top w:val="nil"/>
              <w:left w:val="single" w:color="auto" w:sz="4" w:space="0"/>
              <w:bottom w:val="single" w:color="auto" w:sz="4" w:space="0"/>
              <w:right w:val="single" w:color="auto" w:sz="4" w:space="0"/>
            </w:tcBorders>
            <w:vAlign w:val="center"/>
          </w:tcPr>
          <w:p w14:paraId="1568F85F">
            <w:pPr>
              <w:rPr>
                <w:rFonts w:cs="宋体" w:asciiTheme="minorEastAsia" w:hAnsiTheme="minorEastAsia"/>
                <w:color w:val="auto"/>
                <w:szCs w:val="24"/>
                <w:highlight w:val="none"/>
              </w:rPr>
            </w:pPr>
            <w:r>
              <w:rPr>
                <w:rFonts w:hint="eastAsia" w:asciiTheme="minorEastAsia" w:hAnsiTheme="minorEastAsia"/>
                <w:color w:val="auto"/>
                <w:sz w:val="24"/>
                <w:szCs w:val="24"/>
                <w:highlight w:val="none"/>
              </w:rPr>
              <w:t>图形工作站1</w:t>
            </w:r>
          </w:p>
          <w:p w14:paraId="65ADE8F9">
            <w:pPr>
              <w:ind w:firstLine="452"/>
              <w:rPr>
                <w:rFonts w:asciiTheme="minorEastAsia" w:hAnsiTheme="minorEastAsia" w:cstheme="minorEastAsia"/>
                <w:color w:val="auto"/>
                <w:szCs w:val="24"/>
                <w:highlight w:val="none"/>
              </w:rPr>
            </w:pPr>
          </w:p>
        </w:tc>
        <w:tc>
          <w:tcPr>
            <w:tcW w:w="2268" w:type="dxa"/>
            <w:tcBorders>
              <w:top w:val="nil"/>
              <w:left w:val="nil"/>
              <w:bottom w:val="single" w:color="auto" w:sz="4" w:space="0"/>
              <w:right w:val="single" w:color="auto" w:sz="4" w:space="0"/>
            </w:tcBorders>
            <w:vAlign w:val="center"/>
          </w:tcPr>
          <w:p w14:paraId="074D09DF">
            <w:pPr>
              <w:spacing w:line="360" w:lineRule="auto"/>
              <w:jc w:val="center"/>
              <w:rPr>
                <w:rFonts w:ascii="宋体" w:hAnsi="宋体"/>
                <w:color w:val="auto"/>
                <w:sz w:val="24"/>
                <w:szCs w:val="24"/>
                <w:highlight w:val="none"/>
              </w:rPr>
            </w:pPr>
            <w:r>
              <w:rPr>
                <w:rFonts w:hint="eastAsia" w:ascii="宋体" w:hAnsi="宋体"/>
                <w:color w:val="auto"/>
                <w:sz w:val="24"/>
                <w:szCs w:val="24"/>
                <w:highlight w:val="none"/>
              </w:rPr>
              <w:t>以招标文件附件一为准</w:t>
            </w:r>
          </w:p>
        </w:tc>
        <w:tc>
          <w:tcPr>
            <w:tcW w:w="2268" w:type="dxa"/>
            <w:tcBorders>
              <w:top w:val="nil"/>
              <w:left w:val="single" w:color="auto" w:sz="4" w:space="0"/>
              <w:bottom w:val="single" w:color="auto" w:sz="4" w:space="0"/>
              <w:right w:val="single" w:color="auto" w:sz="4" w:space="0"/>
            </w:tcBorders>
            <w:vAlign w:val="center"/>
          </w:tcPr>
          <w:p w14:paraId="45BC7F81">
            <w:pPr>
              <w:spacing w:line="360" w:lineRule="auto"/>
              <w:jc w:val="center"/>
              <w:rPr>
                <w:rFonts w:ascii="宋体" w:hAnsi="宋体"/>
                <w:color w:val="auto"/>
                <w:sz w:val="24"/>
                <w:szCs w:val="24"/>
                <w:highlight w:val="none"/>
              </w:rPr>
            </w:pPr>
          </w:p>
        </w:tc>
        <w:tc>
          <w:tcPr>
            <w:tcW w:w="1559" w:type="dxa"/>
            <w:tcBorders>
              <w:top w:val="nil"/>
              <w:left w:val="nil"/>
              <w:bottom w:val="single" w:color="auto" w:sz="4" w:space="0"/>
              <w:right w:val="single" w:color="auto" w:sz="4" w:space="0"/>
            </w:tcBorders>
            <w:vAlign w:val="center"/>
          </w:tcPr>
          <w:p w14:paraId="3FD8CCFB">
            <w:pPr>
              <w:widowControl/>
              <w:spacing w:line="360" w:lineRule="auto"/>
              <w:jc w:val="center"/>
              <w:rPr>
                <w:rFonts w:ascii="宋体" w:hAnsi="宋体"/>
                <w:color w:val="auto"/>
                <w:sz w:val="24"/>
                <w:szCs w:val="24"/>
                <w:highlight w:val="none"/>
              </w:rPr>
            </w:pPr>
            <w:r>
              <w:rPr>
                <w:rFonts w:hint="eastAsia" w:ascii="宋体" w:hAnsi="宋体"/>
                <w:color w:val="auto"/>
                <w:sz w:val="24"/>
                <w:szCs w:val="24"/>
                <w:highlight w:val="none"/>
              </w:rPr>
              <w:t>9台</w:t>
            </w:r>
          </w:p>
        </w:tc>
        <w:tc>
          <w:tcPr>
            <w:tcW w:w="1560" w:type="dxa"/>
            <w:tcBorders>
              <w:top w:val="nil"/>
              <w:left w:val="nil"/>
              <w:bottom w:val="single" w:color="auto" w:sz="4" w:space="0"/>
              <w:right w:val="single" w:color="auto" w:sz="4" w:space="0"/>
            </w:tcBorders>
            <w:vAlign w:val="center"/>
          </w:tcPr>
          <w:p w14:paraId="3AB52946">
            <w:pPr>
              <w:widowControl/>
              <w:spacing w:line="360" w:lineRule="auto"/>
              <w:jc w:val="center"/>
              <w:rPr>
                <w:rFonts w:ascii="宋体" w:hAnsi="宋体" w:cs="宋体"/>
                <w:color w:val="auto"/>
                <w:kern w:val="0"/>
                <w:sz w:val="24"/>
                <w:szCs w:val="24"/>
                <w:highlight w:val="none"/>
              </w:rPr>
            </w:pPr>
          </w:p>
        </w:tc>
      </w:tr>
      <w:tr w14:paraId="4EB5058D">
        <w:tblPrEx>
          <w:tblCellMar>
            <w:top w:w="0" w:type="dxa"/>
            <w:left w:w="108" w:type="dxa"/>
            <w:bottom w:w="0" w:type="dxa"/>
            <w:right w:w="108" w:type="dxa"/>
          </w:tblCellMar>
        </w:tblPrEx>
        <w:trPr>
          <w:trHeight w:val="559" w:hRule="atLeast"/>
        </w:trPr>
        <w:tc>
          <w:tcPr>
            <w:tcW w:w="1281" w:type="dxa"/>
            <w:tcBorders>
              <w:top w:val="nil"/>
              <w:left w:val="single" w:color="auto" w:sz="4" w:space="0"/>
              <w:bottom w:val="single" w:color="auto" w:sz="4" w:space="0"/>
              <w:right w:val="single" w:color="auto" w:sz="4" w:space="0"/>
            </w:tcBorders>
            <w:vAlign w:val="center"/>
          </w:tcPr>
          <w:p w14:paraId="463E395E">
            <w:pPr>
              <w:rPr>
                <w:rFonts w:cs="宋体" w:asciiTheme="minorEastAsia" w:hAnsiTheme="minorEastAsia"/>
                <w:color w:val="auto"/>
                <w:szCs w:val="24"/>
                <w:highlight w:val="none"/>
              </w:rPr>
            </w:pPr>
            <w:r>
              <w:rPr>
                <w:rFonts w:hint="eastAsia" w:asciiTheme="minorEastAsia" w:hAnsiTheme="minorEastAsia"/>
                <w:color w:val="auto"/>
                <w:sz w:val="24"/>
                <w:szCs w:val="24"/>
                <w:highlight w:val="none"/>
              </w:rPr>
              <w:t>图形工作站2</w:t>
            </w:r>
          </w:p>
          <w:p w14:paraId="0DA63BE9">
            <w:pPr>
              <w:ind w:firstLine="452"/>
              <w:rPr>
                <w:rFonts w:asciiTheme="minorEastAsia" w:hAnsiTheme="minorEastAsia" w:cstheme="minorEastAsia"/>
                <w:color w:val="auto"/>
                <w:szCs w:val="24"/>
                <w:highlight w:val="none"/>
              </w:rPr>
            </w:pPr>
          </w:p>
        </w:tc>
        <w:tc>
          <w:tcPr>
            <w:tcW w:w="2268" w:type="dxa"/>
            <w:tcBorders>
              <w:top w:val="nil"/>
              <w:left w:val="nil"/>
              <w:bottom w:val="single" w:color="auto" w:sz="4" w:space="0"/>
              <w:right w:val="single" w:color="auto" w:sz="4" w:space="0"/>
            </w:tcBorders>
            <w:vAlign w:val="center"/>
          </w:tcPr>
          <w:p w14:paraId="50D2EAC1">
            <w:pPr>
              <w:spacing w:line="360" w:lineRule="auto"/>
              <w:jc w:val="center"/>
              <w:rPr>
                <w:rFonts w:ascii="宋体" w:hAnsi="宋体"/>
                <w:color w:val="auto"/>
                <w:sz w:val="24"/>
                <w:szCs w:val="24"/>
                <w:highlight w:val="none"/>
              </w:rPr>
            </w:pPr>
            <w:r>
              <w:rPr>
                <w:rFonts w:hint="eastAsia" w:ascii="宋体" w:hAnsi="宋体"/>
                <w:color w:val="auto"/>
                <w:sz w:val="24"/>
                <w:szCs w:val="24"/>
                <w:highlight w:val="none"/>
              </w:rPr>
              <w:t>以招标文件附件一为准</w:t>
            </w:r>
          </w:p>
        </w:tc>
        <w:tc>
          <w:tcPr>
            <w:tcW w:w="2268" w:type="dxa"/>
            <w:tcBorders>
              <w:top w:val="nil"/>
              <w:left w:val="single" w:color="auto" w:sz="4" w:space="0"/>
              <w:bottom w:val="single" w:color="auto" w:sz="4" w:space="0"/>
              <w:right w:val="single" w:color="auto" w:sz="4" w:space="0"/>
            </w:tcBorders>
            <w:vAlign w:val="center"/>
          </w:tcPr>
          <w:p w14:paraId="3EE9D223">
            <w:pPr>
              <w:spacing w:line="360" w:lineRule="auto"/>
              <w:jc w:val="center"/>
              <w:rPr>
                <w:rFonts w:ascii="宋体" w:hAnsi="宋体"/>
                <w:color w:val="auto"/>
                <w:sz w:val="24"/>
                <w:szCs w:val="24"/>
                <w:highlight w:val="none"/>
              </w:rPr>
            </w:pPr>
          </w:p>
        </w:tc>
        <w:tc>
          <w:tcPr>
            <w:tcW w:w="1559" w:type="dxa"/>
            <w:tcBorders>
              <w:top w:val="nil"/>
              <w:left w:val="nil"/>
              <w:bottom w:val="single" w:color="auto" w:sz="4" w:space="0"/>
              <w:right w:val="single" w:color="auto" w:sz="4" w:space="0"/>
            </w:tcBorders>
            <w:vAlign w:val="center"/>
          </w:tcPr>
          <w:p w14:paraId="271F6E34">
            <w:pPr>
              <w:widowControl/>
              <w:spacing w:line="360" w:lineRule="auto"/>
              <w:jc w:val="center"/>
              <w:rPr>
                <w:rFonts w:ascii="宋体" w:hAnsi="宋体"/>
                <w:color w:val="auto"/>
                <w:sz w:val="24"/>
                <w:szCs w:val="24"/>
                <w:highlight w:val="none"/>
              </w:rPr>
            </w:pPr>
            <w:r>
              <w:rPr>
                <w:rFonts w:hint="eastAsia" w:ascii="宋体" w:hAnsi="宋体"/>
                <w:color w:val="auto"/>
                <w:sz w:val="24"/>
                <w:szCs w:val="24"/>
                <w:highlight w:val="none"/>
              </w:rPr>
              <w:t>9台</w:t>
            </w:r>
          </w:p>
        </w:tc>
        <w:tc>
          <w:tcPr>
            <w:tcW w:w="1560" w:type="dxa"/>
            <w:tcBorders>
              <w:top w:val="nil"/>
              <w:left w:val="nil"/>
              <w:bottom w:val="single" w:color="auto" w:sz="4" w:space="0"/>
              <w:right w:val="single" w:color="auto" w:sz="4" w:space="0"/>
            </w:tcBorders>
            <w:vAlign w:val="center"/>
          </w:tcPr>
          <w:p w14:paraId="65E0F4FB">
            <w:pPr>
              <w:widowControl/>
              <w:spacing w:line="360" w:lineRule="auto"/>
              <w:jc w:val="center"/>
              <w:rPr>
                <w:rFonts w:ascii="宋体" w:hAnsi="宋体" w:cs="宋体"/>
                <w:color w:val="auto"/>
                <w:kern w:val="0"/>
                <w:sz w:val="24"/>
                <w:szCs w:val="24"/>
                <w:highlight w:val="none"/>
              </w:rPr>
            </w:pPr>
          </w:p>
        </w:tc>
      </w:tr>
      <w:tr w14:paraId="07999F05">
        <w:tblPrEx>
          <w:tblCellMar>
            <w:top w:w="0" w:type="dxa"/>
            <w:left w:w="108" w:type="dxa"/>
            <w:bottom w:w="0" w:type="dxa"/>
            <w:right w:w="108" w:type="dxa"/>
          </w:tblCellMar>
        </w:tblPrEx>
        <w:trPr>
          <w:trHeight w:val="559" w:hRule="atLeast"/>
        </w:trPr>
        <w:tc>
          <w:tcPr>
            <w:tcW w:w="1281" w:type="dxa"/>
            <w:tcBorders>
              <w:top w:val="nil"/>
              <w:left w:val="single" w:color="auto" w:sz="4" w:space="0"/>
              <w:bottom w:val="single" w:color="auto" w:sz="4" w:space="0"/>
              <w:right w:val="single" w:color="auto" w:sz="4" w:space="0"/>
            </w:tcBorders>
            <w:vAlign w:val="center"/>
          </w:tcPr>
          <w:p w14:paraId="6D8D0F9F">
            <w:pPr>
              <w:rPr>
                <w:rFonts w:asciiTheme="minorEastAsia" w:hAnsiTheme="minorEastAsia"/>
                <w:color w:val="auto"/>
                <w:szCs w:val="24"/>
                <w:highlight w:val="none"/>
              </w:rPr>
            </w:pPr>
            <w:r>
              <w:rPr>
                <w:rFonts w:hint="eastAsia" w:asciiTheme="minorEastAsia" w:hAnsiTheme="minorEastAsia"/>
                <w:color w:val="auto"/>
                <w:sz w:val="24"/>
                <w:szCs w:val="24"/>
                <w:highlight w:val="none"/>
              </w:rPr>
              <w:t>图形工作站</w:t>
            </w:r>
            <w:r>
              <w:rPr>
                <w:rFonts w:asciiTheme="minorEastAsia" w:hAnsiTheme="minorEastAsia"/>
                <w:color w:val="auto"/>
                <w:sz w:val="24"/>
                <w:szCs w:val="24"/>
                <w:highlight w:val="none"/>
              </w:rPr>
              <w:t>3</w:t>
            </w:r>
          </w:p>
          <w:p w14:paraId="175A27B6">
            <w:pPr>
              <w:ind w:firstLine="452"/>
              <w:rPr>
                <w:rFonts w:asciiTheme="minorEastAsia" w:hAnsiTheme="minorEastAsia" w:cstheme="minorEastAsia"/>
                <w:color w:val="auto"/>
                <w:szCs w:val="24"/>
                <w:highlight w:val="none"/>
              </w:rPr>
            </w:pPr>
          </w:p>
        </w:tc>
        <w:tc>
          <w:tcPr>
            <w:tcW w:w="2268" w:type="dxa"/>
            <w:tcBorders>
              <w:top w:val="nil"/>
              <w:left w:val="nil"/>
              <w:bottom w:val="single" w:color="auto" w:sz="4" w:space="0"/>
              <w:right w:val="single" w:color="auto" w:sz="4" w:space="0"/>
            </w:tcBorders>
            <w:vAlign w:val="center"/>
          </w:tcPr>
          <w:p w14:paraId="30D8AD3E">
            <w:pPr>
              <w:spacing w:line="360" w:lineRule="auto"/>
              <w:jc w:val="center"/>
              <w:rPr>
                <w:rFonts w:ascii="宋体" w:hAnsi="宋体"/>
                <w:color w:val="auto"/>
                <w:sz w:val="24"/>
                <w:szCs w:val="24"/>
                <w:highlight w:val="none"/>
              </w:rPr>
            </w:pPr>
            <w:r>
              <w:rPr>
                <w:rFonts w:hint="eastAsia" w:ascii="宋体" w:hAnsi="宋体"/>
                <w:color w:val="auto"/>
                <w:sz w:val="24"/>
                <w:szCs w:val="24"/>
                <w:highlight w:val="none"/>
              </w:rPr>
              <w:t>以招标文件附件一为准</w:t>
            </w:r>
          </w:p>
        </w:tc>
        <w:tc>
          <w:tcPr>
            <w:tcW w:w="2268" w:type="dxa"/>
            <w:tcBorders>
              <w:top w:val="nil"/>
              <w:left w:val="single" w:color="auto" w:sz="4" w:space="0"/>
              <w:bottom w:val="single" w:color="auto" w:sz="4" w:space="0"/>
              <w:right w:val="single" w:color="auto" w:sz="4" w:space="0"/>
            </w:tcBorders>
            <w:vAlign w:val="center"/>
          </w:tcPr>
          <w:p w14:paraId="0B61C1D2">
            <w:pPr>
              <w:spacing w:line="360" w:lineRule="auto"/>
              <w:jc w:val="center"/>
              <w:rPr>
                <w:rFonts w:ascii="宋体" w:hAnsi="宋体"/>
                <w:color w:val="auto"/>
                <w:sz w:val="24"/>
                <w:szCs w:val="24"/>
                <w:highlight w:val="none"/>
              </w:rPr>
            </w:pPr>
          </w:p>
        </w:tc>
        <w:tc>
          <w:tcPr>
            <w:tcW w:w="1559" w:type="dxa"/>
            <w:tcBorders>
              <w:top w:val="nil"/>
              <w:left w:val="nil"/>
              <w:bottom w:val="single" w:color="auto" w:sz="4" w:space="0"/>
              <w:right w:val="single" w:color="auto" w:sz="4" w:space="0"/>
            </w:tcBorders>
            <w:vAlign w:val="center"/>
          </w:tcPr>
          <w:p w14:paraId="34E38773">
            <w:pPr>
              <w:widowControl/>
              <w:spacing w:line="360" w:lineRule="auto"/>
              <w:jc w:val="center"/>
              <w:rPr>
                <w:rFonts w:ascii="宋体" w:hAnsi="宋体"/>
                <w:color w:val="auto"/>
                <w:sz w:val="24"/>
                <w:szCs w:val="24"/>
                <w:highlight w:val="none"/>
              </w:rPr>
            </w:pPr>
            <w:r>
              <w:rPr>
                <w:rFonts w:hint="eastAsia" w:ascii="宋体" w:hAnsi="宋体"/>
                <w:color w:val="auto"/>
                <w:sz w:val="24"/>
                <w:szCs w:val="24"/>
                <w:highlight w:val="none"/>
              </w:rPr>
              <w:t>96台</w:t>
            </w:r>
          </w:p>
        </w:tc>
        <w:tc>
          <w:tcPr>
            <w:tcW w:w="1560" w:type="dxa"/>
            <w:tcBorders>
              <w:top w:val="nil"/>
              <w:left w:val="nil"/>
              <w:bottom w:val="single" w:color="auto" w:sz="4" w:space="0"/>
              <w:right w:val="single" w:color="auto" w:sz="4" w:space="0"/>
            </w:tcBorders>
            <w:vAlign w:val="center"/>
          </w:tcPr>
          <w:p w14:paraId="647C8558">
            <w:pPr>
              <w:widowControl/>
              <w:spacing w:line="360" w:lineRule="auto"/>
              <w:jc w:val="center"/>
              <w:rPr>
                <w:rFonts w:ascii="宋体" w:hAnsi="宋体" w:cs="宋体"/>
                <w:color w:val="auto"/>
                <w:kern w:val="0"/>
                <w:sz w:val="24"/>
                <w:szCs w:val="24"/>
                <w:highlight w:val="none"/>
              </w:rPr>
            </w:pPr>
          </w:p>
        </w:tc>
      </w:tr>
      <w:tr w14:paraId="6D7D8D49">
        <w:tblPrEx>
          <w:tblCellMar>
            <w:top w:w="0" w:type="dxa"/>
            <w:left w:w="108" w:type="dxa"/>
            <w:bottom w:w="0" w:type="dxa"/>
            <w:right w:w="108" w:type="dxa"/>
          </w:tblCellMar>
        </w:tblPrEx>
        <w:trPr>
          <w:trHeight w:val="559" w:hRule="atLeast"/>
        </w:trPr>
        <w:tc>
          <w:tcPr>
            <w:tcW w:w="1281" w:type="dxa"/>
            <w:tcBorders>
              <w:top w:val="nil"/>
              <w:left w:val="single" w:color="auto" w:sz="4" w:space="0"/>
              <w:bottom w:val="single" w:color="auto" w:sz="4" w:space="0"/>
              <w:right w:val="single" w:color="auto" w:sz="4" w:space="0"/>
            </w:tcBorders>
            <w:vAlign w:val="center"/>
          </w:tcPr>
          <w:p w14:paraId="678988A3">
            <w:pPr>
              <w:rPr>
                <w:rFonts w:asciiTheme="minorEastAsia" w:hAnsiTheme="minorEastAsia"/>
                <w:color w:val="auto"/>
                <w:szCs w:val="24"/>
                <w:highlight w:val="none"/>
              </w:rPr>
            </w:pPr>
            <w:r>
              <w:rPr>
                <w:rFonts w:hint="eastAsia" w:asciiTheme="minorEastAsia" w:hAnsiTheme="minorEastAsia"/>
                <w:color w:val="auto"/>
                <w:sz w:val="24"/>
                <w:szCs w:val="24"/>
                <w:highlight w:val="none"/>
              </w:rPr>
              <w:t>图形工作站</w:t>
            </w:r>
            <w:r>
              <w:rPr>
                <w:rFonts w:asciiTheme="minorEastAsia" w:hAnsiTheme="minorEastAsia"/>
                <w:color w:val="auto"/>
                <w:sz w:val="24"/>
                <w:szCs w:val="24"/>
                <w:highlight w:val="none"/>
              </w:rPr>
              <w:t>4</w:t>
            </w:r>
          </w:p>
          <w:p w14:paraId="2DE37258">
            <w:pPr>
              <w:ind w:firstLine="452"/>
              <w:rPr>
                <w:rFonts w:asciiTheme="minorEastAsia" w:hAnsiTheme="minorEastAsia" w:cstheme="minorEastAsia"/>
                <w:color w:val="auto"/>
                <w:szCs w:val="24"/>
                <w:highlight w:val="none"/>
              </w:rPr>
            </w:pPr>
          </w:p>
        </w:tc>
        <w:tc>
          <w:tcPr>
            <w:tcW w:w="2268" w:type="dxa"/>
            <w:tcBorders>
              <w:top w:val="nil"/>
              <w:left w:val="nil"/>
              <w:bottom w:val="single" w:color="auto" w:sz="4" w:space="0"/>
              <w:right w:val="single" w:color="auto" w:sz="4" w:space="0"/>
            </w:tcBorders>
            <w:vAlign w:val="center"/>
          </w:tcPr>
          <w:p w14:paraId="0326D4E3">
            <w:pPr>
              <w:spacing w:line="360" w:lineRule="auto"/>
              <w:jc w:val="center"/>
              <w:rPr>
                <w:rFonts w:ascii="宋体" w:hAnsi="宋体"/>
                <w:color w:val="auto"/>
                <w:sz w:val="24"/>
                <w:szCs w:val="24"/>
                <w:highlight w:val="none"/>
              </w:rPr>
            </w:pPr>
            <w:r>
              <w:rPr>
                <w:rFonts w:hint="eastAsia" w:ascii="宋体" w:hAnsi="宋体"/>
                <w:color w:val="auto"/>
                <w:sz w:val="24"/>
                <w:szCs w:val="24"/>
                <w:highlight w:val="none"/>
              </w:rPr>
              <w:t>以招标文件附件一为准</w:t>
            </w:r>
          </w:p>
        </w:tc>
        <w:tc>
          <w:tcPr>
            <w:tcW w:w="2268" w:type="dxa"/>
            <w:tcBorders>
              <w:top w:val="nil"/>
              <w:left w:val="single" w:color="auto" w:sz="4" w:space="0"/>
              <w:bottom w:val="single" w:color="auto" w:sz="4" w:space="0"/>
              <w:right w:val="single" w:color="auto" w:sz="4" w:space="0"/>
            </w:tcBorders>
            <w:vAlign w:val="center"/>
          </w:tcPr>
          <w:p w14:paraId="5D0052ED">
            <w:pPr>
              <w:spacing w:line="360" w:lineRule="auto"/>
              <w:jc w:val="center"/>
              <w:rPr>
                <w:rFonts w:ascii="宋体" w:hAnsi="宋体"/>
                <w:color w:val="auto"/>
                <w:sz w:val="24"/>
                <w:szCs w:val="24"/>
                <w:highlight w:val="none"/>
              </w:rPr>
            </w:pPr>
          </w:p>
        </w:tc>
        <w:tc>
          <w:tcPr>
            <w:tcW w:w="1559" w:type="dxa"/>
            <w:tcBorders>
              <w:top w:val="nil"/>
              <w:left w:val="nil"/>
              <w:bottom w:val="single" w:color="auto" w:sz="4" w:space="0"/>
              <w:right w:val="single" w:color="auto" w:sz="4" w:space="0"/>
            </w:tcBorders>
            <w:vAlign w:val="center"/>
          </w:tcPr>
          <w:p w14:paraId="439E8DBF">
            <w:pPr>
              <w:widowControl/>
              <w:spacing w:line="360" w:lineRule="auto"/>
              <w:jc w:val="center"/>
              <w:rPr>
                <w:rFonts w:ascii="宋体" w:hAnsi="宋体"/>
                <w:color w:val="auto"/>
                <w:sz w:val="24"/>
                <w:szCs w:val="24"/>
                <w:highlight w:val="none"/>
              </w:rPr>
            </w:pPr>
            <w:r>
              <w:rPr>
                <w:rFonts w:hint="eastAsia" w:ascii="宋体" w:hAnsi="宋体"/>
                <w:color w:val="auto"/>
                <w:sz w:val="24"/>
                <w:szCs w:val="24"/>
                <w:highlight w:val="none"/>
              </w:rPr>
              <w:t>12台</w:t>
            </w:r>
          </w:p>
        </w:tc>
        <w:tc>
          <w:tcPr>
            <w:tcW w:w="1560" w:type="dxa"/>
            <w:tcBorders>
              <w:top w:val="nil"/>
              <w:left w:val="nil"/>
              <w:bottom w:val="single" w:color="auto" w:sz="4" w:space="0"/>
              <w:right w:val="single" w:color="auto" w:sz="4" w:space="0"/>
            </w:tcBorders>
            <w:vAlign w:val="center"/>
          </w:tcPr>
          <w:p w14:paraId="67B00C38">
            <w:pPr>
              <w:widowControl/>
              <w:spacing w:line="360" w:lineRule="auto"/>
              <w:jc w:val="center"/>
              <w:rPr>
                <w:rFonts w:ascii="宋体" w:hAnsi="宋体" w:cs="宋体"/>
                <w:color w:val="auto"/>
                <w:kern w:val="0"/>
                <w:sz w:val="24"/>
                <w:szCs w:val="24"/>
                <w:highlight w:val="none"/>
              </w:rPr>
            </w:pPr>
          </w:p>
        </w:tc>
      </w:tr>
      <w:tr w14:paraId="386D557A">
        <w:tblPrEx>
          <w:tblCellMar>
            <w:top w:w="0" w:type="dxa"/>
            <w:left w:w="108" w:type="dxa"/>
            <w:bottom w:w="0" w:type="dxa"/>
            <w:right w:w="108" w:type="dxa"/>
          </w:tblCellMar>
        </w:tblPrEx>
        <w:trPr>
          <w:trHeight w:val="540" w:hRule="atLeast"/>
        </w:trPr>
        <w:tc>
          <w:tcPr>
            <w:tcW w:w="8936" w:type="dxa"/>
            <w:gridSpan w:val="5"/>
            <w:tcBorders>
              <w:top w:val="single" w:color="auto" w:sz="4" w:space="0"/>
              <w:left w:val="single" w:color="auto" w:sz="4" w:space="0"/>
              <w:bottom w:val="single" w:color="auto" w:sz="4" w:space="0"/>
              <w:right w:val="single" w:color="000000" w:sz="4" w:space="0"/>
            </w:tcBorders>
            <w:vAlign w:val="center"/>
          </w:tcPr>
          <w:p w14:paraId="41DEEE1B">
            <w:pPr>
              <w:widowControl/>
              <w:spacing w:line="360" w:lineRule="auto"/>
              <w:rPr>
                <w:rFonts w:ascii="宋体" w:hAnsi="宋体"/>
                <w:bCs/>
                <w:color w:val="auto"/>
                <w:sz w:val="24"/>
                <w:szCs w:val="24"/>
                <w:highlight w:val="none"/>
              </w:rPr>
            </w:pPr>
            <w:r>
              <w:rPr>
                <w:rFonts w:hint="eastAsia" w:ascii="宋体" w:hAnsi="宋体" w:cs="宋体"/>
                <w:b/>
                <w:bCs/>
                <w:color w:val="auto"/>
                <w:kern w:val="0"/>
                <w:sz w:val="24"/>
                <w:szCs w:val="24"/>
                <w:highlight w:val="none"/>
              </w:rPr>
              <w:t>合同总价：</w:t>
            </w:r>
            <w:r>
              <w:rPr>
                <w:rFonts w:ascii="宋体" w:hAnsi="宋体"/>
                <w:b/>
                <w:color w:val="auto"/>
                <w:sz w:val="24"/>
                <w:szCs w:val="24"/>
                <w:highlight w:val="none"/>
              </w:rPr>
              <w:t>元（人民币</w:t>
            </w:r>
            <w:r>
              <w:rPr>
                <w:rFonts w:hint="eastAsia" w:ascii="宋体" w:hAnsi="宋体"/>
                <w:color w:val="auto"/>
                <w:sz w:val="24"/>
                <w:szCs w:val="24"/>
                <w:highlight w:val="none"/>
              </w:rPr>
              <w:t>元整</w:t>
            </w:r>
            <w:r>
              <w:rPr>
                <w:rFonts w:hint="eastAsia" w:ascii="宋体" w:hAnsi="宋体"/>
                <w:b/>
                <w:color w:val="auto"/>
                <w:sz w:val="24"/>
                <w:szCs w:val="24"/>
                <w:highlight w:val="none"/>
              </w:rPr>
              <w:t>）</w:t>
            </w:r>
            <w:r>
              <w:rPr>
                <w:rFonts w:hint="eastAsia" w:ascii="宋体" w:hAnsi="宋体"/>
                <w:bCs/>
                <w:color w:val="auto"/>
                <w:sz w:val="24"/>
                <w:szCs w:val="24"/>
                <w:highlight w:val="none"/>
              </w:rPr>
              <w:t>。货物验收完成后的保修等售后服务由买方与中标供应商另行签订服务合同单独约定</w:t>
            </w:r>
            <w:r>
              <w:rPr>
                <w:rFonts w:hint="eastAsia" w:ascii="宋体" w:hAnsi="宋体"/>
                <w:bCs/>
                <w:color w:val="auto"/>
                <w:kern w:val="0"/>
                <w:sz w:val="24"/>
                <w:szCs w:val="24"/>
                <w:highlight w:val="none"/>
              </w:rPr>
              <w:t>，与本合同各自独立履行、互不影响。</w:t>
            </w:r>
          </w:p>
          <w:p w14:paraId="6D3F42A9">
            <w:pPr>
              <w:widowControl/>
              <w:spacing w:line="360" w:lineRule="auto"/>
              <w:rPr>
                <w:rFonts w:ascii="宋体" w:hAnsi="宋体"/>
                <w:b/>
                <w:color w:val="auto"/>
                <w:sz w:val="24"/>
                <w:szCs w:val="24"/>
                <w:highlight w:val="none"/>
              </w:rPr>
            </w:pPr>
          </w:p>
        </w:tc>
      </w:tr>
    </w:tbl>
    <w:p w14:paraId="2FE8CA25">
      <w:pPr>
        <w:spacing w:line="360" w:lineRule="auto"/>
        <w:rPr>
          <w:rFonts w:ascii="宋体" w:hAnsi="宋体"/>
          <w:b/>
          <w:color w:val="auto"/>
          <w:sz w:val="24"/>
          <w:szCs w:val="24"/>
          <w:highlight w:val="none"/>
        </w:rPr>
      </w:pPr>
      <w:r>
        <w:rPr>
          <w:rFonts w:ascii="宋体" w:hAnsi="宋体"/>
          <w:b/>
          <w:color w:val="auto"/>
          <w:sz w:val="24"/>
          <w:szCs w:val="24"/>
          <w:highlight w:val="none"/>
        </w:rPr>
        <w:t>2、交货</w:t>
      </w:r>
    </w:p>
    <w:p w14:paraId="064B483E">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2.1交货期：合同签订之日起</w:t>
      </w:r>
      <w:r>
        <w:rPr>
          <w:rFonts w:hint="eastAsia" w:ascii="宋体" w:hAnsi="宋体"/>
          <w:color w:val="auto"/>
          <w:sz w:val="24"/>
          <w:szCs w:val="24"/>
          <w:highlight w:val="none"/>
        </w:rPr>
        <w:t>个30日历日内（含交货、安装并验收合格交付使用）。</w:t>
      </w:r>
    </w:p>
    <w:p w14:paraId="31D39AFC">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2.2交货地点：买方指定的地点</w:t>
      </w:r>
      <w:r>
        <w:rPr>
          <w:rFonts w:hint="eastAsia" w:ascii="宋体" w:hAnsi="宋体"/>
          <w:color w:val="auto"/>
          <w:sz w:val="24"/>
          <w:szCs w:val="24"/>
          <w:highlight w:val="none"/>
        </w:rPr>
        <w:t>（厦门市集美区嘉庚路1号集美大学航海学院万邦楼）</w:t>
      </w:r>
      <w:r>
        <w:rPr>
          <w:rFonts w:ascii="宋体" w:hAnsi="宋体"/>
          <w:color w:val="auto"/>
          <w:sz w:val="24"/>
          <w:szCs w:val="24"/>
          <w:highlight w:val="none"/>
        </w:rPr>
        <w:t>。</w:t>
      </w:r>
    </w:p>
    <w:p w14:paraId="47862E97">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2.3</w:t>
      </w:r>
      <w:r>
        <w:rPr>
          <w:rFonts w:hint="eastAsia" w:ascii="宋体" w:hAnsi="宋体"/>
          <w:color w:val="auto"/>
          <w:sz w:val="24"/>
          <w:szCs w:val="24"/>
          <w:highlight w:val="none"/>
        </w:rPr>
        <w:t>到货签收：卖方每批次供货到买方指定地点后，买方应当对到货数量、型号等进行清点签收，买方应按第</w:t>
      </w:r>
      <w:r>
        <w:rPr>
          <w:rFonts w:ascii="宋体" w:hAnsi="宋体"/>
          <w:color w:val="auto"/>
          <w:sz w:val="24"/>
          <w:szCs w:val="24"/>
          <w:highlight w:val="none"/>
        </w:rPr>
        <w:t>4</w:t>
      </w:r>
      <w:r>
        <w:rPr>
          <w:rFonts w:hint="eastAsia" w:ascii="宋体" w:hAnsi="宋体"/>
          <w:color w:val="auto"/>
          <w:sz w:val="24"/>
          <w:szCs w:val="24"/>
          <w:highlight w:val="none"/>
        </w:rPr>
        <w:t>条约定的付款条件向卖方支付约定的货款。</w:t>
      </w:r>
    </w:p>
    <w:p w14:paraId="6D7ED506">
      <w:pPr>
        <w:spacing w:line="360" w:lineRule="auto"/>
        <w:rPr>
          <w:rFonts w:ascii="宋体" w:hAnsi="宋体"/>
          <w:b/>
          <w:color w:val="auto"/>
          <w:sz w:val="24"/>
          <w:szCs w:val="24"/>
          <w:highlight w:val="none"/>
        </w:rPr>
      </w:pPr>
      <w:r>
        <w:rPr>
          <w:rFonts w:ascii="宋体" w:hAnsi="宋体"/>
          <w:b/>
          <w:color w:val="auto"/>
          <w:sz w:val="24"/>
          <w:szCs w:val="24"/>
          <w:highlight w:val="none"/>
        </w:rPr>
        <w:t>3、验收</w:t>
      </w:r>
    </w:p>
    <w:p w14:paraId="018F3888">
      <w:pPr>
        <w:tabs>
          <w:tab w:val="left" w:pos="5130"/>
        </w:tabs>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3.1买方负责承担合同货物安装过程中相应的协调、配合工作。</w:t>
      </w:r>
    </w:p>
    <w:p w14:paraId="45EF3BDB">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3.2安装工作完成后，买方负责对合同货物进行验收。买方验收合格即视为最终验收合格；若无正当理由，买方超过</w:t>
      </w:r>
      <w:r>
        <w:rPr>
          <w:rFonts w:hint="eastAsia" w:ascii="宋体" w:hAnsi="宋体"/>
          <w:color w:val="auto"/>
          <w:sz w:val="24"/>
          <w:szCs w:val="24"/>
          <w:highlight w:val="none"/>
        </w:rPr>
        <w:t>3</w:t>
      </w:r>
      <w:r>
        <w:rPr>
          <w:rFonts w:ascii="宋体" w:hAnsi="宋体"/>
          <w:color w:val="auto"/>
          <w:sz w:val="24"/>
          <w:szCs w:val="24"/>
          <w:highlight w:val="none"/>
        </w:rPr>
        <w:t>0天仍未验收且未提出</w:t>
      </w:r>
      <w:r>
        <w:rPr>
          <w:rFonts w:hint="eastAsia" w:ascii="宋体" w:hAnsi="宋体"/>
          <w:color w:val="auto"/>
          <w:sz w:val="24"/>
          <w:szCs w:val="24"/>
          <w:highlight w:val="none"/>
        </w:rPr>
        <w:t>书</w:t>
      </w:r>
      <w:r>
        <w:rPr>
          <w:rFonts w:ascii="宋体" w:hAnsi="宋体"/>
          <w:color w:val="auto"/>
          <w:sz w:val="24"/>
          <w:szCs w:val="24"/>
          <w:highlight w:val="none"/>
        </w:rPr>
        <w:t>面异议的，则视为最终验收合格。</w:t>
      </w:r>
    </w:p>
    <w:p w14:paraId="65F31549">
      <w:pPr>
        <w:pStyle w:val="14"/>
        <w:spacing w:line="360" w:lineRule="auto"/>
        <w:ind w:firstLine="210"/>
        <w:rPr>
          <w:color w:val="auto"/>
          <w:highlight w:val="none"/>
        </w:rPr>
      </w:pPr>
      <w:r>
        <w:rPr>
          <w:rFonts w:hint="eastAsia"/>
          <w:color w:val="auto"/>
          <w:highlight w:val="none"/>
        </w:rPr>
        <w:t xml:space="preserve"> 3.3</w:t>
      </w:r>
      <w:r>
        <w:rPr>
          <w:rFonts w:hint="eastAsia"/>
          <w:color w:val="auto"/>
          <w:sz w:val="24"/>
          <w:szCs w:val="28"/>
          <w:highlight w:val="none"/>
        </w:rPr>
        <w:t>买方在货物</w:t>
      </w:r>
      <w:r>
        <w:rPr>
          <w:rFonts w:hint="eastAsia" w:ascii="宋体" w:hAnsi="宋体"/>
          <w:color w:val="auto"/>
          <w:sz w:val="24"/>
          <w:highlight w:val="none"/>
        </w:rPr>
        <w:t>安装完毕后</w:t>
      </w:r>
      <w:r>
        <w:rPr>
          <w:rFonts w:hint="eastAsia"/>
          <w:color w:val="auto"/>
          <w:sz w:val="24"/>
          <w:szCs w:val="28"/>
          <w:highlight w:val="none"/>
        </w:rPr>
        <w:t>发现货物存在问题的，应在货物交付后</w:t>
      </w:r>
      <w:r>
        <w:rPr>
          <w:rFonts w:hint="eastAsia"/>
          <w:color w:val="auto"/>
          <w:sz w:val="24"/>
          <w:szCs w:val="28"/>
          <w:highlight w:val="none"/>
          <w:u w:val="single"/>
        </w:rPr>
        <w:t xml:space="preserve"> 5 </w:t>
      </w:r>
      <w:r>
        <w:rPr>
          <w:rFonts w:hint="eastAsia"/>
          <w:color w:val="auto"/>
          <w:sz w:val="24"/>
          <w:szCs w:val="28"/>
          <w:highlight w:val="none"/>
        </w:rPr>
        <w:t>个工作日内向卖方提出书面异议，逾期提出书面异议的，视为最终验收合格。</w:t>
      </w:r>
    </w:p>
    <w:p w14:paraId="30A5CE88">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3.4最终验收时，买方填写《厦门市政府采购验收报告》中货物相关信息，签署验收意见和加盖公章，并分别提供一份</w:t>
      </w:r>
      <w:r>
        <w:rPr>
          <w:rFonts w:hint="eastAsia" w:ascii="宋体" w:hAnsi="宋体"/>
          <w:color w:val="auto"/>
          <w:sz w:val="24"/>
          <w:szCs w:val="24"/>
          <w:highlight w:val="none"/>
        </w:rPr>
        <w:t>给中标供应商和卖方。</w:t>
      </w:r>
    </w:p>
    <w:p w14:paraId="54D55A83">
      <w:pPr>
        <w:tabs>
          <w:tab w:val="left" w:pos="5130"/>
        </w:tabs>
        <w:spacing w:line="360" w:lineRule="auto"/>
        <w:rPr>
          <w:rFonts w:ascii="宋体" w:hAnsi="宋体"/>
          <w:b/>
          <w:color w:val="auto"/>
          <w:sz w:val="24"/>
          <w:szCs w:val="24"/>
          <w:highlight w:val="none"/>
        </w:rPr>
      </w:pPr>
      <w:r>
        <w:rPr>
          <w:rFonts w:ascii="宋体" w:hAnsi="宋体"/>
          <w:b/>
          <w:color w:val="auto"/>
          <w:sz w:val="24"/>
          <w:szCs w:val="24"/>
          <w:highlight w:val="none"/>
        </w:rPr>
        <w:t>4、付款方式</w:t>
      </w:r>
    </w:p>
    <w:p w14:paraId="355060E2">
      <w:pPr>
        <w:widowControl/>
        <w:tabs>
          <w:tab w:val="left" w:pos="5130"/>
        </w:tabs>
        <w:spacing w:line="360" w:lineRule="auto"/>
        <w:ind w:firstLine="480" w:firstLineChars="200"/>
        <w:jc w:val="left"/>
        <w:rPr>
          <w:rFonts w:hint="eastAsia" w:ascii="宋体" w:hAnsi="宋体"/>
          <w:color w:val="auto"/>
          <w:sz w:val="24"/>
          <w:szCs w:val="24"/>
          <w:highlight w:val="none"/>
        </w:rPr>
      </w:pPr>
      <w:r>
        <w:rPr>
          <w:rFonts w:ascii="宋体" w:hAnsi="宋体"/>
          <w:color w:val="auto"/>
          <w:sz w:val="24"/>
          <w:szCs w:val="24"/>
          <w:highlight w:val="none"/>
        </w:rPr>
        <w:t>4.1</w:t>
      </w:r>
      <w:r>
        <w:rPr>
          <w:rFonts w:hint="eastAsia" w:ascii="宋体" w:hAnsi="宋体"/>
          <w:color w:val="auto"/>
          <w:sz w:val="24"/>
          <w:szCs w:val="24"/>
          <w:highlight w:val="none"/>
        </w:rPr>
        <w:t>合同签订之日起三个工作日内，中标供应商应向</w:t>
      </w:r>
      <w:r>
        <w:rPr>
          <w:rFonts w:hint="eastAsia" w:ascii="宋体" w:hAnsi="宋体"/>
          <w:color w:val="auto"/>
          <w:sz w:val="24"/>
          <w:szCs w:val="24"/>
          <w:highlight w:val="none"/>
          <w:lang w:val="en-US" w:eastAsia="zh-CN"/>
        </w:rPr>
        <w:t>买方</w:t>
      </w:r>
      <w:r>
        <w:rPr>
          <w:rFonts w:hint="eastAsia" w:ascii="宋体" w:hAnsi="宋体"/>
          <w:color w:val="auto"/>
          <w:sz w:val="24"/>
          <w:szCs w:val="24"/>
          <w:highlight w:val="none"/>
        </w:rPr>
        <w:t>提供</w:t>
      </w:r>
      <w:r>
        <w:rPr>
          <w:rFonts w:hint="eastAsia" w:ascii="宋体" w:hAnsi="宋体"/>
          <w:color w:val="auto"/>
          <w:sz w:val="24"/>
          <w:szCs w:val="24"/>
          <w:highlight w:val="none"/>
          <w:lang w:val="en-US" w:eastAsia="zh-CN"/>
        </w:rPr>
        <w:t>中标项目总金额的70%（即人民币：    元整）</w:t>
      </w:r>
      <w:r>
        <w:rPr>
          <w:rFonts w:hint="eastAsia" w:ascii="宋体" w:hAnsi="宋体"/>
          <w:color w:val="auto"/>
          <w:sz w:val="24"/>
          <w:szCs w:val="24"/>
          <w:highlight w:val="none"/>
        </w:rPr>
        <w:t>的</w:t>
      </w:r>
      <w:r>
        <w:rPr>
          <w:rFonts w:hint="eastAsia" w:ascii="宋体" w:hAnsi="宋体"/>
          <w:color w:val="auto"/>
          <w:sz w:val="24"/>
          <w:szCs w:val="24"/>
          <w:highlight w:val="none"/>
          <w:lang w:val="en-US" w:eastAsia="zh-CN"/>
        </w:rPr>
        <w:t>预付款</w:t>
      </w:r>
      <w:r>
        <w:rPr>
          <w:rFonts w:hint="eastAsia" w:ascii="宋体" w:hAnsi="宋体"/>
          <w:color w:val="auto"/>
          <w:sz w:val="24"/>
          <w:szCs w:val="24"/>
          <w:highlight w:val="none"/>
        </w:rPr>
        <w:t>保函（保函有效期须至项目整体验收合格之日），</w:t>
      </w:r>
      <w:r>
        <w:rPr>
          <w:rFonts w:hint="eastAsia" w:ascii="宋体" w:hAnsi="宋体"/>
          <w:color w:val="auto"/>
          <w:sz w:val="24"/>
          <w:szCs w:val="24"/>
          <w:highlight w:val="none"/>
          <w:lang w:val="en-US" w:eastAsia="zh-CN"/>
        </w:rPr>
        <w:t>买方</w:t>
      </w:r>
      <w:r>
        <w:rPr>
          <w:rFonts w:hint="eastAsia" w:ascii="宋体" w:hAnsi="宋体"/>
          <w:color w:val="auto"/>
          <w:sz w:val="24"/>
          <w:szCs w:val="24"/>
          <w:highlight w:val="none"/>
        </w:rPr>
        <w:t>收到中标</w:t>
      </w:r>
      <w:r>
        <w:rPr>
          <w:rFonts w:hint="eastAsia" w:ascii="宋体" w:hAnsi="宋体"/>
          <w:color w:val="auto"/>
          <w:sz w:val="24"/>
          <w:szCs w:val="24"/>
          <w:highlight w:val="none"/>
          <w:lang w:val="en-US" w:eastAsia="zh-CN"/>
        </w:rPr>
        <w:t>供应商</w:t>
      </w:r>
      <w:r>
        <w:rPr>
          <w:rFonts w:hint="eastAsia" w:ascii="宋体" w:hAnsi="宋体"/>
          <w:color w:val="auto"/>
          <w:sz w:val="24"/>
          <w:szCs w:val="24"/>
          <w:highlight w:val="none"/>
        </w:rPr>
        <w:t>提供的预付款银行保函之日起</w:t>
      </w:r>
      <w:r>
        <w:rPr>
          <w:rFonts w:hint="eastAsia" w:ascii="宋体" w:hAnsi="宋体"/>
          <w:color w:val="auto"/>
          <w:sz w:val="24"/>
          <w:szCs w:val="24"/>
          <w:highlight w:val="none"/>
          <w:lang w:val="en-US" w:eastAsia="zh-CN"/>
        </w:rPr>
        <w:t>7</w:t>
      </w:r>
      <w:r>
        <w:rPr>
          <w:rFonts w:hint="eastAsia" w:ascii="宋体" w:hAnsi="宋体"/>
          <w:color w:val="auto"/>
          <w:sz w:val="24"/>
          <w:szCs w:val="24"/>
          <w:highlight w:val="none"/>
        </w:rPr>
        <w:t>个工作日内，向</w:t>
      </w:r>
      <w:r>
        <w:rPr>
          <w:rFonts w:hint="eastAsia" w:ascii="宋体" w:hAnsi="宋体"/>
          <w:color w:val="auto"/>
          <w:sz w:val="24"/>
          <w:szCs w:val="24"/>
          <w:highlight w:val="none"/>
          <w:lang w:val="en-US" w:eastAsia="zh-CN"/>
        </w:rPr>
        <w:t>卖方（万翔网商）</w:t>
      </w:r>
      <w:r>
        <w:rPr>
          <w:rFonts w:hint="eastAsia" w:ascii="宋体" w:hAnsi="宋体"/>
          <w:color w:val="auto"/>
          <w:sz w:val="24"/>
          <w:szCs w:val="24"/>
          <w:highlight w:val="none"/>
        </w:rPr>
        <w:t>支付预付款，预付款金额为采购合同金额的</w:t>
      </w:r>
      <w:r>
        <w:rPr>
          <w:rFonts w:hint="eastAsia" w:ascii="宋体" w:hAnsi="宋体"/>
          <w:color w:val="auto"/>
          <w:sz w:val="24"/>
          <w:szCs w:val="24"/>
          <w:highlight w:val="none"/>
          <w:lang w:val="en-US" w:eastAsia="zh-CN"/>
        </w:rPr>
        <w:t>70</w:t>
      </w:r>
      <w:r>
        <w:rPr>
          <w:rFonts w:hint="eastAsia" w:ascii="宋体" w:hAnsi="宋体"/>
          <w:color w:val="auto"/>
          <w:sz w:val="24"/>
          <w:szCs w:val="24"/>
          <w:highlight w:val="none"/>
        </w:rPr>
        <w:t>%。</w:t>
      </w:r>
    </w:p>
    <w:p w14:paraId="56A4FFB9">
      <w:pPr>
        <w:widowControl/>
        <w:tabs>
          <w:tab w:val="left" w:pos="5130"/>
        </w:tabs>
        <w:spacing w:line="360" w:lineRule="auto"/>
        <w:ind w:firstLine="480" w:firstLineChars="200"/>
        <w:jc w:val="left"/>
        <w:rPr>
          <w:rFonts w:ascii="宋体" w:hAnsi="宋体" w:cs="宋体"/>
          <w:color w:val="auto"/>
          <w:kern w:val="0"/>
          <w:sz w:val="24"/>
          <w:szCs w:val="24"/>
          <w:highlight w:val="none"/>
        </w:rPr>
      </w:pPr>
      <w:r>
        <w:rPr>
          <w:rFonts w:ascii="宋体" w:hAnsi="宋体"/>
          <w:color w:val="auto"/>
          <w:sz w:val="24"/>
          <w:szCs w:val="24"/>
          <w:highlight w:val="none"/>
        </w:rPr>
        <w:t>4.</w:t>
      </w:r>
      <w:r>
        <w:rPr>
          <w:rFonts w:hint="eastAsia" w:ascii="宋体" w:hAnsi="宋体" w:cs="宋体"/>
          <w:color w:val="auto"/>
          <w:kern w:val="0"/>
          <w:sz w:val="24"/>
          <w:szCs w:val="24"/>
          <w:highlight w:val="none"/>
          <w:lang w:val="en-US" w:eastAsia="zh-CN"/>
        </w:rPr>
        <w:t>2</w:t>
      </w:r>
      <w:r>
        <w:rPr>
          <w:rFonts w:hint="eastAsia" w:ascii="宋体" w:hAnsi="宋体" w:cs="宋体"/>
          <w:color w:val="auto"/>
          <w:kern w:val="0"/>
          <w:sz w:val="24"/>
          <w:szCs w:val="24"/>
          <w:highlight w:val="none"/>
        </w:rPr>
        <w:t>合同签订后</w:t>
      </w:r>
      <w:r>
        <w:rPr>
          <w:rFonts w:hint="eastAsia" w:ascii="宋体" w:hAnsi="宋体" w:cs="宋体"/>
          <w:color w:val="auto"/>
          <w:kern w:val="0"/>
          <w:sz w:val="24"/>
          <w:szCs w:val="24"/>
          <w:highlight w:val="none"/>
          <w:u w:val="single"/>
        </w:rPr>
        <w:t xml:space="preserve"> 10 </w:t>
      </w:r>
      <w:r>
        <w:rPr>
          <w:rFonts w:hint="eastAsia" w:ascii="宋体" w:hAnsi="宋体" w:cs="宋体"/>
          <w:color w:val="auto"/>
          <w:kern w:val="0"/>
          <w:sz w:val="24"/>
          <w:szCs w:val="24"/>
          <w:highlight w:val="none"/>
        </w:rPr>
        <w:t>个工作日内，</w:t>
      </w:r>
      <w:r>
        <w:rPr>
          <w:rFonts w:hint="eastAsia" w:ascii="宋体" w:hAnsi="宋体" w:cs="宋体"/>
          <w:color w:val="auto"/>
          <w:sz w:val="24"/>
          <w:szCs w:val="24"/>
          <w:highlight w:val="none"/>
        </w:rPr>
        <w:t>卖方向买方</w:t>
      </w:r>
      <w:r>
        <w:rPr>
          <w:rFonts w:hint="eastAsia" w:ascii="宋体" w:hAnsi="宋体" w:cs="宋体"/>
          <w:color w:val="auto"/>
          <w:kern w:val="0"/>
          <w:sz w:val="24"/>
          <w:szCs w:val="24"/>
          <w:highlight w:val="none"/>
        </w:rPr>
        <w:t>指定的账户交付合同总价的</w:t>
      </w:r>
      <w:r>
        <w:rPr>
          <w:rFonts w:hint="eastAsia" w:ascii="宋体" w:hAnsi="宋体" w:cs="宋体"/>
          <w:color w:val="auto"/>
          <w:kern w:val="0"/>
          <w:sz w:val="24"/>
          <w:szCs w:val="24"/>
          <w:highlight w:val="none"/>
          <w:u w:val="single"/>
        </w:rPr>
        <w:t>3%（如中标供应商为小微企业，</w:t>
      </w:r>
      <w:r>
        <w:rPr>
          <w:rFonts w:hint="eastAsia" w:ascii="宋体" w:hAnsi="宋体" w:cs="宋体"/>
          <w:color w:val="auto"/>
          <w:kern w:val="0"/>
          <w:sz w:val="24"/>
          <w:szCs w:val="24"/>
          <w:highlight w:val="none"/>
        </w:rPr>
        <w:t>交付合同总价的</w:t>
      </w:r>
      <w:r>
        <w:rPr>
          <w:rFonts w:hint="eastAsia" w:ascii="宋体" w:hAnsi="宋体" w:cs="宋体"/>
          <w:color w:val="auto"/>
          <w:kern w:val="0"/>
          <w:sz w:val="24"/>
          <w:szCs w:val="24"/>
          <w:highlight w:val="none"/>
          <w:u w:val="single"/>
        </w:rPr>
        <w:t>1.5%）</w:t>
      </w:r>
      <w:r>
        <w:rPr>
          <w:rFonts w:hint="eastAsia" w:ascii="宋体" w:hAnsi="宋体" w:cs="宋体"/>
          <w:b/>
          <w:bCs/>
          <w:color w:val="auto"/>
          <w:kern w:val="0"/>
          <w:sz w:val="24"/>
          <w:szCs w:val="24"/>
          <w:highlight w:val="none"/>
          <w:u w:val="single"/>
        </w:rPr>
        <w:t>（人民币： 元）</w:t>
      </w:r>
      <w:r>
        <w:rPr>
          <w:rFonts w:hint="eastAsia" w:ascii="宋体" w:hAnsi="宋体" w:cs="宋体"/>
          <w:color w:val="auto"/>
          <w:kern w:val="0"/>
          <w:sz w:val="24"/>
          <w:szCs w:val="24"/>
          <w:highlight w:val="none"/>
        </w:rPr>
        <w:t>作为履约保证金，</w:t>
      </w:r>
      <w:r>
        <w:rPr>
          <w:rFonts w:hint="eastAsia" w:ascii="宋体"/>
          <w:b/>
          <w:bCs/>
          <w:color w:val="auto"/>
          <w:sz w:val="24"/>
          <w:highlight w:val="none"/>
        </w:rPr>
        <w:t>可采用现金转账或非现金形式的保函形式提交。</w:t>
      </w:r>
      <w:r>
        <w:rPr>
          <w:rFonts w:hint="eastAsia" w:ascii="宋体" w:hAnsi="宋体" w:cs="宋体"/>
          <w:color w:val="auto"/>
          <w:kern w:val="0"/>
          <w:sz w:val="24"/>
          <w:szCs w:val="24"/>
          <w:highlight w:val="none"/>
        </w:rPr>
        <w:t>买方账户信息如下：</w:t>
      </w:r>
    </w:p>
    <w:p w14:paraId="0DC6B707">
      <w:pPr>
        <w:spacing w:line="360" w:lineRule="auto"/>
        <w:ind w:firstLine="480" w:firstLineChars="200"/>
        <w:rPr>
          <w:rFonts w:ascii="宋体" w:hAnsi="宋体" w:cs="宋体"/>
          <w:color w:val="auto"/>
          <w:kern w:val="0"/>
          <w:sz w:val="24"/>
          <w:szCs w:val="24"/>
          <w:highlight w:val="none"/>
        </w:rPr>
      </w:pPr>
      <w:r>
        <w:rPr>
          <w:rFonts w:hint="eastAsia" w:ascii="宋体" w:hAnsi="宋体" w:cs="宋体"/>
          <w:color w:val="auto"/>
          <w:kern w:val="0"/>
          <w:sz w:val="24"/>
          <w:szCs w:val="24"/>
          <w:highlight w:val="none"/>
        </w:rPr>
        <w:t>买方全称：集美大学</w:t>
      </w:r>
    </w:p>
    <w:p w14:paraId="32F8B962">
      <w:pPr>
        <w:spacing w:line="360" w:lineRule="auto"/>
        <w:ind w:firstLine="480" w:firstLineChars="200"/>
        <w:rPr>
          <w:rFonts w:ascii="宋体" w:hAnsi="宋体" w:cs="宋体"/>
          <w:color w:val="auto"/>
          <w:kern w:val="0"/>
          <w:sz w:val="24"/>
          <w:szCs w:val="24"/>
          <w:highlight w:val="none"/>
        </w:rPr>
      </w:pPr>
      <w:r>
        <w:rPr>
          <w:rFonts w:hint="eastAsia" w:ascii="宋体" w:hAnsi="宋体" w:cs="宋体"/>
          <w:color w:val="auto"/>
          <w:kern w:val="0"/>
          <w:sz w:val="24"/>
          <w:szCs w:val="24"/>
          <w:highlight w:val="none"/>
        </w:rPr>
        <w:t>开户银行：集美建行</w:t>
      </w:r>
    </w:p>
    <w:p w14:paraId="13CCEA98">
      <w:pPr>
        <w:spacing w:line="360" w:lineRule="auto"/>
        <w:ind w:firstLine="480" w:firstLineChars="200"/>
        <w:rPr>
          <w:rFonts w:ascii="宋体" w:hAnsi="宋体" w:cs="宋体"/>
          <w:color w:val="auto"/>
          <w:kern w:val="0"/>
          <w:sz w:val="24"/>
          <w:szCs w:val="24"/>
          <w:highlight w:val="none"/>
        </w:rPr>
      </w:pPr>
      <w:r>
        <w:rPr>
          <w:rFonts w:hint="eastAsia" w:ascii="宋体" w:hAnsi="宋体" w:cs="宋体"/>
          <w:color w:val="auto"/>
          <w:kern w:val="0"/>
          <w:sz w:val="24"/>
          <w:szCs w:val="24"/>
          <w:highlight w:val="none"/>
        </w:rPr>
        <w:t>账号: 3510 1556 0010 5000 2915</w:t>
      </w:r>
    </w:p>
    <w:p w14:paraId="20689CB3">
      <w:pPr>
        <w:spacing w:line="360" w:lineRule="auto"/>
        <w:ind w:firstLine="480" w:firstLineChars="200"/>
        <w:rPr>
          <w:rFonts w:ascii="宋体" w:hAnsi="宋体" w:cs="宋体"/>
          <w:color w:val="auto"/>
          <w:kern w:val="0"/>
          <w:sz w:val="24"/>
          <w:szCs w:val="24"/>
          <w:highlight w:val="none"/>
        </w:rPr>
      </w:pPr>
      <w:r>
        <w:rPr>
          <w:rFonts w:hint="eastAsia" w:ascii="宋体" w:hAnsi="宋体" w:cs="宋体"/>
          <w:color w:val="auto"/>
          <w:kern w:val="0"/>
          <w:sz w:val="24"/>
          <w:szCs w:val="24"/>
          <w:highlight w:val="none"/>
        </w:rPr>
        <w:t>纳税人识别号:12350000426600329N</w:t>
      </w:r>
    </w:p>
    <w:p w14:paraId="40443395">
      <w:pPr>
        <w:spacing w:line="360" w:lineRule="auto"/>
        <w:ind w:firstLine="480" w:firstLineChars="200"/>
        <w:rPr>
          <w:rFonts w:ascii="宋体" w:hAnsi="宋体" w:cs="宋体"/>
          <w:color w:val="auto"/>
          <w:kern w:val="0"/>
          <w:sz w:val="24"/>
          <w:szCs w:val="24"/>
          <w:highlight w:val="none"/>
        </w:rPr>
      </w:pPr>
      <w:r>
        <w:rPr>
          <w:rFonts w:hint="eastAsia" w:ascii="宋体" w:hAnsi="宋体" w:cs="宋体"/>
          <w:color w:val="auto"/>
          <w:kern w:val="0"/>
          <w:sz w:val="24"/>
          <w:szCs w:val="24"/>
          <w:highlight w:val="none"/>
        </w:rPr>
        <w:t>地址：福建厦门市集美区银江路185号</w:t>
      </w:r>
    </w:p>
    <w:p w14:paraId="4DB7EB5F">
      <w:pPr>
        <w:spacing w:line="360" w:lineRule="auto"/>
        <w:ind w:firstLine="480" w:firstLineChars="200"/>
        <w:rPr>
          <w:rFonts w:ascii="宋体" w:hAnsi="宋体" w:cs="宋体"/>
          <w:color w:val="auto"/>
          <w:sz w:val="24"/>
          <w:szCs w:val="24"/>
          <w:highlight w:val="none"/>
          <w:u w:val="single"/>
        </w:rPr>
      </w:pPr>
      <w:r>
        <w:rPr>
          <w:rFonts w:hint="eastAsia" w:ascii="宋体" w:hAnsi="宋体" w:cs="宋体"/>
          <w:color w:val="auto"/>
          <w:sz w:val="24"/>
          <w:szCs w:val="24"/>
          <w:highlight w:val="none"/>
        </w:rPr>
        <w:t>4.2质量保证期（ 年）届满且无合同纠纷，经买方书面确认后</w:t>
      </w:r>
      <w:r>
        <w:rPr>
          <w:rFonts w:hint="eastAsia" w:ascii="宋体" w:hAnsi="宋体" w:cs="宋体"/>
          <w:color w:val="auto"/>
          <w:sz w:val="24"/>
          <w:szCs w:val="24"/>
          <w:highlight w:val="none"/>
          <w:u w:val="single"/>
        </w:rPr>
        <w:t xml:space="preserve"> 7 </w:t>
      </w:r>
      <w:r>
        <w:rPr>
          <w:rFonts w:hint="eastAsia" w:ascii="宋体" w:hAnsi="宋体" w:cs="宋体"/>
          <w:color w:val="auto"/>
          <w:sz w:val="24"/>
          <w:szCs w:val="24"/>
          <w:highlight w:val="none"/>
        </w:rPr>
        <w:t>个工作日内，向卖方无息返还合同总价的</w:t>
      </w:r>
      <w:r>
        <w:rPr>
          <w:rFonts w:hint="eastAsia" w:ascii="宋体" w:hAnsi="宋体" w:cs="宋体"/>
          <w:color w:val="auto"/>
          <w:sz w:val="24"/>
          <w:szCs w:val="24"/>
          <w:highlight w:val="none"/>
          <w:u w:val="single"/>
        </w:rPr>
        <w:t>3%</w:t>
      </w:r>
      <w:r>
        <w:rPr>
          <w:rFonts w:hint="eastAsia" w:ascii="宋体" w:hAnsi="宋体" w:cs="宋体"/>
          <w:color w:val="auto"/>
          <w:kern w:val="0"/>
          <w:sz w:val="24"/>
          <w:szCs w:val="24"/>
          <w:highlight w:val="none"/>
          <w:u w:val="single"/>
        </w:rPr>
        <w:t>（如中标供应商为小微企业，</w:t>
      </w:r>
      <w:r>
        <w:rPr>
          <w:rFonts w:hint="eastAsia" w:ascii="宋体" w:hAnsi="宋体" w:cs="宋体"/>
          <w:color w:val="auto"/>
          <w:kern w:val="0"/>
          <w:sz w:val="24"/>
          <w:szCs w:val="24"/>
          <w:highlight w:val="none"/>
        </w:rPr>
        <w:t>交付合同总价的</w:t>
      </w:r>
      <w:r>
        <w:rPr>
          <w:rFonts w:hint="eastAsia" w:ascii="宋体" w:hAnsi="宋体" w:cs="宋体"/>
          <w:color w:val="auto"/>
          <w:kern w:val="0"/>
          <w:sz w:val="24"/>
          <w:szCs w:val="24"/>
          <w:highlight w:val="none"/>
          <w:u w:val="single"/>
        </w:rPr>
        <w:t>1.5%）</w:t>
      </w:r>
      <w:r>
        <w:rPr>
          <w:rFonts w:hint="eastAsia" w:ascii="宋体" w:hAnsi="宋体" w:cs="宋体"/>
          <w:b/>
          <w:bCs/>
          <w:color w:val="auto"/>
          <w:kern w:val="0"/>
          <w:sz w:val="24"/>
          <w:szCs w:val="24"/>
          <w:highlight w:val="none"/>
          <w:u w:val="single"/>
        </w:rPr>
        <w:t>（人民币： 元）</w:t>
      </w:r>
      <w:r>
        <w:rPr>
          <w:rFonts w:hint="eastAsia" w:ascii="宋体" w:hAnsi="宋体" w:cs="宋体"/>
          <w:color w:val="auto"/>
          <w:sz w:val="24"/>
          <w:szCs w:val="24"/>
          <w:highlight w:val="none"/>
        </w:rPr>
        <w:t>履约保证金。</w:t>
      </w:r>
    </w:p>
    <w:p w14:paraId="6A6240BB">
      <w:pPr>
        <w:tabs>
          <w:tab w:val="left" w:pos="5130"/>
        </w:tabs>
        <w:spacing w:line="360" w:lineRule="auto"/>
        <w:ind w:firstLine="480" w:firstLineChars="200"/>
        <w:rPr>
          <w:rFonts w:ascii="宋体" w:hAnsi="宋体"/>
          <w:color w:val="auto"/>
          <w:sz w:val="24"/>
          <w:szCs w:val="24"/>
          <w:highlight w:val="none"/>
        </w:rPr>
      </w:pPr>
    </w:p>
    <w:p w14:paraId="7A4C6C95">
      <w:pPr>
        <w:tabs>
          <w:tab w:val="left" w:pos="5130"/>
        </w:tabs>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4.</w:t>
      </w:r>
      <w:r>
        <w:rPr>
          <w:rFonts w:hint="eastAsia" w:ascii="宋体" w:hAnsi="宋体"/>
          <w:color w:val="auto"/>
          <w:sz w:val="24"/>
          <w:szCs w:val="24"/>
          <w:highlight w:val="none"/>
        </w:rPr>
        <w:t>4</w:t>
      </w:r>
      <w:r>
        <w:rPr>
          <w:rFonts w:hint="eastAsia" w:ascii="宋体" w:hAnsi="宋体" w:cs="宋体"/>
          <w:b/>
          <w:color w:val="auto"/>
          <w:sz w:val="24"/>
          <w:szCs w:val="24"/>
          <w:highlight w:val="none"/>
        </w:rPr>
        <w:t>中标供应商</w:t>
      </w:r>
      <w:r>
        <w:rPr>
          <w:rFonts w:ascii="宋体" w:hAnsi="宋体"/>
          <w:color w:val="auto"/>
          <w:sz w:val="24"/>
          <w:szCs w:val="24"/>
          <w:highlight w:val="none"/>
        </w:rPr>
        <w:t>供货安装、调试完毕，买方验收合格后，卖方开具合同总价100%的</w:t>
      </w:r>
      <w:r>
        <w:rPr>
          <w:rFonts w:hint="eastAsia" w:ascii="宋体" w:hAnsi="宋体"/>
          <w:color w:val="auto"/>
          <w:sz w:val="24"/>
          <w:szCs w:val="24"/>
          <w:highlight w:val="none"/>
        </w:rPr>
        <w:t>正规发票</w:t>
      </w:r>
      <w:r>
        <w:rPr>
          <w:rFonts w:ascii="宋体" w:hAnsi="宋体"/>
          <w:color w:val="auto"/>
          <w:sz w:val="24"/>
          <w:szCs w:val="24"/>
          <w:highlight w:val="none"/>
        </w:rPr>
        <w:t>和全部货物清单给买方，买方在20个工作日内向卖方支</w:t>
      </w:r>
      <w:r>
        <w:rPr>
          <w:rFonts w:hint="eastAsia" w:ascii="宋体" w:hAnsi="宋体"/>
          <w:color w:val="auto"/>
          <w:sz w:val="24"/>
          <w:szCs w:val="24"/>
          <w:highlight w:val="none"/>
        </w:rPr>
        <w:t>付至本合同总价</w:t>
      </w:r>
      <w:r>
        <w:rPr>
          <w:rFonts w:ascii="宋体" w:hAnsi="宋体"/>
          <w:color w:val="auto"/>
          <w:sz w:val="24"/>
          <w:szCs w:val="24"/>
          <w:highlight w:val="none"/>
        </w:rPr>
        <w:t>100%的款项。</w:t>
      </w:r>
    </w:p>
    <w:p w14:paraId="76B13017">
      <w:pPr>
        <w:tabs>
          <w:tab w:val="left" w:pos="5130"/>
        </w:tabs>
        <w:spacing w:line="360" w:lineRule="auto"/>
        <w:ind w:firstLine="480" w:firstLineChars="200"/>
        <w:rPr>
          <w:rFonts w:ascii="宋体" w:hAnsi="宋体"/>
          <w:color w:val="auto"/>
          <w:sz w:val="24"/>
          <w:szCs w:val="24"/>
          <w:highlight w:val="none"/>
          <w:u w:val="single"/>
        </w:rPr>
      </w:pPr>
      <w:r>
        <w:rPr>
          <w:rFonts w:ascii="宋体" w:hAnsi="宋体"/>
          <w:color w:val="auto"/>
          <w:sz w:val="24"/>
          <w:szCs w:val="24"/>
          <w:highlight w:val="none"/>
          <w:u w:val="single"/>
        </w:rPr>
        <w:t>4.</w:t>
      </w:r>
      <w:r>
        <w:rPr>
          <w:rFonts w:hint="eastAsia" w:ascii="宋体" w:hAnsi="宋体"/>
          <w:color w:val="auto"/>
          <w:sz w:val="24"/>
          <w:szCs w:val="24"/>
          <w:highlight w:val="none"/>
          <w:u w:val="single"/>
        </w:rPr>
        <w:t>5</w:t>
      </w:r>
      <w:r>
        <w:rPr>
          <w:rFonts w:ascii="宋体" w:hAnsi="宋体"/>
          <w:color w:val="auto"/>
          <w:sz w:val="24"/>
          <w:szCs w:val="24"/>
          <w:highlight w:val="none"/>
          <w:u w:val="single"/>
        </w:rPr>
        <w:t>付款时需具备以下材料：</w:t>
      </w:r>
    </w:p>
    <w:p w14:paraId="5BD02372">
      <w:pPr>
        <w:tabs>
          <w:tab w:val="left" w:pos="5130"/>
        </w:tabs>
        <w:spacing w:line="360" w:lineRule="auto"/>
        <w:ind w:firstLine="720" w:firstLineChars="300"/>
        <w:rPr>
          <w:rFonts w:ascii="宋体" w:hAnsi="宋体"/>
          <w:color w:val="auto"/>
          <w:sz w:val="24"/>
          <w:szCs w:val="24"/>
          <w:highlight w:val="none"/>
          <w:u w:val="single"/>
        </w:rPr>
      </w:pPr>
      <w:r>
        <w:rPr>
          <w:rFonts w:hint="eastAsia" w:ascii="宋体" w:hAnsi="宋体"/>
          <w:color w:val="auto"/>
          <w:sz w:val="24"/>
          <w:szCs w:val="24"/>
          <w:highlight w:val="none"/>
          <w:u w:val="single"/>
        </w:rPr>
        <w:t>（</w:t>
      </w:r>
      <w:r>
        <w:rPr>
          <w:rFonts w:ascii="宋体" w:hAnsi="宋体"/>
          <w:color w:val="auto"/>
          <w:sz w:val="24"/>
          <w:szCs w:val="24"/>
          <w:highlight w:val="none"/>
          <w:u w:val="single"/>
        </w:rPr>
        <w:t>1）买方、使用单位签署的《厦门市政府采购验收报告》；</w:t>
      </w:r>
    </w:p>
    <w:p w14:paraId="5C089A6B">
      <w:pPr>
        <w:tabs>
          <w:tab w:val="left" w:pos="5130"/>
        </w:tabs>
        <w:spacing w:line="360" w:lineRule="auto"/>
        <w:ind w:firstLine="720" w:firstLineChars="300"/>
        <w:rPr>
          <w:rFonts w:ascii="宋体" w:hAnsi="宋体"/>
          <w:color w:val="auto"/>
          <w:sz w:val="24"/>
          <w:szCs w:val="24"/>
          <w:highlight w:val="none"/>
          <w:u w:val="single"/>
        </w:rPr>
      </w:pPr>
      <w:r>
        <w:rPr>
          <w:rFonts w:hint="eastAsia" w:ascii="宋体" w:hAnsi="宋体"/>
          <w:color w:val="auto"/>
          <w:sz w:val="24"/>
          <w:szCs w:val="24"/>
          <w:highlight w:val="none"/>
          <w:u w:val="single"/>
        </w:rPr>
        <w:t>（2）</w:t>
      </w:r>
      <w:r>
        <w:rPr>
          <w:rFonts w:hint="eastAsia" w:ascii="宋体" w:hAnsi="宋体"/>
          <w:color w:val="auto"/>
          <w:sz w:val="24"/>
          <w:szCs w:val="24"/>
          <w:highlight w:val="none"/>
          <w:u w:val="single"/>
          <w:lang w:val="en-US" w:eastAsia="zh-CN"/>
        </w:rPr>
        <w:t>预付款支付需提供</w:t>
      </w:r>
      <w:r>
        <w:rPr>
          <w:rFonts w:hint="eastAsia" w:ascii="宋体" w:hAnsi="宋体"/>
          <w:color w:val="auto"/>
          <w:sz w:val="24"/>
          <w:szCs w:val="24"/>
          <w:highlight w:val="none"/>
          <w:u w:val="single"/>
        </w:rPr>
        <w:t>中标方开具的预付款等额保函；</w:t>
      </w:r>
    </w:p>
    <w:p w14:paraId="04E63D7B">
      <w:pPr>
        <w:tabs>
          <w:tab w:val="left" w:pos="5130"/>
        </w:tabs>
        <w:spacing w:line="360" w:lineRule="auto"/>
        <w:ind w:firstLine="720" w:firstLineChars="300"/>
        <w:rPr>
          <w:rFonts w:ascii="宋体" w:hAnsi="宋体"/>
          <w:color w:val="auto"/>
          <w:sz w:val="24"/>
          <w:szCs w:val="24"/>
          <w:highlight w:val="none"/>
          <w:u w:val="single"/>
        </w:rPr>
      </w:pPr>
      <w:r>
        <w:rPr>
          <w:rFonts w:hint="eastAsia" w:ascii="宋体" w:hAnsi="宋体"/>
          <w:color w:val="auto"/>
          <w:sz w:val="24"/>
          <w:szCs w:val="24"/>
          <w:highlight w:val="none"/>
          <w:u w:val="single"/>
        </w:rPr>
        <w:t>（</w:t>
      </w:r>
      <w:r>
        <w:rPr>
          <w:rFonts w:hint="eastAsia" w:ascii="宋体" w:hAnsi="宋体"/>
          <w:color w:val="auto"/>
          <w:sz w:val="24"/>
          <w:szCs w:val="24"/>
          <w:highlight w:val="none"/>
          <w:u w:val="single"/>
          <w:lang w:val="en-US" w:eastAsia="zh-CN"/>
        </w:rPr>
        <w:t>3</w:t>
      </w:r>
      <w:r>
        <w:rPr>
          <w:rFonts w:ascii="宋体" w:hAnsi="宋体"/>
          <w:color w:val="auto"/>
          <w:sz w:val="24"/>
          <w:szCs w:val="24"/>
          <w:highlight w:val="none"/>
          <w:u w:val="single"/>
        </w:rPr>
        <w:t>）</w:t>
      </w:r>
      <w:r>
        <w:rPr>
          <w:rFonts w:hint="eastAsia" w:ascii="宋体" w:hAnsi="宋体"/>
          <w:color w:val="auto"/>
          <w:sz w:val="24"/>
          <w:szCs w:val="24"/>
          <w:highlight w:val="none"/>
          <w:u w:val="single"/>
        </w:rPr>
        <w:t>合同或</w:t>
      </w:r>
      <w:r>
        <w:rPr>
          <w:rFonts w:ascii="宋体" w:hAnsi="宋体"/>
          <w:color w:val="auto"/>
          <w:sz w:val="24"/>
          <w:szCs w:val="24"/>
          <w:highlight w:val="none"/>
          <w:u w:val="single"/>
        </w:rPr>
        <w:t>货物发票（需附清单）；</w:t>
      </w:r>
    </w:p>
    <w:p w14:paraId="5D240C0B">
      <w:pPr>
        <w:tabs>
          <w:tab w:val="left" w:pos="5130"/>
        </w:tabs>
        <w:spacing w:line="360" w:lineRule="auto"/>
        <w:ind w:firstLine="720" w:firstLineChars="300"/>
        <w:rPr>
          <w:rFonts w:ascii="宋体" w:hAnsi="宋体"/>
          <w:color w:val="auto"/>
          <w:sz w:val="24"/>
          <w:szCs w:val="24"/>
          <w:highlight w:val="none"/>
          <w:u w:val="single"/>
        </w:rPr>
      </w:pPr>
    </w:p>
    <w:p w14:paraId="05A5FD18">
      <w:pPr>
        <w:spacing w:line="360" w:lineRule="auto"/>
        <w:ind w:firstLine="480" w:firstLineChars="200"/>
        <w:rPr>
          <w:color w:val="auto"/>
          <w:sz w:val="24"/>
          <w:szCs w:val="28"/>
          <w:highlight w:val="none"/>
        </w:rPr>
      </w:pPr>
      <w:r>
        <w:rPr>
          <w:rFonts w:hint="eastAsia" w:ascii="宋体" w:hAnsi="宋体"/>
          <w:color w:val="auto"/>
          <w:sz w:val="24"/>
          <w:szCs w:val="24"/>
          <w:highlight w:val="none"/>
          <w:u w:val="single"/>
        </w:rPr>
        <w:t>4</w:t>
      </w:r>
      <w:r>
        <w:rPr>
          <w:rFonts w:ascii="宋体" w:hAnsi="宋体"/>
          <w:color w:val="auto"/>
          <w:sz w:val="24"/>
          <w:szCs w:val="24"/>
          <w:highlight w:val="none"/>
          <w:u w:val="single"/>
        </w:rPr>
        <w:t>.4</w:t>
      </w:r>
      <w:r>
        <w:rPr>
          <w:rFonts w:hint="eastAsia"/>
          <w:color w:val="auto"/>
          <w:sz w:val="24"/>
          <w:szCs w:val="28"/>
          <w:highlight w:val="none"/>
        </w:rPr>
        <w:t>卖方指定收款账户如下：</w:t>
      </w:r>
    </w:p>
    <w:p w14:paraId="49D30158">
      <w:pPr>
        <w:spacing w:line="360" w:lineRule="auto"/>
        <w:ind w:firstLine="720" w:firstLineChars="300"/>
        <w:rPr>
          <w:rFonts w:ascii="宋体" w:hAnsi="宋体"/>
          <w:color w:val="auto"/>
          <w:sz w:val="24"/>
          <w:highlight w:val="none"/>
          <w:u w:val="single"/>
        </w:rPr>
      </w:pPr>
      <w:r>
        <w:rPr>
          <w:rFonts w:hint="eastAsia" w:ascii="宋体" w:hAnsi="宋体"/>
          <w:color w:val="auto"/>
          <w:sz w:val="24"/>
          <w:highlight w:val="none"/>
        </w:rPr>
        <w:t>卖方全称：厦门万翔网络商务有限公司</w:t>
      </w:r>
    </w:p>
    <w:p w14:paraId="6B3B9074">
      <w:pPr>
        <w:spacing w:line="360" w:lineRule="auto"/>
        <w:ind w:firstLine="720" w:firstLineChars="300"/>
        <w:rPr>
          <w:rFonts w:ascii="宋体" w:hAnsi="宋体"/>
          <w:color w:val="auto"/>
          <w:sz w:val="24"/>
          <w:highlight w:val="none"/>
        </w:rPr>
      </w:pPr>
      <w:r>
        <w:rPr>
          <w:rFonts w:hint="eastAsia" w:ascii="宋体" w:hAnsi="宋体"/>
          <w:color w:val="auto"/>
          <w:sz w:val="24"/>
          <w:highlight w:val="none"/>
        </w:rPr>
        <w:t>开户行：</w:t>
      </w:r>
      <w:r>
        <w:rPr>
          <w:rFonts w:hint="eastAsia" w:ascii="宋体" w:hAnsi="宋体"/>
          <w:color w:val="auto"/>
          <w:sz w:val="24"/>
          <w:highlight w:val="none"/>
          <w:u w:val="single"/>
        </w:rPr>
        <w:t>中国建设银行股份有限公司厦门自贸试验区航空港支行</w:t>
      </w:r>
    </w:p>
    <w:p w14:paraId="242E29A8">
      <w:pPr>
        <w:spacing w:line="360" w:lineRule="auto"/>
        <w:ind w:firstLine="720" w:firstLineChars="300"/>
        <w:rPr>
          <w:rFonts w:ascii="宋体" w:hAnsi="宋体"/>
          <w:color w:val="auto"/>
          <w:sz w:val="24"/>
          <w:highlight w:val="none"/>
        </w:rPr>
      </w:pPr>
      <w:r>
        <w:rPr>
          <w:rFonts w:hint="eastAsia" w:ascii="宋体" w:hAnsi="宋体"/>
          <w:color w:val="auto"/>
          <w:sz w:val="24"/>
          <w:highlight w:val="none"/>
        </w:rPr>
        <w:t>账号：</w:t>
      </w:r>
      <w:r>
        <w:rPr>
          <w:rFonts w:ascii="宋体" w:hAnsi="宋体"/>
          <w:color w:val="auto"/>
          <w:sz w:val="24"/>
          <w:highlight w:val="none"/>
          <w:u w:val="single"/>
        </w:rPr>
        <w:t>35101570201052503924</w:t>
      </w:r>
    </w:p>
    <w:p w14:paraId="4244C2DF">
      <w:pPr>
        <w:spacing w:line="360" w:lineRule="auto"/>
        <w:rPr>
          <w:rFonts w:ascii="宋体" w:hAnsi="宋体"/>
          <w:b/>
          <w:color w:val="auto"/>
          <w:sz w:val="24"/>
          <w:szCs w:val="24"/>
          <w:highlight w:val="none"/>
        </w:rPr>
      </w:pPr>
      <w:r>
        <w:rPr>
          <w:rFonts w:ascii="宋体" w:hAnsi="宋体"/>
          <w:b/>
          <w:color w:val="auto"/>
          <w:sz w:val="24"/>
          <w:szCs w:val="24"/>
          <w:highlight w:val="none"/>
        </w:rPr>
        <w:t>5、售后服务</w:t>
      </w:r>
    </w:p>
    <w:p w14:paraId="7830A2A0">
      <w:pPr>
        <w:tabs>
          <w:tab w:val="left" w:pos="0"/>
        </w:tabs>
        <w:adjustRightInd w:val="0"/>
        <w:spacing w:line="360" w:lineRule="auto"/>
        <w:ind w:firstLine="480" w:firstLineChars="200"/>
        <w:rPr>
          <w:rFonts w:ascii="宋体" w:hAnsi="宋体" w:cs="宋体"/>
          <w:bCs/>
          <w:color w:val="auto"/>
          <w:kern w:val="0"/>
          <w:sz w:val="24"/>
          <w:szCs w:val="24"/>
          <w:highlight w:val="none"/>
          <w:u w:val="single"/>
        </w:rPr>
      </w:pPr>
      <w:r>
        <w:rPr>
          <w:rFonts w:hint="eastAsia" w:ascii="宋体" w:hAnsi="宋体"/>
          <w:bCs/>
          <w:color w:val="auto"/>
          <w:sz w:val="24"/>
          <w:szCs w:val="24"/>
          <w:highlight w:val="none"/>
        </w:rPr>
        <w:t>货物验收后的保修等售后服务由</w:t>
      </w:r>
      <w:r>
        <w:rPr>
          <w:rFonts w:hint="eastAsia" w:ascii="宋体" w:hAnsi="宋体"/>
          <w:bCs/>
          <w:color w:val="auto"/>
          <w:sz w:val="24"/>
          <w:szCs w:val="24"/>
          <w:highlight w:val="none"/>
          <w:u w:val="single"/>
        </w:rPr>
        <w:t>中标供应商</w:t>
      </w:r>
      <w:r>
        <w:rPr>
          <w:rFonts w:hint="eastAsia" w:ascii="宋体" w:hAnsi="宋体" w:cs="宋体"/>
          <w:bCs/>
          <w:color w:val="auto"/>
          <w:kern w:val="0"/>
          <w:sz w:val="24"/>
          <w:szCs w:val="24"/>
          <w:highlight w:val="none"/>
          <w:u w:val="single"/>
        </w:rPr>
        <w:t>提供，买方应就货物保修等售后服务与中标</w:t>
      </w:r>
      <w:r>
        <w:rPr>
          <w:rFonts w:hint="eastAsia" w:ascii="宋体" w:hAnsi="宋体"/>
          <w:bCs/>
          <w:color w:val="auto"/>
          <w:sz w:val="24"/>
          <w:szCs w:val="24"/>
          <w:highlight w:val="none"/>
          <w:u w:val="single"/>
        </w:rPr>
        <w:t>供应商</w:t>
      </w:r>
      <w:r>
        <w:rPr>
          <w:rFonts w:hint="eastAsia" w:ascii="宋体" w:hAnsi="宋体" w:cs="宋体"/>
          <w:bCs/>
          <w:color w:val="auto"/>
          <w:kern w:val="0"/>
          <w:sz w:val="24"/>
          <w:szCs w:val="24"/>
          <w:highlight w:val="none"/>
          <w:u w:val="single"/>
        </w:rPr>
        <w:t>另行签订相应服务合同，卖方不向买方承担保修等售后服务。</w:t>
      </w:r>
    </w:p>
    <w:p w14:paraId="3ED0B798">
      <w:pPr>
        <w:spacing w:line="360" w:lineRule="auto"/>
        <w:rPr>
          <w:rFonts w:ascii="宋体" w:hAnsi="宋体"/>
          <w:b/>
          <w:color w:val="auto"/>
          <w:sz w:val="24"/>
          <w:szCs w:val="24"/>
          <w:highlight w:val="none"/>
        </w:rPr>
      </w:pPr>
      <w:r>
        <w:rPr>
          <w:rFonts w:ascii="宋体" w:hAnsi="宋体"/>
          <w:b/>
          <w:color w:val="auto"/>
          <w:sz w:val="24"/>
          <w:szCs w:val="24"/>
          <w:highlight w:val="none"/>
        </w:rPr>
        <w:t>6、违约责任</w:t>
      </w:r>
    </w:p>
    <w:p w14:paraId="63A0D08C">
      <w:pPr>
        <w:spacing w:line="360" w:lineRule="auto"/>
        <w:ind w:firstLine="480" w:firstLineChars="200"/>
        <w:rPr>
          <w:rFonts w:ascii="宋体" w:hAnsi="宋体"/>
          <w:color w:val="auto"/>
          <w:sz w:val="24"/>
          <w:highlight w:val="none"/>
        </w:rPr>
      </w:pPr>
      <w:r>
        <w:rPr>
          <w:color w:val="auto"/>
          <w:sz w:val="24"/>
          <w:szCs w:val="28"/>
          <w:highlight w:val="none"/>
        </w:rPr>
        <w:t>6</w:t>
      </w:r>
      <w:r>
        <w:rPr>
          <w:rFonts w:hint="eastAsia"/>
          <w:color w:val="auto"/>
          <w:sz w:val="24"/>
          <w:szCs w:val="28"/>
          <w:highlight w:val="none"/>
        </w:rPr>
        <w:t>.1除不可抗力外，</w:t>
      </w:r>
      <w:r>
        <w:rPr>
          <w:rFonts w:hint="eastAsia" w:ascii="宋体" w:hAnsi="宋体"/>
          <w:color w:val="auto"/>
          <w:sz w:val="24"/>
          <w:highlight w:val="none"/>
        </w:rPr>
        <w:t>买方不能在本合同规定的时间内支付相应的货款时,应向卖方支付违约金,其支付办法是,每延迟一日,违约金为逾期应付款的万分之四,依此累加。</w:t>
      </w:r>
    </w:p>
    <w:p w14:paraId="70A3A5C1">
      <w:pPr>
        <w:spacing w:line="360" w:lineRule="auto"/>
        <w:ind w:firstLine="480" w:firstLineChars="200"/>
        <w:rPr>
          <w:rFonts w:ascii="宋体" w:hAnsi="宋体"/>
          <w:color w:val="auto"/>
          <w:sz w:val="24"/>
          <w:highlight w:val="none"/>
        </w:rPr>
      </w:pPr>
      <w:r>
        <w:rPr>
          <w:color w:val="auto"/>
          <w:sz w:val="24"/>
          <w:szCs w:val="28"/>
          <w:highlight w:val="none"/>
        </w:rPr>
        <w:t>6</w:t>
      </w:r>
      <w:r>
        <w:rPr>
          <w:rFonts w:hint="eastAsia"/>
          <w:color w:val="auto"/>
          <w:sz w:val="24"/>
          <w:szCs w:val="28"/>
          <w:highlight w:val="none"/>
        </w:rPr>
        <w:t>.2除不可抗力外，</w:t>
      </w:r>
      <w:r>
        <w:rPr>
          <w:rFonts w:hint="eastAsia" w:ascii="宋体" w:hAnsi="宋体"/>
          <w:color w:val="auto"/>
          <w:sz w:val="24"/>
          <w:highlight w:val="none"/>
        </w:rPr>
        <w:t>卖方不能按时交货或完成安装时,应提前五天以书面的形式通知买方,并征得买方同意,否则应向买方支付违约金,其支付办法是,每延迟一日,违约金为逾期交货或安装部分价款的万分之四，依此累加。</w:t>
      </w:r>
    </w:p>
    <w:p w14:paraId="2226DEAA">
      <w:pPr>
        <w:spacing w:line="360" w:lineRule="auto"/>
        <w:ind w:firstLine="523" w:firstLineChars="218"/>
        <w:rPr>
          <w:rFonts w:ascii="宋体" w:hAnsi="宋体"/>
          <w:color w:val="auto"/>
          <w:sz w:val="24"/>
          <w:szCs w:val="24"/>
          <w:highlight w:val="none"/>
        </w:rPr>
      </w:pPr>
      <w:r>
        <w:rPr>
          <w:color w:val="auto"/>
          <w:sz w:val="24"/>
          <w:szCs w:val="28"/>
          <w:highlight w:val="none"/>
        </w:rPr>
        <w:t>6</w:t>
      </w:r>
      <w:r>
        <w:rPr>
          <w:rFonts w:hint="eastAsia"/>
          <w:color w:val="auto"/>
          <w:sz w:val="24"/>
          <w:szCs w:val="28"/>
          <w:highlight w:val="none"/>
        </w:rPr>
        <w:t>.3</w:t>
      </w:r>
      <w:r>
        <w:rPr>
          <w:rFonts w:ascii="宋体" w:hAnsi="宋体"/>
          <w:color w:val="auto"/>
          <w:sz w:val="24"/>
          <w:szCs w:val="24"/>
          <w:highlight w:val="none"/>
        </w:rPr>
        <w:t>一方违反合同造成另一方损失的，违约方应向守约方承担相应的赔偿责任。</w:t>
      </w:r>
      <w:r>
        <w:rPr>
          <w:rFonts w:hint="eastAsia" w:ascii="宋体" w:hAnsi="宋体"/>
          <w:color w:val="auto"/>
          <w:sz w:val="24"/>
          <w:highlight w:val="none"/>
        </w:rPr>
        <w:t>本合同约定的违约金不足以弥补守约方损失的，违约方应继续承担赔偿责任。</w:t>
      </w:r>
    </w:p>
    <w:p w14:paraId="188748F2">
      <w:pPr>
        <w:spacing w:line="360" w:lineRule="auto"/>
        <w:rPr>
          <w:rFonts w:ascii="宋体" w:hAnsi="宋体"/>
          <w:b/>
          <w:color w:val="auto"/>
          <w:sz w:val="24"/>
          <w:szCs w:val="24"/>
          <w:highlight w:val="none"/>
        </w:rPr>
      </w:pPr>
      <w:r>
        <w:rPr>
          <w:rFonts w:ascii="宋体" w:hAnsi="宋体"/>
          <w:b/>
          <w:color w:val="auto"/>
          <w:sz w:val="24"/>
          <w:szCs w:val="24"/>
          <w:highlight w:val="none"/>
        </w:rPr>
        <w:t>7、不可抗力</w:t>
      </w:r>
    </w:p>
    <w:p w14:paraId="49A28007">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7.1因不可抗力造成违约的，遭受不可抗力一方应及时向对方通报不能履行或不能完全履行的理由，并在随后取得有关主管机关证明后的15日内向另一方提供不可抗力发生以及持续期间的充分证据。基于以上行为，允许遭受不可抗力一方延期履行、部分履行或者不履行合同，并根据情况可部分或全部免于承担违约责任。</w:t>
      </w:r>
    </w:p>
    <w:p w14:paraId="48E0529A">
      <w:pPr>
        <w:spacing w:line="360" w:lineRule="auto"/>
        <w:ind w:firstLine="470" w:firstLineChars="196"/>
        <w:rPr>
          <w:rFonts w:ascii="宋体" w:hAnsi="宋体"/>
          <w:color w:val="auto"/>
          <w:sz w:val="24"/>
          <w:szCs w:val="24"/>
          <w:highlight w:val="none"/>
        </w:rPr>
      </w:pPr>
      <w:r>
        <w:rPr>
          <w:rFonts w:ascii="宋体" w:hAnsi="宋体"/>
          <w:color w:val="auto"/>
          <w:sz w:val="24"/>
          <w:szCs w:val="24"/>
          <w:highlight w:val="none"/>
        </w:rPr>
        <w:t>7.2本合同中的不可抗力指不能预见、不能避免并不能克服的客观情况。包括但不限于：自然灾害如地震、台风、洪水、火灾；政府行为、法律规定或其适用的变化或者其他任何无法预见、避免或者控制的事件。</w:t>
      </w:r>
    </w:p>
    <w:p w14:paraId="3ED5167F">
      <w:pPr>
        <w:spacing w:line="360" w:lineRule="auto"/>
        <w:ind w:firstLine="470" w:firstLineChars="196"/>
        <w:rPr>
          <w:rFonts w:ascii="宋体" w:hAnsi="宋体"/>
          <w:color w:val="auto"/>
          <w:sz w:val="24"/>
          <w:szCs w:val="24"/>
          <w:highlight w:val="none"/>
        </w:rPr>
      </w:pPr>
      <w:r>
        <w:rPr>
          <w:rFonts w:ascii="宋体" w:hAnsi="宋体"/>
          <w:color w:val="auto"/>
          <w:sz w:val="24"/>
          <w:szCs w:val="24"/>
          <w:highlight w:val="none"/>
        </w:rPr>
        <w:t>7.3当事人一方因不可抗力的原因不能履行合同的，应及时通知对方，以减轻可能给对方造成的损失，并应当在合理期限内提供证明。</w:t>
      </w:r>
    </w:p>
    <w:p w14:paraId="5EE7CB11">
      <w:pPr>
        <w:spacing w:line="360" w:lineRule="auto"/>
        <w:rPr>
          <w:rFonts w:ascii="宋体" w:hAnsi="宋体"/>
          <w:b/>
          <w:bCs/>
          <w:color w:val="auto"/>
          <w:sz w:val="24"/>
          <w:highlight w:val="none"/>
        </w:rPr>
      </w:pPr>
      <w:r>
        <w:rPr>
          <w:rFonts w:hint="eastAsia" w:ascii="宋体" w:hAnsi="宋体"/>
          <w:b/>
          <w:bCs/>
          <w:color w:val="auto"/>
          <w:sz w:val="24"/>
          <w:highlight w:val="none"/>
        </w:rPr>
        <w:t>8、保密条款</w:t>
      </w:r>
    </w:p>
    <w:p w14:paraId="7C296C61">
      <w:pPr>
        <w:spacing w:line="360" w:lineRule="auto"/>
        <w:rPr>
          <w:color w:val="auto"/>
          <w:highlight w:val="none"/>
        </w:rPr>
      </w:pPr>
      <w:r>
        <w:rPr>
          <w:rFonts w:hint="eastAsia" w:ascii="宋体" w:hAnsi="宋体"/>
          <w:color w:val="auto"/>
          <w:sz w:val="24"/>
          <w:highlight w:val="none"/>
        </w:rPr>
        <w:t xml:space="preserve">    除非得到另一方的书面许可,买卖双方均不得将本合同中的任何内容及在本合同执行过程中获得的对方商业信息向任何第三方个人或单位泄露，否则守约方有权向违约方追究责任，包括但不限于要求违约方赔偿由此引发的所有损失。本保密义务在本合同期满、解除或终止后仍然有效。</w:t>
      </w:r>
    </w:p>
    <w:p w14:paraId="66AF7057">
      <w:pPr>
        <w:spacing w:line="360" w:lineRule="auto"/>
        <w:rPr>
          <w:rFonts w:ascii="宋体" w:hAnsi="宋体"/>
          <w:b/>
          <w:color w:val="auto"/>
          <w:sz w:val="24"/>
          <w:szCs w:val="24"/>
          <w:highlight w:val="none"/>
        </w:rPr>
      </w:pPr>
      <w:r>
        <w:rPr>
          <w:rFonts w:hint="eastAsia" w:ascii="宋体" w:hAnsi="宋体"/>
          <w:b/>
          <w:color w:val="auto"/>
          <w:sz w:val="24"/>
          <w:szCs w:val="24"/>
          <w:highlight w:val="none"/>
        </w:rPr>
        <w:t>9</w:t>
      </w:r>
      <w:r>
        <w:rPr>
          <w:rFonts w:ascii="宋体" w:hAnsi="宋体"/>
          <w:b/>
          <w:color w:val="auto"/>
          <w:sz w:val="24"/>
          <w:szCs w:val="24"/>
          <w:highlight w:val="none"/>
        </w:rPr>
        <w:t>、合同纠纷处理方式：</w:t>
      </w:r>
    </w:p>
    <w:p w14:paraId="0BE10E75">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因本合同或与本合同有关的一切事项发生争议，由双方友好协商解决。协商不成的，任何一方均可向</w:t>
      </w:r>
      <w:r>
        <w:rPr>
          <w:rFonts w:ascii="宋体" w:hAnsi="宋体"/>
          <w:color w:val="auto"/>
          <w:sz w:val="24"/>
          <w:szCs w:val="24"/>
          <w:highlight w:val="none"/>
        </w:rPr>
        <w:t>交货地人民法院</w:t>
      </w:r>
      <w:r>
        <w:rPr>
          <w:rFonts w:hint="eastAsia" w:ascii="宋体" w:hAnsi="宋体"/>
          <w:color w:val="auto"/>
          <w:sz w:val="24"/>
          <w:szCs w:val="24"/>
          <w:highlight w:val="none"/>
        </w:rPr>
        <w:t>提起诉讼。</w:t>
      </w:r>
    </w:p>
    <w:p w14:paraId="289D8927">
      <w:pPr>
        <w:spacing w:line="360" w:lineRule="auto"/>
        <w:rPr>
          <w:rFonts w:ascii="宋体" w:hAnsi="宋体"/>
          <w:b/>
          <w:color w:val="auto"/>
          <w:sz w:val="24"/>
          <w:szCs w:val="24"/>
          <w:highlight w:val="none"/>
        </w:rPr>
      </w:pPr>
      <w:r>
        <w:rPr>
          <w:rFonts w:hint="eastAsia" w:ascii="宋体" w:hAnsi="宋体"/>
          <w:b/>
          <w:color w:val="auto"/>
          <w:sz w:val="24"/>
          <w:szCs w:val="24"/>
          <w:highlight w:val="none"/>
        </w:rPr>
        <w:t>10</w:t>
      </w:r>
      <w:r>
        <w:rPr>
          <w:rFonts w:ascii="宋体" w:hAnsi="宋体"/>
          <w:b/>
          <w:color w:val="auto"/>
          <w:sz w:val="24"/>
          <w:szCs w:val="24"/>
          <w:highlight w:val="none"/>
        </w:rPr>
        <w:t>、其他约定</w:t>
      </w:r>
    </w:p>
    <w:p w14:paraId="15A24829">
      <w:pPr>
        <w:spacing w:line="360" w:lineRule="auto"/>
        <w:ind w:firstLine="600" w:firstLineChars="250"/>
        <w:rPr>
          <w:rFonts w:ascii="宋体" w:hAnsi="宋体"/>
          <w:color w:val="auto"/>
          <w:sz w:val="24"/>
          <w:szCs w:val="24"/>
          <w:highlight w:val="none"/>
        </w:rPr>
      </w:pPr>
      <w:r>
        <w:rPr>
          <w:rFonts w:hint="eastAsia" w:ascii="宋体" w:hAnsi="宋体"/>
          <w:color w:val="auto"/>
          <w:sz w:val="24"/>
          <w:szCs w:val="24"/>
          <w:highlight w:val="none"/>
        </w:rPr>
        <w:t>10</w:t>
      </w:r>
      <w:r>
        <w:rPr>
          <w:rFonts w:ascii="宋体" w:hAnsi="宋体"/>
          <w:color w:val="auto"/>
          <w:sz w:val="24"/>
          <w:szCs w:val="24"/>
          <w:highlight w:val="none"/>
        </w:rPr>
        <w:t>.1买卖双方同意，卖方供货经买方验收完成后，卖方即履行完毕所有合同义务。</w:t>
      </w:r>
    </w:p>
    <w:p w14:paraId="2246CE9D">
      <w:pPr>
        <w:spacing w:line="360" w:lineRule="auto"/>
        <w:ind w:firstLine="600" w:firstLineChars="250"/>
        <w:rPr>
          <w:rFonts w:ascii="宋体" w:hAnsi="宋体"/>
          <w:color w:val="auto"/>
          <w:sz w:val="24"/>
          <w:szCs w:val="24"/>
          <w:highlight w:val="none"/>
        </w:rPr>
      </w:pPr>
      <w:r>
        <w:rPr>
          <w:rFonts w:hint="eastAsia" w:ascii="宋体" w:hAnsi="宋体"/>
          <w:color w:val="auto"/>
          <w:sz w:val="24"/>
          <w:szCs w:val="24"/>
          <w:highlight w:val="none"/>
        </w:rPr>
        <w:t>10</w:t>
      </w:r>
      <w:r>
        <w:rPr>
          <w:rFonts w:ascii="宋体" w:hAnsi="宋体"/>
          <w:color w:val="auto"/>
          <w:sz w:val="24"/>
          <w:szCs w:val="24"/>
          <w:highlight w:val="none"/>
        </w:rPr>
        <w:t>.2本合同未尽事宜，双方另行补充。</w:t>
      </w:r>
    </w:p>
    <w:p w14:paraId="445D450B">
      <w:pPr>
        <w:spacing w:line="360" w:lineRule="auto"/>
        <w:ind w:firstLine="600" w:firstLineChars="250"/>
        <w:rPr>
          <w:rFonts w:ascii="宋体" w:hAnsi="宋体"/>
          <w:color w:val="auto"/>
          <w:sz w:val="24"/>
          <w:szCs w:val="24"/>
          <w:highlight w:val="none"/>
        </w:rPr>
      </w:pPr>
      <w:r>
        <w:rPr>
          <w:rFonts w:hint="eastAsia" w:ascii="宋体" w:hAnsi="宋体"/>
          <w:color w:val="auto"/>
          <w:sz w:val="24"/>
          <w:szCs w:val="24"/>
          <w:highlight w:val="none"/>
        </w:rPr>
        <w:t>10</w:t>
      </w:r>
      <w:r>
        <w:rPr>
          <w:rFonts w:ascii="宋体" w:hAnsi="宋体"/>
          <w:color w:val="auto"/>
          <w:sz w:val="24"/>
          <w:szCs w:val="24"/>
          <w:highlight w:val="none"/>
        </w:rPr>
        <w:t>.3本合同一式伍份，经双方签订之日起生效。买方执</w:t>
      </w:r>
      <w:r>
        <w:rPr>
          <w:rFonts w:hint="eastAsia" w:ascii="宋体" w:hAnsi="宋体"/>
          <w:color w:val="auto"/>
          <w:sz w:val="24"/>
          <w:szCs w:val="24"/>
          <w:highlight w:val="none"/>
          <w:u w:val="single"/>
        </w:rPr>
        <w:t>贰</w:t>
      </w:r>
      <w:r>
        <w:rPr>
          <w:rFonts w:hint="eastAsia" w:ascii="宋体" w:hAnsi="宋体"/>
          <w:color w:val="auto"/>
          <w:sz w:val="24"/>
          <w:szCs w:val="24"/>
          <w:highlight w:val="none"/>
        </w:rPr>
        <w:t>份，卖方执</w:t>
      </w:r>
      <w:r>
        <w:rPr>
          <w:rFonts w:hint="eastAsia" w:ascii="宋体" w:hAnsi="宋体"/>
          <w:color w:val="auto"/>
          <w:sz w:val="24"/>
          <w:szCs w:val="24"/>
          <w:highlight w:val="none"/>
          <w:u w:val="single"/>
        </w:rPr>
        <w:t>贰</w:t>
      </w:r>
      <w:r>
        <w:rPr>
          <w:rFonts w:hint="eastAsia" w:ascii="宋体" w:hAnsi="宋体"/>
          <w:color w:val="auto"/>
          <w:sz w:val="24"/>
          <w:szCs w:val="24"/>
          <w:highlight w:val="none"/>
        </w:rPr>
        <w:t>份，送</w:t>
      </w:r>
      <w:r>
        <w:rPr>
          <w:rFonts w:hint="eastAsia" w:ascii="宋体" w:hAnsi="宋体"/>
          <w:color w:val="auto"/>
          <w:sz w:val="24"/>
          <w:highlight w:val="none"/>
        </w:rPr>
        <w:t>政府采购管理办公室备案</w:t>
      </w:r>
      <w:r>
        <w:rPr>
          <w:rFonts w:hint="eastAsia" w:ascii="宋体" w:hAnsi="宋体"/>
          <w:color w:val="auto"/>
          <w:sz w:val="24"/>
          <w:szCs w:val="24"/>
          <w:highlight w:val="none"/>
        </w:rPr>
        <w:t>壹份，具有同等法律效力。</w:t>
      </w:r>
    </w:p>
    <w:p w14:paraId="4066E9A3">
      <w:pPr>
        <w:spacing w:line="360" w:lineRule="auto"/>
        <w:rPr>
          <w:rFonts w:ascii="宋体" w:hAnsi="宋体"/>
          <w:color w:val="auto"/>
          <w:sz w:val="24"/>
          <w:szCs w:val="24"/>
          <w:highlight w:val="none"/>
        </w:rPr>
      </w:pPr>
    </w:p>
    <w:p w14:paraId="347A0F1B">
      <w:pPr>
        <w:spacing w:line="360" w:lineRule="auto"/>
        <w:rPr>
          <w:rFonts w:ascii="宋体" w:hAnsi="宋体"/>
          <w:color w:val="auto"/>
          <w:sz w:val="24"/>
          <w:szCs w:val="24"/>
          <w:highlight w:val="none"/>
        </w:rPr>
      </w:pPr>
    </w:p>
    <w:p w14:paraId="5F3ECBA1">
      <w:pPr>
        <w:spacing w:line="360" w:lineRule="auto"/>
        <w:rPr>
          <w:rFonts w:ascii="宋体" w:hAnsi="宋体"/>
          <w:color w:val="auto"/>
          <w:sz w:val="24"/>
          <w:szCs w:val="24"/>
          <w:highlight w:val="none"/>
        </w:rPr>
      </w:pPr>
    </w:p>
    <w:p w14:paraId="151297A1">
      <w:pPr>
        <w:spacing w:line="360" w:lineRule="auto"/>
        <w:rPr>
          <w:rFonts w:ascii="宋体" w:hAnsi="宋体"/>
          <w:color w:val="auto"/>
          <w:sz w:val="24"/>
          <w:szCs w:val="24"/>
          <w:highlight w:val="none"/>
        </w:rPr>
      </w:pPr>
    </w:p>
    <w:p w14:paraId="7EC8EDBF">
      <w:pPr>
        <w:spacing w:line="360" w:lineRule="auto"/>
        <w:rPr>
          <w:rFonts w:ascii="宋体" w:hAnsi="宋体"/>
          <w:color w:val="auto"/>
          <w:sz w:val="24"/>
          <w:szCs w:val="24"/>
          <w:highlight w:val="none"/>
        </w:rPr>
      </w:pPr>
    </w:p>
    <w:p w14:paraId="3797F021">
      <w:pPr>
        <w:spacing w:line="360" w:lineRule="auto"/>
        <w:rPr>
          <w:rFonts w:ascii="宋体" w:hAnsi="宋体"/>
          <w:color w:val="auto"/>
          <w:sz w:val="24"/>
          <w:szCs w:val="24"/>
          <w:highlight w:val="none"/>
        </w:rPr>
      </w:pPr>
      <w:r>
        <w:rPr>
          <w:rFonts w:hint="eastAsia" w:ascii="宋体" w:hAnsi="宋体"/>
          <w:color w:val="auto"/>
          <w:sz w:val="24"/>
          <w:szCs w:val="24"/>
          <w:highlight w:val="none"/>
        </w:rPr>
        <w:t>卖方：厦门万翔网络商务有限公司</w:t>
      </w:r>
      <w:r>
        <w:rPr>
          <w:rFonts w:ascii="宋体" w:hAnsi="宋体"/>
          <w:color w:val="auto"/>
          <w:sz w:val="24"/>
          <w:szCs w:val="24"/>
          <w:highlight w:val="none"/>
        </w:rPr>
        <w:t xml:space="preserve">                   买方： </w:t>
      </w:r>
      <w:r>
        <w:rPr>
          <w:rFonts w:hint="eastAsia" w:ascii="宋体" w:hAnsi="宋体"/>
          <w:color w:val="auto"/>
          <w:sz w:val="24"/>
          <w:szCs w:val="24"/>
          <w:highlight w:val="none"/>
        </w:rPr>
        <w:t>集美大学</w:t>
      </w:r>
    </w:p>
    <w:p w14:paraId="2930E963">
      <w:pPr>
        <w:spacing w:line="360" w:lineRule="auto"/>
        <w:rPr>
          <w:rFonts w:ascii="宋体" w:hAnsi="宋体"/>
          <w:color w:val="auto"/>
          <w:sz w:val="24"/>
          <w:szCs w:val="24"/>
          <w:highlight w:val="none"/>
        </w:rPr>
      </w:pPr>
      <w:r>
        <w:rPr>
          <w:rFonts w:hint="eastAsia" w:ascii="宋体" w:hAnsi="宋体"/>
          <w:color w:val="auto"/>
          <w:sz w:val="24"/>
          <w:szCs w:val="24"/>
          <w:highlight w:val="none"/>
        </w:rPr>
        <w:t>单位地址：厦门市湖里区机场北路</w:t>
      </w:r>
      <w:r>
        <w:rPr>
          <w:rFonts w:ascii="宋体" w:hAnsi="宋体"/>
          <w:color w:val="auto"/>
          <w:sz w:val="24"/>
          <w:szCs w:val="24"/>
          <w:highlight w:val="none"/>
        </w:rPr>
        <w:t>476号     单位地址：</w:t>
      </w:r>
      <w:r>
        <w:rPr>
          <w:rFonts w:hint="eastAsia" w:ascii="宋体" w:hAnsi="宋体"/>
          <w:color w:val="auto"/>
          <w:sz w:val="24"/>
          <w:szCs w:val="24"/>
          <w:highlight w:val="none"/>
        </w:rPr>
        <w:t>厦门市集美区银江路</w:t>
      </w:r>
    </w:p>
    <w:p w14:paraId="7622E828">
      <w:pPr>
        <w:spacing w:line="360" w:lineRule="auto"/>
        <w:rPr>
          <w:rFonts w:ascii="宋体" w:hAnsi="宋体"/>
          <w:color w:val="auto"/>
          <w:sz w:val="24"/>
          <w:szCs w:val="24"/>
          <w:highlight w:val="none"/>
        </w:rPr>
      </w:pPr>
      <w:r>
        <w:rPr>
          <w:rFonts w:hint="eastAsia" w:ascii="宋体" w:hAnsi="宋体"/>
          <w:color w:val="auto"/>
          <w:sz w:val="24"/>
          <w:szCs w:val="24"/>
          <w:highlight w:val="none"/>
        </w:rPr>
        <w:t>法定代表人：                              法定代表人：</w:t>
      </w:r>
    </w:p>
    <w:p w14:paraId="343ECAD9">
      <w:pPr>
        <w:spacing w:line="360" w:lineRule="auto"/>
        <w:rPr>
          <w:rFonts w:ascii="宋体" w:hAnsi="宋体"/>
          <w:color w:val="auto"/>
          <w:sz w:val="24"/>
          <w:szCs w:val="24"/>
          <w:highlight w:val="none"/>
        </w:rPr>
      </w:pPr>
      <w:r>
        <w:rPr>
          <w:rFonts w:hint="eastAsia" w:ascii="宋体" w:hAnsi="宋体"/>
          <w:color w:val="auto"/>
          <w:sz w:val="24"/>
          <w:szCs w:val="24"/>
          <w:highlight w:val="none"/>
        </w:rPr>
        <w:t>授权代表：                                授权代表：</w:t>
      </w:r>
    </w:p>
    <w:p w14:paraId="21749344">
      <w:pPr>
        <w:spacing w:line="360" w:lineRule="auto"/>
        <w:rPr>
          <w:rFonts w:ascii="宋体" w:hAnsi="宋体"/>
          <w:color w:val="auto"/>
          <w:sz w:val="24"/>
          <w:szCs w:val="24"/>
          <w:highlight w:val="none"/>
        </w:rPr>
      </w:pPr>
      <w:r>
        <w:rPr>
          <w:rFonts w:hint="eastAsia" w:ascii="宋体" w:hAnsi="宋体"/>
          <w:color w:val="auto"/>
          <w:sz w:val="24"/>
          <w:szCs w:val="24"/>
          <w:highlight w:val="none"/>
        </w:rPr>
        <w:t>签订时间：                                签订时间：</w:t>
      </w:r>
    </w:p>
    <w:p w14:paraId="69AE86ED">
      <w:pPr>
        <w:spacing w:line="360" w:lineRule="auto"/>
        <w:rPr>
          <w:rFonts w:ascii="宋体" w:hAnsi="宋体"/>
          <w:color w:val="auto"/>
          <w:sz w:val="24"/>
          <w:szCs w:val="24"/>
          <w:highlight w:val="none"/>
        </w:rPr>
      </w:pPr>
      <w:r>
        <w:rPr>
          <w:rFonts w:hint="eastAsia" w:ascii="宋体" w:hAnsi="宋体"/>
          <w:color w:val="auto"/>
          <w:sz w:val="24"/>
          <w:szCs w:val="24"/>
          <w:highlight w:val="none"/>
        </w:rPr>
        <w:t>电话：                                         电话：</w:t>
      </w:r>
    </w:p>
    <w:p w14:paraId="0AD6D241">
      <w:pPr>
        <w:spacing w:line="360" w:lineRule="auto"/>
        <w:rPr>
          <w:rFonts w:ascii="宋体" w:hAnsi="宋体"/>
          <w:color w:val="auto"/>
          <w:sz w:val="24"/>
          <w:szCs w:val="24"/>
          <w:highlight w:val="none"/>
        </w:rPr>
      </w:pPr>
      <w:r>
        <w:rPr>
          <w:rFonts w:hint="eastAsia" w:ascii="宋体" w:hAnsi="宋体"/>
          <w:color w:val="auto"/>
          <w:sz w:val="24"/>
          <w:szCs w:val="24"/>
          <w:highlight w:val="none"/>
        </w:rPr>
        <w:t>开户银行：建设银行股份有限公司厦门分行机场支行</w:t>
      </w:r>
      <w:r>
        <w:rPr>
          <w:rFonts w:ascii="宋体" w:hAnsi="宋体"/>
          <w:color w:val="auto"/>
          <w:sz w:val="24"/>
          <w:szCs w:val="24"/>
          <w:highlight w:val="none"/>
        </w:rPr>
        <w:t xml:space="preserve">   开户银行： </w:t>
      </w:r>
    </w:p>
    <w:p w14:paraId="6DA7D5B3">
      <w:pPr>
        <w:spacing w:line="360" w:lineRule="auto"/>
        <w:rPr>
          <w:rFonts w:ascii="宋体" w:hAnsi="宋体"/>
          <w:b/>
          <w:color w:val="auto"/>
          <w:sz w:val="24"/>
          <w:szCs w:val="24"/>
          <w:highlight w:val="none"/>
        </w:rPr>
      </w:pPr>
      <w:r>
        <w:rPr>
          <w:rFonts w:hint="eastAsia" w:ascii="宋体" w:hAnsi="宋体"/>
          <w:color w:val="auto"/>
          <w:sz w:val="24"/>
          <w:szCs w:val="24"/>
          <w:highlight w:val="none"/>
        </w:rPr>
        <w:t>账号：</w:t>
      </w:r>
      <w:r>
        <w:rPr>
          <w:rFonts w:ascii="宋体" w:hAnsi="宋体"/>
          <w:color w:val="auto"/>
          <w:sz w:val="24"/>
          <w:szCs w:val="24"/>
          <w:highlight w:val="none"/>
        </w:rPr>
        <w:t xml:space="preserve">35101570201052503924                      </w:t>
      </w:r>
      <w:r>
        <w:rPr>
          <w:rFonts w:hint="eastAsia" w:ascii="宋体" w:hAnsi="宋体"/>
          <w:color w:val="auto"/>
          <w:sz w:val="24"/>
          <w:szCs w:val="24"/>
          <w:highlight w:val="none"/>
        </w:rPr>
        <w:t>账号：</w:t>
      </w:r>
    </w:p>
    <w:p w14:paraId="7A6E0616">
      <w:pPr>
        <w:spacing w:line="360" w:lineRule="auto"/>
        <w:rPr>
          <w:rFonts w:ascii="宋体" w:hAnsi="宋体"/>
          <w:color w:val="auto"/>
          <w:sz w:val="24"/>
          <w:highlight w:val="none"/>
        </w:rPr>
      </w:pPr>
    </w:p>
    <w:p w14:paraId="316EEE3E">
      <w:pPr>
        <w:spacing w:line="360" w:lineRule="auto"/>
        <w:rPr>
          <w:rFonts w:ascii="宋体" w:hAnsi="宋体"/>
          <w:color w:val="auto"/>
          <w:sz w:val="24"/>
          <w:highlight w:val="none"/>
        </w:rPr>
      </w:pPr>
    </w:p>
    <w:p w14:paraId="78121221">
      <w:pPr>
        <w:rPr>
          <w:color w:val="auto"/>
          <w:highlight w:val="none"/>
        </w:rPr>
      </w:pPr>
    </w:p>
    <w:p w14:paraId="48A947DD">
      <w:pPr>
        <w:rPr>
          <w:color w:val="auto"/>
          <w:highlight w:val="none"/>
        </w:rPr>
      </w:pPr>
    </w:p>
    <w:p w14:paraId="4D3E277E">
      <w:pPr>
        <w:pStyle w:val="48"/>
        <w:widowControl/>
        <w:ind w:firstLine="0" w:firstLineChars="0"/>
        <w:rPr>
          <w:rFonts w:hint="default" w:cs="宋体"/>
          <w:color w:val="auto"/>
          <w:sz w:val="24"/>
          <w:szCs w:val="24"/>
          <w:highlight w:val="none"/>
        </w:rPr>
      </w:pPr>
      <w:r>
        <w:rPr>
          <w:rFonts w:hint="default" w:ascii="华文楷体" w:hAnsi="华文楷体" w:eastAsia="华文楷体" w:cs="华文楷体"/>
          <w:b/>
          <w:color w:val="auto"/>
          <w:sz w:val="28"/>
          <w:szCs w:val="28"/>
          <w:highlight w:val="none"/>
        </w:rPr>
        <w:t>附件</w:t>
      </w:r>
      <w:r>
        <w:rPr>
          <w:rFonts w:ascii="华文楷体" w:hAnsi="华文楷体" w:eastAsia="华文楷体" w:cs="华文楷体"/>
          <w:b/>
          <w:color w:val="auto"/>
          <w:sz w:val="28"/>
          <w:szCs w:val="28"/>
          <w:highlight w:val="none"/>
        </w:rPr>
        <w:t>1</w:t>
      </w:r>
      <w:r>
        <w:rPr>
          <w:rFonts w:hint="default" w:ascii="华文楷体" w:hAnsi="华文楷体" w:eastAsia="华文楷体" w:cs="华文楷体"/>
          <w:b/>
          <w:color w:val="auto"/>
          <w:sz w:val="28"/>
          <w:szCs w:val="28"/>
          <w:highlight w:val="none"/>
        </w:rPr>
        <w:t>：供货清单</w:t>
      </w:r>
    </w:p>
    <w:p w14:paraId="584CC285">
      <w:pPr>
        <w:pStyle w:val="49"/>
        <w:rPr>
          <w:rFonts w:ascii="宋体" w:hAnsi="宋体" w:cs="宋体"/>
          <w:color w:val="auto"/>
          <w:sz w:val="24"/>
          <w:szCs w:val="24"/>
          <w:highlight w:val="none"/>
        </w:rPr>
      </w:pPr>
    </w:p>
    <w:tbl>
      <w:tblPr>
        <w:tblStyle w:val="16"/>
        <w:tblW w:w="10899" w:type="dxa"/>
        <w:tblInd w:w="-11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7"/>
        <w:gridCol w:w="1272"/>
        <w:gridCol w:w="821"/>
        <w:gridCol w:w="994"/>
        <w:gridCol w:w="1445"/>
        <w:gridCol w:w="2977"/>
        <w:gridCol w:w="1276"/>
        <w:gridCol w:w="1417"/>
      </w:tblGrid>
      <w:tr w14:paraId="0D4D82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697" w:type="dxa"/>
            <w:vAlign w:val="center"/>
          </w:tcPr>
          <w:p w14:paraId="54B3B88F">
            <w:pPr>
              <w:pStyle w:val="47"/>
              <w:widowControl w:val="0"/>
              <w:spacing w:line="460" w:lineRule="exact"/>
              <w:jc w:val="center"/>
              <w:rPr>
                <w:rFonts w:ascii="华文楷体" w:hAnsi="华文楷体" w:eastAsia="华文楷体"/>
                <w:b/>
                <w:color w:val="auto"/>
                <w:sz w:val="24"/>
                <w:szCs w:val="24"/>
                <w:highlight w:val="none"/>
              </w:rPr>
            </w:pPr>
            <w:r>
              <w:rPr>
                <w:rFonts w:hint="eastAsia" w:ascii="华文楷体" w:hAnsi="华文楷体" w:eastAsia="华文楷体"/>
                <w:b/>
                <w:color w:val="auto"/>
                <w:sz w:val="24"/>
                <w:szCs w:val="24"/>
                <w:highlight w:val="none"/>
              </w:rPr>
              <w:t>序号</w:t>
            </w:r>
          </w:p>
        </w:tc>
        <w:tc>
          <w:tcPr>
            <w:tcW w:w="1272" w:type="dxa"/>
            <w:vAlign w:val="center"/>
          </w:tcPr>
          <w:p w14:paraId="054F4406">
            <w:pPr>
              <w:pStyle w:val="47"/>
              <w:widowControl w:val="0"/>
              <w:spacing w:line="460" w:lineRule="exact"/>
              <w:jc w:val="center"/>
              <w:rPr>
                <w:rFonts w:ascii="华文楷体" w:hAnsi="华文楷体" w:eastAsia="华文楷体"/>
                <w:b/>
                <w:color w:val="auto"/>
                <w:sz w:val="24"/>
                <w:szCs w:val="24"/>
                <w:highlight w:val="none"/>
              </w:rPr>
            </w:pPr>
            <w:r>
              <w:rPr>
                <w:rFonts w:hint="eastAsia" w:ascii="华文楷体" w:hAnsi="华文楷体" w:eastAsia="华文楷体"/>
                <w:b/>
                <w:color w:val="auto"/>
                <w:sz w:val="24"/>
                <w:szCs w:val="24"/>
                <w:highlight w:val="none"/>
              </w:rPr>
              <w:t>名  称</w:t>
            </w:r>
          </w:p>
        </w:tc>
        <w:tc>
          <w:tcPr>
            <w:tcW w:w="821" w:type="dxa"/>
            <w:vAlign w:val="center"/>
          </w:tcPr>
          <w:p w14:paraId="1F71DC83">
            <w:pPr>
              <w:pStyle w:val="47"/>
              <w:widowControl w:val="0"/>
              <w:spacing w:line="460" w:lineRule="exact"/>
              <w:jc w:val="center"/>
              <w:rPr>
                <w:rFonts w:ascii="华文楷体" w:hAnsi="华文楷体" w:eastAsia="华文楷体"/>
                <w:b/>
                <w:color w:val="auto"/>
                <w:sz w:val="24"/>
                <w:szCs w:val="24"/>
                <w:highlight w:val="none"/>
              </w:rPr>
            </w:pPr>
            <w:r>
              <w:rPr>
                <w:rFonts w:hint="eastAsia" w:ascii="华文楷体" w:hAnsi="华文楷体" w:eastAsia="华文楷体"/>
                <w:b/>
                <w:color w:val="auto"/>
                <w:sz w:val="24"/>
                <w:szCs w:val="24"/>
                <w:highlight w:val="none"/>
              </w:rPr>
              <w:t>数量</w:t>
            </w:r>
          </w:p>
        </w:tc>
        <w:tc>
          <w:tcPr>
            <w:tcW w:w="994" w:type="dxa"/>
            <w:vAlign w:val="center"/>
          </w:tcPr>
          <w:p w14:paraId="3C886F24">
            <w:pPr>
              <w:pStyle w:val="47"/>
              <w:widowControl w:val="0"/>
              <w:spacing w:line="460" w:lineRule="exact"/>
              <w:jc w:val="center"/>
              <w:rPr>
                <w:rFonts w:ascii="华文楷体" w:hAnsi="华文楷体" w:eastAsia="华文楷体"/>
                <w:b/>
                <w:color w:val="auto"/>
                <w:sz w:val="24"/>
                <w:szCs w:val="24"/>
                <w:highlight w:val="none"/>
              </w:rPr>
            </w:pPr>
            <w:r>
              <w:rPr>
                <w:rFonts w:hint="eastAsia" w:ascii="华文楷体" w:hAnsi="华文楷体" w:eastAsia="华文楷体"/>
                <w:b/>
                <w:color w:val="auto"/>
                <w:sz w:val="24"/>
                <w:szCs w:val="24"/>
                <w:highlight w:val="none"/>
              </w:rPr>
              <w:t>原产地</w:t>
            </w:r>
          </w:p>
        </w:tc>
        <w:tc>
          <w:tcPr>
            <w:tcW w:w="1445" w:type="dxa"/>
            <w:vAlign w:val="center"/>
          </w:tcPr>
          <w:p w14:paraId="41AA2921">
            <w:pPr>
              <w:pStyle w:val="47"/>
              <w:widowControl w:val="0"/>
              <w:spacing w:line="460" w:lineRule="exact"/>
              <w:jc w:val="center"/>
              <w:rPr>
                <w:rFonts w:ascii="华文楷体" w:hAnsi="华文楷体" w:eastAsia="华文楷体"/>
                <w:b/>
                <w:color w:val="auto"/>
                <w:sz w:val="24"/>
                <w:szCs w:val="24"/>
                <w:highlight w:val="none"/>
              </w:rPr>
            </w:pPr>
            <w:r>
              <w:rPr>
                <w:rFonts w:hint="eastAsia" w:ascii="华文楷体" w:hAnsi="华文楷体" w:eastAsia="华文楷体"/>
                <w:b/>
                <w:color w:val="auto"/>
                <w:sz w:val="24"/>
                <w:szCs w:val="24"/>
                <w:highlight w:val="none"/>
              </w:rPr>
              <w:t>制  造  商</w:t>
            </w:r>
          </w:p>
        </w:tc>
        <w:tc>
          <w:tcPr>
            <w:tcW w:w="2977" w:type="dxa"/>
            <w:vAlign w:val="center"/>
          </w:tcPr>
          <w:p w14:paraId="127FE9B3">
            <w:pPr>
              <w:pStyle w:val="47"/>
              <w:widowControl w:val="0"/>
              <w:spacing w:line="460" w:lineRule="exact"/>
              <w:jc w:val="center"/>
              <w:rPr>
                <w:rFonts w:ascii="华文楷体" w:hAnsi="华文楷体" w:eastAsia="华文楷体"/>
                <w:b/>
                <w:color w:val="auto"/>
                <w:sz w:val="24"/>
                <w:szCs w:val="24"/>
                <w:highlight w:val="none"/>
              </w:rPr>
            </w:pPr>
            <w:r>
              <w:rPr>
                <w:rFonts w:hint="eastAsia" w:ascii="华文楷体" w:hAnsi="华文楷体" w:eastAsia="华文楷体"/>
                <w:b/>
                <w:color w:val="auto"/>
                <w:sz w:val="24"/>
                <w:szCs w:val="24"/>
                <w:highlight w:val="none"/>
              </w:rPr>
              <w:t>规   格   型   号</w:t>
            </w:r>
          </w:p>
        </w:tc>
        <w:tc>
          <w:tcPr>
            <w:tcW w:w="1276" w:type="dxa"/>
            <w:vAlign w:val="center"/>
          </w:tcPr>
          <w:p w14:paraId="627F26C3">
            <w:pPr>
              <w:pStyle w:val="47"/>
              <w:widowControl w:val="0"/>
              <w:spacing w:line="460" w:lineRule="exact"/>
              <w:jc w:val="center"/>
              <w:rPr>
                <w:rFonts w:ascii="华文楷体" w:hAnsi="华文楷体" w:eastAsia="华文楷体"/>
                <w:b/>
                <w:color w:val="auto"/>
                <w:sz w:val="24"/>
                <w:szCs w:val="24"/>
                <w:highlight w:val="none"/>
              </w:rPr>
            </w:pPr>
            <w:r>
              <w:rPr>
                <w:rFonts w:hint="eastAsia" w:ascii="华文楷体" w:hAnsi="华文楷体" w:eastAsia="华文楷体"/>
                <w:b/>
                <w:color w:val="auto"/>
                <w:sz w:val="24"/>
                <w:szCs w:val="24"/>
                <w:highlight w:val="none"/>
              </w:rPr>
              <w:t>单价（元）</w:t>
            </w:r>
          </w:p>
        </w:tc>
        <w:tc>
          <w:tcPr>
            <w:tcW w:w="1417" w:type="dxa"/>
          </w:tcPr>
          <w:p w14:paraId="26138F65">
            <w:pPr>
              <w:pStyle w:val="47"/>
              <w:widowControl w:val="0"/>
              <w:spacing w:line="460" w:lineRule="exact"/>
              <w:jc w:val="center"/>
              <w:rPr>
                <w:rFonts w:ascii="华文楷体" w:hAnsi="华文楷体" w:eastAsia="华文楷体"/>
                <w:b/>
                <w:color w:val="auto"/>
                <w:sz w:val="24"/>
                <w:szCs w:val="24"/>
                <w:highlight w:val="none"/>
              </w:rPr>
            </w:pPr>
            <w:r>
              <w:rPr>
                <w:rFonts w:hint="eastAsia" w:ascii="华文楷体" w:hAnsi="华文楷体" w:eastAsia="华文楷体"/>
                <w:b/>
                <w:color w:val="auto"/>
                <w:sz w:val="24"/>
                <w:szCs w:val="24"/>
                <w:highlight w:val="none"/>
              </w:rPr>
              <w:t>金额（元）</w:t>
            </w:r>
          </w:p>
        </w:tc>
      </w:tr>
      <w:tr w14:paraId="57D4CE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vAlign w:val="center"/>
          </w:tcPr>
          <w:p w14:paraId="4DCC9A1F">
            <w:pPr>
              <w:spacing w:line="460" w:lineRule="exact"/>
              <w:jc w:val="center"/>
              <w:rPr>
                <w:rFonts w:ascii="华文楷体" w:hAnsi="华文楷体" w:eastAsia="华文楷体"/>
                <w:color w:val="auto"/>
                <w:kern w:val="0"/>
                <w:sz w:val="24"/>
                <w:highlight w:val="none"/>
              </w:rPr>
            </w:pPr>
          </w:p>
        </w:tc>
        <w:tc>
          <w:tcPr>
            <w:tcW w:w="1272" w:type="dxa"/>
            <w:vAlign w:val="center"/>
          </w:tcPr>
          <w:p w14:paraId="0A3DC3E2">
            <w:pPr>
              <w:spacing w:line="460" w:lineRule="exact"/>
              <w:jc w:val="center"/>
              <w:rPr>
                <w:rFonts w:ascii="华文楷体" w:hAnsi="华文楷体" w:eastAsia="华文楷体" w:cs="宋体"/>
                <w:color w:val="auto"/>
                <w:kern w:val="0"/>
                <w:sz w:val="24"/>
                <w:highlight w:val="none"/>
              </w:rPr>
            </w:pPr>
          </w:p>
        </w:tc>
        <w:tc>
          <w:tcPr>
            <w:tcW w:w="821" w:type="dxa"/>
            <w:vAlign w:val="center"/>
          </w:tcPr>
          <w:p w14:paraId="1527A746">
            <w:pPr>
              <w:spacing w:line="460" w:lineRule="exact"/>
              <w:jc w:val="center"/>
              <w:rPr>
                <w:rFonts w:ascii="华文楷体" w:hAnsi="华文楷体" w:eastAsia="华文楷体" w:cs="宋体"/>
                <w:color w:val="auto"/>
                <w:kern w:val="0"/>
                <w:sz w:val="24"/>
                <w:highlight w:val="none"/>
              </w:rPr>
            </w:pPr>
          </w:p>
        </w:tc>
        <w:tc>
          <w:tcPr>
            <w:tcW w:w="994" w:type="dxa"/>
            <w:vAlign w:val="center"/>
          </w:tcPr>
          <w:p w14:paraId="29AD2EB7">
            <w:pPr>
              <w:pStyle w:val="47"/>
              <w:widowControl w:val="0"/>
              <w:spacing w:line="460" w:lineRule="exact"/>
              <w:jc w:val="center"/>
              <w:rPr>
                <w:rFonts w:ascii="华文楷体" w:hAnsi="华文楷体" w:eastAsia="华文楷体"/>
                <w:color w:val="auto"/>
                <w:sz w:val="24"/>
                <w:szCs w:val="24"/>
                <w:highlight w:val="none"/>
              </w:rPr>
            </w:pPr>
          </w:p>
        </w:tc>
        <w:tc>
          <w:tcPr>
            <w:tcW w:w="1445" w:type="dxa"/>
            <w:vAlign w:val="center"/>
          </w:tcPr>
          <w:p w14:paraId="675987AA">
            <w:pPr>
              <w:pStyle w:val="47"/>
              <w:widowControl w:val="0"/>
              <w:spacing w:line="460" w:lineRule="exact"/>
              <w:jc w:val="center"/>
              <w:rPr>
                <w:rFonts w:ascii="华文楷体" w:hAnsi="华文楷体" w:eastAsia="华文楷体"/>
                <w:color w:val="auto"/>
                <w:sz w:val="24"/>
                <w:szCs w:val="24"/>
                <w:highlight w:val="none"/>
              </w:rPr>
            </w:pPr>
          </w:p>
        </w:tc>
        <w:tc>
          <w:tcPr>
            <w:tcW w:w="2977" w:type="dxa"/>
            <w:vAlign w:val="center"/>
          </w:tcPr>
          <w:p w14:paraId="7F8D10A2">
            <w:pPr>
              <w:spacing w:line="460" w:lineRule="exact"/>
              <w:ind w:firstLine="480" w:firstLineChars="200"/>
              <w:rPr>
                <w:rFonts w:ascii="华文楷体" w:hAnsi="华文楷体" w:eastAsia="华文楷体" w:cs="宋体"/>
                <w:color w:val="auto"/>
                <w:kern w:val="0"/>
                <w:sz w:val="24"/>
                <w:highlight w:val="none"/>
              </w:rPr>
            </w:pPr>
          </w:p>
        </w:tc>
        <w:tc>
          <w:tcPr>
            <w:tcW w:w="1276" w:type="dxa"/>
            <w:vAlign w:val="center"/>
          </w:tcPr>
          <w:p w14:paraId="28EDBE27">
            <w:pPr>
              <w:spacing w:line="460" w:lineRule="exact"/>
              <w:jc w:val="center"/>
              <w:rPr>
                <w:rFonts w:ascii="华文楷体" w:hAnsi="华文楷体" w:eastAsia="华文楷体"/>
                <w:b/>
                <w:color w:val="auto"/>
                <w:kern w:val="0"/>
                <w:sz w:val="24"/>
                <w:highlight w:val="none"/>
              </w:rPr>
            </w:pPr>
          </w:p>
        </w:tc>
        <w:tc>
          <w:tcPr>
            <w:tcW w:w="1417" w:type="dxa"/>
            <w:vAlign w:val="center"/>
          </w:tcPr>
          <w:p w14:paraId="5AFAF5F8">
            <w:pPr>
              <w:jc w:val="center"/>
              <w:rPr>
                <w:rFonts w:ascii="华文楷体" w:hAnsi="华文楷体" w:eastAsia="华文楷体" w:cs="宋体"/>
                <w:b/>
                <w:color w:val="auto"/>
                <w:kern w:val="0"/>
                <w:sz w:val="24"/>
                <w:highlight w:val="none"/>
              </w:rPr>
            </w:pPr>
          </w:p>
        </w:tc>
      </w:tr>
      <w:tr w14:paraId="16BF0D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vAlign w:val="center"/>
          </w:tcPr>
          <w:p w14:paraId="3749F881">
            <w:pPr>
              <w:spacing w:line="460" w:lineRule="exact"/>
              <w:jc w:val="center"/>
              <w:rPr>
                <w:rFonts w:ascii="华文楷体" w:hAnsi="华文楷体" w:eastAsia="华文楷体"/>
                <w:color w:val="auto"/>
                <w:kern w:val="0"/>
                <w:sz w:val="24"/>
                <w:highlight w:val="none"/>
              </w:rPr>
            </w:pPr>
          </w:p>
        </w:tc>
        <w:tc>
          <w:tcPr>
            <w:tcW w:w="1272" w:type="dxa"/>
            <w:vAlign w:val="center"/>
          </w:tcPr>
          <w:p w14:paraId="1830CAA9">
            <w:pPr>
              <w:spacing w:line="460" w:lineRule="exact"/>
              <w:jc w:val="center"/>
              <w:rPr>
                <w:rFonts w:ascii="华文楷体" w:hAnsi="华文楷体" w:eastAsia="华文楷体" w:cs="宋体"/>
                <w:color w:val="auto"/>
                <w:kern w:val="0"/>
                <w:sz w:val="24"/>
                <w:highlight w:val="none"/>
              </w:rPr>
            </w:pPr>
          </w:p>
        </w:tc>
        <w:tc>
          <w:tcPr>
            <w:tcW w:w="821" w:type="dxa"/>
            <w:vAlign w:val="center"/>
          </w:tcPr>
          <w:p w14:paraId="2AB11714">
            <w:pPr>
              <w:spacing w:line="460" w:lineRule="exact"/>
              <w:jc w:val="center"/>
              <w:rPr>
                <w:rFonts w:ascii="华文楷体" w:hAnsi="华文楷体" w:eastAsia="华文楷体" w:cs="宋体"/>
                <w:color w:val="auto"/>
                <w:kern w:val="0"/>
                <w:sz w:val="24"/>
                <w:highlight w:val="none"/>
              </w:rPr>
            </w:pPr>
          </w:p>
        </w:tc>
        <w:tc>
          <w:tcPr>
            <w:tcW w:w="994" w:type="dxa"/>
            <w:vAlign w:val="center"/>
          </w:tcPr>
          <w:p w14:paraId="67415EB6">
            <w:pPr>
              <w:pStyle w:val="47"/>
              <w:widowControl w:val="0"/>
              <w:spacing w:line="460" w:lineRule="exact"/>
              <w:jc w:val="center"/>
              <w:rPr>
                <w:rFonts w:ascii="华文楷体" w:hAnsi="华文楷体" w:eastAsia="华文楷体"/>
                <w:color w:val="auto"/>
                <w:sz w:val="24"/>
                <w:szCs w:val="24"/>
                <w:highlight w:val="none"/>
              </w:rPr>
            </w:pPr>
          </w:p>
        </w:tc>
        <w:tc>
          <w:tcPr>
            <w:tcW w:w="1445" w:type="dxa"/>
            <w:vAlign w:val="center"/>
          </w:tcPr>
          <w:p w14:paraId="0527A803">
            <w:pPr>
              <w:pStyle w:val="47"/>
              <w:widowControl w:val="0"/>
              <w:spacing w:line="460" w:lineRule="exact"/>
              <w:jc w:val="center"/>
              <w:rPr>
                <w:rFonts w:ascii="华文楷体" w:hAnsi="华文楷体" w:eastAsia="华文楷体"/>
                <w:color w:val="auto"/>
                <w:sz w:val="24"/>
                <w:szCs w:val="24"/>
                <w:highlight w:val="none"/>
              </w:rPr>
            </w:pPr>
          </w:p>
        </w:tc>
        <w:tc>
          <w:tcPr>
            <w:tcW w:w="2977" w:type="dxa"/>
            <w:vAlign w:val="center"/>
          </w:tcPr>
          <w:p w14:paraId="081933F3">
            <w:pPr>
              <w:spacing w:line="460" w:lineRule="exact"/>
              <w:ind w:firstLine="480" w:firstLineChars="200"/>
              <w:rPr>
                <w:rFonts w:ascii="华文楷体" w:hAnsi="华文楷体" w:eastAsia="华文楷体" w:cs="宋体"/>
                <w:color w:val="auto"/>
                <w:kern w:val="0"/>
                <w:sz w:val="24"/>
                <w:highlight w:val="none"/>
              </w:rPr>
            </w:pPr>
          </w:p>
        </w:tc>
        <w:tc>
          <w:tcPr>
            <w:tcW w:w="1276" w:type="dxa"/>
            <w:vAlign w:val="center"/>
          </w:tcPr>
          <w:p w14:paraId="5301A422">
            <w:pPr>
              <w:spacing w:line="460" w:lineRule="exact"/>
              <w:jc w:val="center"/>
              <w:rPr>
                <w:rFonts w:ascii="华文楷体" w:hAnsi="华文楷体" w:eastAsia="华文楷体"/>
                <w:b/>
                <w:color w:val="auto"/>
                <w:kern w:val="0"/>
                <w:sz w:val="24"/>
                <w:highlight w:val="none"/>
              </w:rPr>
            </w:pPr>
          </w:p>
        </w:tc>
        <w:tc>
          <w:tcPr>
            <w:tcW w:w="1417" w:type="dxa"/>
            <w:vAlign w:val="center"/>
          </w:tcPr>
          <w:p w14:paraId="25B89875">
            <w:pPr>
              <w:jc w:val="center"/>
              <w:rPr>
                <w:rFonts w:ascii="华文楷体" w:hAnsi="华文楷体" w:eastAsia="华文楷体" w:cs="宋体"/>
                <w:b/>
                <w:color w:val="auto"/>
                <w:kern w:val="0"/>
                <w:sz w:val="24"/>
                <w:highlight w:val="none"/>
              </w:rPr>
            </w:pPr>
          </w:p>
        </w:tc>
      </w:tr>
      <w:tr w14:paraId="2813F0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vAlign w:val="center"/>
          </w:tcPr>
          <w:p w14:paraId="27EABFAD">
            <w:pPr>
              <w:spacing w:line="460" w:lineRule="exact"/>
              <w:jc w:val="center"/>
              <w:rPr>
                <w:rFonts w:ascii="华文楷体" w:hAnsi="华文楷体" w:eastAsia="华文楷体"/>
                <w:color w:val="auto"/>
                <w:kern w:val="0"/>
                <w:sz w:val="24"/>
                <w:highlight w:val="none"/>
              </w:rPr>
            </w:pPr>
          </w:p>
        </w:tc>
        <w:tc>
          <w:tcPr>
            <w:tcW w:w="1272" w:type="dxa"/>
            <w:vAlign w:val="center"/>
          </w:tcPr>
          <w:p w14:paraId="791255AA">
            <w:pPr>
              <w:spacing w:line="460" w:lineRule="exact"/>
              <w:jc w:val="center"/>
              <w:rPr>
                <w:rFonts w:ascii="华文楷体" w:hAnsi="华文楷体" w:eastAsia="华文楷体" w:cs="宋体"/>
                <w:color w:val="auto"/>
                <w:kern w:val="0"/>
                <w:sz w:val="24"/>
                <w:highlight w:val="none"/>
              </w:rPr>
            </w:pPr>
          </w:p>
        </w:tc>
        <w:tc>
          <w:tcPr>
            <w:tcW w:w="821" w:type="dxa"/>
            <w:vAlign w:val="center"/>
          </w:tcPr>
          <w:p w14:paraId="20BE2AE7">
            <w:pPr>
              <w:spacing w:line="460" w:lineRule="exact"/>
              <w:jc w:val="center"/>
              <w:rPr>
                <w:rFonts w:ascii="华文楷体" w:hAnsi="华文楷体" w:eastAsia="华文楷体" w:cs="宋体"/>
                <w:color w:val="auto"/>
                <w:kern w:val="0"/>
                <w:sz w:val="24"/>
                <w:highlight w:val="none"/>
              </w:rPr>
            </w:pPr>
          </w:p>
        </w:tc>
        <w:tc>
          <w:tcPr>
            <w:tcW w:w="994" w:type="dxa"/>
            <w:vAlign w:val="center"/>
          </w:tcPr>
          <w:p w14:paraId="746F4BDE">
            <w:pPr>
              <w:pStyle w:val="47"/>
              <w:widowControl w:val="0"/>
              <w:spacing w:line="460" w:lineRule="exact"/>
              <w:jc w:val="center"/>
              <w:rPr>
                <w:rFonts w:ascii="华文楷体" w:hAnsi="华文楷体" w:eastAsia="华文楷体"/>
                <w:color w:val="auto"/>
                <w:sz w:val="24"/>
                <w:szCs w:val="24"/>
                <w:highlight w:val="none"/>
              </w:rPr>
            </w:pPr>
          </w:p>
        </w:tc>
        <w:tc>
          <w:tcPr>
            <w:tcW w:w="1445" w:type="dxa"/>
            <w:vAlign w:val="center"/>
          </w:tcPr>
          <w:p w14:paraId="2C0F2C12">
            <w:pPr>
              <w:pStyle w:val="47"/>
              <w:widowControl w:val="0"/>
              <w:spacing w:line="460" w:lineRule="exact"/>
              <w:jc w:val="center"/>
              <w:rPr>
                <w:rFonts w:ascii="华文楷体" w:hAnsi="华文楷体" w:eastAsia="华文楷体"/>
                <w:color w:val="auto"/>
                <w:sz w:val="24"/>
                <w:szCs w:val="24"/>
                <w:highlight w:val="none"/>
              </w:rPr>
            </w:pPr>
          </w:p>
        </w:tc>
        <w:tc>
          <w:tcPr>
            <w:tcW w:w="2977" w:type="dxa"/>
            <w:vAlign w:val="center"/>
          </w:tcPr>
          <w:p w14:paraId="309276C9">
            <w:pPr>
              <w:spacing w:line="460" w:lineRule="exact"/>
              <w:ind w:firstLine="480" w:firstLineChars="200"/>
              <w:rPr>
                <w:rFonts w:ascii="华文楷体" w:hAnsi="华文楷体" w:eastAsia="华文楷体" w:cs="宋体"/>
                <w:color w:val="auto"/>
                <w:kern w:val="0"/>
                <w:sz w:val="24"/>
                <w:highlight w:val="none"/>
              </w:rPr>
            </w:pPr>
          </w:p>
        </w:tc>
        <w:tc>
          <w:tcPr>
            <w:tcW w:w="1276" w:type="dxa"/>
            <w:vAlign w:val="center"/>
          </w:tcPr>
          <w:p w14:paraId="7751BC00">
            <w:pPr>
              <w:spacing w:line="460" w:lineRule="exact"/>
              <w:jc w:val="center"/>
              <w:rPr>
                <w:rFonts w:ascii="华文楷体" w:hAnsi="华文楷体" w:eastAsia="华文楷体"/>
                <w:b/>
                <w:color w:val="auto"/>
                <w:kern w:val="0"/>
                <w:sz w:val="24"/>
                <w:highlight w:val="none"/>
              </w:rPr>
            </w:pPr>
          </w:p>
        </w:tc>
        <w:tc>
          <w:tcPr>
            <w:tcW w:w="1417" w:type="dxa"/>
            <w:vAlign w:val="center"/>
          </w:tcPr>
          <w:p w14:paraId="239DEA7A">
            <w:pPr>
              <w:jc w:val="center"/>
              <w:rPr>
                <w:rFonts w:ascii="华文楷体" w:hAnsi="华文楷体" w:eastAsia="华文楷体" w:cs="宋体"/>
                <w:b/>
                <w:color w:val="auto"/>
                <w:kern w:val="0"/>
                <w:sz w:val="24"/>
                <w:highlight w:val="none"/>
              </w:rPr>
            </w:pPr>
          </w:p>
        </w:tc>
      </w:tr>
      <w:tr w14:paraId="424164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vAlign w:val="center"/>
          </w:tcPr>
          <w:p w14:paraId="498E7C32">
            <w:pPr>
              <w:spacing w:line="460" w:lineRule="exact"/>
              <w:jc w:val="center"/>
              <w:rPr>
                <w:rFonts w:ascii="华文楷体" w:hAnsi="华文楷体" w:eastAsia="华文楷体"/>
                <w:color w:val="auto"/>
                <w:kern w:val="0"/>
                <w:sz w:val="24"/>
                <w:highlight w:val="none"/>
              </w:rPr>
            </w:pPr>
          </w:p>
        </w:tc>
        <w:tc>
          <w:tcPr>
            <w:tcW w:w="1272" w:type="dxa"/>
            <w:vAlign w:val="center"/>
          </w:tcPr>
          <w:p w14:paraId="59D7C61D">
            <w:pPr>
              <w:spacing w:line="460" w:lineRule="exact"/>
              <w:jc w:val="center"/>
              <w:rPr>
                <w:rFonts w:ascii="华文楷体" w:hAnsi="华文楷体" w:eastAsia="华文楷体" w:cs="宋体"/>
                <w:color w:val="auto"/>
                <w:kern w:val="0"/>
                <w:sz w:val="24"/>
                <w:highlight w:val="none"/>
              </w:rPr>
            </w:pPr>
          </w:p>
        </w:tc>
        <w:tc>
          <w:tcPr>
            <w:tcW w:w="821" w:type="dxa"/>
            <w:vAlign w:val="center"/>
          </w:tcPr>
          <w:p w14:paraId="5C025FF9">
            <w:pPr>
              <w:spacing w:line="460" w:lineRule="exact"/>
              <w:jc w:val="center"/>
              <w:rPr>
                <w:rFonts w:ascii="华文楷体" w:hAnsi="华文楷体" w:eastAsia="华文楷体" w:cs="宋体"/>
                <w:color w:val="auto"/>
                <w:kern w:val="0"/>
                <w:sz w:val="24"/>
                <w:highlight w:val="none"/>
              </w:rPr>
            </w:pPr>
          </w:p>
        </w:tc>
        <w:tc>
          <w:tcPr>
            <w:tcW w:w="994" w:type="dxa"/>
            <w:vAlign w:val="center"/>
          </w:tcPr>
          <w:p w14:paraId="7F02F93C">
            <w:pPr>
              <w:pStyle w:val="47"/>
              <w:widowControl w:val="0"/>
              <w:spacing w:line="460" w:lineRule="exact"/>
              <w:jc w:val="center"/>
              <w:rPr>
                <w:rFonts w:ascii="华文楷体" w:hAnsi="华文楷体" w:eastAsia="华文楷体"/>
                <w:color w:val="auto"/>
                <w:sz w:val="24"/>
                <w:szCs w:val="24"/>
                <w:highlight w:val="none"/>
              </w:rPr>
            </w:pPr>
          </w:p>
        </w:tc>
        <w:tc>
          <w:tcPr>
            <w:tcW w:w="1445" w:type="dxa"/>
            <w:vAlign w:val="center"/>
          </w:tcPr>
          <w:p w14:paraId="4466C963">
            <w:pPr>
              <w:pStyle w:val="47"/>
              <w:widowControl w:val="0"/>
              <w:spacing w:line="460" w:lineRule="exact"/>
              <w:jc w:val="center"/>
              <w:rPr>
                <w:rFonts w:ascii="华文楷体" w:hAnsi="华文楷体" w:eastAsia="华文楷体"/>
                <w:color w:val="auto"/>
                <w:sz w:val="24"/>
                <w:szCs w:val="24"/>
                <w:highlight w:val="none"/>
              </w:rPr>
            </w:pPr>
          </w:p>
        </w:tc>
        <w:tc>
          <w:tcPr>
            <w:tcW w:w="2977" w:type="dxa"/>
            <w:vAlign w:val="center"/>
          </w:tcPr>
          <w:p w14:paraId="56F7CB42">
            <w:pPr>
              <w:spacing w:line="460" w:lineRule="exact"/>
              <w:ind w:firstLine="480" w:firstLineChars="200"/>
              <w:rPr>
                <w:rFonts w:ascii="华文楷体" w:hAnsi="华文楷体" w:eastAsia="华文楷体" w:cs="宋体"/>
                <w:color w:val="auto"/>
                <w:kern w:val="0"/>
                <w:sz w:val="24"/>
                <w:highlight w:val="none"/>
              </w:rPr>
            </w:pPr>
          </w:p>
        </w:tc>
        <w:tc>
          <w:tcPr>
            <w:tcW w:w="1276" w:type="dxa"/>
            <w:vAlign w:val="center"/>
          </w:tcPr>
          <w:p w14:paraId="10F9BF05">
            <w:pPr>
              <w:spacing w:line="460" w:lineRule="exact"/>
              <w:jc w:val="center"/>
              <w:rPr>
                <w:rFonts w:ascii="华文楷体" w:hAnsi="华文楷体" w:eastAsia="华文楷体"/>
                <w:b/>
                <w:color w:val="auto"/>
                <w:kern w:val="0"/>
                <w:sz w:val="24"/>
                <w:highlight w:val="none"/>
              </w:rPr>
            </w:pPr>
          </w:p>
        </w:tc>
        <w:tc>
          <w:tcPr>
            <w:tcW w:w="1417" w:type="dxa"/>
            <w:vAlign w:val="center"/>
          </w:tcPr>
          <w:p w14:paraId="3C1F06DC">
            <w:pPr>
              <w:jc w:val="center"/>
              <w:rPr>
                <w:rFonts w:ascii="华文楷体" w:hAnsi="华文楷体" w:eastAsia="华文楷体" w:cs="宋体"/>
                <w:b/>
                <w:color w:val="auto"/>
                <w:kern w:val="0"/>
                <w:sz w:val="24"/>
                <w:highlight w:val="none"/>
              </w:rPr>
            </w:pPr>
          </w:p>
        </w:tc>
      </w:tr>
      <w:tr w14:paraId="6B6488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vAlign w:val="center"/>
          </w:tcPr>
          <w:p w14:paraId="3AEAFCFA">
            <w:pPr>
              <w:spacing w:line="460" w:lineRule="exact"/>
              <w:jc w:val="center"/>
              <w:rPr>
                <w:rFonts w:ascii="华文楷体" w:hAnsi="华文楷体" w:eastAsia="华文楷体"/>
                <w:color w:val="auto"/>
                <w:kern w:val="0"/>
                <w:sz w:val="24"/>
                <w:highlight w:val="none"/>
              </w:rPr>
            </w:pPr>
          </w:p>
        </w:tc>
        <w:tc>
          <w:tcPr>
            <w:tcW w:w="1272" w:type="dxa"/>
            <w:vAlign w:val="center"/>
          </w:tcPr>
          <w:p w14:paraId="5ABA6E0E">
            <w:pPr>
              <w:spacing w:line="460" w:lineRule="exact"/>
              <w:jc w:val="center"/>
              <w:rPr>
                <w:rFonts w:ascii="华文楷体" w:hAnsi="华文楷体" w:eastAsia="华文楷体" w:cs="宋体"/>
                <w:color w:val="auto"/>
                <w:kern w:val="0"/>
                <w:sz w:val="24"/>
                <w:highlight w:val="none"/>
              </w:rPr>
            </w:pPr>
          </w:p>
        </w:tc>
        <w:tc>
          <w:tcPr>
            <w:tcW w:w="821" w:type="dxa"/>
            <w:vAlign w:val="center"/>
          </w:tcPr>
          <w:p w14:paraId="4A845674">
            <w:pPr>
              <w:spacing w:line="460" w:lineRule="exact"/>
              <w:jc w:val="center"/>
              <w:rPr>
                <w:rFonts w:ascii="华文楷体" w:hAnsi="华文楷体" w:eastAsia="华文楷体" w:cs="宋体"/>
                <w:color w:val="auto"/>
                <w:kern w:val="0"/>
                <w:sz w:val="24"/>
                <w:highlight w:val="none"/>
              </w:rPr>
            </w:pPr>
          </w:p>
        </w:tc>
        <w:tc>
          <w:tcPr>
            <w:tcW w:w="994" w:type="dxa"/>
            <w:vAlign w:val="center"/>
          </w:tcPr>
          <w:p w14:paraId="3647D37F">
            <w:pPr>
              <w:pStyle w:val="47"/>
              <w:widowControl w:val="0"/>
              <w:spacing w:line="460" w:lineRule="exact"/>
              <w:jc w:val="center"/>
              <w:rPr>
                <w:rFonts w:ascii="华文楷体" w:hAnsi="华文楷体" w:eastAsia="华文楷体"/>
                <w:color w:val="auto"/>
                <w:sz w:val="24"/>
                <w:szCs w:val="24"/>
                <w:highlight w:val="none"/>
              </w:rPr>
            </w:pPr>
          </w:p>
        </w:tc>
        <w:tc>
          <w:tcPr>
            <w:tcW w:w="1445" w:type="dxa"/>
            <w:vAlign w:val="center"/>
          </w:tcPr>
          <w:p w14:paraId="40774E95">
            <w:pPr>
              <w:pStyle w:val="47"/>
              <w:widowControl w:val="0"/>
              <w:spacing w:line="460" w:lineRule="exact"/>
              <w:jc w:val="center"/>
              <w:rPr>
                <w:rFonts w:ascii="华文楷体" w:hAnsi="华文楷体" w:eastAsia="华文楷体"/>
                <w:color w:val="auto"/>
                <w:sz w:val="24"/>
                <w:szCs w:val="24"/>
                <w:highlight w:val="none"/>
              </w:rPr>
            </w:pPr>
          </w:p>
        </w:tc>
        <w:tc>
          <w:tcPr>
            <w:tcW w:w="2977" w:type="dxa"/>
            <w:vAlign w:val="center"/>
          </w:tcPr>
          <w:p w14:paraId="3C5CD584">
            <w:pPr>
              <w:spacing w:line="460" w:lineRule="exact"/>
              <w:ind w:firstLine="480" w:firstLineChars="200"/>
              <w:rPr>
                <w:rFonts w:ascii="华文楷体" w:hAnsi="华文楷体" w:eastAsia="华文楷体" w:cs="宋体"/>
                <w:color w:val="auto"/>
                <w:kern w:val="0"/>
                <w:sz w:val="24"/>
                <w:highlight w:val="none"/>
              </w:rPr>
            </w:pPr>
          </w:p>
        </w:tc>
        <w:tc>
          <w:tcPr>
            <w:tcW w:w="1276" w:type="dxa"/>
            <w:vAlign w:val="center"/>
          </w:tcPr>
          <w:p w14:paraId="296F5615">
            <w:pPr>
              <w:spacing w:line="460" w:lineRule="exact"/>
              <w:jc w:val="center"/>
              <w:rPr>
                <w:rFonts w:ascii="华文楷体" w:hAnsi="华文楷体" w:eastAsia="华文楷体"/>
                <w:b/>
                <w:color w:val="auto"/>
                <w:kern w:val="0"/>
                <w:sz w:val="24"/>
                <w:highlight w:val="none"/>
              </w:rPr>
            </w:pPr>
          </w:p>
        </w:tc>
        <w:tc>
          <w:tcPr>
            <w:tcW w:w="1417" w:type="dxa"/>
            <w:vAlign w:val="center"/>
          </w:tcPr>
          <w:p w14:paraId="1A4E0436">
            <w:pPr>
              <w:jc w:val="center"/>
              <w:rPr>
                <w:rFonts w:ascii="华文楷体" w:hAnsi="华文楷体" w:eastAsia="华文楷体" w:cs="宋体"/>
                <w:b/>
                <w:color w:val="auto"/>
                <w:kern w:val="0"/>
                <w:sz w:val="24"/>
                <w:highlight w:val="none"/>
              </w:rPr>
            </w:pPr>
          </w:p>
        </w:tc>
      </w:tr>
      <w:tr w14:paraId="0DB838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vAlign w:val="center"/>
          </w:tcPr>
          <w:p w14:paraId="00607B8B">
            <w:pPr>
              <w:spacing w:line="460" w:lineRule="exact"/>
              <w:jc w:val="center"/>
              <w:rPr>
                <w:rFonts w:ascii="华文楷体" w:hAnsi="华文楷体" w:eastAsia="华文楷体"/>
                <w:color w:val="auto"/>
                <w:kern w:val="0"/>
                <w:sz w:val="24"/>
                <w:highlight w:val="none"/>
              </w:rPr>
            </w:pPr>
          </w:p>
        </w:tc>
        <w:tc>
          <w:tcPr>
            <w:tcW w:w="1272" w:type="dxa"/>
            <w:vAlign w:val="center"/>
          </w:tcPr>
          <w:p w14:paraId="235160F9">
            <w:pPr>
              <w:spacing w:line="460" w:lineRule="exact"/>
              <w:jc w:val="center"/>
              <w:rPr>
                <w:rFonts w:ascii="华文楷体" w:hAnsi="华文楷体" w:eastAsia="华文楷体" w:cs="宋体"/>
                <w:color w:val="auto"/>
                <w:kern w:val="0"/>
                <w:sz w:val="24"/>
                <w:highlight w:val="none"/>
              </w:rPr>
            </w:pPr>
          </w:p>
        </w:tc>
        <w:tc>
          <w:tcPr>
            <w:tcW w:w="821" w:type="dxa"/>
            <w:vAlign w:val="center"/>
          </w:tcPr>
          <w:p w14:paraId="7BFEB036">
            <w:pPr>
              <w:spacing w:line="460" w:lineRule="exact"/>
              <w:jc w:val="center"/>
              <w:rPr>
                <w:rFonts w:ascii="华文楷体" w:hAnsi="华文楷体" w:eastAsia="华文楷体" w:cs="宋体"/>
                <w:color w:val="auto"/>
                <w:kern w:val="0"/>
                <w:sz w:val="24"/>
                <w:highlight w:val="none"/>
              </w:rPr>
            </w:pPr>
          </w:p>
        </w:tc>
        <w:tc>
          <w:tcPr>
            <w:tcW w:w="994" w:type="dxa"/>
            <w:vAlign w:val="center"/>
          </w:tcPr>
          <w:p w14:paraId="373AC9AE">
            <w:pPr>
              <w:pStyle w:val="47"/>
              <w:widowControl w:val="0"/>
              <w:spacing w:line="460" w:lineRule="exact"/>
              <w:jc w:val="center"/>
              <w:rPr>
                <w:rFonts w:ascii="华文楷体" w:hAnsi="华文楷体" w:eastAsia="华文楷体"/>
                <w:color w:val="auto"/>
                <w:sz w:val="24"/>
                <w:szCs w:val="24"/>
                <w:highlight w:val="none"/>
              </w:rPr>
            </w:pPr>
          </w:p>
        </w:tc>
        <w:tc>
          <w:tcPr>
            <w:tcW w:w="1445" w:type="dxa"/>
            <w:vAlign w:val="center"/>
          </w:tcPr>
          <w:p w14:paraId="69D42532">
            <w:pPr>
              <w:pStyle w:val="47"/>
              <w:widowControl w:val="0"/>
              <w:spacing w:line="460" w:lineRule="exact"/>
              <w:jc w:val="center"/>
              <w:rPr>
                <w:rFonts w:ascii="华文楷体" w:hAnsi="华文楷体" w:eastAsia="华文楷体"/>
                <w:color w:val="auto"/>
                <w:sz w:val="24"/>
                <w:szCs w:val="24"/>
                <w:highlight w:val="none"/>
              </w:rPr>
            </w:pPr>
          </w:p>
        </w:tc>
        <w:tc>
          <w:tcPr>
            <w:tcW w:w="2977" w:type="dxa"/>
            <w:vAlign w:val="center"/>
          </w:tcPr>
          <w:p w14:paraId="30D90199">
            <w:pPr>
              <w:spacing w:line="460" w:lineRule="exact"/>
              <w:ind w:firstLine="480" w:firstLineChars="200"/>
              <w:rPr>
                <w:rFonts w:ascii="华文楷体" w:hAnsi="华文楷体" w:eastAsia="华文楷体" w:cs="宋体"/>
                <w:color w:val="auto"/>
                <w:kern w:val="0"/>
                <w:sz w:val="24"/>
                <w:highlight w:val="none"/>
              </w:rPr>
            </w:pPr>
          </w:p>
        </w:tc>
        <w:tc>
          <w:tcPr>
            <w:tcW w:w="1276" w:type="dxa"/>
            <w:vAlign w:val="center"/>
          </w:tcPr>
          <w:p w14:paraId="1A92A34C">
            <w:pPr>
              <w:spacing w:line="460" w:lineRule="exact"/>
              <w:jc w:val="center"/>
              <w:rPr>
                <w:rFonts w:ascii="华文楷体" w:hAnsi="华文楷体" w:eastAsia="华文楷体"/>
                <w:b/>
                <w:color w:val="auto"/>
                <w:kern w:val="0"/>
                <w:sz w:val="24"/>
                <w:highlight w:val="none"/>
              </w:rPr>
            </w:pPr>
          </w:p>
        </w:tc>
        <w:tc>
          <w:tcPr>
            <w:tcW w:w="1417" w:type="dxa"/>
            <w:vAlign w:val="center"/>
          </w:tcPr>
          <w:p w14:paraId="603F96D9">
            <w:pPr>
              <w:jc w:val="center"/>
              <w:rPr>
                <w:rFonts w:ascii="华文楷体" w:hAnsi="华文楷体" w:eastAsia="华文楷体" w:cs="宋体"/>
                <w:b/>
                <w:color w:val="auto"/>
                <w:kern w:val="0"/>
                <w:sz w:val="24"/>
                <w:highlight w:val="none"/>
              </w:rPr>
            </w:pPr>
          </w:p>
        </w:tc>
      </w:tr>
      <w:tr w14:paraId="75EE3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vAlign w:val="center"/>
          </w:tcPr>
          <w:p w14:paraId="30978B68">
            <w:pPr>
              <w:spacing w:line="460" w:lineRule="exact"/>
              <w:jc w:val="center"/>
              <w:rPr>
                <w:rFonts w:ascii="华文楷体" w:hAnsi="华文楷体" w:eastAsia="华文楷体"/>
                <w:color w:val="auto"/>
                <w:kern w:val="0"/>
                <w:sz w:val="24"/>
                <w:highlight w:val="none"/>
              </w:rPr>
            </w:pPr>
          </w:p>
        </w:tc>
        <w:tc>
          <w:tcPr>
            <w:tcW w:w="1272" w:type="dxa"/>
            <w:vAlign w:val="center"/>
          </w:tcPr>
          <w:p w14:paraId="17A00230">
            <w:pPr>
              <w:spacing w:line="460" w:lineRule="exact"/>
              <w:jc w:val="center"/>
              <w:rPr>
                <w:rFonts w:ascii="华文楷体" w:hAnsi="华文楷体" w:eastAsia="华文楷体" w:cs="宋体"/>
                <w:color w:val="auto"/>
                <w:kern w:val="0"/>
                <w:sz w:val="24"/>
                <w:highlight w:val="none"/>
              </w:rPr>
            </w:pPr>
          </w:p>
        </w:tc>
        <w:tc>
          <w:tcPr>
            <w:tcW w:w="821" w:type="dxa"/>
            <w:vAlign w:val="center"/>
          </w:tcPr>
          <w:p w14:paraId="408C50D6">
            <w:pPr>
              <w:spacing w:line="460" w:lineRule="exact"/>
              <w:jc w:val="center"/>
              <w:rPr>
                <w:rFonts w:ascii="华文楷体" w:hAnsi="华文楷体" w:eastAsia="华文楷体" w:cs="宋体"/>
                <w:color w:val="auto"/>
                <w:kern w:val="0"/>
                <w:sz w:val="24"/>
                <w:highlight w:val="none"/>
              </w:rPr>
            </w:pPr>
          </w:p>
        </w:tc>
        <w:tc>
          <w:tcPr>
            <w:tcW w:w="994" w:type="dxa"/>
            <w:vAlign w:val="center"/>
          </w:tcPr>
          <w:p w14:paraId="150C66D1">
            <w:pPr>
              <w:pStyle w:val="47"/>
              <w:widowControl w:val="0"/>
              <w:spacing w:line="460" w:lineRule="exact"/>
              <w:jc w:val="center"/>
              <w:rPr>
                <w:rFonts w:ascii="华文楷体" w:hAnsi="华文楷体" w:eastAsia="华文楷体"/>
                <w:color w:val="auto"/>
                <w:sz w:val="24"/>
                <w:szCs w:val="24"/>
                <w:highlight w:val="none"/>
              </w:rPr>
            </w:pPr>
          </w:p>
        </w:tc>
        <w:tc>
          <w:tcPr>
            <w:tcW w:w="1445" w:type="dxa"/>
            <w:vAlign w:val="center"/>
          </w:tcPr>
          <w:p w14:paraId="4A587730">
            <w:pPr>
              <w:pStyle w:val="47"/>
              <w:widowControl w:val="0"/>
              <w:spacing w:line="460" w:lineRule="exact"/>
              <w:jc w:val="center"/>
              <w:rPr>
                <w:rFonts w:ascii="华文楷体" w:hAnsi="华文楷体" w:eastAsia="华文楷体"/>
                <w:color w:val="auto"/>
                <w:sz w:val="24"/>
                <w:szCs w:val="24"/>
                <w:highlight w:val="none"/>
              </w:rPr>
            </w:pPr>
          </w:p>
        </w:tc>
        <w:tc>
          <w:tcPr>
            <w:tcW w:w="2977" w:type="dxa"/>
            <w:vAlign w:val="center"/>
          </w:tcPr>
          <w:p w14:paraId="6C39DE98">
            <w:pPr>
              <w:spacing w:line="460" w:lineRule="exact"/>
              <w:ind w:firstLine="480" w:firstLineChars="200"/>
              <w:rPr>
                <w:rFonts w:ascii="华文楷体" w:hAnsi="华文楷体" w:eastAsia="华文楷体" w:cs="宋体"/>
                <w:color w:val="auto"/>
                <w:kern w:val="0"/>
                <w:sz w:val="24"/>
                <w:highlight w:val="none"/>
              </w:rPr>
            </w:pPr>
          </w:p>
        </w:tc>
        <w:tc>
          <w:tcPr>
            <w:tcW w:w="1276" w:type="dxa"/>
            <w:vAlign w:val="center"/>
          </w:tcPr>
          <w:p w14:paraId="1FFE2B99">
            <w:pPr>
              <w:spacing w:line="460" w:lineRule="exact"/>
              <w:jc w:val="center"/>
              <w:rPr>
                <w:rFonts w:ascii="华文楷体" w:hAnsi="华文楷体" w:eastAsia="华文楷体"/>
                <w:b/>
                <w:color w:val="auto"/>
                <w:kern w:val="0"/>
                <w:sz w:val="24"/>
                <w:highlight w:val="none"/>
              </w:rPr>
            </w:pPr>
          </w:p>
        </w:tc>
        <w:tc>
          <w:tcPr>
            <w:tcW w:w="1417" w:type="dxa"/>
            <w:vAlign w:val="center"/>
          </w:tcPr>
          <w:p w14:paraId="4E6CB2C6">
            <w:pPr>
              <w:jc w:val="center"/>
              <w:rPr>
                <w:rFonts w:ascii="华文楷体" w:hAnsi="华文楷体" w:eastAsia="华文楷体" w:cs="宋体"/>
                <w:b/>
                <w:color w:val="auto"/>
                <w:kern w:val="0"/>
                <w:sz w:val="24"/>
                <w:highlight w:val="none"/>
              </w:rPr>
            </w:pPr>
          </w:p>
        </w:tc>
      </w:tr>
      <w:tr w14:paraId="7626A1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vAlign w:val="center"/>
          </w:tcPr>
          <w:p w14:paraId="167E3FC2">
            <w:pPr>
              <w:spacing w:line="460" w:lineRule="exact"/>
              <w:jc w:val="center"/>
              <w:rPr>
                <w:rFonts w:ascii="华文楷体" w:hAnsi="华文楷体" w:eastAsia="华文楷体"/>
                <w:color w:val="auto"/>
                <w:kern w:val="0"/>
                <w:sz w:val="24"/>
                <w:highlight w:val="none"/>
              </w:rPr>
            </w:pPr>
          </w:p>
        </w:tc>
        <w:tc>
          <w:tcPr>
            <w:tcW w:w="1272" w:type="dxa"/>
            <w:vAlign w:val="center"/>
          </w:tcPr>
          <w:p w14:paraId="3C6967CF">
            <w:pPr>
              <w:spacing w:line="460" w:lineRule="exact"/>
              <w:jc w:val="center"/>
              <w:rPr>
                <w:rFonts w:ascii="华文楷体" w:hAnsi="华文楷体" w:eastAsia="华文楷体" w:cs="宋体"/>
                <w:color w:val="auto"/>
                <w:kern w:val="0"/>
                <w:sz w:val="24"/>
                <w:highlight w:val="none"/>
              </w:rPr>
            </w:pPr>
          </w:p>
        </w:tc>
        <w:tc>
          <w:tcPr>
            <w:tcW w:w="821" w:type="dxa"/>
            <w:vAlign w:val="center"/>
          </w:tcPr>
          <w:p w14:paraId="422DD387">
            <w:pPr>
              <w:spacing w:line="460" w:lineRule="exact"/>
              <w:jc w:val="center"/>
              <w:rPr>
                <w:rFonts w:ascii="华文楷体" w:hAnsi="华文楷体" w:eastAsia="华文楷体" w:cs="宋体"/>
                <w:color w:val="auto"/>
                <w:kern w:val="0"/>
                <w:sz w:val="24"/>
                <w:highlight w:val="none"/>
              </w:rPr>
            </w:pPr>
          </w:p>
        </w:tc>
        <w:tc>
          <w:tcPr>
            <w:tcW w:w="994" w:type="dxa"/>
            <w:vAlign w:val="center"/>
          </w:tcPr>
          <w:p w14:paraId="534FC1B0">
            <w:pPr>
              <w:pStyle w:val="47"/>
              <w:widowControl w:val="0"/>
              <w:spacing w:line="460" w:lineRule="exact"/>
              <w:jc w:val="center"/>
              <w:rPr>
                <w:rFonts w:ascii="华文楷体" w:hAnsi="华文楷体" w:eastAsia="华文楷体"/>
                <w:color w:val="auto"/>
                <w:sz w:val="24"/>
                <w:szCs w:val="24"/>
                <w:highlight w:val="none"/>
              </w:rPr>
            </w:pPr>
          </w:p>
        </w:tc>
        <w:tc>
          <w:tcPr>
            <w:tcW w:w="1445" w:type="dxa"/>
            <w:vAlign w:val="center"/>
          </w:tcPr>
          <w:p w14:paraId="7AAEFE46">
            <w:pPr>
              <w:pStyle w:val="47"/>
              <w:widowControl w:val="0"/>
              <w:spacing w:line="460" w:lineRule="exact"/>
              <w:jc w:val="center"/>
              <w:rPr>
                <w:rFonts w:ascii="华文楷体" w:hAnsi="华文楷体" w:eastAsia="华文楷体"/>
                <w:color w:val="auto"/>
                <w:sz w:val="24"/>
                <w:szCs w:val="24"/>
                <w:highlight w:val="none"/>
              </w:rPr>
            </w:pPr>
          </w:p>
        </w:tc>
        <w:tc>
          <w:tcPr>
            <w:tcW w:w="2977" w:type="dxa"/>
            <w:vAlign w:val="center"/>
          </w:tcPr>
          <w:p w14:paraId="542B3EDC">
            <w:pPr>
              <w:spacing w:line="460" w:lineRule="exact"/>
              <w:ind w:firstLine="480" w:firstLineChars="200"/>
              <w:rPr>
                <w:rFonts w:ascii="华文楷体" w:hAnsi="华文楷体" w:eastAsia="华文楷体" w:cs="宋体"/>
                <w:color w:val="auto"/>
                <w:kern w:val="0"/>
                <w:sz w:val="24"/>
                <w:highlight w:val="none"/>
              </w:rPr>
            </w:pPr>
          </w:p>
        </w:tc>
        <w:tc>
          <w:tcPr>
            <w:tcW w:w="1276" w:type="dxa"/>
            <w:vAlign w:val="center"/>
          </w:tcPr>
          <w:p w14:paraId="7B1A1E55">
            <w:pPr>
              <w:spacing w:line="460" w:lineRule="exact"/>
              <w:jc w:val="center"/>
              <w:rPr>
                <w:rFonts w:ascii="华文楷体" w:hAnsi="华文楷体" w:eastAsia="华文楷体"/>
                <w:b/>
                <w:color w:val="auto"/>
                <w:kern w:val="0"/>
                <w:sz w:val="24"/>
                <w:highlight w:val="none"/>
              </w:rPr>
            </w:pPr>
          </w:p>
        </w:tc>
        <w:tc>
          <w:tcPr>
            <w:tcW w:w="1417" w:type="dxa"/>
            <w:vAlign w:val="center"/>
          </w:tcPr>
          <w:p w14:paraId="63372ED8">
            <w:pPr>
              <w:jc w:val="center"/>
              <w:rPr>
                <w:rFonts w:ascii="华文楷体" w:hAnsi="华文楷体" w:eastAsia="华文楷体" w:cs="宋体"/>
                <w:b/>
                <w:color w:val="auto"/>
                <w:kern w:val="0"/>
                <w:sz w:val="24"/>
                <w:highlight w:val="none"/>
              </w:rPr>
            </w:pPr>
          </w:p>
        </w:tc>
      </w:tr>
      <w:tr w14:paraId="1369D2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vAlign w:val="center"/>
          </w:tcPr>
          <w:p w14:paraId="3F847F83">
            <w:pPr>
              <w:spacing w:line="460" w:lineRule="exact"/>
              <w:jc w:val="center"/>
              <w:rPr>
                <w:rFonts w:ascii="华文楷体" w:hAnsi="华文楷体" w:eastAsia="华文楷体"/>
                <w:color w:val="auto"/>
                <w:kern w:val="0"/>
                <w:sz w:val="24"/>
                <w:highlight w:val="none"/>
              </w:rPr>
            </w:pPr>
          </w:p>
        </w:tc>
        <w:tc>
          <w:tcPr>
            <w:tcW w:w="1272" w:type="dxa"/>
            <w:vAlign w:val="center"/>
          </w:tcPr>
          <w:p w14:paraId="7796F77D">
            <w:pPr>
              <w:spacing w:line="460" w:lineRule="exact"/>
              <w:jc w:val="center"/>
              <w:rPr>
                <w:rFonts w:ascii="华文楷体" w:hAnsi="华文楷体" w:eastAsia="华文楷体" w:cs="宋体"/>
                <w:color w:val="auto"/>
                <w:kern w:val="0"/>
                <w:sz w:val="24"/>
                <w:highlight w:val="none"/>
              </w:rPr>
            </w:pPr>
          </w:p>
        </w:tc>
        <w:tc>
          <w:tcPr>
            <w:tcW w:w="821" w:type="dxa"/>
            <w:vAlign w:val="center"/>
          </w:tcPr>
          <w:p w14:paraId="168D00D0">
            <w:pPr>
              <w:spacing w:line="460" w:lineRule="exact"/>
              <w:jc w:val="center"/>
              <w:rPr>
                <w:rFonts w:ascii="华文楷体" w:hAnsi="华文楷体" w:eastAsia="华文楷体" w:cs="宋体"/>
                <w:color w:val="auto"/>
                <w:kern w:val="0"/>
                <w:sz w:val="24"/>
                <w:highlight w:val="none"/>
              </w:rPr>
            </w:pPr>
          </w:p>
        </w:tc>
        <w:tc>
          <w:tcPr>
            <w:tcW w:w="994" w:type="dxa"/>
            <w:vAlign w:val="center"/>
          </w:tcPr>
          <w:p w14:paraId="20DB00D5">
            <w:pPr>
              <w:pStyle w:val="47"/>
              <w:widowControl w:val="0"/>
              <w:spacing w:line="460" w:lineRule="exact"/>
              <w:jc w:val="center"/>
              <w:rPr>
                <w:rFonts w:ascii="华文楷体" w:hAnsi="华文楷体" w:eastAsia="华文楷体"/>
                <w:color w:val="auto"/>
                <w:sz w:val="24"/>
                <w:szCs w:val="24"/>
                <w:highlight w:val="none"/>
              </w:rPr>
            </w:pPr>
          </w:p>
        </w:tc>
        <w:tc>
          <w:tcPr>
            <w:tcW w:w="1445" w:type="dxa"/>
            <w:vAlign w:val="center"/>
          </w:tcPr>
          <w:p w14:paraId="511C28F3">
            <w:pPr>
              <w:pStyle w:val="47"/>
              <w:widowControl w:val="0"/>
              <w:spacing w:line="460" w:lineRule="exact"/>
              <w:jc w:val="center"/>
              <w:rPr>
                <w:rFonts w:ascii="华文楷体" w:hAnsi="华文楷体" w:eastAsia="华文楷体"/>
                <w:color w:val="auto"/>
                <w:sz w:val="24"/>
                <w:szCs w:val="24"/>
                <w:highlight w:val="none"/>
              </w:rPr>
            </w:pPr>
          </w:p>
        </w:tc>
        <w:tc>
          <w:tcPr>
            <w:tcW w:w="2977" w:type="dxa"/>
            <w:vAlign w:val="center"/>
          </w:tcPr>
          <w:p w14:paraId="2FCE7347">
            <w:pPr>
              <w:spacing w:line="460" w:lineRule="exact"/>
              <w:ind w:firstLine="480" w:firstLineChars="200"/>
              <w:rPr>
                <w:rFonts w:ascii="华文楷体" w:hAnsi="华文楷体" w:eastAsia="华文楷体" w:cs="宋体"/>
                <w:color w:val="auto"/>
                <w:kern w:val="0"/>
                <w:sz w:val="24"/>
                <w:highlight w:val="none"/>
              </w:rPr>
            </w:pPr>
          </w:p>
        </w:tc>
        <w:tc>
          <w:tcPr>
            <w:tcW w:w="1276" w:type="dxa"/>
            <w:vAlign w:val="center"/>
          </w:tcPr>
          <w:p w14:paraId="1CC72B3F">
            <w:pPr>
              <w:spacing w:line="460" w:lineRule="exact"/>
              <w:jc w:val="center"/>
              <w:rPr>
                <w:rFonts w:ascii="华文楷体" w:hAnsi="华文楷体" w:eastAsia="华文楷体"/>
                <w:b/>
                <w:color w:val="auto"/>
                <w:kern w:val="0"/>
                <w:sz w:val="24"/>
                <w:highlight w:val="none"/>
              </w:rPr>
            </w:pPr>
          </w:p>
        </w:tc>
        <w:tc>
          <w:tcPr>
            <w:tcW w:w="1417" w:type="dxa"/>
            <w:vAlign w:val="center"/>
          </w:tcPr>
          <w:p w14:paraId="02C3E29F">
            <w:pPr>
              <w:jc w:val="center"/>
              <w:rPr>
                <w:rFonts w:ascii="华文楷体" w:hAnsi="华文楷体" w:eastAsia="华文楷体" w:cs="宋体"/>
                <w:b/>
                <w:color w:val="auto"/>
                <w:kern w:val="0"/>
                <w:sz w:val="24"/>
                <w:highlight w:val="none"/>
              </w:rPr>
            </w:pPr>
          </w:p>
        </w:tc>
      </w:tr>
      <w:tr w14:paraId="019FD7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vAlign w:val="center"/>
          </w:tcPr>
          <w:p w14:paraId="7B16FD61">
            <w:pPr>
              <w:spacing w:line="460" w:lineRule="exact"/>
              <w:jc w:val="center"/>
              <w:rPr>
                <w:rFonts w:ascii="华文楷体" w:hAnsi="华文楷体" w:eastAsia="华文楷体"/>
                <w:color w:val="auto"/>
                <w:kern w:val="0"/>
                <w:sz w:val="24"/>
                <w:highlight w:val="none"/>
              </w:rPr>
            </w:pPr>
          </w:p>
        </w:tc>
        <w:tc>
          <w:tcPr>
            <w:tcW w:w="1272" w:type="dxa"/>
            <w:vAlign w:val="center"/>
          </w:tcPr>
          <w:p w14:paraId="30608D91">
            <w:pPr>
              <w:spacing w:line="460" w:lineRule="exact"/>
              <w:jc w:val="center"/>
              <w:rPr>
                <w:rFonts w:ascii="华文楷体" w:hAnsi="华文楷体" w:eastAsia="华文楷体" w:cs="宋体"/>
                <w:color w:val="auto"/>
                <w:kern w:val="0"/>
                <w:sz w:val="24"/>
                <w:highlight w:val="none"/>
              </w:rPr>
            </w:pPr>
          </w:p>
        </w:tc>
        <w:tc>
          <w:tcPr>
            <w:tcW w:w="821" w:type="dxa"/>
            <w:vAlign w:val="center"/>
          </w:tcPr>
          <w:p w14:paraId="740A23C9">
            <w:pPr>
              <w:spacing w:line="460" w:lineRule="exact"/>
              <w:jc w:val="center"/>
              <w:rPr>
                <w:rFonts w:ascii="华文楷体" w:hAnsi="华文楷体" w:eastAsia="华文楷体" w:cs="宋体"/>
                <w:color w:val="auto"/>
                <w:kern w:val="0"/>
                <w:sz w:val="24"/>
                <w:highlight w:val="none"/>
              </w:rPr>
            </w:pPr>
          </w:p>
        </w:tc>
        <w:tc>
          <w:tcPr>
            <w:tcW w:w="994" w:type="dxa"/>
            <w:vAlign w:val="center"/>
          </w:tcPr>
          <w:p w14:paraId="48E0DBA1">
            <w:pPr>
              <w:pStyle w:val="47"/>
              <w:widowControl w:val="0"/>
              <w:spacing w:line="460" w:lineRule="exact"/>
              <w:jc w:val="center"/>
              <w:rPr>
                <w:rFonts w:ascii="华文楷体" w:hAnsi="华文楷体" w:eastAsia="华文楷体"/>
                <w:color w:val="auto"/>
                <w:sz w:val="24"/>
                <w:szCs w:val="24"/>
                <w:highlight w:val="none"/>
              </w:rPr>
            </w:pPr>
          </w:p>
        </w:tc>
        <w:tc>
          <w:tcPr>
            <w:tcW w:w="1445" w:type="dxa"/>
            <w:vAlign w:val="center"/>
          </w:tcPr>
          <w:p w14:paraId="4B0FC12B">
            <w:pPr>
              <w:pStyle w:val="47"/>
              <w:widowControl w:val="0"/>
              <w:spacing w:line="460" w:lineRule="exact"/>
              <w:jc w:val="center"/>
              <w:rPr>
                <w:rFonts w:ascii="华文楷体" w:hAnsi="华文楷体" w:eastAsia="华文楷体"/>
                <w:color w:val="auto"/>
                <w:sz w:val="24"/>
                <w:szCs w:val="24"/>
                <w:highlight w:val="none"/>
              </w:rPr>
            </w:pPr>
          </w:p>
        </w:tc>
        <w:tc>
          <w:tcPr>
            <w:tcW w:w="2977" w:type="dxa"/>
            <w:vAlign w:val="center"/>
          </w:tcPr>
          <w:p w14:paraId="6C2284CE">
            <w:pPr>
              <w:spacing w:line="460" w:lineRule="exact"/>
              <w:ind w:firstLine="480" w:firstLineChars="200"/>
              <w:rPr>
                <w:rFonts w:ascii="华文楷体" w:hAnsi="华文楷体" w:eastAsia="华文楷体" w:cs="宋体"/>
                <w:color w:val="auto"/>
                <w:kern w:val="0"/>
                <w:sz w:val="24"/>
                <w:highlight w:val="none"/>
              </w:rPr>
            </w:pPr>
          </w:p>
        </w:tc>
        <w:tc>
          <w:tcPr>
            <w:tcW w:w="1276" w:type="dxa"/>
            <w:vAlign w:val="center"/>
          </w:tcPr>
          <w:p w14:paraId="12856DA7">
            <w:pPr>
              <w:spacing w:line="460" w:lineRule="exact"/>
              <w:jc w:val="center"/>
              <w:rPr>
                <w:rFonts w:ascii="华文楷体" w:hAnsi="华文楷体" w:eastAsia="华文楷体"/>
                <w:b/>
                <w:color w:val="auto"/>
                <w:kern w:val="0"/>
                <w:sz w:val="24"/>
                <w:highlight w:val="none"/>
              </w:rPr>
            </w:pPr>
          </w:p>
        </w:tc>
        <w:tc>
          <w:tcPr>
            <w:tcW w:w="1417" w:type="dxa"/>
            <w:vAlign w:val="center"/>
          </w:tcPr>
          <w:p w14:paraId="77280616">
            <w:pPr>
              <w:jc w:val="center"/>
              <w:rPr>
                <w:rFonts w:ascii="华文楷体" w:hAnsi="华文楷体" w:eastAsia="华文楷体" w:cs="宋体"/>
                <w:b/>
                <w:color w:val="auto"/>
                <w:kern w:val="0"/>
                <w:sz w:val="24"/>
                <w:highlight w:val="none"/>
              </w:rPr>
            </w:pPr>
          </w:p>
        </w:tc>
      </w:tr>
      <w:tr w14:paraId="3ED074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vAlign w:val="center"/>
          </w:tcPr>
          <w:p w14:paraId="0429B119">
            <w:pPr>
              <w:spacing w:line="460" w:lineRule="exact"/>
              <w:jc w:val="center"/>
              <w:rPr>
                <w:rFonts w:ascii="华文楷体" w:hAnsi="华文楷体" w:eastAsia="华文楷体"/>
                <w:color w:val="auto"/>
                <w:kern w:val="0"/>
                <w:sz w:val="24"/>
                <w:highlight w:val="none"/>
              </w:rPr>
            </w:pPr>
          </w:p>
        </w:tc>
        <w:tc>
          <w:tcPr>
            <w:tcW w:w="1272" w:type="dxa"/>
            <w:vAlign w:val="center"/>
          </w:tcPr>
          <w:p w14:paraId="048EBB58">
            <w:pPr>
              <w:spacing w:line="460" w:lineRule="exact"/>
              <w:jc w:val="center"/>
              <w:rPr>
                <w:rFonts w:ascii="华文楷体" w:hAnsi="华文楷体" w:eastAsia="华文楷体" w:cs="宋体"/>
                <w:color w:val="auto"/>
                <w:kern w:val="0"/>
                <w:sz w:val="24"/>
                <w:highlight w:val="none"/>
              </w:rPr>
            </w:pPr>
          </w:p>
        </w:tc>
        <w:tc>
          <w:tcPr>
            <w:tcW w:w="821" w:type="dxa"/>
            <w:vAlign w:val="center"/>
          </w:tcPr>
          <w:p w14:paraId="606170F1">
            <w:pPr>
              <w:spacing w:line="460" w:lineRule="exact"/>
              <w:jc w:val="center"/>
              <w:rPr>
                <w:rFonts w:ascii="华文楷体" w:hAnsi="华文楷体" w:eastAsia="华文楷体" w:cs="宋体"/>
                <w:color w:val="auto"/>
                <w:kern w:val="0"/>
                <w:sz w:val="24"/>
                <w:highlight w:val="none"/>
              </w:rPr>
            </w:pPr>
          </w:p>
        </w:tc>
        <w:tc>
          <w:tcPr>
            <w:tcW w:w="994" w:type="dxa"/>
            <w:vAlign w:val="center"/>
          </w:tcPr>
          <w:p w14:paraId="08DAB2E0">
            <w:pPr>
              <w:pStyle w:val="47"/>
              <w:widowControl w:val="0"/>
              <w:spacing w:line="460" w:lineRule="exact"/>
              <w:jc w:val="center"/>
              <w:rPr>
                <w:rFonts w:ascii="华文楷体" w:hAnsi="华文楷体" w:eastAsia="华文楷体"/>
                <w:color w:val="auto"/>
                <w:sz w:val="24"/>
                <w:szCs w:val="24"/>
                <w:highlight w:val="none"/>
              </w:rPr>
            </w:pPr>
          </w:p>
        </w:tc>
        <w:tc>
          <w:tcPr>
            <w:tcW w:w="1445" w:type="dxa"/>
            <w:vAlign w:val="center"/>
          </w:tcPr>
          <w:p w14:paraId="1878A468">
            <w:pPr>
              <w:pStyle w:val="47"/>
              <w:widowControl w:val="0"/>
              <w:spacing w:line="460" w:lineRule="exact"/>
              <w:jc w:val="center"/>
              <w:rPr>
                <w:rFonts w:ascii="华文楷体" w:hAnsi="华文楷体" w:eastAsia="华文楷体"/>
                <w:color w:val="auto"/>
                <w:sz w:val="24"/>
                <w:szCs w:val="24"/>
                <w:highlight w:val="none"/>
              </w:rPr>
            </w:pPr>
          </w:p>
        </w:tc>
        <w:tc>
          <w:tcPr>
            <w:tcW w:w="2977" w:type="dxa"/>
            <w:vAlign w:val="center"/>
          </w:tcPr>
          <w:p w14:paraId="69ED38E3">
            <w:pPr>
              <w:spacing w:line="460" w:lineRule="exact"/>
              <w:ind w:firstLine="480" w:firstLineChars="200"/>
              <w:rPr>
                <w:rFonts w:ascii="华文楷体" w:hAnsi="华文楷体" w:eastAsia="华文楷体" w:cs="宋体"/>
                <w:color w:val="auto"/>
                <w:kern w:val="0"/>
                <w:sz w:val="24"/>
                <w:highlight w:val="none"/>
              </w:rPr>
            </w:pPr>
          </w:p>
        </w:tc>
        <w:tc>
          <w:tcPr>
            <w:tcW w:w="1276" w:type="dxa"/>
            <w:vAlign w:val="center"/>
          </w:tcPr>
          <w:p w14:paraId="6A3AE58D">
            <w:pPr>
              <w:spacing w:line="460" w:lineRule="exact"/>
              <w:jc w:val="center"/>
              <w:rPr>
                <w:rFonts w:ascii="华文楷体" w:hAnsi="华文楷体" w:eastAsia="华文楷体"/>
                <w:b/>
                <w:color w:val="auto"/>
                <w:kern w:val="0"/>
                <w:sz w:val="24"/>
                <w:highlight w:val="none"/>
              </w:rPr>
            </w:pPr>
          </w:p>
        </w:tc>
        <w:tc>
          <w:tcPr>
            <w:tcW w:w="1417" w:type="dxa"/>
            <w:vAlign w:val="center"/>
          </w:tcPr>
          <w:p w14:paraId="05550FB5">
            <w:pPr>
              <w:jc w:val="center"/>
              <w:rPr>
                <w:rFonts w:ascii="华文楷体" w:hAnsi="华文楷体" w:eastAsia="华文楷体" w:cs="宋体"/>
                <w:b/>
                <w:color w:val="auto"/>
                <w:kern w:val="0"/>
                <w:sz w:val="24"/>
                <w:highlight w:val="none"/>
              </w:rPr>
            </w:pPr>
          </w:p>
        </w:tc>
      </w:tr>
      <w:tr w14:paraId="578834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vAlign w:val="center"/>
          </w:tcPr>
          <w:p w14:paraId="6584C565">
            <w:pPr>
              <w:spacing w:line="460" w:lineRule="exact"/>
              <w:jc w:val="center"/>
              <w:rPr>
                <w:rFonts w:ascii="华文楷体" w:hAnsi="华文楷体" w:eastAsia="华文楷体"/>
                <w:color w:val="auto"/>
                <w:kern w:val="0"/>
                <w:sz w:val="24"/>
                <w:highlight w:val="none"/>
              </w:rPr>
            </w:pPr>
          </w:p>
        </w:tc>
        <w:tc>
          <w:tcPr>
            <w:tcW w:w="1272" w:type="dxa"/>
            <w:vAlign w:val="center"/>
          </w:tcPr>
          <w:p w14:paraId="3B275637">
            <w:pPr>
              <w:spacing w:line="460" w:lineRule="exact"/>
              <w:jc w:val="center"/>
              <w:rPr>
                <w:rFonts w:ascii="华文楷体" w:hAnsi="华文楷体" w:eastAsia="华文楷体" w:cs="宋体"/>
                <w:color w:val="auto"/>
                <w:kern w:val="0"/>
                <w:sz w:val="24"/>
                <w:highlight w:val="none"/>
              </w:rPr>
            </w:pPr>
          </w:p>
        </w:tc>
        <w:tc>
          <w:tcPr>
            <w:tcW w:w="821" w:type="dxa"/>
            <w:vAlign w:val="center"/>
          </w:tcPr>
          <w:p w14:paraId="0B30BFCE">
            <w:pPr>
              <w:spacing w:line="460" w:lineRule="exact"/>
              <w:jc w:val="center"/>
              <w:rPr>
                <w:rFonts w:ascii="华文楷体" w:hAnsi="华文楷体" w:eastAsia="华文楷体" w:cs="宋体"/>
                <w:color w:val="auto"/>
                <w:kern w:val="0"/>
                <w:sz w:val="24"/>
                <w:highlight w:val="none"/>
              </w:rPr>
            </w:pPr>
          </w:p>
        </w:tc>
        <w:tc>
          <w:tcPr>
            <w:tcW w:w="994" w:type="dxa"/>
            <w:vAlign w:val="center"/>
          </w:tcPr>
          <w:p w14:paraId="1BD7A2FD">
            <w:pPr>
              <w:pStyle w:val="47"/>
              <w:widowControl w:val="0"/>
              <w:spacing w:line="460" w:lineRule="exact"/>
              <w:jc w:val="center"/>
              <w:rPr>
                <w:rFonts w:ascii="华文楷体" w:hAnsi="华文楷体" w:eastAsia="华文楷体"/>
                <w:color w:val="auto"/>
                <w:sz w:val="24"/>
                <w:szCs w:val="24"/>
                <w:highlight w:val="none"/>
              </w:rPr>
            </w:pPr>
          </w:p>
        </w:tc>
        <w:tc>
          <w:tcPr>
            <w:tcW w:w="1445" w:type="dxa"/>
            <w:vAlign w:val="center"/>
          </w:tcPr>
          <w:p w14:paraId="6C9DA52B">
            <w:pPr>
              <w:pStyle w:val="47"/>
              <w:widowControl w:val="0"/>
              <w:spacing w:line="460" w:lineRule="exact"/>
              <w:jc w:val="center"/>
              <w:rPr>
                <w:rFonts w:ascii="华文楷体" w:hAnsi="华文楷体" w:eastAsia="华文楷体"/>
                <w:color w:val="auto"/>
                <w:sz w:val="24"/>
                <w:szCs w:val="24"/>
                <w:highlight w:val="none"/>
              </w:rPr>
            </w:pPr>
          </w:p>
        </w:tc>
        <w:tc>
          <w:tcPr>
            <w:tcW w:w="2977" w:type="dxa"/>
            <w:vAlign w:val="center"/>
          </w:tcPr>
          <w:p w14:paraId="7A2ED07A">
            <w:pPr>
              <w:spacing w:line="460" w:lineRule="exact"/>
              <w:ind w:firstLine="480" w:firstLineChars="200"/>
              <w:rPr>
                <w:rFonts w:ascii="华文楷体" w:hAnsi="华文楷体" w:eastAsia="华文楷体" w:cs="宋体"/>
                <w:color w:val="auto"/>
                <w:kern w:val="0"/>
                <w:sz w:val="24"/>
                <w:highlight w:val="none"/>
              </w:rPr>
            </w:pPr>
          </w:p>
        </w:tc>
        <w:tc>
          <w:tcPr>
            <w:tcW w:w="1276" w:type="dxa"/>
            <w:vAlign w:val="center"/>
          </w:tcPr>
          <w:p w14:paraId="40B7F4D8">
            <w:pPr>
              <w:spacing w:line="460" w:lineRule="exact"/>
              <w:jc w:val="center"/>
              <w:rPr>
                <w:rFonts w:ascii="华文楷体" w:hAnsi="华文楷体" w:eastAsia="华文楷体"/>
                <w:b/>
                <w:color w:val="auto"/>
                <w:kern w:val="0"/>
                <w:sz w:val="24"/>
                <w:highlight w:val="none"/>
              </w:rPr>
            </w:pPr>
          </w:p>
        </w:tc>
        <w:tc>
          <w:tcPr>
            <w:tcW w:w="1417" w:type="dxa"/>
            <w:vAlign w:val="center"/>
          </w:tcPr>
          <w:p w14:paraId="07E82405">
            <w:pPr>
              <w:jc w:val="center"/>
              <w:rPr>
                <w:rFonts w:ascii="华文楷体" w:hAnsi="华文楷体" w:eastAsia="华文楷体" w:cs="宋体"/>
                <w:b/>
                <w:color w:val="auto"/>
                <w:kern w:val="0"/>
                <w:sz w:val="24"/>
                <w:highlight w:val="none"/>
              </w:rPr>
            </w:pPr>
          </w:p>
        </w:tc>
      </w:tr>
      <w:tr w14:paraId="138682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vAlign w:val="center"/>
          </w:tcPr>
          <w:p w14:paraId="1987DFE8">
            <w:pPr>
              <w:spacing w:line="460" w:lineRule="exact"/>
              <w:jc w:val="center"/>
              <w:rPr>
                <w:rFonts w:ascii="华文楷体" w:hAnsi="华文楷体" w:eastAsia="华文楷体"/>
                <w:color w:val="auto"/>
                <w:kern w:val="0"/>
                <w:sz w:val="24"/>
                <w:highlight w:val="none"/>
              </w:rPr>
            </w:pPr>
          </w:p>
        </w:tc>
        <w:tc>
          <w:tcPr>
            <w:tcW w:w="1272" w:type="dxa"/>
            <w:vAlign w:val="center"/>
          </w:tcPr>
          <w:p w14:paraId="34902016">
            <w:pPr>
              <w:spacing w:line="460" w:lineRule="exact"/>
              <w:jc w:val="center"/>
              <w:rPr>
                <w:rFonts w:ascii="华文楷体" w:hAnsi="华文楷体" w:eastAsia="华文楷体" w:cs="宋体"/>
                <w:color w:val="auto"/>
                <w:kern w:val="0"/>
                <w:sz w:val="24"/>
                <w:highlight w:val="none"/>
              </w:rPr>
            </w:pPr>
          </w:p>
        </w:tc>
        <w:tc>
          <w:tcPr>
            <w:tcW w:w="821" w:type="dxa"/>
            <w:vAlign w:val="center"/>
          </w:tcPr>
          <w:p w14:paraId="3FAFB524">
            <w:pPr>
              <w:spacing w:line="460" w:lineRule="exact"/>
              <w:jc w:val="center"/>
              <w:rPr>
                <w:rFonts w:ascii="华文楷体" w:hAnsi="华文楷体" w:eastAsia="华文楷体" w:cs="宋体"/>
                <w:color w:val="auto"/>
                <w:kern w:val="0"/>
                <w:sz w:val="24"/>
                <w:highlight w:val="none"/>
              </w:rPr>
            </w:pPr>
          </w:p>
        </w:tc>
        <w:tc>
          <w:tcPr>
            <w:tcW w:w="994" w:type="dxa"/>
            <w:vAlign w:val="center"/>
          </w:tcPr>
          <w:p w14:paraId="3EBDAB2B">
            <w:pPr>
              <w:pStyle w:val="47"/>
              <w:widowControl w:val="0"/>
              <w:spacing w:line="460" w:lineRule="exact"/>
              <w:jc w:val="center"/>
              <w:rPr>
                <w:rFonts w:ascii="华文楷体" w:hAnsi="华文楷体" w:eastAsia="华文楷体"/>
                <w:color w:val="auto"/>
                <w:sz w:val="24"/>
                <w:szCs w:val="24"/>
                <w:highlight w:val="none"/>
              </w:rPr>
            </w:pPr>
          </w:p>
        </w:tc>
        <w:tc>
          <w:tcPr>
            <w:tcW w:w="1445" w:type="dxa"/>
            <w:vAlign w:val="center"/>
          </w:tcPr>
          <w:p w14:paraId="28FDC597">
            <w:pPr>
              <w:pStyle w:val="47"/>
              <w:widowControl w:val="0"/>
              <w:spacing w:line="460" w:lineRule="exact"/>
              <w:jc w:val="center"/>
              <w:rPr>
                <w:rFonts w:ascii="华文楷体" w:hAnsi="华文楷体" w:eastAsia="华文楷体"/>
                <w:color w:val="auto"/>
                <w:sz w:val="24"/>
                <w:szCs w:val="24"/>
                <w:highlight w:val="none"/>
              </w:rPr>
            </w:pPr>
          </w:p>
        </w:tc>
        <w:tc>
          <w:tcPr>
            <w:tcW w:w="2977" w:type="dxa"/>
            <w:vAlign w:val="center"/>
          </w:tcPr>
          <w:p w14:paraId="70DBB89E">
            <w:pPr>
              <w:spacing w:line="460" w:lineRule="exact"/>
              <w:ind w:firstLine="480" w:firstLineChars="200"/>
              <w:rPr>
                <w:rFonts w:ascii="华文楷体" w:hAnsi="华文楷体" w:eastAsia="华文楷体" w:cs="宋体"/>
                <w:color w:val="auto"/>
                <w:kern w:val="0"/>
                <w:sz w:val="24"/>
                <w:highlight w:val="none"/>
              </w:rPr>
            </w:pPr>
          </w:p>
        </w:tc>
        <w:tc>
          <w:tcPr>
            <w:tcW w:w="1276" w:type="dxa"/>
            <w:vAlign w:val="center"/>
          </w:tcPr>
          <w:p w14:paraId="513D628B">
            <w:pPr>
              <w:spacing w:line="460" w:lineRule="exact"/>
              <w:jc w:val="center"/>
              <w:rPr>
                <w:rFonts w:ascii="华文楷体" w:hAnsi="华文楷体" w:eastAsia="华文楷体"/>
                <w:b/>
                <w:color w:val="auto"/>
                <w:kern w:val="0"/>
                <w:sz w:val="24"/>
                <w:highlight w:val="none"/>
              </w:rPr>
            </w:pPr>
          </w:p>
        </w:tc>
        <w:tc>
          <w:tcPr>
            <w:tcW w:w="1417" w:type="dxa"/>
            <w:vAlign w:val="center"/>
          </w:tcPr>
          <w:p w14:paraId="366169F5">
            <w:pPr>
              <w:jc w:val="center"/>
              <w:rPr>
                <w:rFonts w:ascii="华文楷体" w:hAnsi="华文楷体" w:eastAsia="华文楷体" w:cs="宋体"/>
                <w:b/>
                <w:color w:val="auto"/>
                <w:kern w:val="0"/>
                <w:sz w:val="24"/>
                <w:highlight w:val="none"/>
              </w:rPr>
            </w:pPr>
          </w:p>
        </w:tc>
      </w:tr>
      <w:tr w14:paraId="66E528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vAlign w:val="center"/>
          </w:tcPr>
          <w:p w14:paraId="57E77BD3">
            <w:pPr>
              <w:spacing w:line="460" w:lineRule="exact"/>
              <w:jc w:val="center"/>
              <w:rPr>
                <w:rFonts w:ascii="华文楷体" w:hAnsi="华文楷体" w:eastAsia="华文楷体"/>
                <w:color w:val="auto"/>
                <w:kern w:val="0"/>
                <w:sz w:val="24"/>
                <w:highlight w:val="none"/>
              </w:rPr>
            </w:pPr>
          </w:p>
        </w:tc>
        <w:tc>
          <w:tcPr>
            <w:tcW w:w="1272" w:type="dxa"/>
            <w:vAlign w:val="center"/>
          </w:tcPr>
          <w:p w14:paraId="1D3BF16D">
            <w:pPr>
              <w:spacing w:line="460" w:lineRule="exact"/>
              <w:jc w:val="center"/>
              <w:rPr>
                <w:rFonts w:ascii="华文楷体" w:hAnsi="华文楷体" w:eastAsia="华文楷体" w:cs="宋体"/>
                <w:color w:val="auto"/>
                <w:kern w:val="0"/>
                <w:sz w:val="24"/>
                <w:highlight w:val="none"/>
              </w:rPr>
            </w:pPr>
          </w:p>
        </w:tc>
        <w:tc>
          <w:tcPr>
            <w:tcW w:w="821" w:type="dxa"/>
            <w:vAlign w:val="center"/>
          </w:tcPr>
          <w:p w14:paraId="0D3706C3">
            <w:pPr>
              <w:spacing w:line="460" w:lineRule="exact"/>
              <w:jc w:val="center"/>
              <w:rPr>
                <w:rFonts w:ascii="华文楷体" w:hAnsi="华文楷体" w:eastAsia="华文楷体" w:cs="宋体"/>
                <w:color w:val="auto"/>
                <w:kern w:val="0"/>
                <w:sz w:val="24"/>
                <w:highlight w:val="none"/>
              </w:rPr>
            </w:pPr>
          </w:p>
        </w:tc>
        <w:tc>
          <w:tcPr>
            <w:tcW w:w="994" w:type="dxa"/>
            <w:vAlign w:val="center"/>
          </w:tcPr>
          <w:p w14:paraId="494E34B5">
            <w:pPr>
              <w:pStyle w:val="47"/>
              <w:widowControl w:val="0"/>
              <w:spacing w:line="460" w:lineRule="exact"/>
              <w:jc w:val="center"/>
              <w:rPr>
                <w:rFonts w:ascii="华文楷体" w:hAnsi="华文楷体" w:eastAsia="华文楷体"/>
                <w:color w:val="auto"/>
                <w:sz w:val="24"/>
                <w:szCs w:val="24"/>
                <w:highlight w:val="none"/>
              </w:rPr>
            </w:pPr>
          </w:p>
        </w:tc>
        <w:tc>
          <w:tcPr>
            <w:tcW w:w="1445" w:type="dxa"/>
            <w:vAlign w:val="center"/>
          </w:tcPr>
          <w:p w14:paraId="6B99D50F">
            <w:pPr>
              <w:pStyle w:val="47"/>
              <w:widowControl w:val="0"/>
              <w:spacing w:line="460" w:lineRule="exact"/>
              <w:jc w:val="center"/>
              <w:rPr>
                <w:rFonts w:ascii="华文楷体" w:hAnsi="华文楷体" w:eastAsia="华文楷体"/>
                <w:color w:val="auto"/>
                <w:sz w:val="24"/>
                <w:szCs w:val="24"/>
                <w:highlight w:val="none"/>
              </w:rPr>
            </w:pPr>
          </w:p>
        </w:tc>
        <w:tc>
          <w:tcPr>
            <w:tcW w:w="2977" w:type="dxa"/>
            <w:vAlign w:val="center"/>
          </w:tcPr>
          <w:p w14:paraId="1FCC7D61">
            <w:pPr>
              <w:spacing w:line="460" w:lineRule="exact"/>
              <w:ind w:firstLine="480" w:firstLineChars="200"/>
              <w:rPr>
                <w:rFonts w:ascii="华文楷体" w:hAnsi="华文楷体" w:eastAsia="华文楷体" w:cs="宋体"/>
                <w:color w:val="auto"/>
                <w:kern w:val="0"/>
                <w:sz w:val="24"/>
                <w:highlight w:val="none"/>
              </w:rPr>
            </w:pPr>
          </w:p>
        </w:tc>
        <w:tc>
          <w:tcPr>
            <w:tcW w:w="1276" w:type="dxa"/>
            <w:vAlign w:val="center"/>
          </w:tcPr>
          <w:p w14:paraId="7991E252">
            <w:pPr>
              <w:spacing w:line="460" w:lineRule="exact"/>
              <w:jc w:val="center"/>
              <w:rPr>
                <w:rFonts w:ascii="华文楷体" w:hAnsi="华文楷体" w:eastAsia="华文楷体"/>
                <w:b/>
                <w:color w:val="auto"/>
                <w:kern w:val="0"/>
                <w:sz w:val="24"/>
                <w:highlight w:val="none"/>
              </w:rPr>
            </w:pPr>
          </w:p>
        </w:tc>
        <w:tc>
          <w:tcPr>
            <w:tcW w:w="1417" w:type="dxa"/>
            <w:vAlign w:val="center"/>
          </w:tcPr>
          <w:p w14:paraId="747D9D0F">
            <w:pPr>
              <w:jc w:val="center"/>
              <w:rPr>
                <w:rFonts w:ascii="华文楷体" w:hAnsi="华文楷体" w:eastAsia="华文楷体" w:cs="宋体"/>
                <w:b/>
                <w:color w:val="auto"/>
                <w:kern w:val="0"/>
                <w:sz w:val="24"/>
                <w:highlight w:val="none"/>
              </w:rPr>
            </w:pPr>
          </w:p>
        </w:tc>
      </w:tr>
      <w:tr w14:paraId="50332C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06" w:type="dxa"/>
            <w:gridSpan w:val="6"/>
            <w:vAlign w:val="center"/>
          </w:tcPr>
          <w:p w14:paraId="4AEDFD3A">
            <w:pPr>
              <w:spacing w:line="460" w:lineRule="exact"/>
              <w:rPr>
                <w:rFonts w:ascii="华文楷体" w:hAnsi="华文楷体" w:eastAsia="华文楷体"/>
                <w:b/>
                <w:color w:val="auto"/>
                <w:kern w:val="0"/>
                <w:sz w:val="24"/>
                <w:highlight w:val="none"/>
              </w:rPr>
            </w:pPr>
            <w:r>
              <w:rPr>
                <w:rFonts w:hint="eastAsia" w:ascii="华文楷体" w:hAnsi="华文楷体" w:eastAsia="华文楷体"/>
                <w:b/>
                <w:color w:val="auto"/>
                <w:kern w:val="0"/>
                <w:sz w:val="24"/>
                <w:highlight w:val="none"/>
              </w:rPr>
              <w:t>合计（元）：</w:t>
            </w:r>
          </w:p>
        </w:tc>
        <w:tc>
          <w:tcPr>
            <w:tcW w:w="1276" w:type="dxa"/>
            <w:vAlign w:val="center"/>
          </w:tcPr>
          <w:p w14:paraId="261708B1">
            <w:pPr>
              <w:jc w:val="center"/>
              <w:rPr>
                <w:rFonts w:ascii="华文楷体" w:hAnsi="华文楷体" w:eastAsia="华文楷体"/>
                <w:b/>
                <w:color w:val="auto"/>
                <w:kern w:val="0"/>
                <w:sz w:val="24"/>
                <w:highlight w:val="none"/>
              </w:rPr>
            </w:pPr>
          </w:p>
        </w:tc>
        <w:tc>
          <w:tcPr>
            <w:tcW w:w="1417" w:type="dxa"/>
            <w:vAlign w:val="center"/>
          </w:tcPr>
          <w:p w14:paraId="1B044D14">
            <w:pPr>
              <w:jc w:val="center"/>
              <w:rPr>
                <w:rFonts w:ascii="华文楷体" w:hAnsi="华文楷体" w:eastAsia="华文楷体"/>
                <w:b/>
                <w:color w:val="auto"/>
                <w:kern w:val="0"/>
                <w:sz w:val="24"/>
                <w:highlight w:val="none"/>
              </w:rPr>
            </w:pPr>
          </w:p>
        </w:tc>
      </w:tr>
    </w:tbl>
    <w:p w14:paraId="1D37FFB5">
      <w:pPr>
        <w:pStyle w:val="48"/>
        <w:widowControl/>
        <w:ind w:left="-850" w:leftChars="-405" w:firstLine="561"/>
        <w:rPr>
          <w:rFonts w:hint="default" w:ascii="华文楷体" w:hAnsi="华文楷体" w:eastAsia="华文楷体" w:cs="华文楷体"/>
          <w:b/>
          <w:color w:val="auto"/>
          <w:sz w:val="28"/>
          <w:szCs w:val="28"/>
          <w:highlight w:val="none"/>
        </w:rPr>
      </w:pPr>
    </w:p>
    <w:p w14:paraId="46E58AB4">
      <w:pPr>
        <w:pStyle w:val="48"/>
        <w:widowControl/>
        <w:ind w:left="-850" w:leftChars="-405" w:firstLine="561"/>
        <w:rPr>
          <w:rFonts w:hint="default" w:ascii="华文楷体" w:hAnsi="华文楷体" w:eastAsia="华文楷体" w:cs="华文楷体"/>
          <w:b/>
          <w:color w:val="auto"/>
          <w:sz w:val="28"/>
          <w:szCs w:val="28"/>
          <w:highlight w:val="none"/>
        </w:rPr>
      </w:pPr>
    </w:p>
    <w:p w14:paraId="14AB0B18">
      <w:pPr>
        <w:pStyle w:val="48"/>
        <w:widowControl/>
        <w:ind w:left="-850" w:leftChars="-405" w:firstLine="561"/>
        <w:rPr>
          <w:rFonts w:hint="default" w:ascii="华文楷体" w:hAnsi="华文楷体" w:eastAsia="华文楷体" w:cs="华文楷体"/>
          <w:b/>
          <w:color w:val="auto"/>
          <w:sz w:val="28"/>
          <w:szCs w:val="28"/>
          <w:highlight w:val="none"/>
        </w:rPr>
      </w:pPr>
    </w:p>
    <w:p w14:paraId="74583784">
      <w:pPr>
        <w:pStyle w:val="48"/>
        <w:widowControl/>
        <w:ind w:left="-850" w:leftChars="-405" w:firstLine="561"/>
        <w:rPr>
          <w:rFonts w:hint="default" w:ascii="华文楷体" w:hAnsi="华文楷体" w:eastAsia="华文楷体" w:cs="华文楷体"/>
          <w:b/>
          <w:color w:val="auto"/>
          <w:sz w:val="28"/>
          <w:szCs w:val="28"/>
          <w:highlight w:val="none"/>
        </w:rPr>
      </w:pPr>
    </w:p>
    <w:p w14:paraId="55AC0261">
      <w:pPr>
        <w:pStyle w:val="48"/>
        <w:widowControl/>
        <w:ind w:left="-850" w:leftChars="-405" w:firstLine="561"/>
        <w:rPr>
          <w:rFonts w:hint="default" w:eastAsia="华文楷体" w:cs="宋体"/>
          <w:color w:val="auto"/>
          <w:sz w:val="24"/>
          <w:szCs w:val="24"/>
          <w:highlight w:val="none"/>
        </w:rPr>
      </w:pPr>
      <w:r>
        <w:rPr>
          <w:rFonts w:hint="default" w:ascii="华文楷体" w:hAnsi="华文楷体" w:eastAsia="华文楷体" w:cs="华文楷体"/>
          <w:b/>
          <w:color w:val="auto"/>
          <w:sz w:val="28"/>
          <w:szCs w:val="28"/>
          <w:highlight w:val="none"/>
        </w:rPr>
        <w:t>附件</w:t>
      </w:r>
      <w:r>
        <w:rPr>
          <w:rFonts w:ascii="华文楷体" w:hAnsi="华文楷体" w:eastAsia="华文楷体" w:cs="华文楷体"/>
          <w:b/>
          <w:color w:val="auto"/>
          <w:sz w:val="28"/>
          <w:szCs w:val="28"/>
          <w:highlight w:val="none"/>
        </w:rPr>
        <w:t>2</w:t>
      </w:r>
      <w:r>
        <w:rPr>
          <w:rFonts w:hint="default" w:ascii="华文楷体" w:hAnsi="华文楷体" w:eastAsia="华文楷体" w:cs="华文楷体"/>
          <w:b/>
          <w:color w:val="auto"/>
          <w:sz w:val="28"/>
          <w:szCs w:val="28"/>
          <w:highlight w:val="none"/>
        </w:rPr>
        <w:t>：</w:t>
      </w:r>
      <w:r>
        <w:rPr>
          <w:rFonts w:ascii="华文楷体" w:hAnsi="华文楷体" w:eastAsia="华文楷体" w:cs="华文楷体"/>
          <w:b/>
          <w:color w:val="auto"/>
          <w:sz w:val="28"/>
          <w:szCs w:val="28"/>
          <w:highlight w:val="none"/>
        </w:rPr>
        <w:t>厦门市大宗货物政府采购供货验收单</w:t>
      </w:r>
    </w:p>
    <w:p w14:paraId="45F3CD5C">
      <w:pPr>
        <w:rPr>
          <w:rFonts w:ascii="宋体" w:hAnsi="宋体" w:cs="宋体"/>
          <w:color w:val="auto"/>
          <w:sz w:val="24"/>
          <w:szCs w:val="24"/>
          <w:highlight w:val="none"/>
        </w:rPr>
      </w:pPr>
    </w:p>
    <w:p w14:paraId="6EB0856A">
      <w:pPr>
        <w:pStyle w:val="49"/>
        <w:rPr>
          <w:color w:val="auto"/>
          <w:highlight w:val="none"/>
        </w:rPr>
      </w:pPr>
      <w:r>
        <w:rPr>
          <w:rFonts w:ascii="宋体" w:hAnsi="宋体"/>
          <w:b/>
          <w:bCs/>
          <w:color w:val="auto"/>
          <w:sz w:val="36"/>
          <w:szCs w:val="36"/>
          <w:highlight w:val="none"/>
        </w:rPr>
        <w:drawing>
          <wp:inline distT="0" distB="0" distL="114300" distR="114300">
            <wp:extent cx="5274310" cy="7529195"/>
            <wp:effectExtent l="0" t="0" r="2540" b="14605"/>
            <wp:docPr id="1" name="图片 2" descr="副本验收报告格式(最终稿）(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副本验收报告格式(最终稿）(2)"/>
                    <pic:cNvPicPr>
                      <a:picLocks noChangeAspect="1"/>
                    </pic:cNvPicPr>
                  </pic:nvPicPr>
                  <pic:blipFill>
                    <a:blip r:embed="rId14"/>
                    <a:stretch>
                      <a:fillRect/>
                    </a:stretch>
                  </pic:blipFill>
                  <pic:spPr>
                    <a:xfrm>
                      <a:off x="0" y="0"/>
                      <a:ext cx="5274310" cy="7529195"/>
                    </a:xfrm>
                    <a:prstGeom prst="rect">
                      <a:avLst/>
                    </a:prstGeom>
                    <a:noFill/>
                    <a:ln>
                      <a:noFill/>
                    </a:ln>
                  </pic:spPr>
                </pic:pic>
              </a:graphicData>
            </a:graphic>
          </wp:inline>
        </w:drawing>
      </w:r>
    </w:p>
    <w:p w14:paraId="7F285DF2">
      <w:pPr>
        <w:spacing w:line="360" w:lineRule="auto"/>
        <w:ind w:firstLine="2520" w:firstLineChars="1200"/>
        <w:rPr>
          <w:color w:val="auto"/>
          <w:highlight w:val="none"/>
        </w:rPr>
      </w:pPr>
    </w:p>
    <w:p w14:paraId="665C7D89">
      <w:pPr>
        <w:pStyle w:val="46"/>
        <w:rPr>
          <w:color w:val="auto"/>
          <w:highlight w:val="none"/>
        </w:rPr>
      </w:pPr>
    </w:p>
    <w:p w14:paraId="2423A56E">
      <w:pPr>
        <w:pStyle w:val="46"/>
        <w:rPr>
          <w:color w:val="auto"/>
          <w:highlight w:val="none"/>
        </w:rPr>
      </w:pPr>
      <w:r>
        <w:rPr>
          <w:rFonts w:hint="eastAsia"/>
          <w:color w:val="auto"/>
          <w:highlight w:val="none"/>
        </w:rPr>
        <w:t>附件</w:t>
      </w:r>
      <w:r>
        <w:rPr>
          <w:color w:val="auto"/>
          <w:highlight w:val="none"/>
        </w:rPr>
        <w:t>3</w:t>
      </w:r>
      <w:r>
        <w:rPr>
          <w:rFonts w:hint="eastAsia"/>
          <w:color w:val="auto"/>
          <w:highlight w:val="none"/>
        </w:rPr>
        <w:t>：《廉政责任书》</w:t>
      </w:r>
    </w:p>
    <w:p w14:paraId="30401A9F">
      <w:pPr>
        <w:pStyle w:val="46"/>
        <w:rPr>
          <w:color w:val="auto"/>
          <w:highlight w:val="none"/>
        </w:rPr>
      </w:pPr>
      <w:r>
        <w:rPr>
          <w:rFonts w:hint="eastAsia"/>
          <w:color w:val="auto"/>
          <w:highlight w:val="none"/>
        </w:rPr>
        <w:t>一、甲乙双方的责任</w:t>
      </w:r>
    </w:p>
    <w:p w14:paraId="649E9517">
      <w:pPr>
        <w:pStyle w:val="46"/>
        <w:rPr>
          <w:color w:val="auto"/>
          <w:highlight w:val="none"/>
        </w:rPr>
      </w:pPr>
      <w:r>
        <w:rPr>
          <w:rFonts w:hint="eastAsia"/>
          <w:color w:val="auto"/>
          <w:highlight w:val="none"/>
        </w:rPr>
        <w:t>第一条  严格遵守国家关于市场准入、项目招标投标、工程建设等有关法律、法规、政策以及党风廉政建设的各项规定。</w:t>
      </w:r>
    </w:p>
    <w:p w14:paraId="5867FC51">
      <w:pPr>
        <w:pStyle w:val="46"/>
        <w:rPr>
          <w:color w:val="auto"/>
          <w:highlight w:val="none"/>
        </w:rPr>
      </w:pPr>
      <w:r>
        <w:rPr>
          <w:rFonts w:hint="eastAsia"/>
          <w:color w:val="auto"/>
          <w:highlight w:val="none"/>
        </w:rPr>
        <w:t>第二条  严格执行工程建设项目承发包合同文件、物资采购购销合同文件，自觉按合同办事。</w:t>
      </w:r>
    </w:p>
    <w:p w14:paraId="5D1B3E88">
      <w:pPr>
        <w:pStyle w:val="46"/>
        <w:rPr>
          <w:color w:val="auto"/>
          <w:highlight w:val="none"/>
        </w:rPr>
      </w:pPr>
      <w:r>
        <w:rPr>
          <w:rFonts w:hint="eastAsia"/>
          <w:color w:val="auto"/>
          <w:highlight w:val="none"/>
        </w:rPr>
        <w:t>第三条  业务活动必须坚持公开、公平、公正和诚信的原则（法律法规另有规定除外），不得为获取不正当的利益，损害国家、集体和对方利益，不得违反工程建设、物资采购管理等规章制度。</w:t>
      </w:r>
    </w:p>
    <w:p w14:paraId="4EFC5694">
      <w:pPr>
        <w:pStyle w:val="46"/>
        <w:rPr>
          <w:color w:val="auto"/>
          <w:highlight w:val="none"/>
        </w:rPr>
      </w:pPr>
      <w:r>
        <w:rPr>
          <w:rFonts w:hint="eastAsia"/>
          <w:color w:val="auto"/>
          <w:highlight w:val="none"/>
        </w:rPr>
        <w:t>第四条  发现对方在业务活动中有违规、违纪、违法行为的，应及时提醒对方，情节严重的，应向其上级主管部门或纪检监察、司法等有关机关举报。</w:t>
      </w:r>
    </w:p>
    <w:p w14:paraId="6FA9210C">
      <w:pPr>
        <w:pStyle w:val="46"/>
        <w:rPr>
          <w:color w:val="auto"/>
          <w:highlight w:val="none"/>
        </w:rPr>
      </w:pPr>
      <w:r>
        <w:rPr>
          <w:rFonts w:hint="eastAsia"/>
          <w:color w:val="auto"/>
          <w:highlight w:val="none"/>
        </w:rPr>
        <w:t>二、甲方的责任</w:t>
      </w:r>
    </w:p>
    <w:p w14:paraId="1A16CCAC">
      <w:pPr>
        <w:pStyle w:val="46"/>
        <w:rPr>
          <w:color w:val="auto"/>
          <w:highlight w:val="none"/>
        </w:rPr>
      </w:pPr>
      <w:r>
        <w:rPr>
          <w:rFonts w:hint="eastAsia"/>
          <w:color w:val="auto"/>
          <w:highlight w:val="none"/>
        </w:rPr>
        <w:t>甲方的领导和从事该项目的工作人员，在项目的事前、事中、事后应遵守以下规定：</w:t>
      </w:r>
    </w:p>
    <w:p w14:paraId="5ED57CB6">
      <w:pPr>
        <w:pStyle w:val="46"/>
        <w:rPr>
          <w:color w:val="auto"/>
          <w:highlight w:val="none"/>
        </w:rPr>
      </w:pPr>
      <w:r>
        <w:rPr>
          <w:rFonts w:hint="eastAsia"/>
          <w:color w:val="auto"/>
          <w:highlight w:val="none"/>
        </w:rPr>
        <w:t>第五条  不准向乙方和相关单位索要或接受回扣、礼金、有价证券、贵重物品和好处费、感谢费等。</w:t>
      </w:r>
    </w:p>
    <w:p w14:paraId="701B44F5">
      <w:pPr>
        <w:pStyle w:val="46"/>
        <w:rPr>
          <w:color w:val="auto"/>
          <w:highlight w:val="none"/>
        </w:rPr>
      </w:pPr>
      <w:r>
        <w:rPr>
          <w:rFonts w:hint="eastAsia"/>
          <w:color w:val="auto"/>
          <w:highlight w:val="none"/>
        </w:rPr>
        <w:t>第六条  不准在乙方和相关单位报销任何应由甲方或个人支付的费用。</w:t>
      </w:r>
    </w:p>
    <w:p w14:paraId="33C7513E">
      <w:pPr>
        <w:pStyle w:val="46"/>
        <w:rPr>
          <w:color w:val="auto"/>
          <w:highlight w:val="none"/>
        </w:rPr>
      </w:pPr>
      <w:r>
        <w:rPr>
          <w:rFonts w:hint="eastAsia"/>
          <w:color w:val="auto"/>
          <w:highlight w:val="none"/>
        </w:rPr>
        <w:t>第七条  不准要求、暗示或接受乙方和相关单位为个人装修住房、婚丧嫁娶、配偶子女的工作安排以及出国（境）、旅游等提供方便。</w:t>
      </w:r>
    </w:p>
    <w:p w14:paraId="056E7819">
      <w:pPr>
        <w:pStyle w:val="46"/>
        <w:rPr>
          <w:color w:val="auto"/>
          <w:highlight w:val="none"/>
        </w:rPr>
      </w:pPr>
      <w:r>
        <w:rPr>
          <w:rFonts w:hint="eastAsia"/>
          <w:color w:val="auto"/>
          <w:highlight w:val="none"/>
        </w:rPr>
        <w:t>第八条  不准参加有可能影响公正执行公务的乙方和相关单位安排的宴请和健身、娱乐等活动。</w:t>
      </w:r>
    </w:p>
    <w:p w14:paraId="34BFAB72">
      <w:pPr>
        <w:pStyle w:val="46"/>
        <w:rPr>
          <w:color w:val="auto"/>
          <w:highlight w:val="none"/>
        </w:rPr>
      </w:pPr>
      <w:r>
        <w:rPr>
          <w:rFonts w:hint="eastAsia"/>
          <w:color w:val="auto"/>
          <w:highlight w:val="none"/>
        </w:rPr>
        <w:t>第九条  不准向乙方介绍或为配偶、子女、亲属安排参与同甲方项目合同有关的工程建设、物资采购等经济活动和项目。不得以任何理由要求乙方和相关单位推荐分包单位和要求乙方购买项目合同规定以外的物资等。</w:t>
      </w:r>
    </w:p>
    <w:p w14:paraId="3694234F">
      <w:pPr>
        <w:pStyle w:val="46"/>
        <w:rPr>
          <w:color w:val="auto"/>
          <w:highlight w:val="none"/>
        </w:rPr>
      </w:pPr>
      <w:r>
        <w:rPr>
          <w:rFonts w:hint="eastAsia"/>
          <w:color w:val="auto"/>
          <w:highlight w:val="none"/>
        </w:rPr>
        <w:t>三、乙方的责任</w:t>
      </w:r>
    </w:p>
    <w:p w14:paraId="536BBCAB">
      <w:pPr>
        <w:pStyle w:val="46"/>
        <w:rPr>
          <w:color w:val="auto"/>
          <w:highlight w:val="none"/>
        </w:rPr>
      </w:pPr>
      <w:r>
        <w:rPr>
          <w:rFonts w:hint="eastAsia"/>
          <w:color w:val="auto"/>
          <w:highlight w:val="none"/>
        </w:rPr>
        <w:t>应与甲方保持正常的业务交往，按照有关法律法规和程序开展业务工作，严格执行工程建设、物资采购的有关政策规定，尤其是有关工程建设的强制性标准和规范，并遵守以下规定：</w:t>
      </w:r>
    </w:p>
    <w:p w14:paraId="623D33A6">
      <w:pPr>
        <w:pStyle w:val="46"/>
        <w:rPr>
          <w:color w:val="auto"/>
          <w:highlight w:val="none"/>
        </w:rPr>
      </w:pPr>
      <w:r>
        <w:rPr>
          <w:rFonts w:hint="eastAsia"/>
          <w:color w:val="auto"/>
          <w:highlight w:val="none"/>
        </w:rPr>
        <w:t>第十条  不准以任何理由向甲方、相关单位及其工作人员行贿或赠送礼金、有价证券、贵重物品及回扣、好处费、感谢费等。</w:t>
      </w:r>
    </w:p>
    <w:p w14:paraId="626093AA">
      <w:pPr>
        <w:pStyle w:val="46"/>
        <w:rPr>
          <w:color w:val="auto"/>
          <w:highlight w:val="none"/>
        </w:rPr>
      </w:pPr>
      <w:r>
        <w:rPr>
          <w:rFonts w:hint="eastAsia"/>
          <w:color w:val="auto"/>
          <w:highlight w:val="none"/>
        </w:rPr>
        <w:t>第十一条  不准以任何理由为甲方和相关单位报销应由对方或个人支付的费用。</w:t>
      </w:r>
    </w:p>
    <w:p w14:paraId="0FC979D3">
      <w:pPr>
        <w:pStyle w:val="46"/>
        <w:rPr>
          <w:color w:val="auto"/>
          <w:highlight w:val="none"/>
        </w:rPr>
      </w:pPr>
      <w:r>
        <w:rPr>
          <w:rFonts w:hint="eastAsia"/>
          <w:color w:val="auto"/>
          <w:highlight w:val="none"/>
        </w:rPr>
        <w:t>第十二条  不准接受或暗示为甲方、相关单位或个人装修住房、婚丧嫁娶、配偶子女的工作安排以及出国（境）、旅游等提供方便。</w:t>
      </w:r>
    </w:p>
    <w:p w14:paraId="1557629C">
      <w:pPr>
        <w:pStyle w:val="46"/>
        <w:rPr>
          <w:color w:val="auto"/>
          <w:highlight w:val="none"/>
        </w:rPr>
      </w:pPr>
      <w:r>
        <w:rPr>
          <w:rFonts w:hint="eastAsia"/>
          <w:color w:val="auto"/>
          <w:highlight w:val="none"/>
        </w:rPr>
        <w:t>第十三条  不准以任何理由为甲方、相关单位或个人组织有可能影响公正执行公务的宴请、健身、娱乐等活动。</w:t>
      </w:r>
    </w:p>
    <w:p w14:paraId="07E10E40">
      <w:pPr>
        <w:pStyle w:val="46"/>
        <w:rPr>
          <w:color w:val="auto"/>
          <w:highlight w:val="none"/>
        </w:rPr>
      </w:pPr>
      <w:r>
        <w:rPr>
          <w:rFonts w:hint="eastAsia"/>
          <w:color w:val="auto"/>
          <w:highlight w:val="none"/>
        </w:rPr>
        <w:t>第十四条  不准以任何理由向甲方、相关单位或个人介绍或为其配偶、子女、亲属安排参与同甲方项目合同有关的工程建设、物资采购等经济活动和项目。</w:t>
      </w:r>
    </w:p>
    <w:p w14:paraId="27FCC259">
      <w:pPr>
        <w:pStyle w:val="46"/>
        <w:rPr>
          <w:color w:val="auto"/>
          <w:highlight w:val="none"/>
        </w:rPr>
      </w:pPr>
      <w:r>
        <w:rPr>
          <w:rFonts w:hint="eastAsia"/>
          <w:color w:val="auto"/>
          <w:highlight w:val="none"/>
        </w:rPr>
        <w:t>四、违约责任</w:t>
      </w:r>
    </w:p>
    <w:p w14:paraId="4EE20069">
      <w:pPr>
        <w:pStyle w:val="46"/>
        <w:rPr>
          <w:color w:val="auto"/>
          <w:highlight w:val="none"/>
        </w:rPr>
      </w:pPr>
      <w:r>
        <w:rPr>
          <w:rFonts w:hint="eastAsia"/>
          <w:color w:val="auto"/>
          <w:highlight w:val="none"/>
        </w:rPr>
        <w:t>第十五条  甲方工作人员有违反本责任书（一、二）责任行为的，按照管理权限，依据有关法规给予党纪、政纪处分或组织处理；涉嫌违法犯罪的，移交司法机关追究刑事责任；给乙方单位造成经济损失的，应予以赔偿。</w:t>
      </w:r>
    </w:p>
    <w:p w14:paraId="37C0D0B5">
      <w:pPr>
        <w:pStyle w:val="46"/>
        <w:rPr>
          <w:color w:val="auto"/>
          <w:highlight w:val="none"/>
        </w:rPr>
      </w:pPr>
      <w:r>
        <w:rPr>
          <w:rFonts w:hint="eastAsia"/>
          <w:color w:val="auto"/>
          <w:highlight w:val="none"/>
        </w:rPr>
        <w:t>第十六条  乙方工作人员有违反本责任书（一、三）责任行为的，甲方有权视违约情节采取取消乙方中标资格、解除合同、没收项目质保金、限制参加学院以后项目招标活动等措施，给甲方造成经济损失的，应予以赔偿。涉嫌违法犯罪的，移交司法机关追究刑事责任。</w:t>
      </w:r>
    </w:p>
    <w:p w14:paraId="6B64A978">
      <w:pPr>
        <w:pStyle w:val="46"/>
        <w:jc w:val="left"/>
        <w:rPr>
          <w:color w:val="auto"/>
          <w:highlight w:val="none"/>
        </w:rPr>
      </w:pPr>
      <w:r>
        <w:rPr>
          <w:rFonts w:hint="eastAsia"/>
          <w:color w:val="auto"/>
          <w:highlight w:val="none"/>
        </w:rPr>
        <w:t>五、附则</w:t>
      </w:r>
    </w:p>
    <w:p w14:paraId="0CD376CA">
      <w:pPr>
        <w:pStyle w:val="46"/>
        <w:rPr>
          <w:rFonts w:ascii="宋体" w:hAnsi="宋体" w:cs="宋体"/>
          <w:color w:val="auto"/>
          <w:sz w:val="24"/>
          <w:szCs w:val="24"/>
          <w:highlight w:val="none"/>
        </w:rPr>
      </w:pPr>
      <w:r>
        <w:rPr>
          <w:rFonts w:hint="eastAsia"/>
          <w:color w:val="auto"/>
          <w:highlight w:val="none"/>
        </w:rPr>
        <w:t>第十七条　本责任书作为工程施工、勘察、设计、监理或物资采购合同的附件，与工程施工、勘察、设计、监理或物资采购合同具有同等法律效力。</w:t>
      </w:r>
    </w:p>
    <w:p w14:paraId="3EC23E5F">
      <w:pPr>
        <w:rPr>
          <w:color w:val="auto"/>
          <w:highlight w:val="none"/>
        </w:rPr>
      </w:pPr>
    </w:p>
    <w:bookmarkEnd w:id="1"/>
    <w:sectPr>
      <w:headerReference r:id="rId10" w:type="default"/>
      <w:footerReference r:id="rId11"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幼圆">
    <w:altName w:val="宋体"/>
    <w:panose1 w:val="02010509060101010101"/>
    <w:charset w:val="86"/>
    <w:family w:val="modern"/>
    <w:pitch w:val="default"/>
    <w:sig w:usb0="00000000" w:usb1="00000000" w:usb2="00000000" w:usb3="00000000" w:csb0="00040000" w:csb1="00000000"/>
  </w:font>
  <w:font w:name="新宋体">
    <w:panose1 w:val="02010609030101010101"/>
    <w:charset w:val="86"/>
    <w:family w:val="modern"/>
    <w:pitch w:val="default"/>
    <w:sig w:usb0="00000283" w:usb1="288F0000" w:usb2="00000006" w:usb3="00000000" w:csb0="00040001" w:csb1="00000000"/>
  </w:font>
  <w:font w:name="华文楷体">
    <w:altName w:val="宋体"/>
    <w:panose1 w:val="02010600040101010101"/>
    <w:charset w:val="86"/>
    <w:family w:val="auto"/>
    <w:pitch w:val="default"/>
    <w:sig w:usb0="00000000" w:usb1="00000000" w:usb2="00000000" w:usb3="00000000" w:csb0="0004009F" w:csb1="DFD70000"/>
  </w:font>
  <w:font w:name="等线">
    <w:panose1 w:val="02010600030101010101"/>
    <w:charset w:val="86"/>
    <w:family w:val="auto"/>
    <w:pitch w:val="default"/>
    <w:sig w:usb0="A00002BF" w:usb1="38CF7CFA" w:usb2="00000016" w:usb3="00000000" w:csb0="0004000F" w:csb1="00000000"/>
  </w:font>
  <w:font w:name="Helvetica">
    <w:panose1 w:val="020B0504020202030204"/>
    <w:charset w:val="00"/>
    <w:family w:val="swiss"/>
    <w:pitch w:val="default"/>
    <w:sig w:usb0="00000007" w:usb1="00000000" w:usb2="00000000" w:usb3="00000000" w:csb0="00000093"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F2814F">
    <w:pPr>
      <w:pStyle w:val="11"/>
      <w:jc w:val="center"/>
    </w:pPr>
    <w:r>
      <w:rPr>
        <w:rFonts w:hint="eastAsia"/>
      </w:rPr>
      <w:t>3-1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DF7E34">
    <w:pPr>
      <w:pStyle w:val="11"/>
      <w:rPr>
        <w:rFonts w:ascii="宋体" w:hAnsi="宋体"/>
      </w:rPr>
    </w:pPr>
    <w:r>
      <w:rPr>
        <w:rFonts w:ascii="宋体" w:hAnsi="宋体"/>
      </w:rPr>
      <w:t xml:space="preserve"> 1-</w:t>
    </w:r>
    <w:r>
      <w:rPr>
        <w:rFonts w:ascii="宋体" w:hAnsi="宋体"/>
      </w:rPr>
      <w:fldChar w:fldCharType="begin"/>
    </w:r>
    <w:r>
      <w:rPr>
        <w:rStyle w:val="20"/>
        <w:rFonts w:ascii="宋体" w:hAnsi="宋体"/>
      </w:rPr>
      <w:instrText xml:space="preserve"> PAGE </w:instrText>
    </w:r>
    <w:r>
      <w:rPr>
        <w:rFonts w:ascii="宋体" w:hAnsi="宋体"/>
      </w:rPr>
      <w:fldChar w:fldCharType="separate"/>
    </w:r>
    <w:r>
      <w:rPr>
        <w:rStyle w:val="20"/>
        <w:rFonts w:ascii="宋体" w:hAnsi="宋体"/>
      </w:rPr>
      <w:t>4</w:t>
    </w:r>
    <w:r>
      <w:rPr>
        <w:rFonts w:ascii="宋体" w:hAnsi="宋体"/>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E24F42">
    <w:pPr>
      <w:pStyle w:val="11"/>
      <w:jc w:val="center"/>
      <w:rPr>
        <w:rFonts w:ascii="宋体" w:hAnsi="宋体"/>
      </w:rPr>
    </w:pPr>
    <w:r>
      <w:rPr>
        <w:rStyle w:val="20"/>
        <w:rFonts w:ascii="宋体" w:hAnsi="宋体"/>
        <w:szCs w:val="20"/>
      </w:rPr>
      <w:t>2-1-</w:t>
    </w:r>
    <w:r>
      <w:rPr>
        <w:rFonts w:ascii="宋体" w:hAnsi="宋体"/>
        <w:szCs w:val="20"/>
      </w:rPr>
      <w:fldChar w:fldCharType="begin"/>
    </w:r>
    <w:r>
      <w:rPr>
        <w:rStyle w:val="20"/>
        <w:rFonts w:ascii="宋体" w:hAnsi="宋体"/>
        <w:szCs w:val="20"/>
      </w:rPr>
      <w:instrText xml:space="preserve"> PAGE </w:instrText>
    </w:r>
    <w:r>
      <w:rPr>
        <w:rFonts w:ascii="宋体" w:hAnsi="宋体"/>
        <w:szCs w:val="20"/>
      </w:rPr>
      <w:fldChar w:fldCharType="separate"/>
    </w:r>
    <w:r>
      <w:rPr>
        <w:rStyle w:val="20"/>
        <w:rFonts w:ascii="宋体" w:hAnsi="宋体"/>
        <w:szCs w:val="20"/>
      </w:rPr>
      <w:t>19</w:t>
    </w:r>
    <w:r>
      <w:rPr>
        <w:rFonts w:ascii="宋体" w:hAnsi="宋体"/>
        <w:szCs w:val="20"/>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D676DF">
    <w:pPr>
      <w:pStyle w:val="11"/>
      <w:tabs>
        <w:tab w:val="right" w:pos="8460"/>
        <w:tab w:val="clear" w:pos="8306"/>
      </w:tabs>
      <w:ind w:right="-89" w:firstLine="420"/>
      <w:jc w:val="center"/>
      <w:rPr>
        <w:rFonts w:ascii="宋体" w:hAnsi="宋体"/>
      </w:rPr>
    </w:pPr>
    <w:r>
      <w:rPr>
        <w:rFonts w:ascii="宋体" w:hAnsi="宋体"/>
        <w:szCs w:val="20"/>
      </w:rPr>
      <w:t xml:space="preserve"> 3-</w:t>
    </w:r>
    <w:r>
      <w:rPr>
        <w:rFonts w:ascii="宋体" w:hAnsi="宋体"/>
        <w:szCs w:val="20"/>
      </w:rPr>
      <w:fldChar w:fldCharType="begin"/>
    </w:r>
    <w:r>
      <w:rPr>
        <w:rStyle w:val="20"/>
        <w:rFonts w:ascii="宋体" w:hAnsi="宋体"/>
        <w:szCs w:val="20"/>
      </w:rPr>
      <w:instrText xml:space="preserve"> PAGE </w:instrText>
    </w:r>
    <w:r>
      <w:rPr>
        <w:rFonts w:ascii="宋体" w:hAnsi="宋体"/>
        <w:szCs w:val="20"/>
      </w:rPr>
      <w:fldChar w:fldCharType="separate"/>
    </w:r>
    <w:r>
      <w:rPr>
        <w:rStyle w:val="20"/>
        <w:rFonts w:ascii="宋体" w:hAnsi="宋体"/>
        <w:szCs w:val="20"/>
      </w:rPr>
      <w:t>5</w:t>
    </w:r>
    <w:r>
      <w:rPr>
        <w:rFonts w:ascii="宋体" w:hAnsi="宋体"/>
        <w:szCs w:val="20"/>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2B111F">
    <w:pPr>
      <w:pStyle w:val="11"/>
      <w:ind w:firstLine="4320" w:firstLineChars="2400"/>
    </w:pPr>
    <w:r>
      <w:rPr>
        <w:rFonts w:hint="eastAsia" w:ascii="宋体" w:hAnsi="宋体"/>
        <w:szCs w:val="20"/>
      </w:rPr>
      <w:t>4</w:t>
    </w:r>
    <w:r>
      <w:rPr>
        <w:rFonts w:ascii="宋体" w:hAnsi="宋体"/>
        <w:szCs w:val="20"/>
      </w:rPr>
      <w:t>-</w:t>
    </w:r>
    <w:r>
      <w:rPr>
        <w:rFonts w:ascii="宋体" w:hAnsi="宋体"/>
        <w:szCs w:val="20"/>
      </w:rPr>
      <w:fldChar w:fldCharType="begin"/>
    </w:r>
    <w:r>
      <w:rPr>
        <w:rStyle w:val="20"/>
        <w:rFonts w:ascii="宋体" w:hAnsi="宋体"/>
        <w:szCs w:val="20"/>
      </w:rPr>
      <w:instrText xml:space="preserve"> PAGE </w:instrText>
    </w:r>
    <w:r>
      <w:rPr>
        <w:rFonts w:ascii="宋体" w:hAnsi="宋体"/>
        <w:szCs w:val="20"/>
      </w:rPr>
      <w:fldChar w:fldCharType="separate"/>
    </w:r>
    <w:r>
      <w:rPr>
        <w:rStyle w:val="20"/>
        <w:rFonts w:ascii="宋体" w:hAnsi="宋体"/>
        <w:szCs w:val="20"/>
      </w:rPr>
      <w:t>7</w:t>
    </w:r>
    <w:r>
      <w:rPr>
        <w:rFonts w:ascii="宋体" w:hAnsi="宋体"/>
        <w:szCs w:val="20"/>
      </w:rPr>
      <w:fldChar w:fldCharType="end"/>
    </w:r>
  </w:p>
  <w:p w14:paraId="11C7FA47">
    <w:pPr>
      <w:pStyle w:val="11"/>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596FFA">
    <w:pPr>
      <w:pStyle w:val="11"/>
      <w:tabs>
        <w:tab w:val="right" w:pos="8460"/>
        <w:tab w:val="clear" w:pos="8306"/>
      </w:tabs>
      <w:ind w:right="-89" w:firstLine="420"/>
      <w:jc w:val="center"/>
      <w:rPr>
        <w:rFonts w:ascii="宋体" w:hAnsi="宋体"/>
      </w:rPr>
    </w:pPr>
    <w:r>
      <w:rPr>
        <w:rFonts w:hint="eastAsia" w:ascii="宋体" w:hAnsi="宋体"/>
        <w:szCs w:val="20"/>
      </w:rPr>
      <w:t>4</w:t>
    </w:r>
    <w:r>
      <w:rPr>
        <w:rFonts w:ascii="宋体" w:hAnsi="宋体"/>
        <w:szCs w:val="20"/>
      </w:rPr>
      <w:t>-</w:t>
    </w:r>
    <w:r>
      <w:rPr>
        <w:rFonts w:ascii="宋体" w:hAnsi="宋体"/>
        <w:szCs w:val="20"/>
      </w:rPr>
      <w:fldChar w:fldCharType="begin"/>
    </w:r>
    <w:r>
      <w:rPr>
        <w:rStyle w:val="20"/>
        <w:rFonts w:ascii="宋体" w:hAnsi="宋体"/>
        <w:szCs w:val="20"/>
      </w:rPr>
      <w:instrText xml:space="preserve"> PAGE </w:instrText>
    </w:r>
    <w:r>
      <w:rPr>
        <w:rFonts w:ascii="宋体" w:hAnsi="宋体"/>
        <w:szCs w:val="20"/>
      </w:rPr>
      <w:fldChar w:fldCharType="separate"/>
    </w:r>
    <w:r>
      <w:rPr>
        <w:rStyle w:val="20"/>
        <w:rFonts w:ascii="宋体" w:hAnsi="宋体"/>
        <w:szCs w:val="20"/>
      </w:rPr>
      <w:t>11</w:t>
    </w:r>
    <w:r>
      <w:rPr>
        <w:rFonts w:ascii="宋体" w:hAnsi="宋体"/>
        <w:szCs w:val="20"/>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EEFC43">
    <w:pPr>
      <w:pStyle w:val="12"/>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3524A0">
    <w:pPr>
      <w:pStyle w:val="12"/>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1BC89D">
    <w:pPr>
      <w:pStyle w:val="12"/>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DFC835D"/>
    <w:multiLevelType w:val="singleLevel"/>
    <w:tmpl w:val="ADFC835D"/>
    <w:lvl w:ilvl="0" w:tentative="0">
      <w:start w:val="1"/>
      <w:numFmt w:val="decimal"/>
      <w:lvlText w:val="%1)"/>
      <w:lvlJc w:val="left"/>
      <w:pPr>
        <w:ind w:left="425" w:hanging="425"/>
      </w:pPr>
      <w:rPr>
        <w:rFonts w:hint="default"/>
      </w:rPr>
    </w:lvl>
  </w:abstractNum>
  <w:abstractNum w:abstractNumId="1">
    <w:nsid w:val="D8648708"/>
    <w:multiLevelType w:val="singleLevel"/>
    <w:tmpl w:val="D8648708"/>
    <w:lvl w:ilvl="0" w:tentative="0">
      <w:start w:val="1"/>
      <w:numFmt w:val="decimal"/>
      <w:lvlText w:val="%1)"/>
      <w:lvlJc w:val="left"/>
      <w:pPr>
        <w:ind w:left="425" w:hanging="425"/>
      </w:pPr>
      <w:rPr>
        <w:rFonts w:hint="default"/>
      </w:rPr>
    </w:lvl>
  </w:abstractNum>
  <w:abstractNum w:abstractNumId="2">
    <w:nsid w:val="02931839"/>
    <w:multiLevelType w:val="singleLevel"/>
    <w:tmpl w:val="02931839"/>
    <w:lvl w:ilvl="0" w:tentative="0">
      <w:start w:val="1"/>
      <w:numFmt w:val="decimal"/>
      <w:lvlText w:val="%1)"/>
      <w:lvlJc w:val="left"/>
      <w:pPr>
        <w:ind w:left="425" w:hanging="425"/>
      </w:pPr>
      <w:rPr>
        <w:rFonts w:hint="default"/>
      </w:rPr>
    </w:lvl>
  </w:abstractNum>
  <w:abstractNum w:abstractNumId="3">
    <w:nsid w:val="25C22B40"/>
    <w:multiLevelType w:val="multilevel"/>
    <w:tmpl w:val="25C22B40"/>
    <w:lvl w:ilvl="0" w:tentative="0">
      <w:start w:val="1"/>
      <w:numFmt w:val="japaneseCounting"/>
      <w:lvlText w:val="%1、"/>
      <w:lvlJc w:val="left"/>
      <w:pPr>
        <w:tabs>
          <w:tab w:val="left" w:pos="480"/>
        </w:tabs>
        <w:ind w:left="480" w:hanging="48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4">
    <w:nsid w:val="2E1ABB5A"/>
    <w:multiLevelType w:val="singleLevel"/>
    <w:tmpl w:val="2E1ABB5A"/>
    <w:lvl w:ilvl="0" w:tentative="0">
      <w:start w:val="1"/>
      <w:numFmt w:val="decimal"/>
      <w:lvlText w:val="%1)"/>
      <w:lvlJc w:val="left"/>
      <w:pPr>
        <w:ind w:left="425" w:hanging="425"/>
      </w:pPr>
      <w:rPr>
        <w:rFonts w:hint="default"/>
      </w:rPr>
    </w:lvl>
  </w:abstractNum>
  <w:abstractNum w:abstractNumId="5">
    <w:nsid w:val="3F08017C"/>
    <w:multiLevelType w:val="singleLevel"/>
    <w:tmpl w:val="3F08017C"/>
    <w:lvl w:ilvl="0" w:tentative="0">
      <w:start w:val="1"/>
      <w:numFmt w:val="decimal"/>
      <w:lvlText w:val="%1)"/>
      <w:lvlJc w:val="left"/>
      <w:pPr>
        <w:ind w:left="425" w:hanging="425"/>
      </w:pPr>
      <w:rPr>
        <w:rFonts w:hint="default"/>
      </w:rPr>
    </w:lvl>
  </w:abstractNum>
  <w:abstractNum w:abstractNumId="6">
    <w:nsid w:val="50923C01"/>
    <w:multiLevelType w:val="multilevel"/>
    <w:tmpl w:val="50923C01"/>
    <w:lvl w:ilvl="0" w:tentative="0">
      <w:start w:val="1"/>
      <w:numFmt w:val="japaneseCounting"/>
      <w:lvlText w:val="%1、"/>
      <w:lvlJc w:val="left"/>
      <w:pPr>
        <w:ind w:left="480" w:hanging="48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56D92A82"/>
    <w:multiLevelType w:val="singleLevel"/>
    <w:tmpl w:val="56D92A82"/>
    <w:lvl w:ilvl="0" w:tentative="0">
      <w:start w:val="3"/>
      <w:numFmt w:val="chineseCounting"/>
      <w:suff w:val="nothing"/>
      <w:lvlText w:val="%1、"/>
      <w:lvlJc w:val="left"/>
      <w:rPr>
        <w:rFonts w:hint="eastAsia"/>
      </w:rPr>
    </w:lvl>
  </w:abstractNum>
  <w:abstractNum w:abstractNumId="8">
    <w:nsid w:val="5D7D09F3"/>
    <w:multiLevelType w:val="singleLevel"/>
    <w:tmpl w:val="5D7D09F3"/>
    <w:lvl w:ilvl="0" w:tentative="0">
      <w:start w:val="1"/>
      <w:numFmt w:val="decimal"/>
      <w:lvlText w:val="%1)"/>
      <w:lvlJc w:val="left"/>
      <w:pPr>
        <w:ind w:left="425" w:hanging="425"/>
      </w:pPr>
      <w:rPr>
        <w:rFonts w:hint="default"/>
      </w:rPr>
    </w:lvl>
  </w:abstractNum>
  <w:abstractNum w:abstractNumId="9">
    <w:nsid w:val="65B5A321"/>
    <w:multiLevelType w:val="singleLevel"/>
    <w:tmpl w:val="65B5A321"/>
    <w:lvl w:ilvl="0" w:tentative="0">
      <w:start w:val="1"/>
      <w:numFmt w:val="decimal"/>
      <w:suff w:val="nothing"/>
      <w:lvlText w:val="%1、"/>
      <w:lvlJc w:val="left"/>
    </w:lvl>
  </w:abstractNum>
  <w:abstractNum w:abstractNumId="10">
    <w:nsid w:val="78DDAE84"/>
    <w:multiLevelType w:val="singleLevel"/>
    <w:tmpl w:val="78DDAE84"/>
    <w:lvl w:ilvl="0" w:tentative="0">
      <w:start w:val="1"/>
      <w:numFmt w:val="decimal"/>
      <w:lvlText w:val="%1)"/>
      <w:lvlJc w:val="left"/>
      <w:pPr>
        <w:ind w:left="425" w:hanging="425"/>
      </w:pPr>
      <w:rPr>
        <w:rFonts w:hint="default"/>
      </w:rPr>
    </w:lvl>
  </w:abstractNum>
  <w:abstractNum w:abstractNumId="11">
    <w:nsid w:val="7A5A266D"/>
    <w:multiLevelType w:val="singleLevel"/>
    <w:tmpl w:val="7A5A266D"/>
    <w:lvl w:ilvl="0" w:tentative="0">
      <w:start w:val="1"/>
      <w:numFmt w:val="decimal"/>
      <w:lvlText w:val="%1)"/>
      <w:lvlJc w:val="left"/>
      <w:pPr>
        <w:ind w:left="425" w:hanging="425"/>
      </w:pPr>
      <w:rPr>
        <w:rFonts w:hint="default"/>
      </w:rPr>
    </w:lvl>
  </w:abstractNum>
  <w:num w:numId="1">
    <w:abstractNumId w:val="9"/>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8"/>
  </w:num>
  <w:num w:numId="5">
    <w:abstractNumId w:val="4"/>
  </w:num>
  <w:num w:numId="6">
    <w:abstractNumId w:val="0"/>
  </w:num>
  <w:num w:numId="7">
    <w:abstractNumId w:val="2"/>
  </w:num>
  <w:num w:numId="8">
    <w:abstractNumId w:val="10"/>
  </w:num>
  <w:num w:numId="9">
    <w:abstractNumId w:val="5"/>
  </w:num>
  <w:num w:numId="10">
    <w:abstractNumId w:val="1"/>
  </w:num>
  <w:num w:numId="11">
    <w:abstractNumId w:val="6"/>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B083691"/>
    <w:rsid w:val="200F4073"/>
    <w:rsid w:val="215313DE"/>
    <w:rsid w:val="3C32703D"/>
    <w:rsid w:val="3C5938F5"/>
    <w:rsid w:val="3CD33508"/>
    <w:rsid w:val="3F7410E3"/>
    <w:rsid w:val="43140A2D"/>
    <w:rsid w:val="45A41952"/>
    <w:rsid w:val="47121221"/>
    <w:rsid w:val="4BCA6B9C"/>
    <w:rsid w:val="4C4B0D80"/>
    <w:rsid w:val="4DD0778F"/>
    <w:rsid w:val="507516D4"/>
    <w:rsid w:val="63A469EA"/>
    <w:rsid w:val="63EF4224"/>
    <w:rsid w:val="714D0F18"/>
    <w:rsid w:val="76A351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18">
    <w:name w:val="Default Paragraph Font"/>
    <w:semiHidden/>
    <w:unhideWhenUsed/>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2">
    <w:name w:val="Normal (Web)"/>
    <w:basedOn w:val="1"/>
    <w:unhideWhenUsed/>
    <w:qFormat/>
    <w:uiPriority w:val="99"/>
    <w:pPr>
      <w:widowControl/>
      <w:spacing w:before="100" w:beforeAutospacing="1" w:after="100" w:afterAutospacing="1"/>
      <w:jc w:val="left"/>
    </w:pPr>
    <w:rPr>
      <w:rFonts w:ascii="宋体" w:hAnsi="宋体" w:cs="宋体"/>
      <w:color w:val="000000"/>
      <w:kern w:val="0"/>
      <w:sz w:val="24"/>
      <w:szCs w:val="24"/>
    </w:rPr>
  </w:style>
  <w:style w:type="paragraph" w:styleId="4">
    <w:name w:val="Normal Indent"/>
    <w:basedOn w:val="1"/>
    <w:link w:val="23"/>
    <w:qFormat/>
    <w:uiPriority w:val="0"/>
    <w:pPr>
      <w:ind w:firstLine="420"/>
    </w:pPr>
    <w:rPr>
      <w:szCs w:val="20"/>
    </w:rPr>
  </w:style>
  <w:style w:type="paragraph" w:styleId="5">
    <w:name w:val="annotation text"/>
    <w:basedOn w:val="1"/>
    <w:semiHidden/>
    <w:unhideWhenUsed/>
    <w:qFormat/>
    <w:uiPriority w:val="99"/>
    <w:pPr>
      <w:jc w:val="left"/>
    </w:pPr>
  </w:style>
  <w:style w:type="paragraph" w:styleId="6">
    <w:name w:val="Body Text"/>
    <w:basedOn w:val="1"/>
    <w:link w:val="24"/>
    <w:qFormat/>
    <w:uiPriority w:val="0"/>
    <w:pPr>
      <w:jc w:val="center"/>
    </w:pPr>
    <w:rPr>
      <w:rFonts w:ascii="幼圆" w:hAnsi="新宋体" w:eastAsia="幼圆"/>
      <w:b/>
      <w:bCs/>
      <w:sz w:val="84"/>
      <w:szCs w:val="20"/>
    </w:rPr>
  </w:style>
  <w:style w:type="paragraph" w:styleId="7">
    <w:name w:val="Body Text Indent"/>
    <w:basedOn w:val="1"/>
    <w:qFormat/>
    <w:uiPriority w:val="0"/>
    <w:pPr>
      <w:ind w:left="420" w:leftChars="200"/>
    </w:pPr>
  </w:style>
  <w:style w:type="paragraph" w:styleId="8">
    <w:name w:val="Plain Text"/>
    <w:basedOn w:val="1"/>
    <w:link w:val="25"/>
    <w:qFormat/>
    <w:uiPriority w:val="0"/>
    <w:rPr>
      <w:rFonts w:ascii="宋体" w:hAnsi="Courier New"/>
      <w:szCs w:val="20"/>
    </w:rPr>
  </w:style>
  <w:style w:type="paragraph" w:styleId="9">
    <w:name w:val="Body Text Indent 2"/>
    <w:basedOn w:val="1"/>
    <w:link w:val="26"/>
    <w:qFormat/>
    <w:uiPriority w:val="0"/>
    <w:pPr>
      <w:spacing w:after="120" w:line="480" w:lineRule="auto"/>
      <w:ind w:left="420"/>
    </w:pPr>
    <w:rPr>
      <w:szCs w:val="20"/>
    </w:rPr>
  </w:style>
  <w:style w:type="paragraph" w:styleId="10">
    <w:name w:val="Balloon Text"/>
    <w:basedOn w:val="1"/>
    <w:link w:val="27"/>
    <w:unhideWhenUsed/>
    <w:qFormat/>
    <w:uiPriority w:val="99"/>
    <w:rPr>
      <w:sz w:val="18"/>
      <w:szCs w:val="18"/>
    </w:rPr>
  </w:style>
  <w:style w:type="paragraph" w:styleId="11">
    <w:name w:val="footer"/>
    <w:basedOn w:val="1"/>
    <w:link w:val="28"/>
    <w:unhideWhenUsed/>
    <w:qFormat/>
    <w:uiPriority w:val="0"/>
    <w:pPr>
      <w:tabs>
        <w:tab w:val="center" w:pos="4153"/>
        <w:tab w:val="right" w:pos="8306"/>
      </w:tabs>
      <w:snapToGrid w:val="0"/>
      <w:jc w:val="left"/>
    </w:pPr>
    <w:rPr>
      <w:sz w:val="18"/>
      <w:szCs w:val="18"/>
    </w:rPr>
  </w:style>
  <w:style w:type="paragraph" w:styleId="12">
    <w:name w:val="header"/>
    <w:basedOn w:val="1"/>
    <w:link w:val="29"/>
    <w:unhideWhenUsed/>
    <w:qFormat/>
    <w:uiPriority w:val="0"/>
    <w:pPr>
      <w:pBdr>
        <w:bottom w:val="single" w:color="auto" w:sz="6" w:space="1"/>
      </w:pBdr>
      <w:tabs>
        <w:tab w:val="center" w:pos="4153"/>
        <w:tab w:val="right" w:pos="8306"/>
      </w:tabs>
      <w:snapToGrid w:val="0"/>
      <w:jc w:val="center"/>
    </w:pPr>
    <w:rPr>
      <w:sz w:val="18"/>
      <w:szCs w:val="18"/>
    </w:rPr>
  </w:style>
  <w:style w:type="paragraph" w:styleId="13">
    <w:name w:val="HTML Preformatted"/>
    <w:basedOn w:val="1"/>
    <w:link w:val="30"/>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14">
    <w:name w:val="Body Text First Indent"/>
    <w:basedOn w:val="6"/>
    <w:next w:val="15"/>
    <w:qFormat/>
    <w:uiPriority w:val="0"/>
    <w:pPr>
      <w:spacing w:after="120"/>
      <w:ind w:firstLine="420" w:firstLineChars="100"/>
      <w:jc w:val="both"/>
    </w:pPr>
    <w:rPr>
      <w:rFonts w:ascii="Times New Roman" w:hAnsi="Times New Roman" w:eastAsia="宋体"/>
      <w:b w:val="0"/>
      <w:bCs w:val="0"/>
      <w:sz w:val="21"/>
      <w:szCs w:val="24"/>
    </w:rPr>
  </w:style>
  <w:style w:type="paragraph" w:styleId="15">
    <w:name w:val="Body Text First Indent 2"/>
    <w:basedOn w:val="7"/>
    <w:qFormat/>
    <w:uiPriority w:val="0"/>
    <w:pPr>
      <w:ind w:firstLine="420" w:firstLineChars="200"/>
    </w:pPr>
  </w:style>
  <w:style w:type="table" w:styleId="17">
    <w:name w:val="Table Grid"/>
    <w:basedOn w:val="16"/>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tcPr>
      <w:tcBorders>
        <w:top w:val="single" w:color="000000" w:sz="4" w:space="0"/>
        <w:left w:val="single" w:color="000000" w:sz="4" w:space="0"/>
        <w:bottom w:val="single" w:color="000000" w:sz="4" w:space="0"/>
        <w:right w:val="single" w:color="000000" w:sz="4" w:space="0"/>
      </w:tcBorders>
    </w:tcPr>
  </w:style>
  <w:style w:type="character" w:styleId="19">
    <w:name w:val="Strong"/>
    <w:basedOn w:val="18"/>
    <w:qFormat/>
    <w:uiPriority w:val="22"/>
    <w:rPr>
      <w:rFonts w:ascii="Times New Roman" w:hAnsi="Times New Roman" w:eastAsia="宋体" w:cs="Times New Roman"/>
      <w:b/>
      <w:bCs/>
    </w:rPr>
  </w:style>
  <w:style w:type="character" w:styleId="20">
    <w:name w:val="page number"/>
    <w:basedOn w:val="18"/>
    <w:qFormat/>
    <w:uiPriority w:val="0"/>
    <w:rPr>
      <w:rFonts w:ascii="Times New Roman" w:hAnsi="Times New Roman" w:eastAsia="宋体" w:cs="Times New Roman"/>
    </w:rPr>
  </w:style>
  <w:style w:type="character" w:styleId="21">
    <w:name w:val="Emphasis"/>
    <w:basedOn w:val="18"/>
    <w:qFormat/>
    <w:uiPriority w:val="20"/>
    <w:rPr>
      <w:rFonts w:ascii="Times New Roman" w:hAnsi="Times New Roman" w:eastAsia="宋体" w:cs="Times New Roman"/>
      <w:i/>
      <w:iCs/>
    </w:rPr>
  </w:style>
  <w:style w:type="character" w:styleId="22">
    <w:name w:val="Hyperlink"/>
    <w:basedOn w:val="18"/>
    <w:unhideWhenUsed/>
    <w:qFormat/>
    <w:uiPriority w:val="0"/>
    <w:rPr>
      <w:rFonts w:ascii="Times New Roman" w:hAnsi="Times New Roman" w:eastAsia="宋体" w:cs="Times New Roman"/>
      <w:color w:val="0000FF"/>
      <w:u w:val="single"/>
    </w:rPr>
  </w:style>
  <w:style w:type="character" w:customStyle="1" w:styleId="23">
    <w:name w:val="正文缩进 Char"/>
    <w:basedOn w:val="18"/>
    <w:link w:val="4"/>
    <w:autoRedefine/>
    <w:qFormat/>
    <w:locked/>
    <w:uiPriority w:val="0"/>
    <w:rPr>
      <w:rFonts w:ascii="Times New Roman" w:hAnsi="Times New Roman" w:eastAsia="宋体" w:cs="Times New Roman"/>
      <w:szCs w:val="20"/>
    </w:rPr>
  </w:style>
  <w:style w:type="character" w:customStyle="1" w:styleId="24">
    <w:name w:val="正文文本 Char"/>
    <w:basedOn w:val="18"/>
    <w:link w:val="6"/>
    <w:autoRedefine/>
    <w:qFormat/>
    <w:uiPriority w:val="0"/>
    <w:rPr>
      <w:rFonts w:ascii="幼圆" w:hAnsi="新宋体" w:eastAsia="幼圆" w:cs="Times New Roman"/>
      <w:b/>
      <w:bCs/>
      <w:sz w:val="84"/>
      <w:szCs w:val="20"/>
    </w:rPr>
  </w:style>
  <w:style w:type="character" w:customStyle="1" w:styleId="25">
    <w:name w:val="纯文本 Char1"/>
    <w:basedOn w:val="18"/>
    <w:link w:val="8"/>
    <w:autoRedefine/>
    <w:qFormat/>
    <w:uiPriority w:val="0"/>
    <w:rPr>
      <w:rFonts w:ascii="宋体" w:hAnsi="Courier New" w:eastAsia="宋体" w:cs="Times New Roman"/>
      <w:szCs w:val="20"/>
    </w:rPr>
  </w:style>
  <w:style w:type="character" w:customStyle="1" w:styleId="26">
    <w:name w:val="正文文本缩进 2 Char"/>
    <w:basedOn w:val="18"/>
    <w:link w:val="9"/>
    <w:autoRedefine/>
    <w:qFormat/>
    <w:uiPriority w:val="0"/>
    <w:rPr>
      <w:rFonts w:ascii="Times New Roman" w:hAnsi="Times New Roman" w:eastAsia="宋体" w:cs="Times New Roman"/>
      <w:szCs w:val="20"/>
    </w:rPr>
  </w:style>
  <w:style w:type="character" w:customStyle="1" w:styleId="27">
    <w:name w:val="批注框文本 Char"/>
    <w:basedOn w:val="18"/>
    <w:link w:val="10"/>
    <w:autoRedefine/>
    <w:semiHidden/>
    <w:qFormat/>
    <w:uiPriority w:val="99"/>
    <w:rPr>
      <w:rFonts w:ascii="Times New Roman" w:hAnsi="Times New Roman" w:eastAsia="宋体" w:cs="Times New Roman"/>
      <w:sz w:val="18"/>
      <w:szCs w:val="18"/>
    </w:rPr>
  </w:style>
  <w:style w:type="character" w:customStyle="1" w:styleId="28">
    <w:name w:val="页脚 Char"/>
    <w:basedOn w:val="18"/>
    <w:link w:val="11"/>
    <w:autoRedefine/>
    <w:qFormat/>
    <w:uiPriority w:val="0"/>
    <w:rPr>
      <w:rFonts w:ascii="Times New Roman" w:hAnsi="Times New Roman" w:eastAsia="宋体" w:cs="Times New Roman"/>
      <w:sz w:val="18"/>
      <w:szCs w:val="18"/>
    </w:rPr>
  </w:style>
  <w:style w:type="character" w:customStyle="1" w:styleId="29">
    <w:name w:val="页眉 Char"/>
    <w:basedOn w:val="18"/>
    <w:link w:val="12"/>
    <w:autoRedefine/>
    <w:qFormat/>
    <w:uiPriority w:val="0"/>
    <w:rPr>
      <w:rFonts w:ascii="Times New Roman" w:hAnsi="Times New Roman" w:eastAsia="宋体" w:cs="Times New Roman"/>
      <w:sz w:val="18"/>
      <w:szCs w:val="18"/>
    </w:rPr>
  </w:style>
  <w:style w:type="character" w:customStyle="1" w:styleId="30">
    <w:name w:val="HTML 预设格式 Char"/>
    <w:basedOn w:val="18"/>
    <w:link w:val="13"/>
    <w:autoRedefine/>
    <w:semiHidden/>
    <w:qFormat/>
    <w:uiPriority w:val="99"/>
    <w:rPr>
      <w:rFonts w:ascii="宋体" w:hAnsi="宋体" w:eastAsia="宋体" w:cs="宋体"/>
      <w:kern w:val="0"/>
      <w:sz w:val="24"/>
      <w:szCs w:val="24"/>
    </w:rPr>
  </w:style>
  <w:style w:type="character" w:customStyle="1" w:styleId="31">
    <w:name w:val="纯文本 Char"/>
    <w:basedOn w:val="18"/>
    <w:autoRedefine/>
    <w:qFormat/>
    <w:uiPriority w:val="0"/>
    <w:rPr>
      <w:rFonts w:ascii="宋体" w:hAnsi="Courier New" w:eastAsia="宋体" w:cs="Courier New"/>
      <w:kern w:val="2"/>
      <w:sz w:val="21"/>
      <w:szCs w:val="21"/>
    </w:rPr>
  </w:style>
  <w:style w:type="character" w:customStyle="1" w:styleId="32">
    <w:name w:val="apple-converted-space"/>
    <w:basedOn w:val="18"/>
    <w:qFormat/>
    <w:uiPriority w:val="0"/>
    <w:rPr>
      <w:rFonts w:ascii="Times New Roman" w:hAnsi="Times New Roman" w:eastAsia="宋体" w:cs="Times New Roman"/>
    </w:rPr>
  </w:style>
  <w:style w:type="character" w:customStyle="1" w:styleId="33">
    <w:name w:val="prc_air"/>
    <w:basedOn w:val="18"/>
    <w:qFormat/>
    <w:uiPriority w:val="0"/>
    <w:rPr>
      <w:rFonts w:ascii="Times New Roman" w:hAnsi="Times New Roman" w:eastAsia="宋体" w:cs="Times New Roman"/>
    </w:rPr>
  </w:style>
  <w:style w:type="character" w:customStyle="1" w:styleId="34">
    <w:name w:val="sp_dash"/>
    <w:basedOn w:val="18"/>
    <w:autoRedefine/>
    <w:qFormat/>
    <w:uiPriority w:val="0"/>
    <w:rPr>
      <w:rFonts w:ascii="Times New Roman" w:hAnsi="Times New Roman" w:eastAsia="宋体" w:cs="Times New Roman"/>
    </w:rPr>
  </w:style>
  <w:style w:type="paragraph" w:customStyle="1" w:styleId="35">
    <w:name w:val="p_airport"/>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36">
    <w:name w:val="p_rtax"/>
    <w:basedOn w:val="1"/>
    <w:qFormat/>
    <w:uiPriority w:val="0"/>
    <w:pPr>
      <w:widowControl/>
      <w:spacing w:before="100" w:beforeAutospacing="1" w:after="100" w:afterAutospacing="1"/>
      <w:jc w:val="left"/>
    </w:pPr>
    <w:rPr>
      <w:rFonts w:ascii="宋体" w:hAnsi="宋体" w:cs="宋体"/>
      <w:kern w:val="0"/>
      <w:sz w:val="24"/>
      <w:szCs w:val="24"/>
    </w:rPr>
  </w:style>
  <w:style w:type="paragraph" w:styleId="37">
    <w:name w:val="List Paragraph"/>
    <w:basedOn w:val="1"/>
    <w:qFormat/>
    <w:uiPriority w:val="34"/>
    <w:pPr>
      <w:widowControl/>
      <w:spacing w:before="100" w:beforeAutospacing="1" w:after="100" w:afterAutospacing="1"/>
      <w:jc w:val="left"/>
    </w:pPr>
    <w:rPr>
      <w:rFonts w:ascii="宋体" w:hAnsi="宋体" w:cs="宋体"/>
      <w:color w:val="000000"/>
      <w:kern w:val="0"/>
      <w:sz w:val="24"/>
      <w:szCs w:val="24"/>
    </w:rPr>
  </w:style>
  <w:style w:type="paragraph" w:customStyle="1" w:styleId="38">
    <w:name w:val="p_ct"/>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39">
    <w:name w:val="Default"/>
    <w:autoRedefine/>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40">
    <w:name w:val="p_date"/>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41">
    <w:name w:val="p_time"/>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42">
    <w:name w:val="_Style 35"/>
    <w:unhideWhenUsed/>
    <w:qFormat/>
    <w:uiPriority w:val="99"/>
    <w:rPr>
      <w:rFonts w:ascii="Times New Roman" w:hAnsi="Times New Roman" w:eastAsia="宋体" w:cs="Times New Roman"/>
      <w:kern w:val="2"/>
      <w:sz w:val="21"/>
      <w:szCs w:val="22"/>
      <w:lang w:val="en-US" w:eastAsia="zh-CN" w:bidi="ar-SA"/>
    </w:rPr>
  </w:style>
  <w:style w:type="paragraph" w:customStyle="1" w:styleId="43">
    <w:name w:val="p0"/>
    <w:basedOn w:val="1"/>
    <w:qFormat/>
    <w:uiPriority w:val="0"/>
    <w:pPr>
      <w:widowControl/>
    </w:pPr>
    <w:rPr>
      <w:kern w:val="0"/>
      <w:szCs w:val="21"/>
    </w:rPr>
  </w:style>
  <w:style w:type="paragraph" w:customStyle="1" w:styleId="44">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45">
    <w:name w:val="列出段落1"/>
    <w:basedOn w:val="1"/>
    <w:qFormat/>
    <w:uiPriority w:val="0"/>
    <w:pPr>
      <w:ind w:firstLine="420" w:firstLineChars="200"/>
    </w:pPr>
    <w:rPr>
      <w:szCs w:val="24"/>
    </w:rPr>
  </w:style>
  <w:style w:type="paragraph" w:customStyle="1" w:styleId="46">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47">
    <w:name w:val="正文（绿盟科技）"/>
    <w:basedOn w:val="1"/>
    <w:qFormat/>
    <w:uiPriority w:val="0"/>
    <w:pPr>
      <w:widowControl/>
      <w:spacing w:line="300" w:lineRule="auto"/>
      <w:jc w:val="left"/>
    </w:pPr>
    <w:rPr>
      <w:rFonts w:ascii="Arial" w:hAnsi="Arial"/>
      <w:kern w:val="0"/>
      <w:szCs w:val="21"/>
    </w:rPr>
  </w:style>
  <w:style w:type="paragraph" w:customStyle="1" w:styleId="48">
    <w:name w:val="*正文"/>
    <w:basedOn w:val="1"/>
    <w:qFormat/>
    <w:uiPriority w:val="0"/>
    <w:pPr>
      <w:spacing w:line="360" w:lineRule="auto"/>
      <w:ind w:firstLine="200" w:firstLineChars="200"/>
    </w:pPr>
    <w:rPr>
      <w:rFonts w:hint="eastAsia" w:ascii="宋体" w:hAnsi="宋体"/>
      <w:sz w:val="22"/>
    </w:rPr>
  </w:style>
  <w:style w:type="paragraph" w:customStyle="1" w:styleId="49">
    <w:name w:val="Heading2"/>
    <w:basedOn w:val="1"/>
    <w:next w:val="1"/>
    <w:qFormat/>
    <w:uiPriority w:val="0"/>
    <w:pPr>
      <w:textAlignment w:val="baseline"/>
    </w:pPr>
    <w:rPr>
      <w:rFonts w:ascii="等线" w:hAnsi="等线" w:eastAsia="等线"/>
      <w:sz w:val="3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image" Target="media/image2.png"/><Relationship Id="rId13" Type="http://schemas.openxmlformats.org/officeDocument/2006/relationships/image" Target="media/image1.png"/><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header" Target="head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60</Pages>
  <Words>32355</Words>
  <Characters>34800</Characters>
  <Lines>0</Lines>
  <Paragraphs>0</Paragraphs>
  <TotalTime>1</TotalTime>
  <ScaleCrop>false</ScaleCrop>
  <LinksUpToDate>false</LinksUpToDate>
  <CharactersWithSpaces>35581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2025-11-27T04:00:00Z</dcterms:created>
  <dc:creator>Dell</dc:creator>
  <cp:lastModifiedBy>WPS_1528123779</cp:lastModifiedBy>
  <dcterms:modified xsi:type="dcterms:W3CDTF">2025-11-27T04:09:09Z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eyJoZGlkIjoiODQ0NWY5YjE3NGYzMmZkYTI2NTFkNWYyOGEwODRiNzgiLCJ1c2VySWQiOiIzNzYwNDg2NTAifQ==</vt:lpwstr>
  </property>
  <property fmtid="{D5CDD505-2E9C-101B-9397-08002B2CF9AE}" pid="4" name="ICV">
    <vt:lpwstr>1566C4336689453E952022447E3B366F_12</vt:lpwstr>
  </property>
</Properties>
</file>