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59BE1">
      <w:pPr>
        <w:pStyle w:val="2"/>
        <w:tabs>
          <w:tab w:val="left" w:pos="0"/>
        </w:tabs>
        <w:autoSpaceDE w:val="0"/>
        <w:autoSpaceDN w:val="0"/>
        <w:adjustRightInd w:val="0"/>
        <w:spacing w:before="0" w:after="312" w:afterLines="100" w:line="360" w:lineRule="auto"/>
        <w:jc w:val="center"/>
        <w:rPr>
          <w:rFonts w:hint="eastAsia" w:ascii="华文中宋" w:hAnsi="华文中宋" w:eastAsia="华文中宋" w:cs="华文中宋"/>
          <w:color w:val="auto"/>
          <w:sz w:val="32"/>
          <w:szCs w:val="32"/>
          <w:highlight w:val="none"/>
        </w:rPr>
      </w:pPr>
      <w:bookmarkStart w:id="0" w:name="_Toc35393813"/>
      <w:r>
        <w:rPr>
          <w:rFonts w:hint="eastAsia" w:ascii="华文中宋" w:hAnsi="华文中宋" w:eastAsia="华文中宋" w:cs="华文中宋"/>
          <w:color w:val="auto"/>
          <w:sz w:val="32"/>
          <w:szCs w:val="32"/>
          <w:highlight w:val="none"/>
        </w:rPr>
        <w:t>厦门万翔-公开招标-XM2025-DZ0042-新建学生宿舍家具项目的更正公告</w:t>
      </w:r>
      <w:bookmarkEnd w:id="0"/>
    </w:p>
    <w:p w14:paraId="12EECFBB">
      <w:pPr>
        <w:pStyle w:val="3"/>
        <w:spacing w:line="360" w:lineRule="auto"/>
        <w:rPr>
          <w:rFonts w:hint="eastAsia" w:ascii="黑体" w:hAnsi="黑体" w:cs="黑体"/>
          <w:bCs w:val="0"/>
          <w:color w:val="auto"/>
          <w:sz w:val="24"/>
          <w:szCs w:val="24"/>
          <w:highlight w:val="none"/>
        </w:rPr>
      </w:pPr>
      <w:bookmarkStart w:id="1" w:name="_Toc35393645"/>
      <w:bookmarkStart w:id="2" w:name="_Toc28359104"/>
      <w:bookmarkStart w:id="3" w:name="_Toc35393814"/>
      <w:bookmarkStart w:id="4" w:name="_Toc28359027"/>
      <w:r>
        <w:rPr>
          <w:rFonts w:hint="eastAsia" w:ascii="黑体" w:hAnsi="黑体" w:cs="黑体"/>
          <w:bCs w:val="0"/>
          <w:color w:val="auto"/>
          <w:sz w:val="24"/>
          <w:szCs w:val="24"/>
          <w:highlight w:val="none"/>
        </w:rPr>
        <w:t>一、项目基本情况</w:t>
      </w:r>
      <w:bookmarkEnd w:id="1"/>
      <w:bookmarkEnd w:id="2"/>
      <w:bookmarkEnd w:id="3"/>
      <w:bookmarkEnd w:id="4"/>
    </w:p>
    <w:p w14:paraId="2440DB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原公告的采购项目编号：</w:t>
      </w:r>
      <w:r>
        <w:rPr>
          <w:rFonts w:hint="eastAsia" w:ascii="宋体" w:hAnsi="宋体" w:cs="宋体"/>
          <w:color w:val="auto"/>
          <w:sz w:val="24"/>
          <w:szCs w:val="24"/>
          <w:highlight w:val="none"/>
          <w:u w:val="single"/>
        </w:rPr>
        <w:t>XM2025-DZ0042</w:t>
      </w:r>
    </w:p>
    <w:p w14:paraId="4F004A5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原公告的采购项目名称：</w:t>
      </w:r>
      <w:r>
        <w:rPr>
          <w:rFonts w:hint="eastAsia" w:ascii="宋体" w:hAnsi="宋体" w:cs="宋体"/>
          <w:color w:val="auto"/>
          <w:sz w:val="24"/>
          <w:szCs w:val="24"/>
          <w:highlight w:val="none"/>
          <w:u w:val="single"/>
        </w:rPr>
        <w:t>新建学生宿舍家具</w:t>
      </w:r>
    </w:p>
    <w:p w14:paraId="765469D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首次公告日期：</w:t>
      </w:r>
      <w:r>
        <w:rPr>
          <w:rFonts w:hint="eastAsia" w:ascii="宋体" w:hAnsi="宋体" w:cs="宋体"/>
          <w:color w:val="auto"/>
          <w:sz w:val="24"/>
          <w:szCs w:val="24"/>
          <w:highlight w:val="none"/>
          <w:u w:val="single"/>
        </w:rPr>
        <w:t>2025年11月17日</w:t>
      </w:r>
    </w:p>
    <w:p w14:paraId="747A6FAB">
      <w:pPr>
        <w:pStyle w:val="3"/>
        <w:spacing w:line="360" w:lineRule="auto"/>
        <w:rPr>
          <w:rFonts w:hint="eastAsia" w:ascii="黑体" w:hAnsi="黑体" w:cs="黑体"/>
          <w:bCs w:val="0"/>
          <w:color w:val="auto"/>
          <w:sz w:val="24"/>
          <w:szCs w:val="24"/>
          <w:highlight w:val="none"/>
        </w:rPr>
      </w:pPr>
      <w:bookmarkStart w:id="5" w:name="_Toc28359105"/>
      <w:bookmarkStart w:id="6" w:name="_Toc35393646"/>
      <w:bookmarkStart w:id="7" w:name="_Toc35393815"/>
      <w:bookmarkStart w:id="8" w:name="_Toc28359028"/>
      <w:r>
        <w:rPr>
          <w:rFonts w:hint="eastAsia" w:ascii="黑体" w:hAnsi="黑体" w:cs="黑体"/>
          <w:bCs w:val="0"/>
          <w:color w:val="auto"/>
          <w:sz w:val="24"/>
          <w:szCs w:val="24"/>
          <w:highlight w:val="none"/>
        </w:rPr>
        <w:t>二、更正信息</w:t>
      </w:r>
      <w:bookmarkEnd w:id="5"/>
      <w:bookmarkEnd w:id="6"/>
      <w:bookmarkEnd w:id="7"/>
      <w:bookmarkEnd w:id="8"/>
    </w:p>
    <w:p w14:paraId="798C750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更正事项：☑采购文件</w:t>
      </w:r>
    </w:p>
    <w:p w14:paraId="2ECD48B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更正内容：</w:t>
      </w:r>
    </w:p>
    <w:p w14:paraId="03D3F383">
      <w:pPr>
        <w:tabs>
          <w:tab w:val="left" w:pos="-1080"/>
          <w:tab w:val="left" w:pos="180"/>
          <w:tab w:val="left" w:pos="1080"/>
        </w:tabs>
        <w:spacing w:line="360" w:lineRule="auto"/>
        <w:rPr>
          <w:rFonts w:hint="eastAsia"/>
          <w:color w:val="auto"/>
          <w:highlight w:val="none"/>
        </w:rPr>
      </w:pPr>
      <w:r>
        <w:rPr>
          <w:rFonts w:hint="eastAsia" w:ascii="宋体" w:hAnsi="宋体" w:cs="宋体"/>
          <w:b/>
          <w:color w:val="auto"/>
          <w:sz w:val="24"/>
          <w:szCs w:val="24"/>
          <w:highlight w:val="none"/>
        </w:rPr>
        <w:t>（一）招标文件评标标准、权重中</w:t>
      </w:r>
      <w:r>
        <w:rPr>
          <w:rFonts w:hint="eastAsia" w:ascii="宋体" w:hAnsi="宋体" w:cs="宋体"/>
          <w:color w:val="auto"/>
          <w:sz w:val="24"/>
          <w:szCs w:val="24"/>
          <w:highlight w:val="none"/>
        </w:rPr>
        <w:t>技术评分(F1)</w:t>
      </w:r>
    </w:p>
    <w:p w14:paraId="629EF0E9">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1-4、1-5、1-6、1-8、1-9、1-12更改为下述内容：</w:t>
      </w:r>
    </w:p>
    <w:tbl>
      <w:tblPr>
        <w:tblStyle w:val="4"/>
        <w:tblW w:w="9431" w:type="dxa"/>
        <w:jc w:val="center"/>
        <w:tblLayout w:type="fixed"/>
        <w:tblCellMar>
          <w:top w:w="0" w:type="dxa"/>
          <w:left w:w="108" w:type="dxa"/>
          <w:bottom w:w="0" w:type="dxa"/>
          <w:right w:w="108" w:type="dxa"/>
        </w:tblCellMar>
      </w:tblPr>
      <w:tblGrid>
        <w:gridCol w:w="727"/>
        <w:gridCol w:w="7812"/>
        <w:gridCol w:w="892"/>
      </w:tblGrid>
      <w:tr w14:paraId="2A0C2841">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3E8ACE6D">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7812" w:type="dxa"/>
            <w:tcBorders>
              <w:top w:val="single" w:color="auto" w:sz="4" w:space="0"/>
              <w:left w:val="single" w:color="auto" w:sz="4" w:space="0"/>
              <w:bottom w:val="single" w:color="auto" w:sz="4" w:space="0"/>
              <w:right w:val="single" w:color="auto" w:sz="4" w:space="0"/>
            </w:tcBorders>
            <w:noWrap w:val="0"/>
            <w:vAlign w:val="center"/>
          </w:tcPr>
          <w:p w14:paraId="76B27BF8">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细则内容</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36050BB0">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满分</w:t>
            </w:r>
          </w:p>
          <w:p w14:paraId="49B137A7">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分值</w:t>
            </w:r>
          </w:p>
        </w:tc>
      </w:tr>
      <w:tr w14:paraId="134CA436">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46B5C0B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7812" w:type="dxa"/>
            <w:tcBorders>
              <w:top w:val="single" w:color="auto" w:sz="4" w:space="0"/>
              <w:left w:val="single" w:color="auto" w:sz="4" w:space="0"/>
              <w:bottom w:val="single" w:color="auto" w:sz="4" w:space="0"/>
              <w:right w:val="single" w:color="auto" w:sz="4" w:space="0"/>
            </w:tcBorders>
            <w:noWrap w:val="0"/>
            <w:vAlign w:val="top"/>
          </w:tcPr>
          <w:p w14:paraId="75229B9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投标人所投货物所使用的三合一偏心连接件,提供由第三方检测机构出具的检测报告，检测项目内容至少包含以下项目:①三合一偏心连接件偏心体抗压强度应</w:t>
            </w:r>
            <w:r>
              <w:rPr>
                <w:rFonts w:hint="eastAsia" w:ascii="宋体" w:hAnsi="宋体" w:cs="宋体"/>
                <w:color w:val="auto"/>
                <w:sz w:val="24"/>
                <w:highlight w:val="none"/>
              </w:rPr>
              <w:t>≥</w:t>
            </w:r>
            <w:r>
              <w:rPr>
                <w:rFonts w:hint="eastAsia" w:ascii="宋体" w:hAnsi="宋体" w:cs="宋体"/>
                <w:color w:val="auto"/>
                <w:kern w:val="0"/>
                <w:sz w:val="24"/>
                <w:highlight w:val="none"/>
              </w:rPr>
              <w:t>320N；②三合一偏心连接件预埋螺母抗拉强度应</w:t>
            </w:r>
            <w:r>
              <w:rPr>
                <w:rFonts w:hint="eastAsia" w:ascii="宋体" w:hAnsi="宋体" w:cs="宋体"/>
                <w:color w:val="auto"/>
                <w:sz w:val="24"/>
                <w:highlight w:val="none"/>
              </w:rPr>
              <w:t>≥</w:t>
            </w:r>
            <w:r>
              <w:rPr>
                <w:rFonts w:hint="eastAsia" w:ascii="宋体" w:hAnsi="宋体" w:cs="宋体"/>
                <w:color w:val="auto"/>
                <w:kern w:val="0"/>
                <w:sz w:val="24"/>
                <w:highlight w:val="none"/>
              </w:rPr>
              <w:t>630N；③三合一偏心连接件中连接螺杆螺纹与预埋螺母的抗拉强度应</w:t>
            </w:r>
            <w:r>
              <w:rPr>
                <w:rFonts w:hint="eastAsia" w:ascii="宋体" w:hAnsi="宋体" w:cs="宋体"/>
                <w:color w:val="auto"/>
                <w:sz w:val="24"/>
                <w:highlight w:val="none"/>
              </w:rPr>
              <w:t>≥</w:t>
            </w:r>
            <w:r>
              <w:rPr>
                <w:rFonts w:hint="eastAsia" w:ascii="宋体" w:hAnsi="宋体" w:cs="宋体"/>
                <w:color w:val="auto"/>
                <w:kern w:val="0"/>
                <w:sz w:val="24"/>
                <w:highlight w:val="none"/>
              </w:rPr>
              <w:t>810N；④乙酸盐雾测试连续雾至少120小时，检测结果</w:t>
            </w:r>
            <w:r>
              <w:rPr>
                <w:rFonts w:hint="eastAsia" w:ascii="宋体" w:hAnsi="宋体" w:cs="宋体"/>
                <w:color w:val="auto"/>
                <w:sz w:val="24"/>
                <w:highlight w:val="none"/>
              </w:rPr>
              <w:t>≥</w:t>
            </w:r>
            <w:r>
              <w:rPr>
                <w:rFonts w:hint="eastAsia" w:ascii="宋体" w:hAnsi="宋体" w:cs="宋体"/>
                <w:color w:val="auto"/>
                <w:kern w:val="0"/>
                <w:sz w:val="24"/>
                <w:highlight w:val="none"/>
              </w:rPr>
              <w:t>10级；⑤外观性能要求:电镀件应无露底、毛刺、镀层脱落、锈蚀等；应无起泡、烧焦，无光泽（整体异色）、针孔、裂纹、斑点等。完全满足以上所有要求且检测结论为合格的得3分；满足以上部分要求且检测结论为合格的得1分；未提供报告或报告检测结论不合格的不得分。</w:t>
            </w:r>
          </w:p>
          <w:p w14:paraId="0002943F">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注:须提供具有检测机构资质标识(CMA或CNAS)的第三方检测机构出具的检测(检验)报告(并盖有检测专用章)复印件，须提供检测报告查询网址或真伪查询二维码，否则不予认可。</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5CFCC2E0">
            <w:pPr>
              <w:spacing w:line="360" w:lineRule="auto"/>
              <w:jc w:val="center"/>
              <w:rPr>
                <w:rFonts w:hint="eastAsia" w:ascii="宋体" w:hAnsi="宋体"/>
                <w:bCs/>
                <w:color w:val="auto"/>
                <w:sz w:val="24"/>
                <w:highlight w:val="none"/>
              </w:rPr>
            </w:pPr>
            <w:r>
              <w:rPr>
                <w:rFonts w:hint="eastAsia" w:ascii="宋体" w:hAnsi="宋体"/>
                <w:bCs/>
                <w:color w:val="auto"/>
                <w:sz w:val="24"/>
                <w:highlight w:val="none"/>
              </w:rPr>
              <w:t>3</w:t>
            </w:r>
          </w:p>
        </w:tc>
      </w:tr>
      <w:tr w14:paraId="7A21BB50">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472A311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7812" w:type="dxa"/>
            <w:tcBorders>
              <w:top w:val="single" w:color="auto" w:sz="4" w:space="0"/>
              <w:left w:val="single" w:color="auto" w:sz="4" w:space="0"/>
              <w:bottom w:val="single" w:color="auto" w:sz="4" w:space="0"/>
              <w:right w:val="single" w:color="auto" w:sz="4" w:space="0"/>
            </w:tcBorders>
            <w:noWrap w:val="0"/>
            <w:vAlign w:val="top"/>
          </w:tcPr>
          <w:p w14:paraId="49EAC041">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投标人所投</w:t>
            </w:r>
            <w:r>
              <w:rPr>
                <w:rFonts w:hint="eastAsia" w:ascii="宋体" w:hAnsi="宋体" w:cs="宋体"/>
                <w:bCs/>
                <w:color w:val="auto"/>
                <w:sz w:val="24"/>
                <w:highlight w:val="none"/>
              </w:rPr>
              <w:t>衣柜（覆面）</w:t>
            </w:r>
            <w:r>
              <w:rPr>
                <w:rFonts w:hint="eastAsia" w:ascii="宋体" w:hAnsi="宋体" w:cs="宋体"/>
                <w:color w:val="auto"/>
                <w:kern w:val="0"/>
                <w:sz w:val="24"/>
                <w:highlight w:val="none"/>
              </w:rPr>
              <w:t>,提供由第三方检测机构出具的检测报告，检测项目内容至少包含以下项目:</w:t>
            </w:r>
            <w:r>
              <w:rPr>
                <w:rFonts w:hint="eastAsia" w:ascii="宋体" w:hAnsi="宋体" w:cs="宋体"/>
                <w:color w:val="auto"/>
                <w:sz w:val="24"/>
                <w:highlight w:val="none"/>
              </w:rPr>
              <w:t>①软硬质覆面人造板：干花、湿花：外表应无干花、湿花，内表干花、湿花面积≤板面的 5%；污斑：同一板面外表，允许 1 处，面积在 3 mm</w:t>
            </w:r>
            <w:r>
              <w:rPr>
                <w:rFonts w:hint="eastAsia" w:ascii="宋体" w:hAnsi="宋体" w:cs="宋体"/>
                <w:color w:val="auto"/>
                <w:sz w:val="24"/>
                <w:highlight w:val="none"/>
                <w:vertAlign w:val="superscript"/>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30 mm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内；外表应无明显划痕、压痕、变色；外表应无鼓泡、鼓包、龟裂、分层；皱纹、疵点：应无明显皱纹、疵点；②家具五金件外观：包含电镀件、金属合金件；③软硬质覆面理化性能：包含耐冷热循环、耐划痕、表面耐磨性都符合要求；耐干热、耐湿热、耐污染性能、抗冲击都不低于3级；耐光色牢度达到4级；④柜类强度和耐久性、柜类稳定性；⑤甲醛释放量（气候箱法）≤0.124mg/m³；</w:t>
            </w:r>
          </w:p>
          <w:p w14:paraId="29AA1BFA">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完全满足以上所有要求且检测结论为合格的得3分；满足以上部分要求且检测结论为合格的得1分；未提供报告或报告检测结论不合格的不得分。</w:t>
            </w:r>
          </w:p>
          <w:p w14:paraId="712F778C">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注:须提供具有检测机构资质标识(CMA或CNAS)的第三方检测机构出具的检测(检验)报告(并盖有检测专用章)复印件，须提供检测报告查询网址或真伪查询二维码，否则不予认可。</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0FF35219">
            <w:pPr>
              <w:spacing w:line="360" w:lineRule="auto"/>
              <w:jc w:val="center"/>
              <w:rPr>
                <w:rFonts w:hint="eastAsia" w:ascii="宋体" w:hAnsi="宋体"/>
                <w:bCs/>
                <w:color w:val="auto"/>
                <w:sz w:val="24"/>
                <w:highlight w:val="none"/>
              </w:rPr>
            </w:pPr>
            <w:r>
              <w:rPr>
                <w:rFonts w:hint="eastAsia" w:ascii="宋体" w:hAnsi="宋体"/>
                <w:bCs/>
                <w:color w:val="auto"/>
                <w:sz w:val="24"/>
                <w:highlight w:val="none"/>
              </w:rPr>
              <w:t>3</w:t>
            </w:r>
          </w:p>
        </w:tc>
      </w:tr>
      <w:tr w14:paraId="71640079">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2FD63C4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7812" w:type="dxa"/>
            <w:tcBorders>
              <w:top w:val="single" w:color="auto" w:sz="4" w:space="0"/>
              <w:left w:val="single" w:color="auto" w:sz="4" w:space="0"/>
              <w:bottom w:val="single" w:color="auto" w:sz="4" w:space="0"/>
              <w:right w:val="single" w:color="auto" w:sz="4" w:space="0"/>
            </w:tcBorders>
            <w:noWrap w:val="0"/>
            <w:vAlign w:val="center"/>
          </w:tcPr>
          <w:p w14:paraId="6898512A">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投标人所投</w:t>
            </w:r>
            <w:r>
              <w:rPr>
                <w:rFonts w:hint="eastAsia" w:ascii="宋体" w:hAnsi="宋体" w:cs="宋体"/>
                <w:color w:val="auto"/>
                <w:sz w:val="24"/>
                <w:highlight w:val="none"/>
              </w:rPr>
              <w:t>储物柜（覆面）</w:t>
            </w:r>
            <w:r>
              <w:rPr>
                <w:rFonts w:hint="eastAsia" w:ascii="宋体" w:hAnsi="宋体" w:cs="宋体"/>
                <w:color w:val="auto"/>
                <w:kern w:val="0"/>
                <w:sz w:val="24"/>
                <w:highlight w:val="none"/>
              </w:rPr>
              <w:t>,提供由第三方检测机构出具的检测报告，检测项目内容至少包含以下项目:</w:t>
            </w:r>
            <w:r>
              <w:rPr>
                <w:rFonts w:hint="eastAsia" w:ascii="宋体" w:hAnsi="宋体" w:cs="宋体"/>
                <w:color w:val="auto"/>
                <w:sz w:val="24"/>
                <w:highlight w:val="none"/>
              </w:rPr>
              <w:t>①软硬质覆面人造板：干花、湿花：外表应无干花、湿花，内表干花、湿花面积≤板面的 5%；污斑：同一板面外表，允许 1 处，面积在 3 mm</w:t>
            </w:r>
            <w:r>
              <w:rPr>
                <w:rFonts w:hint="eastAsia" w:ascii="宋体" w:hAnsi="宋体" w:cs="宋体"/>
                <w:color w:val="auto"/>
                <w:sz w:val="24"/>
                <w:highlight w:val="none"/>
                <w:vertAlign w:val="superscript"/>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30 mm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内；外表应无明显划痕、压痕、变色；外表应无鼓泡、鼓包、龟裂、分层；皱纹、疵点：应无明显皱纹、疵点；②家具五金件外观：包含电镀件、金属合金件；③结构安全性；④软硬质覆面理化性能：包含耐冷热循环、耐划痕、表面耐磨性都符合要求；耐干热、耐湿热、耐污染性能、抗冲击都不低于3级；耐光色牢度都达到4级；⑤柜类强度和耐久性、柜类稳定性；⑥甲醛释放量（气候箱法）≤0.05mg/m³；</w:t>
            </w:r>
          </w:p>
          <w:p w14:paraId="75E265FE">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完全满足以上所有要求且检测结论为合格的得3分；满足以上部分要求且检测结论为合格的得1分；未提供报告或报告检测结论不合格的不得分。</w:t>
            </w:r>
          </w:p>
          <w:p w14:paraId="183B5699">
            <w:pPr>
              <w:tabs>
                <w:tab w:val="left" w:pos="720"/>
              </w:tabs>
              <w:spacing w:line="360" w:lineRule="auto"/>
              <w:ind w:right="18"/>
              <w:rPr>
                <w:rFonts w:hint="eastAsia" w:ascii="宋体" w:hAnsi="宋体" w:cs="宋体"/>
                <w:color w:val="auto"/>
                <w:sz w:val="24"/>
                <w:highlight w:val="none"/>
              </w:rPr>
            </w:pPr>
            <w:r>
              <w:rPr>
                <w:rFonts w:hint="eastAsia" w:ascii="宋体" w:hAnsi="宋体" w:cs="宋体"/>
                <w:color w:val="auto"/>
                <w:kern w:val="0"/>
                <w:sz w:val="24"/>
                <w:highlight w:val="none"/>
              </w:rPr>
              <w:t>注:须提供具有检测机构资质标识(CMA或CNAS)的第三方检测机构出具的检测(检验)报告(并盖有检测专用章)复印件，须提供检测报告查询网址或真伪查询二维码，否则不予认可。</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624283E4">
            <w:pPr>
              <w:tabs>
                <w:tab w:val="left" w:pos="720"/>
              </w:tabs>
              <w:spacing w:line="360" w:lineRule="auto"/>
              <w:ind w:right="18"/>
              <w:jc w:val="center"/>
              <w:rPr>
                <w:rFonts w:hint="eastAsia" w:ascii="宋体" w:hAnsi="宋体" w:cs="宋体"/>
                <w:color w:val="auto"/>
                <w:sz w:val="24"/>
                <w:highlight w:val="none"/>
              </w:rPr>
            </w:pPr>
            <w:r>
              <w:rPr>
                <w:rFonts w:hint="eastAsia" w:ascii="宋体" w:hAnsi="宋体"/>
                <w:bCs/>
                <w:color w:val="auto"/>
                <w:sz w:val="24"/>
                <w:highlight w:val="none"/>
              </w:rPr>
              <w:t>3</w:t>
            </w:r>
          </w:p>
        </w:tc>
      </w:tr>
      <w:tr w14:paraId="389CCDE8">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5EA57F5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7812" w:type="dxa"/>
            <w:tcBorders>
              <w:top w:val="single" w:color="auto" w:sz="4" w:space="0"/>
              <w:left w:val="single" w:color="auto" w:sz="4" w:space="0"/>
              <w:bottom w:val="single" w:color="auto" w:sz="4" w:space="0"/>
              <w:right w:val="single" w:color="auto" w:sz="4" w:space="0"/>
            </w:tcBorders>
            <w:noWrap w:val="0"/>
            <w:vAlign w:val="center"/>
          </w:tcPr>
          <w:p w14:paraId="340C33CC">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投标人所投</w:t>
            </w:r>
            <w:r>
              <w:rPr>
                <w:rFonts w:hint="eastAsia" w:ascii="宋体" w:hAnsi="宋体"/>
                <w:bCs/>
                <w:color w:val="auto"/>
                <w:sz w:val="24"/>
                <w:highlight w:val="none"/>
              </w:rPr>
              <w:t>公寓椅</w:t>
            </w:r>
            <w:r>
              <w:rPr>
                <w:rFonts w:hint="eastAsia" w:ascii="宋体" w:hAnsi="宋体" w:cs="宋体"/>
                <w:color w:val="auto"/>
                <w:kern w:val="0"/>
                <w:sz w:val="24"/>
                <w:highlight w:val="none"/>
              </w:rPr>
              <w:t>,提供由第三方检测机构出具的检测报告，检测项目内容至少包含以下项目:</w:t>
            </w:r>
            <w:r>
              <w:rPr>
                <w:rFonts w:hint="eastAsia" w:ascii="宋体" w:hAnsi="宋体" w:cs="宋体"/>
                <w:color w:val="auto"/>
                <w:sz w:val="24"/>
                <w:highlight w:val="none"/>
              </w:rPr>
              <w:t>①金属件外观性能要求：包含管材、电镀件、焊接件、冲压件、铸造件、铆接件、喷漆（塑）涂层、合金件等其他</w:t>
            </w:r>
          </w:p>
          <w:p w14:paraId="028C6F75">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金属件</w:t>
            </w:r>
            <w:r>
              <w:rPr>
                <w:rFonts w:hint="eastAsia" w:ascii="宋体" w:hAnsi="宋体" w:cs="宋体"/>
                <w:bCs/>
                <w:color w:val="auto"/>
                <w:sz w:val="24"/>
                <w:highlight w:val="none"/>
              </w:rPr>
              <w:t>均</w:t>
            </w:r>
            <w:r>
              <w:rPr>
                <w:rFonts w:hint="eastAsia" w:ascii="宋体" w:hAnsi="宋体" w:cs="宋体"/>
                <w:color w:val="auto"/>
                <w:sz w:val="24"/>
                <w:highlight w:val="none"/>
              </w:rPr>
              <w:t>符合要求；②安全性能要求：包含固定零部件的结合应牢固无松动,应无少件、透钉、漏钉；正常使用时,其他部件表面应无锐边、锐角；③金属喷漆（塑）涂层理化性能：包含耐盐浴、冲击强度</w:t>
            </w:r>
            <w:r>
              <w:rPr>
                <w:rFonts w:hint="eastAsia" w:ascii="宋体" w:hAnsi="宋体" w:cs="宋体"/>
                <w:bCs/>
                <w:color w:val="auto"/>
                <w:sz w:val="24"/>
                <w:highlight w:val="none"/>
              </w:rPr>
              <w:t>（冲击高度400mm）均</w:t>
            </w:r>
            <w:r>
              <w:rPr>
                <w:rFonts w:hint="eastAsia" w:ascii="宋体" w:hAnsi="宋体" w:cs="宋体"/>
                <w:color w:val="auto"/>
                <w:sz w:val="24"/>
                <w:highlight w:val="none"/>
              </w:rPr>
              <w:t>符合要求、附着力达到1级、硬度≥3H；④椅凳类强度和耐久性：包含椅背冲击、座面冲击、椅背静载荷、座面静载荷；⑤椅凳类稳定性：包含椅子向前倾翻试验、无扶手椅侧向倾翻试验、椅子向后倾翻试验；⑥甲醛释放量（气候箱法）≤0.05mg/m³；⑦金属表面耐腐蚀—中性盐雾连续喷雾至少240小时，达10级；</w:t>
            </w:r>
          </w:p>
          <w:p w14:paraId="6CC188BF">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完全满足以上所有要求且检测结论为合格的得3分；满足以上部分要求且检测结论为合格的得1分；未提供报告或报告检测结论不合格的不得分。</w:t>
            </w:r>
          </w:p>
          <w:p w14:paraId="704F9A5B">
            <w:pPr>
              <w:tabs>
                <w:tab w:val="left" w:pos="720"/>
              </w:tabs>
              <w:spacing w:line="360" w:lineRule="auto"/>
              <w:ind w:right="18"/>
              <w:rPr>
                <w:rFonts w:hint="eastAsia" w:ascii="宋体" w:hAnsi="宋体" w:cs="宋体"/>
                <w:color w:val="auto"/>
                <w:kern w:val="0"/>
                <w:sz w:val="24"/>
                <w:highlight w:val="none"/>
              </w:rPr>
            </w:pPr>
            <w:r>
              <w:rPr>
                <w:rFonts w:hint="eastAsia" w:ascii="宋体" w:hAnsi="宋体" w:cs="宋体"/>
                <w:color w:val="auto"/>
                <w:kern w:val="0"/>
                <w:sz w:val="24"/>
                <w:highlight w:val="none"/>
              </w:rPr>
              <w:t>注:须提供具有检测机构资质标识(CMA或CNAS)的第三方检测机构出具的检测(检验)报告(并盖有检测专用章)复印件，须提供检测报告查询网址或真伪查询二维码，否则不予认可。</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55476286">
            <w:pPr>
              <w:tabs>
                <w:tab w:val="left" w:pos="720"/>
              </w:tabs>
              <w:spacing w:line="360" w:lineRule="auto"/>
              <w:ind w:right="18"/>
              <w:jc w:val="center"/>
              <w:rPr>
                <w:rFonts w:hint="eastAsia" w:ascii="宋体" w:hAnsi="宋体"/>
                <w:bCs/>
                <w:color w:val="auto"/>
                <w:sz w:val="24"/>
                <w:highlight w:val="none"/>
              </w:rPr>
            </w:pPr>
            <w:r>
              <w:rPr>
                <w:rFonts w:hint="eastAsia" w:ascii="宋体" w:hAnsi="宋体"/>
                <w:bCs/>
                <w:color w:val="auto"/>
                <w:sz w:val="24"/>
                <w:highlight w:val="none"/>
              </w:rPr>
              <w:t>3</w:t>
            </w:r>
          </w:p>
        </w:tc>
      </w:tr>
      <w:tr w14:paraId="7A607D8D">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7A8B674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1-9</w:t>
            </w:r>
          </w:p>
        </w:tc>
        <w:tc>
          <w:tcPr>
            <w:tcW w:w="7812" w:type="dxa"/>
            <w:tcBorders>
              <w:top w:val="single" w:color="auto" w:sz="4" w:space="0"/>
              <w:left w:val="single" w:color="auto" w:sz="4" w:space="0"/>
              <w:bottom w:val="single" w:color="auto" w:sz="4" w:space="0"/>
              <w:right w:val="single" w:color="auto" w:sz="4" w:space="0"/>
            </w:tcBorders>
            <w:noWrap w:val="0"/>
            <w:vAlign w:val="center"/>
          </w:tcPr>
          <w:p w14:paraId="50A1433E">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投标人所投</w:t>
            </w:r>
            <w:r>
              <w:rPr>
                <w:rFonts w:hint="eastAsia" w:ascii="宋体" w:hAnsi="宋体" w:cs="宋体"/>
                <w:color w:val="auto"/>
                <w:sz w:val="24"/>
                <w:highlight w:val="none"/>
              </w:rPr>
              <w:t>书桌</w:t>
            </w:r>
            <w:r>
              <w:rPr>
                <w:rFonts w:hint="eastAsia" w:ascii="宋体" w:hAnsi="宋体" w:cs="宋体"/>
                <w:color w:val="auto"/>
                <w:kern w:val="0"/>
                <w:sz w:val="24"/>
                <w:highlight w:val="none"/>
              </w:rPr>
              <w:t>（覆面）,提供由第三方检测机构出具的检测报告，检测项目内容至少包含以下项目:</w:t>
            </w:r>
            <w:r>
              <w:rPr>
                <w:rFonts w:hint="eastAsia" w:ascii="宋体" w:hAnsi="宋体" w:cs="宋体"/>
                <w:color w:val="auto"/>
                <w:sz w:val="24"/>
                <w:highlight w:val="none"/>
              </w:rPr>
              <w:t>①软硬质覆面人造板：干花、湿花：外表应无干花、湿花，内表干花、湿花面积≤板面的 5%；污斑：同一板面外表，允许 1 处，面积在 3 mm</w:t>
            </w:r>
            <w:r>
              <w:rPr>
                <w:rFonts w:hint="eastAsia" w:ascii="宋体" w:hAnsi="宋体" w:cs="宋体"/>
                <w:color w:val="auto"/>
                <w:sz w:val="24"/>
                <w:highlight w:val="none"/>
                <w:vertAlign w:val="superscript"/>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30 mm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内；外表应无明显划痕、压痕、变色；外表应无鼓泡、鼓包、龟裂、分层；皱纹、疵点：应无明显皱纹、疵点；②家具五金件外观：包含电镀件、金属合金件；③软硬质覆面理化性能：包含耐冷热循环、耐划痕、表面耐磨性都符合要求；耐干热、耐湿热、耐污染性能、抗冲击都不低于3级；耐光色牢度都达到4级；④桌类强度和耐久性、桌类稳定性；⑤甲醛释放量（气候箱法）≤0.124mg/m³</w:t>
            </w:r>
            <w:r>
              <w:rPr>
                <w:rFonts w:hint="eastAsia" w:ascii="宋体" w:hAnsi="宋体" w:cs="宋体"/>
                <w:color w:val="auto"/>
                <w:highlight w:val="none"/>
              </w:rPr>
              <w:t>；</w:t>
            </w:r>
          </w:p>
          <w:p w14:paraId="3ACFBD7E">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完全满足以上所有要求且检测结论为合格的得3分；满足以上部分要求且检测结论为合格的得1分；未提供报告或报告检测结论不合格的不得分。</w:t>
            </w:r>
          </w:p>
          <w:p w14:paraId="57F3600C">
            <w:pPr>
              <w:tabs>
                <w:tab w:val="left" w:pos="720"/>
              </w:tabs>
              <w:spacing w:line="360" w:lineRule="auto"/>
              <w:ind w:right="18"/>
              <w:rPr>
                <w:rFonts w:hint="eastAsia" w:ascii="宋体" w:hAnsi="宋体" w:cs="宋体"/>
                <w:color w:val="auto"/>
                <w:kern w:val="0"/>
                <w:sz w:val="24"/>
                <w:highlight w:val="none"/>
              </w:rPr>
            </w:pPr>
            <w:r>
              <w:rPr>
                <w:rFonts w:hint="eastAsia" w:ascii="宋体" w:hAnsi="宋体" w:cs="宋体"/>
                <w:color w:val="auto"/>
                <w:kern w:val="0"/>
                <w:sz w:val="24"/>
                <w:highlight w:val="none"/>
              </w:rPr>
              <w:t>注:须提供具有检测机构资质标识(CMA或CNAS)的第三方检测机构出具的检测(检验)报告(并盖有检测专用章)复印件，须提供检测报告查询网址或真伪查询二维码，否则不予认可。</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5B2DF8A5">
            <w:pPr>
              <w:tabs>
                <w:tab w:val="left" w:pos="720"/>
              </w:tabs>
              <w:spacing w:line="360" w:lineRule="auto"/>
              <w:ind w:right="18"/>
              <w:jc w:val="center"/>
              <w:rPr>
                <w:rFonts w:hint="eastAsia" w:ascii="宋体" w:hAnsi="宋体"/>
                <w:bCs/>
                <w:color w:val="auto"/>
                <w:sz w:val="24"/>
                <w:highlight w:val="none"/>
              </w:rPr>
            </w:pPr>
            <w:r>
              <w:rPr>
                <w:rFonts w:hint="eastAsia" w:ascii="宋体" w:hAnsi="宋体"/>
                <w:bCs/>
                <w:color w:val="auto"/>
                <w:sz w:val="24"/>
                <w:highlight w:val="none"/>
              </w:rPr>
              <w:t>3</w:t>
            </w:r>
          </w:p>
        </w:tc>
      </w:tr>
      <w:tr w14:paraId="1FA404AD">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5438DE5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1-12</w:t>
            </w:r>
          </w:p>
        </w:tc>
        <w:tc>
          <w:tcPr>
            <w:tcW w:w="7812" w:type="dxa"/>
            <w:tcBorders>
              <w:top w:val="single" w:color="auto" w:sz="4" w:space="0"/>
              <w:left w:val="single" w:color="auto" w:sz="4" w:space="0"/>
              <w:bottom w:val="single" w:color="auto" w:sz="4" w:space="0"/>
              <w:right w:val="single" w:color="auto" w:sz="4" w:space="0"/>
            </w:tcBorders>
            <w:noWrap w:val="0"/>
            <w:vAlign w:val="center"/>
          </w:tcPr>
          <w:p w14:paraId="4EAE5E91">
            <w:pPr>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rPr>
              <w:t>投标人所投货物所使用的热熔胶,提供由第三方检测机构出具的检测报告，检测项目内容至少包含以下项目:</w:t>
            </w:r>
            <w:r>
              <w:rPr>
                <w:rFonts w:hint="eastAsia" w:ascii="宋体" w:hAnsi="宋体"/>
                <w:color w:val="auto"/>
                <w:sz w:val="24"/>
                <w:highlight w:val="none"/>
              </w:rPr>
              <w:t>①</w:t>
            </w:r>
            <w:r>
              <w:rPr>
                <w:rFonts w:hint="eastAsia" w:ascii="宋体" w:hAnsi="宋体" w:cs="宋体"/>
                <w:color w:val="auto"/>
                <w:kern w:val="0"/>
                <w:sz w:val="24"/>
                <w:highlight w:val="none"/>
              </w:rPr>
              <w:t>甲苯+二甲苯≤0.04g/kg</w:t>
            </w:r>
            <w:r>
              <w:rPr>
                <w:rFonts w:hint="eastAsia" w:ascii="宋体" w:hAnsi="宋体"/>
                <w:color w:val="auto"/>
                <w:sz w:val="24"/>
                <w:highlight w:val="none"/>
              </w:rPr>
              <w:t>；②</w:t>
            </w:r>
            <w:r>
              <w:rPr>
                <w:rFonts w:hint="eastAsia" w:ascii="宋体" w:hAnsi="宋体" w:cs="宋体"/>
                <w:color w:val="auto"/>
                <w:kern w:val="0"/>
                <w:sz w:val="24"/>
                <w:highlight w:val="none"/>
              </w:rPr>
              <w:t>苯</w:t>
            </w:r>
            <w:r>
              <w:rPr>
                <w:rFonts w:hint="eastAsia" w:ascii="宋体" w:hAnsi="宋体" w:cs="宋体"/>
                <w:color w:val="auto"/>
                <w:sz w:val="24"/>
                <w:highlight w:val="none"/>
              </w:rPr>
              <w:t>的</w:t>
            </w:r>
            <w:r>
              <w:rPr>
                <w:rFonts w:hint="eastAsia" w:ascii="宋体" w:hAnsi="宋体" w:cs="宋体"/>
                <w:bCs/>
                <w:color w:val="auto"/>
                <w:sz w:val="24"/>
                <w:highlight w:val="none"/>
              </w:rPr>
              <w:t>检测结果为未检出</w:t>
            </w:r>
            <w:r>
              <w:rPr>
                <w:rFonts w:hint="eastAsia" w:ascii="宋体" w:hAnsi="宋体" w:cs="宋体"/>
                <w:color w:val="auto"/>
                <w:sz w:val="24"/>
                <w:highlight w:val="none"/>
              </w:rPr>
              <w:t>；</w:t>
            </w:r>
            <w:r>
              <w:rPr>
                <w:rFonts w:hint="eastAsia" w:ascii="宋体" w:hAnsi="宋体"/>
                <w:color w:val="auto"/>
                <w:sz w:val="24"/>
                <w:highlight w:val="none"/>
              </w:rPr>
              <w:t>③</w:t>
            </w:r>
            <w:r>
              <w:rPr>
                <w:rFonts w:hint="eastAsia" w:ascii="宋体" w:hAnsi="宋体" w:cs="宋体"/>
                <w:color w:val="auto"/>
                <w:kern w:val="0"/>
                <w:sz w:val="24"/>
                <w:highlight w:val="none"/>
              </w:rPr>
              <w:t>二氯甲烷、1,2二氯乙烷、1,1，2-三氯乙烷</w:t>
            </w:r>
            <w:r>
              <w:rPr>
                <w:rFonts w:hint="eastAsia" w:ascii="宋体" w:hAnsi="宋体" w:cs="宋体"/>
                <w:color w:val="auto"/>
                <w:sz w:val="24"/>
                <w:highlight w:val="none"/>
              </w:rPr>
              <w:t>、</w:t>
            </w:r>
            <w:r>
              <w:rPr>
                <w:rFonts w:hint="eastAsia" w:ascii="宋体" w:hAnsi="宋体" w:cs="宋体"/>
                <w:color w:val="auto"/>
                <w:kern w:val="0"/>
                <w:sz w:val="24"/>
                <w:highlight w:val="none"/>
              </w:rPr>
              <w:t>三氯乙烯，</w:t>
            </w:r>
            <w:r>
              <w:rPr>
                <w:rFonts w:hint="eastAsia" w:ascii="宋体" w:hAnsi="宋体" w:cs="宋体"/>
                <w:color w:val="auto"/>
                <w:sz w:val="24"/>
                <w:highlight w:val="none"/>
              </w:rPr>
              <w:t>以上</w:t>
            </w:r>
            <w:r>
              <w:rPr>
                <w:rFonts w:hint="eastAsia" w:ascii="宋体" w:hAnsi="宋体" w:cs="宋体"/>
                <w:bCs/>
                <w:color w:val="auto"/>
                <w:sz w:val="24"/>
                <w:highlight w:val="none"/>
              </w:rPr>
              <w:t>检测结果均为未检出</w:t>
            </w:r>
            <w:r>
              <w:rPr>
                <w:rFonts w:hint="eastAsia" w:ascii="宋体" w:hAnsi="宋体" w:cs="宋体"/>
                <w:color w:val="auto"/>
                <w:sz w:val="24"/>
                <w:highlight w:val="none"/>
              </w:rPr>
              <w:t>；</w:t>
            </w:r>
            <w:r>
              <w:rPr>
                <w:rFonts w:hint="eastAsia" w:ascii="宋体" w:hAnsi="宋体"/>
                <w:color w:val="auto"/>
                <w:sz w:val="24"/>
                <w:highlight w:val="none"/>
              </w:rPr>
              <w:t>④</w:t>
            </w:r>
            <w:r>
              <w:rPr>
                <w:rFonts w:hint="eastAsia" w:ascii="宋体" w:hAnsi="宋体" w:cs="宋体"/>
                <w:color w:val="auto"/>
                <w:kern w:val="0"/>
                <w:sz w:val="24"/>
                <w:highlight w:val="none"/>
              </w:rPr>
              <w:t>总挥发性有机物≤5g/L</w:t>
            </w:r>
            <w:r>
              <w:rPr>
                <w:rFonts w:hint="eastAsia" w:ascii="宋体" w:hAnsi="宋体" w:cs="宋体"/>
                <w:color w:val="auto"/>
                <w:highlight w:val="none"/>
              </w:rPr>
              <w:t>；</w:t>
            </w:r>
          </w:p>
          <w:p w14:paraId="7B6789A9">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说明：如为聚氨酯类胶粘剂或水基型胶粘剂，提供的检测报告无需包含③，只需要包含①</w:t>
            </w:r>
            <w:r>
              <w:rPr>
                <w:rFonts w:hint="eastAsia" w:ascii="宋体" w:hAnsi="宋体"/>
                <w:color w:val="auto"/>
                <w:sz w:val="24"/>
                <w:highlight w:val="none"/>
              </w:rPr>
              <w:t>②④</w:t>
            </w:r>
            <w:r>
              <w:rPr>
                <w:rFonts w:hint="eastAsia" w:ascii="宋体" w:hAnsi="宋体" w:cs="宋体"/>
                <w:color w:val="auto"/>
                <w:kern w:val="0"/>
                <w:sz w:val="24"/>
                <w:highlight w:val="none"/>
              </w:rPr>
              <w:t>；如为本体型胶粘剂，提供的检测报告只需要包含</w:t>
            </w:r>
            <w:r>
              <w:rPr>
                <w:rFonts w:hint="eastAsia" w:ascii="宋体" w:hAnsi="宋体"/>
                <w:color w:val="auto"/>
                <w:sz w:val="24"/>
                <w:highlight w:val="none"/>
              </w:rPr>
              <w:t>④。</w:t>
            </w:r>
          </w:p>
          <w:p w14:paraId="0D3074C8">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完全满足以上所有要求且检测结论为合格的得3分；满足以上部分要求且检测结论为合格的得1分；未提供报告或报告检测结论不合格的不得分。</w:t>
            </w:r>
          </w:p>
          <w:p w14:paraId="021FE118">
            <w:pPr>
              <w:tabs>
                <w:tab w:val="left" w:pos="720"/>
              </w:tabs>
              <w:spacing w:line="360" w:lineRule="auto"/>
              <w:ind w:right="18"/>
              <w:rPr>
                <w:rFonts w:hint="eastAsia" w:ascii="宋体" w:hAnsi="宋体" w:cs="宋体"/>
                <w:color w:val="auto"/>
                <w:kern w:val="0"/>
                <w:sz w:val="24"/>
                <w:highlight w:val="none"/>
              </w:rPr>
            </w:pPr>
            <w:r>
              <w:rPr>
                <w:rFonts w:hint="eastAsia" w:ascii="宋体" w:hAnsi="宋体" w:cs="宋体"/>
                <w:color w:val="auto"/>
                <w:kern w:val="0"/>
                <w:sz w:val="24"/>
                <w:highlight w:val="none"/>
              </w:rPr>
              <w:t>注:须提供具有检测机构资质标识(CMA或CNAS)的第三方检测机构出具的检测(检验)报告(并盖有检测专用章)复印件，须提供检测报告查询网址或真伪查询二维码，否则不予认可。</w:t>
            </w:r>
            <w:r>
              <w:rPr>
                <w:rFonts w:hint="eastAsia" w:ascii="宋体" w:hAnsi="宋体" w:cs="宋体"/>
                <w:b/>
                <w:color w:val="auto"/>
                <w:kern w:val="0"/>
                <w:sz w:val="24"/>
                <w:highlight w:val="none"/>
              </w:rPr>
              <w:t>若投标人提供的机器设备佐证材料中的热熔胶类型与本项检测报告中的热熔胶类型不一致，则本项不得分。</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6EA9BE46">
            <w:pPr>
              <w:tabs>
                <w:tab w:val="left" w:pos="720"/>
              </w:tabs>
              <w:spacing w:line="360" w:lineRule="auto"/>
              <w:ind w:right="18"/>
              <w:jc w:val="center"/>
              <w:rPr>
                <w:rFonts w:hint="eastAsia" w:ascii="宋体" w:hAnsi="宋体"/>
                <w:bCs/>
                <w:color w:val="auto"/>
                <w:sz w:val="24"/>
                <w:highlight w:val="none"/>
              </w:rPr>
            </w:pPr>
            <w:r>
              <w:rPr>
                <w:rFonts w:hint="eastAsia" w:ascii="宋体" w:hAnsi="宋体"/>
                <w:bCs/>
                <w:color w:val="auto"/>
                <w:sz w:val="24"/>
                <w:highlight w:val="none"/>
              </w:rPr>
              <w:t>3</w:t>
            </w:r>
          </w:p>
        </w:tc>
      </w:tr>
    </w:tbl>
    <w:p w14:paraId="6246C54B">
      <w:pPr>
        <w:spacing w:line="360" w:lineRule="auto"/>
        <w:ind w:firstLine="480" w:firstLineChars="200"/>
        <w:rPr>
          <w:rFonts w:hint="eastAsia" w:ascii="宋体" w:hAnsi="宋体" w:cs="宋体"/>
          <w:color w:val="auto"/>
          <w:sz w:val="24"/>
          <w:szCs w:val="24"/>
          <w:highlight w:val="none"/>
        </w:rPr>
      </w:pPr>
    </w:p>
    <w:p w14:paraId="72D055C1">
      <w:pPr>
        <w:tabs>
          <w:tab w:val="left" w:pos="-1080"/>
          <w:tab w:val="left" w:pos="180"/>
          <w:tab w:val="left" w:pos="1080"/>
        </w:tabs>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（二）招标文件第三章  招标内容及要求中</w:t>
      </w:r>
    </w:p>
    <w:p w14:paraId="1C1F1E0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1、“二、采购要求”中“6．投标人需在投标文件中提供上述货物的实物图、效果图、生产分解图、货物选用材料的说明文件。”</w:t>
      </w:r>
      <w:r>
        <w:rPr>
          <w:rFonts w:hint="eastAsia" w:ascii="宋体" w:hAnsi="宋体" w:cs="宋体"/>
          <w:color w:val="auto"/>
          <w:sz w:val="24"/>
          <w:szCs w:val="24"/>
          <w:highlight w:val="none"/>
        </w:rPr>
        <w:t>更正</w:t>
      </w:r>
      <w:r>
        <w:rPr>
          <w:rFonts w:hint="eastAsia" w:ascii="宋体" w:hAnsi="宋体"/>
          <w:color w:val="auto"/>
          <w:sz w:val="24"/>
          <w:szCs w:val="24"/>
          <w:highlight w:val="none"/>
        </w:rPr>
        <w:t>为</w:t>
      </w:r>
    </w:p>
    <w:p w14:paraId="3D7C7475">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“6．投标人需在投标文件中提供上述货物的效果图、生产分解图、货物选用材料的说明文件。”</w:t>
      </w:r>
    </w:p>
    <w:p w14:paraId="26B81798">
      <w:pPr>
        <w:widowControl/>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2、“二、采购要求”</w:t>
      </w:r>
      <w:r>
        <w:rPr>
          <w:rFonts w:hint="eastAsia" w:ascii="宋体" w:hAnsi="宋体"/>
          <w:color w:val="auto"/>
          <w:sz w:val="24"/>
          <w:szCs w:val="24"/>
          <w:highlight w:val="none"/>
        </w:rPr>
        <w:t>中</w:t>
      </w:r>
      <w:r>
        <w:rPr>
          <w:rFonts w:hint="eastAsia" w:ascii="宋体" w:hAnsi="宋体" w:cs="宋体"/>
          <w:b/>
          <w:bCs/>
          <w:color w:val="auto"/>
          <w:sz w:val="24"/>
          <w:szCs w:val="24"/>
          <w:highlight w:val="none"/>
        </w:rPr>
        <w:t>“★9.样品：未提供样品（不接受3D打印小样）或提供的样品不全、不满足下述技术参数（未标明±偏离值的尺寸，允许±3%）要求的将视为无效投标：9.3序号3：</w:t>
      </w:r>
      <w:r>
        <w:rPr>
          <w:rFonts w:hint="eastAsia" w:ascii="宋体" w:hAnsi="宋体" w:cs="宋体"/>
          <w:b/>
          <w:bCs/>
          <w:color w:val="auto"/>
          <w:kern w:val="0"/>
          <w:sz w:val="24"/>
          <w:szCs w:val="24"/>
          <w:highlight w:val="none"/>
        </w:rPr>
        <w:t>爬梯踏板1个：床梯踏板350*130*18mm，钢板厚≥1.5mm(防滑条纹)，踏板整体一次成型。 ”</w:t>
      </w:r>
      <w:r>
        <w:rPr>
          <w:rFonts w:hint="eastAsia" w:ascii="宋体" w:hAnsi="宋体" w:cs="宋体"/>
          <w:color w:val="auto"/>
          <w:sz w:val="24"/>
          <w:szCs w:val="24"/>
          <w:highlight w:val="none"/>
        </w:rPr>
        <w:t>更正为</w:t>
      </w:r>
    </w:p>
    <w:p w14:paraId="7E4463FB">
      <w:pPr>
        <w:widowControl/>
        <w:spacing w:line="360" w:lineRule="auto"/>
        <w:ind w:firstLine="482" w:firstLineChars="200"/>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“★9.样品：未提供样品（不接受3D打印小样）或提供的样品不全、不满足下述技术参数（未标明±偏离值的尺寸，允许±3%）要求的将视为无效投标：9.3序号3：</w:t>
      </w:r>
      <w:r>
        <w:rPr>
          <w:rFonts w:hint="eastAsia" w:ascii="宋体" w:hAnsi="宋体" w:cs="宋体"/>
          <w:b/>
          <w:bCs/>
          <w:color w:val="auto"/>
          <w:kern w:val="0"/>
          <w:sz w:val="24"/>
          <w:szCs w:val="24"/>
          <w:highlight w:val="none"/>
        </w:rPr>
        <w:t>爬梯踏板1个（</w:t>
      </w:r>
      <w:r>
        <w:rPr>
          <w:rFonts w:hint="eastAsia" w:ascii="宋体" w:hAnsi="宋体" w:cs="宋体"/>
          <w:b/>
          <w:bCs/>
          <w:color w:val="auto"/>
          <w:sz w:val="24"/>
          <w:szCs w:val="24"/>
          <w:highlight w:val="none"/>
        </w:rPr>
        <w:t>喷漆和未喷漆各1根）</w:t>
      </w:r>
      <w:r>
        <w:rPr>
          <w:rFonts w:hint="eastAsia" w:ascii="宋体" w:hAnsi="宋体" w:cs="宋体"/>
          <w:b/>
          <w:bCs/>
          <w:color w:val="auto"/>
          <w:kern w:val="0"/>
          <w:sz w:val="24"/>
          <w:szCs w:val="24"/>
          <w:highlight w:val="none"/>
        </w:rPr>
        <w:t>：床梯踏板350*130*18mm，钢板厚≥1.5mm(防滑条纹)，踏板整体一次成型。 ”</w:t>
      </w:r>
    </w:p>
    <w:p w14:paraId="072D8B2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3、“九、踏勘内容及要求”</w:t>
      </w:r>
      <w:r>
        <w:rPr>
          <w:rFonts w:hint="eastAsia" w:ascii="宋体" w:hAnsi="宋体"/>
          <w:color w:val="auto"/>
          <w:sz w:val="24"/>
          <w:szCs w:val="24"/>
          <w:highlight w:val="none"/>
        </w:rPr>
        <w:t>中</w:t>
      </w:r>
      <w:r>
        <w:rPr>
          <w:rFonts w:hint="eastAsia" w:ascii="宋体" w:hAnsi="宋体" w:cs="宋体"/>
          <w:color w:val="auto"/>
          <w:sz w:val="24"/>
          <w:szCs w:val="24"/>
          <w:highlight w:val="none"/>
        </w:rPr>
        <w:t>“3.投标人可自行对现场进行踏勘，并根据现场情况提供家具平面布置图及家具摆放过后的效果图。”更正为</w:t>
      </w:r>
    </w:p>
    <w:p w14:paraId="00A176B2">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“3.投标人可自行对现场进行踏勘，并根据现场情况提供家具平面布置图及家具摆放过后的效果图，未到现场的投标人请按</w:t>
      </w:r>
      <w:r>
        <w:rPr>
          <w:rFonts w:hint="eastAsia" w:ascii="宋体" w:hAnsi="宋体" w:cs="宋体"/>
          <w:b/>
          <w:bCs/>
          <w:color w:val="auto"/>
          <w:sz w:val="24"/>
          <w:szCs w:val="24"/>
          <w:highlight w:val="none"/>
          <w:lang w:val="en-US" w:eastAsia="zh-CN"/>
        </w:rPr>
        <w:t>以下三类宿舍平面图</w:t>
      </w:r>
      <w:r>
        <w:rPr>
          <w:rFonts w:hint="eastAsia" w:ascii="宋体" w:hAnsi="宋体" w:cs="宋体"/>
          <w:b/>
          <w:bCs/>
          <w:color w:val="auto"/>
          <w:sz w:val="24"/>
          <w:szCs w:val="24"/>
          <w:highlight w:val="none"/>
        </w:rPr>
        <w:t>进行设计平面布置图及效果图。</w:t>
      </w:r>
    </w:p>
    <w:p w14:paraId="3AED7EC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drawing>
          <wp:inline distT="0" distB="0" distL="114300" distR="114300">
            <wp:extent cx="5040630" cy="3628390"/>
            <wp:effectExtent l="0" t="0" r="3810" b="13970"/>
            <wp:docPr id="1" name="图片 1" descr="四人间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四人间图"/>
                    <pic:cNvPicPr>
                      <a:picLocks noChangeAspect="1"/>
                    </pic:cNvPicPr>
                  </pic:nvPicPr>
                  <pic:blipFill>
                    <a:blip r:embed="rId4"/>
                    <a:stretch>
                      <a:fillRect/>
                    </a:stretch>
                  </pic:blipFill>
                  <pic:spPr>
                    <a:xfrm>
                      <a:off x="0" y="0"/>
                      <a:ext cx="5040630" cy="3628390"/>
                    </a:xfrm>
                    <a:prstGeom prst="rect">
                      <a:avLst/>
                    </a:prstGeom>
                    <a:noFill/>
                    <a:ln>
                      <a:noFill/>
                    </a:ln>
                  </pic:spPr>
                </pic:pic>
              </a:graphicData>
            </a:graphic>
          </wp:inline>
        </w:drawing>
      </w:r>
    </w:p>
    <w:p w14:paraId="2709F7BD">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drawing>
          <wp:inline distT="0" distB="0" distL="114300" distR="114300">
            <wp:extent cx="5271135" cy="4373880"/>
            <wp:effectExtent l="0" t="0" r="1905" b="0"/>
            <wp:docPr id="3" name="图片 2" descr="六人间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六人间图"/>
                    <pic:cNvPicPr>
                      <a:picLocks noChangeAspect="1"/>
                    </pic:cNvPicPr>
                  </pic:nvPicPr>
                  <pic:blipFill>
                    <a:blip r:embed="rId5"/>
                    <a:stretch>
                      <a:fillRect/>
                    </a:stretch>
                  </pic:blipFill>
                  <pic:spPr>
                    <a:xfrm>
                      <a:off x="0" y="0"/>
                      <a:ext cx="5271135" cy="4373880"/>
                    </a:xfrm>
                    <a:prstGeom prst="rect">
                      <a:avLst/>
                    </a:prstGeom>
                    <a:noFill/>
                    <a:ln>
                      <a:noFill/>
                    </a:ln>
                  </pic:spPr>
                </pic:pic>
              </a:graphicData>
            </a:graphic>
          </wp:inline>
        </w:drawing>
      </w:r>
    </w:p>
    <w:p w14:paraId="1D2EFF8E">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drawing>
          <wp:inline distT="0" distB="0" distL="114300" distR="114300">
            <wp:extent cx="5273675" cy="4158615"/>
            <wp:effectExtent l="0" t="0" r="14605" b="1905"/>
            <wp:docPr id="2" name="图片 3" descr="双人间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双人间图"/>
                    <pic:cNvPicPr>
                      <a:picLocks noChangeAspect="1"/>
                    </pic:cNvPicPr>
                  </pic:nvPicPr>
                  <pic:blipFill>
                    <a:blip r:embed="rId6"/>
                    <a:stretch>
                      <a:fillRect/>
                    </a:stretch>
                  </pic:blipFill>
                  <pic:spPr>
                    <a:xfrm>
                      <a:off x="0" y="0"/>
                      <a:ext cx="5273675" cy="4158615"/>
                    </a:xfrm>
                    <a:prstGeom prst="rect">
                      <a:avLst/>
                    </a:prstGeom>
                    <a:noFill/>
                    <a:ln>
                      <a:noFill/>
                    </a:ln>
                  </pic:spPr>
                </pic:pic>
              </a:graphicData>
            </a:graphic>
          </wp:inline>
        </w:drawing>
      </w:r>
      <w:r>
        <w:rPr>
          <w:rFonts w:hint="eastAsia" w:ascii="宋体" w:hAnsi="宋体" w:cs="宋体"/>
          <w:b/>
          <w:bCs/>
          <w:color w:val="auto"/>
          <w:sz w:val="24"/>
          <w:szCs w:val="24"/>
          <w:highlight w:val="none"/>
        </w:rPr>
        <w:t>”</w:t>
      </w:r>
    </w:p>
    <w:p w14:paraId="73CB193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其他内容不变</w:t>
      </w:r>
    </w:p>
    <w:p w14:paraId="76C62BD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更正日期：</w:t>
      </w:r>
      <w:r>
        <w:rPr>
          <w:rFonts w:hint="eastAsia" w:ascii="宋体" w:hAnsi="宋体" w:cs="宋体"/>
          <w:color w:val="auto"/>
          <w:sz w:val="24"/>
          <w:szCs w:val="24"/>
          <w:highlight w:val="none"/>
          <w:u w:val="single"/>
        </w:rPr>
        <w:t>2025年11月21日</w:t>
      </w:r>
    </w:p>
    <w:p w14:paraId="61B72AFC">
      <w:pPr>
        <w:pStyle w:val="3"/>
        <w:spacing w:line="360" w:lineRule="auto"/>
        <w:rPr>
          <w:rFonts w:hint="eastAsia" w:ascii="黑体" w:hAnsi="黑体" w:cs="黑体"/>
          <w:bCs w:val="0"/>
          <w:color w:val="auto"/>
          <w:sz w:val="24"/>
          <w:szCs w:val="24"/>
          <w:highlight w:val="none"/>
        </w:rPr>
      </w:pPr>
      <w:bookmarkStart w:id="9" w:name="_Toc35393647"/>
      <w:bookmarkStart w:id="10" w:name="_Toc35393816"/>
      <w:r>
        <w:rPr>
          <w:rFonts w:hint="eastAsia" w:ascii="黑体" w:hAnsi="黑体" w:cs="黑体"/>
          <w:bCs w:val="0"/>
          <w:color w:val="auto"/>
          <w:sz w:val="24"/>
          <w:szCs w:val="24"/>
          <w:highlight w:val="none"/>
        </w:rPr>
        <w:t>三、其他补充事宜</w:t>
      </w:r>
      <w:bookmarkEnd w:id="9"/>
      <w:bookmarkEnd w:id="10"/>
    </w:p>
    <w:p w14:paraId="3A732DA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无</w:t>
      </w:r>
    </w:p>
    <w:p w14:paraId="42DF710F">
      <w:pPr>
        <w:pStyle w:val="3"/>
        <w:spacing w:line="360" w:lineRule="auto"/>
        <w:rPr>
          <w:rFonts w:hint="eastAsia" w:ascii="黑体" w:hAnsi="黑体" w:cs="黑体"/>
          <w:bCs w:val="0"/>
          <w:color w:val="auto"/>
          <w:sz w:val="24"/>
          <w:szCs w:val="24"/>
          <w:highlight w:val="none"/>
        </w:rPr>
      </w:pPr>
      <w:bookmarkStart w:id="11" w:name="_Toc35393817"/>
      <w:bookmarkStart w:id="12" w:name="_Toc35393648"/>
      <w:bookmarkStart w:id="13" w:name="_Toc28359029"/>
      <w:bookmarkStart w:id="14" w:name="_Toc28359106"/>
      <w:r>
        <w:rPr>
          <w:rFonts w:hint="eastAsia" w:ascii="黑体" w:hAnsi="黑体" w:cs="黑体"/>
          <w:bCs w:val="0"/>
          <w:color w:val="auto"/>
          <w:sz w:val="24"/>
          <w:szCs w:val="24"/>
          <w:highlight w:val="none"/>
        </w:rPr>
        <w:t>四、凡对本次公告内容提出询问，请按以下方式联系。</w:t>
      </w:r>
      <w:bookmarkEnd w:id="11"/>
      <w:bookmarkEnd w:id="12"/>
      <w:bookmarkEnd w:id="13"/>
      <w:bookmarkEnd w:id="14"/>
    </w:p>
    <w:p w14:paraId="42511BCE">
      <w:pPr>
        <w:spacing w:line="360" w:lineRule="auto"/>
        <w:ind w:firstLine="480" w:firstLineChars="200"/>
        <w:rPr>
          <w:rFonts w:hint="eastAsia" w:ascii="宋体" w:hAnsi="宋体" w:cs="宋体"/>
          <w:color w:val="auto"/>
          <w:sz w:val="24"/>
          <w:szCs w:val="24"/>
          <w:highlight w:val="none"/>
        </w:rPr>
      </w:pPr>
      <w:bookmarkStart w:id="15" w:name="_Toc35393821"/>
      <w:bookmarkStart w:id="16" w:name="_Toc35393652"/>
      <w:r>
        <w:rPr>
          <w:rFonts w:hint="eastAsia" w:ascii="宋体" w:hAnsi="宋体" w:cs="宋体"/>
          <w:color w:val="auto"/>
          <w:sz w:val="24"/>
          <w:szCs w:val="24"/>
          <w:highlight w:val="none"/>
        </w:rPr>
        <w:t>1.采购人信息</w:t>
      </w:r>
    </w:p>
    <w:p w14:paraId="5CCED74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称：厦门万翔网络商务有限公司</w:t>
      </w:r>
    </w:p>
    <w:p w14:paraId="4A6AD17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址：厦门市湖里区机场北路476号5楼</w:t>
      </w:r>
    </w:p>
    <w:p w14:paraId="26CAB3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联系方式：陈志鹏，0592-5706825</w:t>
      </w:r>
    </w:p>
    <w:p w14:paraId="7752CCC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25BF8A8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称：厦门万翔招标有限公司</w:t>
      </w:r>
    </w:p>
    <w:p w14:paraId="0677D4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址：厦门市湖里区机场北路476号</w:t>
      </w:r>
    </w:p>
    <w:p w14:paraId="716D63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联系方式：刘明芳，0592-2218761</w:t>
      </w:r>
    </w:p>
    <w:p w14:paraId="755DA1B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3.项目联系方式</w:t>
      </w:r>
    </w:p>
    <w:p w14:paraId="776FCF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项目联系人：卢扬华、熊睿晨</w:t>
      </w:r>
      <w:bookmarkStart w:id="17" w:name="_GoBack"/>
      <w:bookmarkEnd w:id="17"/>
    </w:p>
    <w:p w14:paraId="40D63C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话：0592-5701518、5769394</w:t>
      </w:r>
    </w:p>
    <w:bookmarkEnd w:id="15"/>
    <w:bookmarkEnd w:id="16"/>
    <w:p w14:paraId="1913E018">
      <w:pPr>
        <w:spacing w:line="360" w:lineRule="auto"/>
        <w:rPr>
          <w:rFonts w:hint="eastAsia" w:ascii="宋体" w:hAnsi="宋体" w:cs="宋体"/>
          <w:color w:val="auto"/>
          <w:sz w:val="24"/>
          <w:szCs w:val="24"/>
          <w:highlight w:val="none"/>
        </w:rPr>
      </w:pPr>
    </w:p>
    <w:p w14:paraId="7CCBC306">
      <w:pPr>
        <w:spacing w:line="360" w:lineRule="auto"/>
        <w:ind w:firstLine="5280" w:firstLineChars="2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p w14:paraId="30F606EE">
      <w:pPr>
        <w:spacing w:line="360" w:lineRule="auto"/>
        <w:ind w:firstLine="5280" w:firstLineChars="2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2025年11月21日                                                                                                    </w:t>
      </w:r>
    </w:p>
    <w:p w14:paraId="0FB7A438">
      <w:pPr>
        <w:spacing w:line="360" w:lineRule="auto"/>
      </w:pPr>
    </w:p>
    <w:sectPr>
      <w:pgSz w:w="11906" w:h="16838"/>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6B66"/>
    <w:rsid w:val="049031F8"/>
    <w:rsid w:val="0A5F5B47"/>
    <w:rsid w:val="0A8F3F52"/>
    <w:rsid w:val="0F4F5A5E"/>
    <w:rsid w:val="106F0166"/>
    <w:rsid w:val="10E741A0"/>
    <w:rsid w:val="11515ABE"/>
    <w:rsid w:val="15FF1F8C"/>
    <w:rsid w:val="19081158"/>
    <w:rsid w:val="1D644DCB"/>
    <w:rsid w:val="213845A4"/>
    <w:rsid w:val="21771570"/>
    <w:rsid w:val="29AC3C75"/>
    <w:rsid w:val="2AB4113F"/>
    <w:rsid w:val="31C61758"/>
    <w:rsid w:val="31DD2470"/>
    <w:rsid w:val="37977E1F"/>
    <w:rsid w:val="3ED731F7"/>
    <w:rsid w:val="3F5E1222"/>
    <w:rsid w:val="437E6337"/>
    <w:rsid w:val="47C112CA"/>
    <w:rsid w:val="4B101F6A"/>
    <w:rsid w:val="4E143B1F"/>
    <w:rsid w:val="62CF7BBD"/>
    <w:rsid w:val="6A2C1D99"/>
    <w:rsid w:val="6C865790"/>
    <w:rsid w:val="6F6351DD"/>
    <w:rsid w:val="717C7162"/>
    <w:rsid w:val="77CD6969"/>
    <w:rsid w:val="79002D6F"/>
    <w:rsid w:val="7D5A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2025-11-21T09:09:10Z</dcterms:created>
  <dc:creator>user</dc:creator>
  <cp:lastModifiedBy>Richael</cp:lastModifiedBy>
  <dcterms:modified xsi:type="dcterms:W3CDTF">2025-11-21T09:12:14Z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eyJoZGlkIjoiMmQyOGQ4ZWUxYTFmMTAzMjkwNmY0OWZjM2ZiMDFlYjMiLCJ1c2VySWQiOiIxNTIxMzQzMTE2In0=</vt:lpwstr>
  </property>
  <property fmtid="{D5CDD505-2E9C-101B-9397-08002B2CF9AE}" pid="4" name="ICV">
    <vt:lpwstr>D03DD1B99B2A436A988D92F7C62C99AE_12</vt:lpwstr>
  </property>
</Properties>
</file>