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A6D2A">
      <w:pPr>
        <w:jc w:val="center"/>
        <w:rPr>
          <w:rFonts w:ascii="宋体" w:hAnsi="宋体"/>
          <w:b/>
          <w:color w:val="auto"/>
          <w:sz w:val="72"/>
          <w:highlight w:val="none"/>
        </w:rPr>
      </w:pPr>
      <w:r>
        <w:rPr>
          <w:rFonts w:hint="eastAsia" w:ascii="宋体" w:hAnsi="宋体"/>
          <w:b/>
          <w:color w:val="auto"/>
          <w:sz w:val="72"/>
          <w:highlight w:val="none"/>
        </w:rPr>
        <w:t>厦 门 市 大 宗 货 物</w:t>
      </w:r>
    </w:p>
    <w:p w14:paraId="4DA65C92">
      <w:pPr>
        <w:jc w:val="center"/>
        <w:rPr>
          <w:rFonts w:ascii="宋体" w:hAnsi="宋体"/>
          <w:b/>
          <w:color w:val="auto"/>
          <w:sz w:val="72"/>
          <w:highlight w:val="none"/>
        </w:rPr>
      </w:pPr>
      <w:r>
        <w:rPr>
          <w:rFonts w:hint="eastAsia" w:ascii="宋体" w:hAnsi="宋体"/>
          <w:b/>
          <w:color w:val="auto"/>
          <w:sz w:val="72"/>
          <w:highlight w:val="none"/>
        </w:rPr>
        <w:t xml:space="preserve">政 府 采 购 项 目 </w:t>
      </w:r>
    </w:p>
    <w:p w14:paraId="718DE76D">
      <w:pPr>
        <w:spacing w:line="360" w:lineRule="auto"/>
        <w:jc w:val="center"/>
        <w:rPr>
          <w:rFonts w:ascii="宋体" w:hAnsi="宋体"/>
          <w:b/>
          <w:color w:val="auto"/>
          <w:sz w:val="72"/>
          <w:highlight w:val="none"/>
        </w:rPr>
      </w:pPr>
      <w:r>
        <w:rPr>
          <w:rFonts w:hint="eastAsia" w:ascii="宋体" w:hAnsi="宋体"/>
          <w:b/>
          <w:color w:val="auto"/>
          <w:sz w:val="72"/>
          <w:highlight w:val="none"/>
        </w:rPr>
        <w:t>招   标   文   件</w:t>
      </w:r>
    </w:p>
    <w:p w14:paraId="728133C8">
      <w:pPr>
        <w:spacing w:line="360" w:lineRule="auto"/>
        <w:ind w:firstLine="1438" w:firstLineChars="398"/>
        <w:rPr>
          <w:rFonts w:ascii="宋体" w:hAnsi="宋体"/>
          <w:b/>
          <w:color w:val="auto"/>
          <w:sz w:val="36"/>
          <w:highlight w:val="none"/>
        </w:rPr>
      </w:pPr>
    </w:p>
    <w:p w14:paraId="337CB734">
      <w:pPr>
        <w:spacing w:line="360" w:lineRule="auto"/>
        <w:ind w:firstLine="1438" w:firstLineChars="398"/>
        <w:rPr>
          <w:rFonts w:ascii="宋体" w:hAnsi="宋体"/>
          <w:b/>
          <w:color w:val="auto"/>
          <w:sz w:val="36"/>
          <w:highlight w:val="none"/>
        </w:rPr>
      </w:pPr>
    </w:p>
    <w:p w14:paraId="69A10E73">
      <w:pPr>
        <w:spacing w:line="360" w:lineRule="auto"/>
        <w:ind w:firstLine="1438" w:firstLineChars="398"/>
        <w:rPr>
          <w:rFonts w:ascii="宋体" w:hAnsi="宋体"/>
          <w:b/>
          <w:color w:val="auto"/>
          <w:sz w:val="36"/>
          <w:highlight w:val="none"/>
        </w:rPr>
      </w:pPr>
    </w:p>
    <w:p w14:paraId="50E2984F">
      <w:pPr>
        <w:spacing w:line="360" w:lineRule="auto"/>
        <w:ind w:firstLine="1438" w:firstLineChars="398"/>
        <w:rPr>
          <w:rFonts w:ascii="宋体" w:hAnsi="宋体"/>
          <w:b/>
          <w:color w:val="auto"/>
          <w:sz w:val="36"/>
          <w:highlight w:val="none"/>
        </w:rPr>
      </w:pPr>
    </w:p>
    <w:p w14:paraId="4BA52341">
      <w:pPr>
        <w:spacing w:line="360" w:lineRule="auto"/>
        <w:ind w:firstLine="1438" w:firstLineChars="398"/>
        <w:rPr>
          <w:rFonts w:ascii="宋体" w:hAnsi="宋体"/>
          <w:b/>
          <w:color w:val="auto"/>
          <w:sz w:val="36"/>
          <w:highlight w:val="none"/>
          <w:u w:val="single"/>
        </w:rPr>
      </w:pPr>
      <w:r>
        <w:rPr>
          <w:rFonts w:hint="eastAsia" w:ascii="宋体" w:hAnsi="宋体"/>
          <w:b/>
          <w:color w:val="auto"/>
          <w:sz w:val="36"/>
          <w:highlight w:val="none"/>
        </w:rPr>
        <w:t>招 标 编 号：XM2024-DZ0048</w:t>
      </w:r>
    </w:p>
    <w:p w14:paraId="254B9C2E">
      <w:pPr>
        <w:spacing w:line="360" w:lineRule="auto"/>
        <w:ind w:left="3948" w:leftChars="684" w:hanging="2512" w:hangingChars="695"/>
        <w:rPr>
          <w:rFonts w:ascii="宋体" w:hAnsi="宋体"/>
          <w:b/>
          <w:color w:val="auto"/>
          <w:sz w:val="36"/>
          <w:highlight w:val="none"/>
          <w:u w:val="single"/>
        </w:rPr>
      </w:pPr>
      <w:r>
        <w:rPr>
          <w:rFonts w:hint="eastAsia" w:ascii="宋体" w:hAnsi="宋体"/>
          <w:b/>
          <w:color w:val="auto"/>
          <w:sz w:val="36"/>
          <w:highlight w:val="none"/>
        </w:rPr>
        <w:t>项 目 名 称：嘉庚创新实验室新工科大楼实验室</w:t>
      </w:r>
      <w:r>
        <w:rPr>
          <w:rFonts w:hint="default" w:ascii="宋体" w:hAnsi="宋体"/>
          <w:b/>
          <w:color w:val="auto"/>
          <w:sz w:val="36"/>
          <w:highlight w:val="none"/>
        </w:rPr>
        <w:t>家具</w:t>
      </w:r>
      <w:r>
        <w:rPr>
          <w:rFonts w:hint="eastAsia" w:ascii="宋体" w:hAnsi="宋体"/>
          <w:b/>
          <w:color w:val="auto"/>
          <w:sz w:val="36"/>
          <w:highlight w:val="none"/>
        </w:rPr>
        <w:t>项目</w:t>
      </w:r>
    </w:p>
    <w:p w14:paraId="4A1CDE6B">
      <w:pPr>
        <w:spacing w:line="360" w:lineRule="auto"/>
        <w:ind w:firstLine="1438" w:firstLineChars="398"/>
        <w:rPr>
          <w:rFonts w:ascii="宋体" w:hAnsi="宋体"/>
          <w:b/>
          <w:color w:val="auto"/>
          <w:sz w:val="36"/>
          <w:highlight w:val="none"/>
        </w:rPr>
      </w:pPr>
    </w:p>
    <w:p w14:paraId="30126B73">
      <w:pPr>
        <w:spacing w:line="360" w:lineRule="auto"/>
        <w:ind w:firstLine="1438" w:firstLineChars="398"/>
        <w:rPr>
          <w:rFonts w:ascii="宋体" w:hAnsi="宋体"/>
          <w:b/>
          <w:color w:val="auto"/>
          <w:sz w:val="36"/>
          <w:highlight w:val="none"/>
        </w:rPr>
      </w:pPr>
    </w:p>
    <w:p w14:paraId="26D5A0F7">
      <w:pPr>
        <w:spacing w:line="360" w:lineRule="auto"/>
        <w:ind w:firstLine="1438" w:firstLineChars="398"/>
        <w:rPr>
          <w:rFonts w:ascii="宋体" w:hAnsi="宋体"/>
          <w:b/>
          <w:color w:val="auto"/>
          <w:sz w:val="36"/>
          <w:highlight w:val="none"/>
        </w:rPr>
      </w:pPr>
    </w:p>
    <w:p w14:paraId="59264AE8">
      <w:pPr>
        <w:spacing w:line="360" w:lineRule="auto"/>
        <w:ind w:firstLine="1438" w:firstLineChars="398"/>
        <w:rPr>
          <w:rFonts w:ascii="宋体" w:hAnsi="宋体"/>
          <w:b/>
          <w:color w:val="auto"/>
          <w:sz w:val="36"/>
          <w:highlight w:val="none"/>
        </w:rPr>
      </w:pPr>
    </w:p>
    <w:p w14:paraId="42F4093D">
      <w:pPr>
        <w:spacing w:line="360" w:lineRule="auto"/>
        <w:ind w:firstLine="1438" w:firstLineChars="398"/>
        <w:rPr>
          <w:rFonts w:ascii="宋体" w:hAnsi="宋体"/>
          <w:b/>
          <w:color w:val="auto"/>
          <w:sz w:val="36"/>
          <w:highlight w:val="none"/>
        </w:rPr>
      </w:pPr>
    </w:p>
    <w:p w14:paraId="3554F68F">
      <w:pPr>
        <w:pStyle w:val="6"/>
        <w:spacing w:line="360" w:lineRule="auto"/>
        <w:ind w:firstLine="1438" w:firstLineChars="398"/>
        <w:jc w:val="left"/>
        <w:rPr>
          <w:rFonts w:hAnsi="宋体"/>
          <w:b/>
          <w:color w:val="auto"/>
          <w:spacing w:val="20"/>
          <w:sz w:val="32"/>
          <w:highlight w:val="none"/>
        </w:rPr>
      </w:pPr>
    </w:p>
    <w:p w14:paraId="53FE973E">
      <w:pPr>
        <w:pStyle w:val="6"/>
        <w:spacing w:line="360" w:lineRule="auto"/>
        <w:ind w:firstLine="1438" w:firstLineChars="398"/>
        <w:jc w:val="left"/>
        <w:rPr>
          <w:rFonts w:hAnsi="宋体"/>
          <w:b/>
          <w:bCs/>
          <w:color w:val="auto"/>
          <w:sz w:val="32"/>
          <w:highlight w:val="none"/>
          <w:u w:val="single"/>
        </w:rPr>
      </w:pPr>
      <w:r>
        <w:rPr>
          <w:rFonts w:hint="eastAsia" w:hAnsi="宋体"/>
          <w:b/>
          <w:color w:val="auto"/>
          <w:spacing w:val="20"/>
          <w:sz w:val="32"/>
          <w:highlight w:val="none"/>
        </w:rPr>
        <w:t>使用单位：嘉庚创新实验室</w:t>
      </w:r>
    </w:p>
    <w:p w14:paraId="269FF286">
      <w:pPr>
        <w:pStyle w:val="6"/>
        <w:spacing w:line="360" w:lineRule="auto"/>
        <w:ind w:firstLine="1438" w:firstLineChars="398"/>
        <w:jc w:val="left"/>
        <w:rPr>
          <w:rFonts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3832D2CB">
      <w:pPr>
        <w:pStyle w:val="6"/>
        <w:spacing w:line="360" w:lineRule="auto"/>
        <w:ind w:firstLine="1438" w:firstLineChars="398"/>
        <w:jc w:val="left"/>
        <w:rPr>
          <w:rFonts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p>
    <w:p w14:paraId="1852BD29">
      <w:pPr>
        <w:spacing w:line="360" w:lineRule="auto"/>
        <w:ind w:firstLine="1438" w:firstLineChars="398"/>
        <w:rPr>
          <w:rFonts w:ascii="宋体" w:hAnsi="宋体"/>
          <w:b/>
          <w:color w:val="auto"/>
          <w:sz w:val="36"/>
          <w:highlight w:val="none"/>
        </w:rPr>
      </w:pPr>
    </w:p>
    <w:p w14:paraId="06E7EBAC">
      <w:pPr>
        <w:pStyle w:val="6"/>
        <w:spacing w:line="360" w:lineRule="auto"/>
        <w:jc w:val="center"/>
        <w:outlineLvl w:val="0"/>
        <w:rPr>
          <w:rFonts w:hAnsi="宋体"/>
          <w:b/>
          <w:color w:val="auto"/>
          <w:sz w:val="32"/>
          <w:highlight w:val="none"/>
        </w:rPr>
      </w:pPr>
      <w:r>
        <w:rPr>
          <w:rFonts w:hint="eastAsia" w:hAnsi="宋体"/>
          <w:b/>
          <w:color w:val="auto"/>
          <w:sz w:val="32"/>
          <w:highlight w:val="none"/>
        </w:rPr>
        <w:t>2024年</w:t>
      </w:r>
    </w:p>
    <w:p w14:paraId="301D7EA2">
      <w:pPr>
        <w:pStyle w:val="6"/>
        <w:spacing w:line="360" w:lineRule="auto"/>
        <w:outlineLvl w:val="0"/>
        <w:rPr>
          <w:rFonts w:hAnsi="宋体"/>
          <w:b/>
          <w:color w:val="auto"/>
          <w:sz w:val="32"/>
          <w:highlight w:val="none"/>
        </w:rPr>
      </w:pPr>
    </w:p>
    <w:p w14:paraId="6E07F798">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关于政府采购信用贷款的提示</w:t>
      </w:r>
    </w:p>
    <w:p w14:paraId="06F26A24">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（201608版）</w:t>
      </w:r>
    </w:p>
    <w:p w14:paraId="28406B5B">
      <w:pPr>
        <w:rPr>
          <w:rFonts w:ascii="宋体" w:hAnsi="宋体" w:cs="宋体"/>
          <w:color w:val="auto"/>
          <w:sz w:val="24"/>
          <w:szCs w:val="24"/>
          <w:highlight w:val="none"/>
        </w:rPr>
      </w:pPr>
    </w:p>
    <w:p w14:paraId="391C786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7E2F7C2D">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 xml:space="preserve">有关金融机构联系方式： </w:t>
      </w:r>
    </w:p>
    <w:p w14:paraId="391781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（一）中国建设银行厦门分行：</w:t>
      </w:r>
    </w:p>
    <w:p w14:paraId="7A2A2A7B">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联系人：魏慧媛   2158595 </w:t>
      </w:r>
    </w:p>
    <w:p w14:paraId="3796E2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（二）中国光大银行厦门分行：</w:t>
      </w:r>
    </w:p>
    <w:p w14:paraId="586F1F7E">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  虹   2283776、13806013400；朱姗姗   2991131、18050082825</w:t>
      </w:r>
    </w:p>
    <w:p w14:paraId="6E83D4A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（三）兴业银行厦门分行</w:t>
      </w:r>
    </w:p>
    <w:p w14:paraId="006899AC">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联系人：陈小姐  0592-5312509 13599531245 ；高经理  0592-5312350 13850017508 </w:t>
      </w:r>
    </w:p>
    <w:p w14:paraId="676F66C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（四）厦门市担保有限公司：</w:t>
      </w:r>
    </w:p>
    <w:p w14:paraId="7C488814">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联系人：陈文辉   5125116；吴龙辉   5120019</w:t>
      </w:r>
    </w:p>
    <w:p w14:paraId="157D137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（五）厦门银行股份有限公司 </w:t>
      </w:r>
    </w:p>
    <w:p w14:paraId="3C2C58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联系人：张冬梅 13395990009 ；陈韵 13656021986</w:t>
      </w:r>
    </w:p>
    <w:p w14:paraId="4049A6D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6A87048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本提示仅作为信息告知，具体贷款事宜以银行等有关金融机构审批为准。</w:t>
      </w:r>
    </w:p>
    <w:p w14:paraId="19A90692">
      <w:pPr>
        <w:spacing w:line="360" w:lineRule="auto"/>
        <w:ind w:firstLine="480" w:firstLineChars="200"/>
        <w:rPr>
          <w:rFonts w:ascii="宋体" w:hAnsi="宋体" w:cs="宋体"/>
          <w:color w:val="auto"/>
          <w:sz w:val="24"/>
          <w:szCs w:val="24"/>
          <w:highlight w:val="none"/>
        </w:rPr>
      </w:pPr>
    </w:p>
    <w:p w14:paraId="5F94AFC0">
      <w:pPr>
        <w:spacing w:line="360" w:lineRule="auto"/>
        <w:ind w:firstLine="480" w:firstLineChars="200"/>
        <w:rPr>
          <w:rFonts w:ascii="宋体" w:hAnsi="宋体" w:cs="宋体"/>
          <w:color w:val="auto"/>
          <w:sz w:val="24"/>
          <w:szCs w:val="24"/>
          <w:highlight w:val="none"/>
        </w:rPr>
      </w:pPr>
    </w:p>
    <w:p w14:paraId="6E115C54">
      <w:pPr>
        <w:spacing w:line="360" w:lineRule="auto"/>
        <w:ind w:firstLine="480" w:firstLineChars="200"/>
        <w:rPr>
          <w:rFonts w:ascii="宋体" w:hAnsi="宋体" w:cs="宋体"/>
          <w:color w:val="auto"/>
          <w:sz w:val="24"/>
          <w:szCs w:val="24"/>
          <w:highlight w:val="none"/>
        </w:rPr>
      </w:pPr>
    </w:p>
    <w:p w14:paraId="7001B475">
      <w:pPr>
        <w:spacing w:line="360" w:lineRule="auto"/>
        <w:ind w:firstLine="480" w:firstLineChars="200"/>
        <w:rPr>
          <w:rFonts w:ascii="宋体" w:hAnsi="宋体" w:cs="宋体"/>
          <w:color w:val="auto"/>
          <w:sz w:val="24"/>
          <w:szCs w:val="24"/>
          <w:highlight w:val="none"/>
        </w:rPr>
      </w:pPr>
    </w:p>
    <w:p w14:paraId="6E5201A8">
      <w:pPr>
        <w:spacing w:line="360" w:lineRule="auto"/>
        <w:rPr>
          <w:rFonts w:ascii="宋体" w:hAnsi="宋体" w:cs="宋体"/>
          <w:color w:val="auto"/>
          <w:sz w:val="24"/>
          <w:szCs w:val="24"/>
          <w:highlight w:val="none"/>
        </w:rPr>
      </w:pPr>
    </w:p>
    <w:p w14:paraId="3F6E2537">
      <w:pPr>
        <w:pStyle w:val="6"/>
        <w:spacing w:line="360" w:lineRule="auto"/>
        <w:jc w:val="center"/>
        <w:outlineLvl w:val="0"/>
        <w:rPr>
          <w:rFonts w:hAnsi="宋体" w:cs="宋体"/>
          <w:b/>
          <w:bCs/>
          <w:color w:val="auto"/>
          <w:sz w:val="32"/>
          <w:szCs w:val="32"/>
          <w:highlight w:val="none"/>
        </w:rPr>
      </w:pPr>
      <w:r>
        <w:rPr>
          <w:rFonts w:hint="eastAsia" w:hAnsi="宋体" w:cs="宋体"/>
          <w:b/>
          <w:bCs/>
          <w:color w:val="auto"/>
          <w:sz w:val="32"/>
          <w:szCs w:val="32"/>
          <w:highlight w:val="none"/>
        </w:rPr>
        <w:t xml:space="preserve">  目   录</w:t>
      </w:r>
    </w:p>
    <w:p w14:paraId="30346B25">
      <w:pPr>
        <w:pStyle w:val="2"/>
        <w:snapToGrid w:val="0"/>
        <w:spacing w:line="360" w:lineRule="auto"/>
        <w:ind w:firstLine="0"/>
        <w:rPr>
          <w:rFonts w:ascii="宋体" w:hAnsi="宋体" w:cs="宋体"/>
          <w:color w:val="auto"/>
          <w:sz w:val="24"/>
          <w:szCs w:val="24"/>
          <w:highlight w:val="none"/>
        </w:rPr>
      </w:pPr>
    </w:p>
    <w:p w14:paraId="67F1234F">
      <w:pPr>
        <w:pStyle w:val="2"/>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第一章    投标邀请 …………………………………………………1</w:t>
      </w:r>
    </w:p>
    <w:p w14:paraId="5367BDA3">
      <w:pPr>
        <w:pStyle w:val="2"/>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投标邀请函…………………………………………………1-1</w:t>
      </w:r>
    </w:p>
    <w:p w14:paraId="718389E1">
      <w:pPr>
        <w:pStyle w:val="2"/>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第二章    投标人须知  ………………………………………………2</w:t>
      </w:r>
    </w:p>
    <w:p w14:paraId="6A67AC7C">
      <w:pPr>
        <w:spacing w:line="360" w:lineRule="auto"/>
        <w:ind w:firstLine="240" w:firstLineChars="100"/>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投标人须知前附表1、2、3、4 </w:t>
      </w:r>
      <w:r>
        <w:rPr>
          <w:rFonts w:hint="eastAsia" w:ascii="宋体" w:hAnsi="宋体" w:cs="宋体"/>
          <w:color w:val="auto"/>
          <w:sz w:val="24"/>
          <w:szCs w:val="24"/>
          <w:highlight w:val="none"/>
        </w:rPr>
        <w:t>……………………………………2-1-1</w:t>
      </w:r>
    </w:p>
    <w:p w14:paraId="59A26B5B">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一、 说明 ………………………………………………………2-2-1</w:t>
      </w:r>
    </w:p>
    <w:p w14:paraId="65DAD83B">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二、 招标文件 …………………………………………………2-2-4</w:t>
      </w:r>
    </w:p>
    <w:p w14:paraId="2C14CD13">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三、 投标文件的编写 …………………………………………2-2-5</w:t>
      </w:r>
    </w:p>
    <w:p w14:paraId="18C4FAD4">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四、 投标文件的提交 …………………………………………2-2-8</w:t>
      </w:r>
    </w:p>
    <w:p w14:paraId="394947A0">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五、 投标文件的评估和比较 …………………………………2-2-9</w:t>
      </w:r>
    </w:p>
    <w:p w14:paraId="2C8A268C">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六、 定标与签订合同…………………………………………2-2-12</w:t>
      </w:r>
    </w:p>
    <w:p w14:paraId="73B0CD7A">
      <w:pPr>
        <w:pStyle w:val="2"/>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第三章    招标内容及要求  ………………………………………3-1</w:t>
      </w:r>
    </w:p>
    <w:p w14:paraId="6C607457">
      <w:pPr>
        <w:pStyle w:val="2"/>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第四章    政府</w:t>
      </w:r>
      <w:r>
        <w:rPr>
          <w:rFonts w:hint="eastAsia" w:ascii="宋体" w:hAnsi="宋体" w:cs="宋体"/>
          <w:bCs/>
          <w:color w:val="auto"/>
          <w:sz w:val="24"/>
          <w:szCs w:val="24"/>
          <w:highlight w:val="none"/>
        </w:rPr>
        <w:t xml:space="preserve">采购合同 </w:t>
      </w:r>
      <w:r>
        <w:rPr>
          <w:rFonts w:hint="eastAsia" w:ascii="宋体" w:hAnsi="宋体" w:cs="宋体"/>
          <w:color w:val="auto"/>
          <w:sz w:val="24"/>
          <w:szCs w:val="24"/>
          <w:highlight w:val="none"/>
        </w:rPr>
        <w:t>…………………………………………4-1</w:t>
      </w:r>
    </w:p>
    <w:p w14:paraId="7D71752B">
      <w:pPr>
        <w:pStyle w:val="2"/>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第五章    投标文件格式 …………………………………………5-1</w:t>
      </w:r>
    </w:p>
    <w:p w14:paraId="4DF7D418">
      <w:pPr>
        <w:pStyle w:val="2"/>
        <w:spacing w:line="360" w:lineRule="auto"/>
        <w:ind w:firstLine="2250" w:firstLineChars="934"/>
        <w:rPr>
          <w:rFonts w:ascii="宋体" w:hAnsi="宋体" w:cs="宋体"/>
          <w:b/>
          <w:color w:val="auto"/>
          <w:sz w:val="24"/>
          <w:szCs w:val="24"/>
          <w:highlight w:val="none"/>
          <w:u w:val="single"/>
        </w:rPr>
        <w:sectPr>
          <w:footerReference r:id="rId4" w:type="first"/>
          <w:headerReference r:id="rId3" w:type="default"/>
          <w:pgSz w:w="11906" w:h="16838"/>
          <w:pgMar w:top="1440" w:right="1800" w:bottom="1440" w:left="1800" w:header="851" w:footer="992" w:gutter="0"/>
          <w:cols w:space="425" w:num="1"/>
          <w:docGrid w:type="lines" w:linePitch="312" w:charSpace="0"/>
        </w:sectPr>
      </w:pPr>
    </w:p>
    <w:p w14:paraId="3CCEA274">
      <w:pPr>
        <w:pStyle w:val="47"/>
        <w:spacing w:line="360" w:lineRule="auto"/>
        <w:jc w:val="center"/>
        <w:rPr>
          <w:rFonts w:hAnsi="宋体" w:cs="宋体"/>
          <w:b/>
          <w:bCs/>
          <w:color w:val="auto"/>
          <w:sz w:val="32"/>
          <w:szCs w:val="32"/>
          <w:highlight w:val="none"/>
        </w:rPr>
      </w:pPr>
      <w:r>
        <w:rPr>
          <w:rFonts w:hint="eastAsia" w:hAnsi="宋体" w:cs="宋体"/>
          <w:b/>
          <w:color w:val="auto"/>
          <w:sz w:val="32"/>
          <w:szCs w:val="32"/>
          <w:highlight w:val="none"/>
        </w:rPr>
        <w:t>第一章  投标邀请函</w:t>
      </w:r>
    </w:p>
    <w:p w14:paraId="74871F4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cs="宋体"/>
          <w:color w:val="auto"/>
          <w:sz w:val="24"/>
          <w:szCs w:val="24"/>
          <w:highlight w:val="none"/>
        </w:rPr>
        <w:t>委托，</w:t>
      </w:r>
      <w:r>
        <w:rPr>
          <w:rFonts w:hint="eastAsia" w:ascii="宋体" w:hAnsi="宋体" w:cs="宋体"/>
          <w:b/>
          <w:color w:val="auto"/>
          <w:sz w:val="24"/>
          <w:szCs w:val="24"/>
          <w:highlight w:val="none"/>
          <w:u w:val="single"/>
        </w:rPr>
        <w:t xml:space="preserve">厦门万翔招标有限公司 </w:t>
      </w:r>
      <w:r>
        <w:rPr>
          <w:rFonts w:hint="eastAsia" w:ascii="宋体" w:hAnsi="宋体" w:cs="宋体"/>
          <w:color w:val="auto"/>
          <w:sz w:val="24"/>
          <w:szCs w:val="24"/>
          <w:highlight w:val="none"/>
        </w:rPr>
        <w:t>对【</w:t>
      </w:r>
      <w:r>
        <w:rPr>
          <w:rFonts w:hint="eastAsia" w:ascii="宋体" w:hAnsi="宋体" w:cs="宋体"/>
          <w:b/>
          <w:color w:val="auto"/>
          <w:sz w:val="24"/>
          <w:szCs w:val="24"/>
          <w:highlight w:val="none"/>
          <w:u w:val="single"/>
        </w:rPr>
        <w:t>嘉庚创新实验室新工科大楼实验室</w:t>
      </w:r>
      <w:r>
        <w:rPr>
          <w:rFonts w:hint="default" w:ascii="宋体" w:hAnsi="宋体" w:cs="宋体"/>
          <w:b/>
          <w:color w:val="auto"/>
          <w:sz w:val="24"/>
          <w:szCs w:val="24"/>
          <w:highlight w:val="none"/>
          <w:u w:val="single"/>
        </w:rPr>
        <w:t>家具</w:t>
      </w:r>
      <w:r>
        <w:rPr>
          <w:rFonts w:hint="eastAsia" w:ascii="宋体" w:hAnsi="宋体" w:cs="宋体"/>
          <w:b/>
          <w:color w:val="auto"/>
          <w:sz w:val="24"/>
          <w:szCs w:val="24"/>
          <w:highlight w:val="none"/>
          <w:u w:val="single"/>
        </w:rPr>
        <w:t>项目</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货物（或服务）进行国内公开招标，现欢迎国内合格的投标人前来投标。</w:t>
      </w:r>
    </w:p>
    <w:p w14:paraId="635FDEDA">
      <w:pPr>
        <w:spacing w:line="360" w:lineRule="auto"/>
        <w:ind w:firstLine="360" w:firstLineChars="150"/>
        <w:rPr>
          <w:rFonts w:ascii="宋体" w:hAnsi="宋体" w:cs="宋体"/>
          <w:color w:val="auto"/>
          <w:sz w:val="24"/>
          <w:szCs w:val="24"/>
          <w:highlight w:val="none"/>
          <w:u w:val="single"/>
        </w:rPr>
      </w:pPr>
      <w:r>
        <w:rPr>
          <w:rFonts w:hint="eastAsia" w:ascii="宋体" w:hAnsi="宋体" w:cs="宋体"/>
          <w:color w:val="auto"/>
          <w:sz w:val="24"/>
          <w:szCs w:val="24"/>
          <w:highlight w:val="none"/>
        </w:rPr>
        <w:t>1、招标编号：</w:t>
      </w:r>
      <w:r>
        <w:rPr>
          <w:rFonts w:hint="eastAsia" w:ascii="宋体" w:hAnsi="宋体" w:cs="宋体"/>
          <w:color w:val="auto"/>
          <w:sz w:val="24"/>
          <w:szCs w:val="24"/>
          <w:highlight w:val="none"/>
          <w:u w:val="single"/>
        </w:rPr>
        <w:t>XM2024-DZ0048。</w:t>
      </w:r>
    </w:p>
    <w:p w14:paraId="37FCC9EC">
      <w:pPr>
        <w:spacing w:line="360" w:lineRule="auto"/>
        <w:ind w:firstLine="318" w:firstLineChars="150"/>
        <w:rPr>
          <w:rFonts w:ascii="宋体" w:hAnsi="宋体" w:cs="宋体"/>
          <w:color w:val="auto"/>
          <w:spacing w:val="-14"/>
          <w:sz w:val="24"/>
          <w:szCs w:val="24"/>
          <w:highlight w:val="none"/>
        </w:rPr>
      </w:pPr>
      <w:r>
        <w:rPr>
          <w:rFonts w:hint="eastAsia" w:ascii="宋体" w:hAnsi="宋体" w:cs="宋体"/>
          <w:color w:val="auto"/>
          <w:spacing w:val="-14"/>
          <w:sz w:val="24"/>
          <w:szCs w:val="24"/>
          <w:highlight w:val="none"/>
        </w:rPr>
        <w:t>2、招标货物（服务）名称、数量及主要技术规格：见后</w:t>
      </w:r>
      <w:r>
        <w:rPr>
          <w:rFonts w:hint="eastAsia" w:ascii="宋体" w:hAnsi="宋体" w:cs="宋体"/>
          <w:color w:val="auto"/>
          <w:sz w:val="24"/>
          <w:szCs w:val="24"/>
          <w:highlight w:val="none"/>
        </w:rPr>
        <w:t>附招标货物（</w:t>
      </w:r>
      <w:r>
        <w:rPr>
          <w:rFonts w:hint="eastAsia" w:ascii="宋体" w:hAnsi="宋体" w:cs="宋体"/>
          <w:color w:val="auto"/>
          <w:spacing w:val="-14"/>
          <w:sz w:val="24"/>
          <w:szCs w:val="24"/>
          <w:highlight w:val="none"/>
        </w:rPr>
        <w:t>服务）</w:t>
      </w:r>
      <w:r>
        <w:rPr>
          <w:rFonts w:hint="eastAsia" w:ascii="宋体" w:hAnsi="宋体" w:cs="宋体"/>
          <w:color w:val="auto"/>
          <w:sz w:val="24"/>
          <w:szCs w:val="24"/>
          <w:highlight w:val="none"/>
        </w:rPr>
        <w:t>一览表。</w:t>
      </w:r>
    </w:p>
    <w:p w14:paraId="44A4F3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3、招标文件获取方式：</w:t>
      </w:r>
      <w:r>
        <w:rPr>
          <w:rFonts w:hint="eastAsia" w:ascii="宋体" w:hAnsi="宋体" w:cs="宋体"/>
          <w:bCs/>
          <w:color w:val="auto"/>
          <w:sz w:val="24"/>
          <w:szCs w:val="24"/>
          <w:highlight w:val="none"/>
        </w:rPr>
        <w:t>2024年</w:t>
      </w:r>
      <w:r>
        <w:rPr>
          <w:rFonts w:hint="eastAsia" w:ascii="宋体" w:hAnsi="宋体" w:cs="宋体"/>
          <w:bCs/>
          <w:color w:val="auto"/>
          <w:sz w:val="24"/>
          <w:szCs w:val="24"/>
          <w:highlight w:val="none"/>
          <w:lang w:val="en-US" w:eastAsia="zh-CN"/>
        </w:rPr>
        <w:t>09</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30</w:t>
      </w:r>
      <w:r>
        <w:rPr>
          <w:rFonts w:hint="eastAsia" w:ascii="宋体" w:hAnsi="宋体" w:cs="宋体"/>
          <w:color w:val="auto"/>
          <w:sz w:val="24"/>
          <w:szCs w:val="24"/>
          <w:highlight w:val="none"/>
        </w:rPr>
        <w:t>日至2024年</w:t>
      </w: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14</w:t>
      </w:r>
      <w:r>
        <w:rPr>
          <w:rFonts w:hint="eastAsia" w:ascii="宋体" w:hAnsi="宋体" w:cs="宋体"/>
          <w:color w:val="auto"/>
          <w:sz w:val="24"/>
          <w:szCs w:val="24"/>
          <w:highlight w:val="none"/>
        </w:rPr>
        <w:t>日，有意向的供应商应在厦门招投标网（http:// www.xmztb.com，下同）注册账号，登录后可免费在线浏览招标文件，完成缴费并下载招标文件后方具备投标资格。缴费仅支持在线扫码支付。</w:t>
      </w:r>
    </w:p>
    <w:p w14:paraId="67C89FB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A、供应商注册详见厦门招投标网－办事指南－操作手册—《供应商注册登记操作手册》</w:t>
      </w:r>
    </w:p>
    <w:p w14:paraId="3898D8F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B、缴费及下载招标文件详见厦门招投标网－办事指南－操作手册—《供应商招标项目操作手册》</w:t>
      </w:r>
    </w:p>
    <w:p w14:paraId="20C3E4B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C、请各投标人务必在招标文件购买截止时间前，在线扫码支付完成缴费并下载招标文件，否则不具备投标资格。</w:t>
      </w:r>
    </w:p>
    <w:p w14:paraId="16B8FC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D、纸质招标文件(若需要)获取方式：领取地点在厦门市湖里区机场北路476号万翔招标4楼售标室。纸质招标文件领取事宜联系电话：0592-2219823。</w:t>
      </w:r>
    </w:p>
    <w:p w14:paraId="257F5A3A">
      <w:pPr>
        <w:pStyle w:val="6"/>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4、招标文件售价：每个合同包</w:t>
      </w:r>
      <w:r>
        <w:rPr>
          <w:rFonts w:hint="eastAsia" w:hAnsi="宋体" w:cs="宋体"/>
          <w:color w:val="auto"/>
          <w:sz w:val="24"/>
          <w:szCs w:val="24"/>
          <w:highlight w:val="none"/>
          <w:u w:val="single"/>
        </w:rPr>
        <w:t>50</w:t>
      </w:r>
      <w:r>
        <w:rPr>
          <w:rFonts w:hint="eastAsia" w:hAnsi="宋体" w:cs="宋体"/>
          <w:color w:val="auto"/>
          <w:sz w:val="24"/>
          <w:szCs w:val="24"/>
          <w:highlight w:val="none"/>
        </w:rPr>
        <w:t>元人民币，售后不退。</w:t>
      </w:r>
    </w:p>
    <w:p w14:paraId="65D4431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5、投标截止时间、地点：投标文件应于2024年</w:t>
      </w: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21</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0（北京时间）之前提交到</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u w:val="single"/>
        </w:rPr>
        <w:t>号收标窗口</w:t>
      </w:r>
      <w:r>
        <w:rPr>
          <w:rFonts w:hint="eastAsia" w:ascii="宋体" w:hAnsi="宋体" w:cs="宋体"/>
          <w:color w:val="auto"/>
          <w:sz w:val="24"/>
          <w:szCs w:val="24"/>
          <w:highlight w:val="none"/>
        </w:rPr>
        <w:t>。逾期收到的或不符合规定的投标文件将被拒绝。</w:t>
      </w:r>
    </w:p>
    <w:p w14:paraId="34294869">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6、开标时间、地点: 2024年</w:t>
      </w: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21</w:t>
      </w:r>
      <w:r>
        <w:rPr>
          <w:rFonts w:hint="eastAsia" w:ascii="宋体" w:hAnsi="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0（北京时间）于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u w:val="single"/>
        </w:rPr>
        <w:t>（C40</w:t>
      </w:r>
      <w:r>
        <w:rPr>
          <w:rFonts w:hint="eastAsia" w:ascii="宋体" w:hAnsi="宋体" w:cs="宋体"/>
          <w:b/>
          <w:color w:val="auto"/>
          <w:sz w:val="24"/>
          <w:szCs w:val="24"/>
          <w:highlight w:val="none"/>
          <w:u w:val="single"/>
          <w:lang w:val="en-US" w:eastAsia="zh-CN"/>
        </w:rPr>
        <w:t>1</w:t>
      </w:r>
      <w:r>
        <w:rPr>
          <w:rFonts w:hint="eastAsia" w:ascii="宋体" w:hAnsi="宋体" w:cs="宋体"/>
          <w:b/>
          <w:color w:val="auto"/>
          <w:sz w:val="24"/>
          <w:szCs w:val="24"/>
          <w:highlight w:val="none"/>
          <w:u w:val="single"/>
        </w:rPr>
        <w:t>）</w:t>
      </w:r>
      <w:r>
        <w:rPr>
          <w:rFonts w:hint="eastAsia" w:ascii="宋体" w:hAnsi="宋体" w:cs="宋体"/>
          <w:color w:val="auto"/>
          <w:sz w:val="24"/>
          <w:szCs w:val="24"/>
          <w:highlight w:val="none"/>
        </w:rPr>
        <w:t>。</w:t>
      </w:r>
    </w:p>
    <w:p w14:paraId="48874CCB">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7、本项目不接受联合体投标。</w:t>
      </w:r>
    </w:p>
    <w:p w14:paraId="10960AFC">
      <w:pPr>
        <w:spacing w:line="360" w:lineRule="auto"/>
        <w:ind w:firstLine="360" w:firstLineChars="150"/>
        <w:rPr>
          <w:rFonts w:ascii="宋体" w:hAnsi="宋体" w:cs="宋体"/>
          <w:color w:val="auto"/>
          <w:sz w:val="24"/>
          <w:szCs w:val="24"/>
          <w:highlight w:val="none"/>
        </w:rPr>
      </w:pPr>
      <w:r>
        <w:rPr>
          <w:rFonts w:hint="eastAsia" w:ascii="宋体" w:hAnsi="宋体" w:cs="宋体"/>
          <w:bCs/>
          <w:color w:val="auto"/>
          <w:sz w:val="24"/>
          <w:szCs w:val="24"/>
          <w:highlight w:val="none"/>
        </w:rPr>
        <w:t>8、招标文件如有变更，</w:t>
      </w:r>
      <w:r>
        <w:rPr>
          <w:rFonts w:hint="eastAsia" w:ascii="宋体" w:hAnsi="宋体" w:cs="宋体"/>
          <w:b/>
          <w:color w:val="auto"/>
          <w:sz w:val="24"/>
          <w:szCs w:val="24"/>
          <w:highlight w:val="none"/>
          <w:u w:val="single"/>
        </w:rPr>
        <w:t xml:space="preserve">厦门万翔招标有限公司 </w:t>
      </w:r>
      <w:r>
        <w:rPr>
          <w:rFonts w:hint="eastAsia" w:ascii="宋体" w:hAnsi="宋体" w:cs="宋体"/>
          <w:bCs/>
          <w:color w:val="auto"/>
          <w:sz w:val="24"/>
          <w:szCs w:val="24"/>
          <w:highlight w:val="none"/>
        </w:rPr>
        <w:t>将通过中国政府采购网、厦门招投标网（</w:t>
      </w:r>
      <w:r>
        <w:rPr>
          <w:rFonts w:hint="eastAsia" w:ascii="宋体" w:hAnsi="宋体" w:cs="宋体"/>
          <w:color w:val="auto"/>
          <w:sz w:val="24"/>
          <w:szCs w:val="24"/>
          <w:highlight w:val="none"/>
        </w:rPr>
        <w:t>www.xmztb.com</w:t>
      </w:r>
      <w:r>
        <w:rPr>
          <w:rFonts w:hint="eastAsia" w:ascii="宋体" w:hAnsi="宋体" w:cs="宋体"/>
          <w:bCs/>
          <w:color w:val="auto"/>
          <w:sz w:val="24"/>
          <w:szCs w:val="24"/>
          <w:highlight w:val="none"/>
        </w:rPr>
        <w:t>）等媒体发布通知信息，请投标人关注</w:t>
      </w:r>
      <w:r>
        <w:rPr>
          <w:rFonts w:hint="eastAsia" w:ascii="宋体" w:hAnsi="宋体" w:cs="宋体"/>
          <w:color w:val="auto"/>
          <w:sz w:val="24"/>
          <w:szCs w:val="24"/>
          <w:highlight w:val="none"/>
        </w:rPr>
        <w:t>。</w:t>
      </w:r>
    </w:p>
    <w:p w14:paraId="3FFF389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   9、友情提醒：本项目仅限网上购买招标文件，投标人必须按招标文件要求递交纸质投标文件。 </w:t>
      </w:r>
    </w:p>
    <w:p w14:paraId="56A023E8">
      <w:pPr>
        <w:spacing w:line="360" w:lineRule="auto"/>
        <w:ind w:firstLine="240" w:firstLineChars="100"/>
        <w:rPr>
          <w:rFonts w:ascii="宋体" w:hAnsi="宋体" w:cs="宋体"/>
          <w:color w:val="auto"/>
          <w:sz w:val="24"/>
          <w:szCs w:val="24"/>
          <w:highlight w:val="none"/>
          <w:u w:val="single"/>
        </w:rPr>
      </w:pPr>
      <w:r>
        <w:rPr>
          <w:rFonts w:hint="eastAsia" w:ascii="宋体" w:hAnsi="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1BF9166B">
      <w:pPr>
        <w:spacing w:line="360" w:lineRule="auto"/>
        <w:ind w:firstLine="361" w:firstLineChars="150"/>
        <w:rPr>
          <w:rFonts w:ascii="宋体" w:hAnsi="宋体" w:cs="宋体"/>
          <w:b/>
          <w:bCs/>
          <w:color w:val="auto"/>
          <w:sz w:val="24"/>
          <w:szCs w:val="24"/>
          <w:highlight w:val="none"/>
        </w:rPr>
      </w:pPr>
      <w:r>
        <w:rPr>
          <w:rFonts w:hint="eastAsia" w:ascii="宋体" w:hAnsi="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391A675D">
      <w:pPr>
        <w:tabs>
          <w:tab w:val="left" w:pos="1140"/>
        </w:tabs>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12、各有关联系方式</w:t>
      </w:r>
    </w:p>
    <w:tbl>
      <w:tblPr>
        <w:tblStyle w:val="16"/>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274408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ign w:val="center"/>
          </w:tcPr>
          <w:p w14:paraId="2A5C5EA6">
            <w:pPr>
              <w:keepNext w:val="0"/>
              <w:keepLines w:val="0"/>
              <w:suppressLineNumbers w:val="0"/>
              <w:spacing w:before="0" w:beforeAutospacing="0" w:after="0" w:afterAutospacing="0" w:line="360" w:lineRule="auto"/>
              <w:ind w:left="0" w:right="0"/>
              <w:jc w:val="center"/>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409" w:type="dxa"/>
            <w:noWrap/>
            <w:vAlign w:val="center"/>
          </w:tcPr>
          <w:p w14:paraId="6942ACE8">
            <w:pPr>
              <w:keepNext w:val="0"/>
              <w:keepLines w:val="0"/>
              <w:suppressLineNumbers w:val="0"/>
              <w:spacing w:before="0" w:beforeAutospacing="0" w:after="0" w:afterAutospacing="0" w:line="360" w:lineRule="auto"/>
              <w:ind w:left="0" w:right="0"/>
              <w:jc w:val="center"/>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239" w:type="dxa"/>
            <w:noWrap/>
            <w:vAlign w:val="center"/>
          </w:tcPr>
          <w:p w14:paraId="24A42D62">
            <w:pPr>
              <w:keepNext w:val="0"/>
              <w:keepLines w:val="0"/>
              <w:suppressLineNumbers w:val="0"/>
              <w:spacing w:before="0" w:beforeAutospacing="0" w:after="0" w:afterAutospacing="0" w:line="360" w:lineRule="auto"/>
              <w:ind w:left="0" w:right="0"/>
              <w:jc w:val="center"/>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3348" w:type="dxa"/>
            <w:noWrap/>
            <w:vAlign w:val="center"/>
          </w:tcPr>
          <w:p w14:paraId="29B69422">
            <w:pPr>
              <w:keepNext w:val="0"/>
              <w:keepLines w:val="0"/>
              <w:suppressLineNumbers w:val="0"/>
              <w:spacing w:before="0" w:beforeAutospacing="0" w:after="0" w:afterAutospacing="0" w:line="360" w:lineRule="auto"/>
              <w:ind w:left="0" w:right="0"/>
              <w:jc w:val="center"/>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2976" w:type="dxa"/>
            <w:noWrap/>
            <w:vAlign w:val="center"/>
          </w:tcPr>
          <w:p w14:paraId="1D1B556B">
            <w:pPr>
              <w:keepNext w:val="0"/>
              <w:keepLines w:val="0"/>
              <w:suppressLineNumbers w:val="0"/>
              <w:spacing w:before="0" w:beforeAutospacing="0" w:after="0" w:afterAutospacing="0" w:line="360" w:lineRule="auto"/>
              <w:ind w:left="0" w:right="0"/>
              <w:jc w:val="center"/>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14:paraId="5A6FE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338C7F46">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09" w:type="dxa"/>
            <w:noWrap/>
            <w:vAlign w:val="center"/>
          </w:tcPr>
          <w:p w14:paraId="3518BBB8">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239" w:type="dxa"/>
            <w:noWrap/>
            <w:vAlign w:val="center"/>
          </w:tcPr>
          <w:p w14:paraId="66192C81">
            <w:pPr>
              <w:keepNext w:val="0"/>
              <w:keepLines w:val="0"/>
              <w:suppressLineNumbers w:val="0"/>
              <w:spacing w:before="0" w:beforeAutospacing="0" w:after="0" w:afterAutospacing="0" w:line="360" w:lineRule="auto"/>
              <w:ind w:left="0" w:right="0"/>
              <w:jc w:val="center"/>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徐先生</w:t>
            </w:r>
          </w:p>
          <w:p w14:paraId="26693517">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黄小姐</w:t>
            </w:r>
          </w:p>
        </w:tc>
        <w:tc>
          <w:tcPr>
            <w:tcW w:w="3348" w:type="dxa"/>
            <w:noWrap/>
            <w:vAlign w:val="center"/>
          </w:tcPr>
          <w:p w14:paraId="1CB17C00">
            <w:pPr>
              <w:keepNext w:val="0"/>
              <w:keepLines w:val="0"/>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s="宋体"/>
                <w:color w:val="auto"/>
                <w:sz w:val="24"/>
                <w:szCs w:val="24"/>
                <w:highlight w:val="none"/>
              </w:rPr>
              <w:t>负责招标文件的咨询、答疑等工作</w:t>
            </w:r>
          </w:p>
        </w:tc>
        <w:tc>
          <w:tcPr>
            <w:tcW w:w="2976" w:type="dxa"/>
            <w:noWrap/>
            <w:vAlign w:val="center"/>
          </w:tcPr>
          <w:p w14:paraId="2D1C40E2">
            <w:pPr>
              <w:keepNext w:val="0"/>
              <w:keepLines w:val="0"/>
              <w:suppressLineNumbers w:val="0"/>
              <w:spacing w:before="0" w:beforeAutospacing="0" w:after="0" w:afterAutospacing="0" w:line="360" w:lineRule="auto"/>
              <w:ind w:left="0" w:right="0"/>
              <w:rPr>
                <w:rFonts w:hint="default" w:ascii="宋体" w:hAnsi="宋体" w:cs="宋体" w:eastAsiaTheme="minorEastAsia"/>
                <w:color w:val="auto"/>
                <w:sz w:val="24"/>
                <w:szCs w:val="24"/>
                <w:highlight w:val="none"/>
                <w:lang w:val="en-US" w:eastAsia="zh-CN"/>
              </w:rPr>
            </w:pPr>
            <w:r>
              <w:rPr>
                <w:rFonts w:hint="eastAsia" w:ascii="宋体" w:hAnsi="宋体" w:cs="宋体"/>
                <w:color w:val="auto"/>
                <w:sz w:val="24"/>
                <w:szCs w:val="24"/>
                <w:highlight w:val="none"/>
              </w:rPr>
              <w:t>0592-</w:t>
            </w:r>
            <w:r>
              <w:rPr>
                <w:rFonts w:hint="eastAsia" w:ascii="宋体" w:hAnsi="宋体" w:cs="宋体"/>
                <w:color w:val="auto"/>
                <w:sz w:val="24"/>
                <w:szCs w:val="24"/>
                <w:highlight w:val="none"/>
                <w:lang w:val="en-US" w:eastAsia="zh-CN"/>
              </w:rPr>
              <w:t>5730600、5721295</w:t>
            </w:r>
          </w:p>
          <w:p w14:paraId="56136EC9">
            <w:pPr>
              <w:keepNext w:val="0"/>
              <w:keepLines w:val="0"/>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14:paraId="01C2CA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6A12AD2E">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09" w:type="dxa"/>
            <w:noWrap/>
            <w:vAlign w:val="center"/>
          </w:tcPr>
          <w:p w14:paraId="1C92B07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投标保证金</w:t>
            </w:r>
          </w:p>
        </w:tc>
        <w:tc>
          <w:tcPr>
            <w:tcW w:w="1239" w:type="dxa"/>
            <w:noWrap/>
            <w:vAlign w:val="center"/>
          </w:tcPr>
          <w:p w14:paraId="03CFAD23">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陈</w:t>
            </w:r>
            <w:r>
              <w:rPr>
                <w:rFonts w:hint="eastAsia" w:ascii="宋体" w:hAnsi="宋体" w:cs="宋体"/>
                <w:color w:val="auto"/>
                <w:sz w:val="24"/>
                <w:szCs w:val="24"/>
                <w:highlight w:val="none"/>
              </w:rPr>
              <w:t>小姐</w:t>
            </w:r>
          </w:p>
        </w:tc>
        <w:tc>
          <w:tcPr>
            <w:tcW w:w="3348" w:type="dxa"/>
            <w:noWrap/>
            <w:vAlign w:val="center"/>
          </w:tcPr>
          <w:p w14:paraId="2809649F">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投标保证金收、退</w:t>
            </w:r>
          </w:p>
        </w:tc>
        <w:tc>
          <w:tcPr>
            <w:tcW w:w="2976" w:type="dxa"/>
            <w:noWrap/>
            <w:vAlign w:val="center"/>
          </w:tcPr>
          <w:p w14:paraId="466C642C">
            <w:pPr>
              <w:keepNext w:val="0"/>
              <w:keepLines w:val="0"/>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2B9316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0242932A">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09" w:type="dxa"/>
            <w:noWrap/>
            <w:vAlign w:val="center"/>
          </w:tcPr>
          <w:p w14:paraId="03A04DB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239" w:type="dxa"/>
            <w:noWrap/>
            <w:vAlign w:val="center"/>
          </w:tcPr>
          <w:p w14:paraId="2ED3A96E">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3348" w:type="dxa"/>
            <w:noWrap/>
            <w:vAlign w:val="center"/>
          </w:tcPr>
          <w:p w14:paraId="781E971D">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2976" w:type="dxa"/>
            <w:noWrap/>
            <w:vAlign w:val="center"/>
          </w:tcPr>
          <w:p w14:paraId="216F62F1">
            <w:pPr>
              <w:keepNext w:val="0"/>
              <w:keepLines w:val="0"/>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300798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6310E548">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09" w:type="dxa"/>
            <w:noWrap/>
            <w:vAlign w:val="center"/>
          </w:tcPr>
          <w:p w14:paraId="797BFDB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监督</w:t>
            </w:r>
          </w:p>
        </w:tc>
        <w:tc>
          <w:tcPr>
            <w:tcW w:w="1239" w:type="dxa"/>
            <w:noWrap/>
            <w:vAlign w:val="center"/>
          </w:tcPr>
          <w:p w14:paraId="1C107BB8">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3348" w:type="dxa"/>
            <w:noWrap/>
            <w:vAlign w:val="center"/>
          </w:tcPr>
          <w:p w14:paraId="71544FC2">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b/>
                <w:color w:val="auto"/>
                <w:sz w:val="24"/>
                <w:szCs w:val="24"/>
                <w:highlight w:val="none"/>
              </w:rPr>
              <w:t>欢迎投标人对项目采购过程中公告发布、招标文件购买、投标保证金缴交和退还、代理服务费收取、中标通知书发放等环节的服务进行监督。我们将竭诚为您提供最优质的服务。</w:t>
            </w:r>
          </w:p>
        </w:tc>
        <w:tc>
          <w:tcPr>
            <w:tcW w:w="2976" w:type="dxa"/>
            <w:noWrap/>
            <w:vAlign w:val="center"/>
          </w:tcPr>
          <w:p w14:paraId="7E59C6F8">
            <w:pPr>
              <w:keepNext w:val="0"/>
              <w:keepLines w:val="0"/>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14:paraId="5A5465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587E7D20">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09" w:type="dxa"/>
            <w:noWrap/>
            <w:vAlign w:val="center"/>
          </w:tcPr>
          <w:p w14:paraId="5DFA181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239" w:type="dxa"/>
            <w:noWrap/>
            <w:vAlign w:val="center"/>
          </w:tcPr>
          <w:p w14:paraId="2898AC42">
            <w:pPr>
              <w:keepNext w:val="0"/>
              <w:keepLines w:val="0"/>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3348" w:type="dxa"/>
            <w:noWrap/>
            <w:vAlign w:val="center"/>
          </w:tcPr>
          <w:p w14:paraId="10B26E8F">
            <w:pPr>
              <w:keepNext w:val="0"/>
              <w:keepLines w:val="0"/>
              <w:suppressLineNumbers w:val="0"/>
              <w:spacing w:before="0" w:beforeAutospacing="0" w:after="0" w:afterAutospacing="0" w:line="360" w:lineRule="auto"/>
              <w:ind w:left="0" w:right="0"/>
              <w:rPr>
                <w:rFonts w:hint="default"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2976" w:type="dxa"/>
            <w:noWrap/>
            <w:vAlign w:val="center"/>
          </w:tcPr>
          <w:p w14:paraId="4498977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电话0592-2218761</w:t>
            </w:r>
          </w:p>
          <w:p w14:paraId="002529DD">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传真0592-5706660-6969</w:t>
            </w:r>
          </w:p>
          <w:p w14:paraId="5A7EE85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default"/>
                <w:color w:val="auto"/>
                <w:highlight w:val="none"/>
              </w:rPr>
              <w:fldChar w:fldCharType="begin"/>
            </w:r>
            <w:r>
              <w:rPr>
                <w:rFonts w:hint="default"/>
                <w:color w:val="auto"/>
                <w:highlight w:val="none"/>
              </w:rPr>
              <w:instrText xml:space="preserve"> HYPERLINK "mailto:邮箱hcq@iport.com.cn" </w:instrText>
            </w:r>
            <w:r>
              <w:rPr>
                <w:rFonts w:hint="default"/>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14:paraId="60D3BD6C">
            <w:pPr>
              <w:keepNext w:val="0"/>
              <w:keepLines w:val="0"/>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bl>
    <w:p w14:paraId="582E9DE4">
      <w:pPr>
        <w:tabs>
          <w:tab w:val="left" w:pos="11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13、投标保证金及代理服务费缴交账户：</w:t>
      </w:r>
    </w:p>
    <w:tbl>
      <w:tblPr>
        <w:tblStyle w:val="16"/>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4E949D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ign w:val="center"/>
          </w:tcPr>
          <w:p w14:paraId="5E8C9EC6">
            <w:pPr>
              <w:keepNext w:val="0"/>
              <w:keepLines w:val="0"/>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240" w:type="dxa"/>
            <w:noWrap/>
            <w:vAlign w:val="center"/>
          </w:tcPr>
          <w:p w14:paraId="4AA6CC80">
            <w:pPr>
              <w:keepNext w:val="0"/>
              <w:keepLines w:val="0"/>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投标保证金缴交账户</w:t>
            </w:r>
          </w:p>
        </w:tc>
        <w:tc>
          <w:tcPr>
            <w:tcW w:w="4602" w:type="dxa"/>
            <w:noWrap/>
            <w:vAlign w:val="center"/>
          </w:tcPr>
          <w:p w14:paraId="1A0BF733">
            <w:pPr>
              <w:keepNext w:val="0"/>
              <w:keepLines w:val="0"/>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代理服务费缴交账户</w:t>
            </w:r>
          </w:p>
        </w:tc>
      </w:tr>
      <w:tr w14:paraId="3C934A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ign w:val="center"/>
          </w:tcPr>
          <w:p w14:paraId="7AD1A1C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240" w:type="dxa"/>
            <w:noWrap/>
            <w:vAlign w:val="center"/>
          </w:tcPr>
          <w:p w14:paraId="051E3A4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noWrap/>
            <w:vAlign w:val="center"/>
          </w:tcPr>
          <w:p w14:paraId="70DA0CA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14:paraId="357853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3BBAE63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账    号</w:t>
            </w:r>
          </w:p>
        </w:tc>
        <w:tc>
          <w:tcPr>
            <w:tcW w:w="3240" w:type="dxa"/>
            <w:noWrap/>
            <w:vAlign w:val="center"/>
          </w:tcPr>
          <w:p w14:paraId="6576A06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noWrap/>
            <w:vAlign w:val="center"/>
          </w:tcPr>
          <w:p w14:paraId="6D4BBAC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14:paraId="63C4CD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57F9A28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户名</w:t>
            </w:r>
          </w:p>
        </w:tc>
        <w:tc>
          <w:tcPr>
            <w:tcW w:w="7842" w:type="dxa"/>
            <w:gridSpan w:val="2"/>
            <w:noWrap/>
            <w:vAlign w:val="center"/>
          </w:tcPr>
          <w:p w14:paraId="5ABBF8D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14:paraId="5E7E0616">
      <w:pPr>
        <w:tabs>
          <w:tab w:val="left" w:pos="1140"/>
        </w:tabs>
        <w:spacing w:line="360" w:lineRule="auto"/>
        <w:ind w:firstLine="560"/>
        <w:rPr>
          <w:rFonts w:ascii="宋体" w:hAnsi="宋体" w:cs="宋体"/>
          <w:color w:val="auto"/>
          <w:sz w:val="24"/>
          <w:szCs w:val="24"/>
          <w:highlight w:val="none"/>
        </w:rPr>
      </w:pPr>
    </w:p>
    <w:p w14:paraId="5E23EA73">
      <w:pPr>
        <w:spacing w:line="360" w:lineRule="auto"/>
        <w:ind w:firstLine="360"/>
        <w:rPr>
          <w:rFonts w:ascii="宋体" w:hAnsi="宋体" w:cs="宋体"/>
          <w:color w:val="auto"/>
          <w:sz w:val="24"/>
          <w:szCs w:val="24"/>
          <w:highlight w:val="none"/>
        </w:rPr>
      </w:pPr>
      <w:r>
        <w:rPr>
          <w:rFonts w:hint="eastAsia" w:ascii="宋体" w:hAnsi="宋体" w:cs="宋体"/>
          <w:color w:val="auto"/>
          <w:sz w:val="24"/>
          <w:szCs w:val="24"/>
          <w:highlight w:val="none"/>
        </w:rPr>
        <w:t>注：投标人须将相关的费用缴交至上表对应的账号，缴错账号而产生的一切后果由投标人自行承担。</w:t>
      </w:r>
    </w:p>
    <w:p w14:paraId="31583EF9">
      <w:pPr>
        <w:spacing w:line="360" w:lineRule="auto"/>
        <w:ind w:firstLine="360"/>
        <w:rPr>
          <w:rFonts w:ascii="宋体" w:hAnsi="宋体" w:cs="宋体"/>
          <w:b/>
          <w:color w:val="auto"/>
          <w:sz w:val="24"/>
          <w:szCs w:val="24"/>
          <w:highlight w:val="none"/>
        </w:rPr>
      </w:pPr>
    </w:p>
    <w:p w14:paraId="4AB8B814">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招标代理机构：厦门万翔招标有限公司</w:t>
      </w:r>
    </w:p>
    <w:p w14:paraId="299CE3E4">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 xml:space="preserve">地  址：厦门市湖里区机场北路476号四楼 </w:t>
      </w:r>
    </w:p>
    <w:p w14:paraId="7CCCF74E">
      <w:pPr>
        <w:tabs>
          <w:tab w:val="left" w:pos="2775"/>
        </w:tabs>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邮  编： 361006</w:t>
      </w:r>
    </w:p>
    <w:p w14:paraId="7CCA2674">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合同款项事宜联系人：</w:t>
      </w:r>
      <w:r>
        <w:rPr>
          <w:rFonts w:hint="eastAsia" w:ascii="宋体" w:hAnsi="宋体" w:cs="宋体"/>
          <w:color w:val="auto"/>
          <w:kern w:val="0"/>
          <w:sz w:val="24"/>
          <w:highlight w:val="none"/>
        </w:rPr>
        <w:t>陈先生0592-5706825</w:t>
      </w:r>
    </w:p>
    <w:p w14:paraId="2FD7EDC8">
      <w:pPr>
        <w:pStyle w:val="14"/>
        <w:ind w:firstLine="210"/>
        <w:rPr>
          <w:color w:val="auto"/>
          <w:highlight w:val="none"/>
        </w:rPr>
      </w:pPr>
    </w:p>
    <w:p w14:paraId="439484EC">
      <w:pPr>
        <w:tabs>
          <w:tab w:val="left" w:pos="2775"/>
        </w:tabs>
        <w:spacing w:line="360" w:lineRule="auto"/>
        <w:ind w:firstLine="465"/>
        <w:rPr>
          <w:rFonts w:ascii="宋体" w:hAnsi="宋体" w:cs="宋体"/>
          <w:color w:val="auto"/>
          <w:sz w:val="24"/>
          <w:szCs w:val="24"/>
          <w:highlight w:val="none"/>
        </w:rPr>
      </w:pPr>
    </w:p>
    <w:p w14:paraId="44246F8A">
      <w:pPr>
        <w:tabs>
          <w:tab w:val="left" w:pos="2775"/>
        </w:tabs>
        <w:spacing w:line="360" w:lineRule="auto"/>
        <w:ind w:firstLine="465"/>
        <w:rPr>
          <w:rFonts w:ascii="宋体" w:hAnsi="宋体" w:cs="宋体"/>
          <w:color w:val="auto"/>
          <w:sz w:val="24"/>
          <w:szCs w:val="24"/>
          <w:highlight w:val="none"/>
        </w:rPr>
      </w:pPr>
    </w:p>
    <w:p w14:paraId="46ECEDA0">
      <w:pPr>
        <w:tabs>
          <w:tab w:val="left" w:pos="2775"/>
        </w:tabs>
        <w:spacing w:line="360" w:lineRule="auto"/>
        <w:ind w:firstLine="465"/>
        <w:rPr>
          <w:rFonts w:ascii="宋体" w:hAnsi="宋体" w:cs="宋体"/>
          <w:color w:val="auto"/>
          <w:sz w:val="24"/>
          <w:szCs w:val="24"/>
          <w:highlight w:val="none"/>
        </w:rPr>
      </w:pPr>
    </w:p>
    <w:p w14:paraId="2D6E7382">
      <w:pPr>
        <w:tabs>
          <w:tab w:val="left" w:pos="2775"/>
        </w:tabs>
        <w:spacing w:line="360" w:lineRule="auto"/>
        <w:ind w:firstLine="465"/>
        <w:rPr>
          <w:rFonts w:ascii="宋体" w:hAnsi="宋体" w:cs="宋体"/>
          <w:color w:val="auto"/>
          <w:sz w:val="24"/>
          <w:szCs w:val="24"/>
          <w:highlight w:val="none"/>
        </w:rPr>
      </w:pPr>
    </w:p>
    <w:p w14:paraId="3CDAFA40">
      <w:pPr>
        <w:tabs>
          <w:tab w:val="left" w:pos="2775"/>
        </w:tabs>
        <w:spacing w:line="360" w:lineRule="auto"/>
        <w:ind w:firstLine="465"/>
        <w:rPr>
          <w:rFonts w:ascii="宋体" w:hAnsi="宋体" w:cs="宋体"/>
          <w:color w:val="auto"/>
          <w:sz w:val="24"/>
          <w:szCs w:val="24"/>
          <w:highlight w:val="none"/>
        </w:rPr>
      </w:pPr>
    </w:p>
    <w:p w14:paraId="23E6B3A7">
      <w:pPr>
        <w:tabs>
          <w:tab w:val="left" w:pos="2775"/>
        </w:tabs>
        <w:spacing w:line="360" w:lineRule="auto"/>
        <w:ind w:firstLine="465"/>
        <w:rPr>
          <w:rFonts w:ascii="宋体" w:hAnsi="宋体" w:cs="宋体"/>
          <w:color w:val="auto"/>
          <w:sz w:val="24"/>
          <w:szCs w:val="24"/>
          <w:highlight w:val="none"/>
        </w:rPr>
      </w:pPr>
      <w:bookmarkStart w:id="1" w:name="_GoBack"/>
      <w:bookmarkEnd w:id="1"/>
    </w:p>
    <w:p w14:paraId="5021FF05">
      <w:pPr>
        <w:tabs>
          <w:tab w:val="left" w:pos="2775"/>
        </w:tabs>
        <w:spacing w:line="360" w:lineRule="auto"/>
        <w:ind w:firstLine="465"/>
        <w:rPr>
          <w:rFonts w:ascii="宋体" w:hAnsi="宋体" w:cs="宋体"/>
          <w:color w:val="auto"/>
          <w:sz w:val="24"/>
          <w:szCs w:val="24"/>
          <w:highlight w:val="none"/>
        </w:rPr>
      </w:pPr>
    </w:p>
    <w:p w14:paraId="41D8673F">
      <w:pPr>
        <w:tabs>
          <w:tab w:val="left" w:pos="2775"/>
        </w:tabs>
        <w:spacing w:line="360" w:lineRule="auto"/>
        <w:ind w:firstLine="465"/>
        <w:rPr>
          <w:rFonts w:ascii="宋体" w:hAnsi="宋体" w:cs="宋体"/>
          <w:color w:val="auto"/>
          <w:sz w:val="24"/>
          <w:szCs w:val="24"/>
          <w:highlight w:val="none"/>
        </w:rPr>
      </w:pPr>
    </w:p>
    <w:p w14:paraId="17BDEF9C">
      <w:pPr>
        <w:tabs>
          <w:tab w:val="left" w:pos="2775"/>
        </w:tabs>
        <w:spacing w:line="360" w:lineRule="auto"/>
        <w:ind w:firstLine="465"/>
        <w:rPr>
          <w:rFonts w:ascii="宋体" w:hAnsi="宋体" w:cs="宋体"/>
          <w:color w:val="auto"/>
          <w:sz w:val="24"/>
          <w:szCs w:val="24"/>
          <w:highlight w:val="none"/>
        </w:rPr>
      </w:pPr>
    </w:p>
    <w:p w14:paraId="7B74DE18">
      <w:pPr>
        <w:tabs>
          <w:tab w:val="left" w:pos="2775"/>
        </w:tabs>
        <w:spacing w:line="360" w:lineRule="auto"/>
        <w:ind w:firstLine="465"/>
        <w:rPr>
          <w:rFonts w:ascii="宋体" w:hAnsi="宋体" w:cs="宋体"/>
          <w:color w:val="auto"/>
          <w:sz w:val="24"/>
          <w:szCs w:val="24"/>
          <w:highlight w:val="none"/>
        </w:rPr>
      </w:pPr>
    </w:p>
    <w:p w14:paraId="214B7BC9">
      <w:pPr>
        <w:tabs>
          <w:tab w:val="left" w:pos="2775"/>
        </w:tabs>
        <w:spacing w:line="360" w:lineRule="auto"/>
        <w:ind w:firstLine="465"/>
        <w:rPr>
          <w:rFonts w:ascii="宋体" w:hAnsi="宋体" w:cs="宋体"/>
          <w:color w:val="auto"/>
          <w:sz w:val="24"/>
          <w:szCs w:val="24"/>
          <w:highlight w:val="none"/>
        </w:rPr>
      </w:pPr>
    </w:p>
    <w:p w14:paraId="28B446CC">
      <w:pPr>
        <w:spacing w:line="360" w:lineRule="auto"/>
        <w:rPr>
          <w:rFonts w:ascii="宋体" w:hAnsi="宋体" w:cs="宋体"/>
          <w:color w:val="auto"/>
          <w:sz w:val="32"/>
          <w:szCs w:val="32"/>
          <w:highlight w:val="none"/>
        </w:rPr>
      </w:pPr>
    </w:p>
    <w:p w14:paraId="20765B76">
      <w:pPr>
        <w:spacing w:line="360" w:lineRule="auto"/>
        <w:rPr>
          <w:rFonts w:ascii="宋体" w:hAnsi="宋体" w:cs="宋体"/>
          <w:color w:val="auto"/>
          <w:sz w:val="32"/>
          <w:szCs w:val="32"/>
          <w:highlight w:val="none"/>
        </w:rPr>
      </w:pPr>
    </w:p>
    <w:p w14:paraId="228F9417">
      <w:pPr>
        <w:spacing w:line="360" w:lineRule="auto"/>
        <w:rPr>
          <w:rFonts w:ascii="宋体" w:hAnsi="宋体" w:cs="宋体"/>
          <w:color w:val="auto"/>
          <w:sz w:val="32"/>
          <w:szCs w:val="32"/>
          <w:highlight w:val="none"/>
        </w:rPr>
      </w:pPr>
    </w:p>
    <w:p w14:paraId="7BEFDBD0">
      <w:pPr>
        <w:spacing w:line="360" w:lineRule="auto"/>
        <w:rPr>
          <w:rFonts w:ascii="宋体" w:hAnsi="宋体" w:cs="宋体"/>
          <w:color w:val="auto"/>
          <w:sz w:val="32"/>
          <w:szCs w:val="32"/>
          <w:highlight w:val="none"/>
        </w:rPr>
      </w:pPr>
    </w:p>
    <w:p w14:paraId="18EDA2CA">
      <w:pPr>
        <w:spacing w:line="360" w:lineRule="auto"/>
        <w:rPr>
          <w:rFonts w:ascii="宋体" w:hAnsi="宋体" w:cs="宋体"/>
          <w:color w:val="auto"/>
          <w:sz w:val="32"/>
          <w:szCs w:val="32"/>
          <w:highlight w:val="none"/>
        </w:rPr>
      </w:pPr>
    </w:p>
    <w:p w14:paraId="6C4DBC80">
      <w:pPr>
        <w:spacing w:line="360" w:lineRule="auto"/>
        <w:rPr>
          <w:rFonts w:ascii="宋体" w:hAnsi="宋体" w:cs="宋体"/>
          <w:color w:val="auto"/>
          <w:sz w:val="32"/>
          <w:szCs w:val="32"/>
          <w:highlight w:val="none"/>
        </w:rPr>
      </w:pPr>
    </w:p>
    <w:p w14:paraId="55E2D1E1">
      <w:pPr>
        <w:spacing w:line="360" w:lineRule="auto"/>
        <w:rPr>
          <w:rFonts w:ascii="宋体" w:hAnsi="宋体" w:cs="宋体"/>
          <w:color w:val="auto"/>
          <w:sz w:val="32"/>
          <w:szCs w:val="32"/>
          <w:highlight w:val="none"/>
        </w:rPr>
      </w:pPr>
    </w:p>
    <w:p w14:paraId="7D3B8638">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t>附：招标货物(服务)一览表</w:t>
      </w:r>
    </w:p>
    <w:p w14:paraId="0709B858">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招标货物（服务）一览表</w:t>
      </w:r>
    </w:p>
    <w:tbl>
      <w:tblPr>
        <w:tblStyle w:val="16"/>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1440"/>
        <w:gridCol w:w="1419"/>
      </w:tblGrid>
      <w:tr w14:paraId="22401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ign w:val="center"/>
          </w:tcPr>
          <w:p w14:paraId="53C48F78">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ign w:val="center"/>
          </w:tcPr>
          <w:p w14:paraId="2DAC85F8">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ign w:val="center"/>
          </w:tcPr>
          <w:p w14:paraId="4F373710">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ign w:val="center"/>
          </w:tcPr>
          <w:p w14:paraId="3762D8DB">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数量</w:t>
            </w:r>
          </w:p>
        </w:tc>
        <w:tc>
          <w:tcPr>
            <w:tcW w:w="1620" w:type="dxa"/>
            <w:tcBorders>
              <w:top w:val="single" w:color="auto" w:sz="4" w:space="0"/>
              <w:left w:val="single" w:color="auto" w:sz="4" w:space="0"/>
              <w:bottom w:val="single" w:color="auto" w:sz="4" w:space="0"/>
              <w:right w:val="single" w:color="auto" w:sz="4" w:space="0"/>
            </w:tcBorders>
            <w:noWrap/>
            <w:vAlign w:val="center"/>
          </w:tcPr>
          <w:p w14:paraId="059EC46C">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ign w:val="center"/>
          </w:tcPr>
          <w:p w14:paraId="36CC3365">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交货地点</w:t>
            </w:r>
          </w:p>
        </w:tc>
        <w:tc>
          <w:tcPr>
            <w:tcW w:w="1440" w:type="dxa"/>
            <w:tcBorders>
              <w:top w:val="single" w:color="auto" w:sz="4" w:space="0"/>
              <w:left w:val="single" w:color="auto" w:sz="4" w:space="0"/>
              <w:bottom w:val="single" w:color="auto" w:sz="4" w:space="0"/>
              <w:right w:val="single" w:color="auto" w:sz="4" w:space="0"/>
            </w:tcBorders>
            <w:noWrap/>
            <w:vAlign w:val="center"/>
          </w:tcPr>
          <w:p w14:paraId="34122D66">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*交付使用期</w:t>
            </w:r>
          </w:p>
        </w:tc>
        <w:tc>
          <w:tcPr>
            <w:tcW w:w="1419" w:type="dxa"/>
            <w:tcBorders>
              <w:top w:val="single" w:color="auto" w:sz="4" w:space="0"/>
              <w:left w:val="single" w:color="auto" w:sz="4" w:space="0"/>
              <w:bottom w:val="single" w:color="auto" w:sz="4" w:space="0"/>
              <w:right w:val="single" w:color="auto" w:sz="4" w:space="0"/>
            </w:tcBorders>
            <w:noWrap/>
            <w:vAlign w:val="center"/>
          </w:tcPr>
          <w:p w14:paraId="2FAEFDD8">
            <w:pPr>
              <w:pStyle w:val="4"/>
              <w:keepNext w:val="0"/>
              <w:keepLines w:val="0"/>
              <w:suppressLineNumbers w:val="0"/>
              <w:spacing w:before="0" w:beforeAutospacing="0" w:after="0" w:afterAutospacing="0"/>
              <w:ind w:left="0" w:right="0"/>
              <w:rPr>
                <w:rFonts w:hint="default"/>
                <w:b/>
                <w:color w:val="auto"/>
                <w:highlight w:val="none"/>
              </w:rPr>
            </w:pPr>
            <w:r>
              <w:rPr>
                <w:rFonts w:hint="eastAsia"/>
                <w:color w:val="auto"/>
                <w:highlight w:val="none"/>
              </w:rPr>
              <w:t>使用单位</w:t>
            </w:r>
          </w:p>
        </w:tc>
      </w:tr>
      <w:tr w14:paraId="3506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ign w:val="center"/>
          </w:tcPr>
          <w:p w14:paraId="4CEF614B">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XM2024-DZ0048</w:t>
            </w:r>
          </w:p>
        </w:tc>
        <w:tc>
          <w:tcPr>
            <w:tcW w:w="952" w:type="dxa"/>
            <w:tcBorders>
              <w:top w:val="single" w:color="auto" w:sz="4" w:space="0"/>
              <w:left w:val="single" w:color="auto" w:sz="4" w:space="0"/>
              <w:bottom w:val="single" w:color="auto" w:sz="4" w:space="0"/>
              <w:right w:val="single" w:color="auto" w:sz="4" w:space="0"/>
            </w:tcBorders>
            <w:noWrap/>
            <w:vAlign w:val="center"/>
          </w:tcPr>
          <w:p w14:paraId="71378485">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1-1</w:t>
            </w:r>
          </w:p>
        </w:tc>
        <w:tc>
          <w:tcPr>
            <w:tcW w:w="1716" w:type="dxa"/>
            <w:tcBorders>
              <w:top w:val="single" w:color="auto" w:sz="4" w:space="0"/>
              <w:left w:val="single" w:color="auto" w:sz="4" w:space="0"/>
              <w:bottom w:val="single" w:color="auto" w:sz="4" w:space="0"/>
              <w:right w:val="single" w:color="auto" w:sz="4" w:space="0"/>
            </w:tcBorders>
            <w:noWrap/>
            <w:vAlign w:val="center"/>
          </w:tcPr>
          <w:p w14:paraId="7F415F98">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嘉庚创新实验室新工科大楼实验室</w:t>
            </w:r>
            <w:r>
              <w:rPr>
                <w:rFonts w:hint="default"/>
                <w:color w:val="auto"/>
                <w:highlight w:val="none"/>
              </w:rPr>
              <w:t>家具</w:t>
            </w:r>
          </w:p>
        </w:tc>
        <w:tc>
          <w:tcPr>
            <w:tcW w:w="900" w:type="dxa"/>
            <w:tcBorders>
              <w:top w:val="single" w:color="auto" w:sz="4" w:space="0"/>
              <w:left w:val="single" w:color="auto" w:sz="4" w:space="0"/>
              <w:bottom w:val="single" w:color="auto" w:sz="4" w:space="0"/>
              <w:right w:val="single" w:color="auto" w:sz="4" w:space="0"/>
            </w:tcBorders>
            <w:noWrap/>
            <w:vAlign w:val="center"/>
          </w:tcPr>
          <w:p w14:paraId="0E9DD50C">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1批</w:t>
            </w:r>
          </w:p>
        </w:tc>
        <w:tc>
          <w:tcPr>
            <w:tcW w:w="1620" w:type="dxa"/>
            <w:tcBorders>
              <w:top w:val="single" w:color="auto" w:sz="4" w:space="0"/>
              <w:left w:val="single" w:color="auto" w:sz="4" w:space="0"/>
              <w:bottom w:val="single" w:color="auto" w:sz="4" w:space="0"/>
              <w:right w:val="single" w:color="auto" w:sz="4" w:space="0"/>
            </w:tcBorders>
            <w:noWrap/>
            <w:vAlign w:val="center"/>
          </w:tcPr>
          <w:p w14:paraId="4EDB1DD2">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详见招标内容及要求</w:t>
            </w:r>
          </w:p>
        </w:tc>
        <w:tc>
          <w:tcPr>
            <w:tcW w:w="1080" w:type="dxa"/>
            <w:tcBorders>
              <w:top w:val="single" w:color="auto" w:sz="4" w:space="0"/>
              <w:left w:val="single" w:color="auto" w:sz="4" w:space="0"/>
              <w:bottom w:val="single" w:color="auto" w:sz="4" w:space="0"/>
              <w:right w:val="single" w:color="auto" w:sz="4" w:space="0"/>
            </w:tcBorders>
            <w:noWrap/>
            <w:vAlign w:val="center"/>
          </w:tcPr>
          <w:p w14:paraId="429986C9">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使用单位指定地点</w:t>
            </w:r>
          </w:p>
        </w:tc>
        <w:tc>
          <w:tcPr>
            <w:tcW w:w="1440" w:type="dxa"/>
            <w:tcBorders>
              <w:top w:val="single" w:color="auto" w:sz="4" w:space="0"/>
              <w:left w:val="single" w:color="auto" w:sz="4" w:space="0"/>
              <w:bottom w:val="single" w:color="auto" w:sz="4" w:space="0"/>
              <w:right w:val="single" w:color="auto" w:sz="4" w:space="0"/>
            </w:tcBorders>
            <w:noWrap/>
            <w:vAlign w:val="center"/>
          </w:tcPr>
          <w:p w14:paraId="1C926A7E">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详见招标内容及要求</w:t>
            </w:r>
          </w:p>
        </w:tc>
        <w:tc>
          <w:tcPr>
            <w:tcW w:w="1419" w:type="dxa"/>
            <w:tcBorders>
              <w:top w:val="single" w:color="auto" w:sz="4" w:space="0"/>
              <w:left w:val="single" w:color="auto" w:sz="4" w:space="0"/>
              <w:bottom w:val="single" w:color="auto" w:sz="4" w:space="0"/>
              <w:right w:val="single" w:color="auto" w:sz="4" w:space="0"/>
            </w:tcBorders>
            <w:noWrap/>
            <w:vAlign w:val="center"/>
          </w:tcPr>
          <w:p w14:paraId="1ABA58BA">
            <w:pPr>
              <w:pStyle w:val="4"/>
              <w:keepNext w:val="0"/>
              <w:keepLines w:val="0"/>
              <w:suppressLineNumbers w:val="0"/>
              <w:spacing w:before="0" w:beforeAutospacing="0" w:after="0" w:afterAutospacing="0"/>
              <w:ind w:left="0" w:right="0"/>
              <w:rPr>
                <w:rFonts w:hint="default"/>
                <w:color w:val="auto"/>
                <w:highlight w:val="none"/>
              </w:rPr>
            </w:pPr>
            <w:r>
              <w:rPr>
                <w:rFonts w:hint="eastAsia"/>
                <w:color w:val="auto"/>
                <w:highlight w:val="none"/>
              </w:rPr>
              <w:t>嘉庚创新实验室</w:t>
            </w:r>
          </w:p>
        </w:tc>
      </w:tr>
    </w:tbl>
    <w:p w14:paraId="6C8D3BD8">
      <w:pPr>
        <w:pStyle w:val="6"/>
        <w:tabs>
          <w:tab w:val="left" w:pos="8360"/>
        </w:tabs>
        <w:spacing w:line="360" w:lineRule="auto"/>
        <w:jc w:val="left"/>
        <w:rPr>
          <w:rFonts w:hAnsi="宋体" w:cs="宋体"/>
          <w:color w:val="auto"/>
          <w:sz w:val="24"/>
          <w:szCs w:val="24"/>
          <w:highlight w:val="none"/>
        </w:rPr>
      </w:pPr>
    </w:p>
    <w:p w14:paraId="0C14A496">
      <w:pPr>
        <w:pStyle w:val="6"/>
        <w:tabs>
          <w:tab w:val="left" w:pos="8360"/>
        </w:tabs>
        <w:spacing w:line="360" w:lineRule="auto"/>
        <w:jc w:val="left"/>
        <w:rPr>
          <w:rFonts w:hAnsi="宋体" w:cs="宋体"/>
          <w:color w:val="auto"/>
          <w:sz w:val="24"/>
          <w:szCs w:val="24"/>
          <w:highlight w:val="none"/>
        </w:rPr>
      </w:pPr>
      <w:r>
        <w:rPr>
          <w:rFonts w:hint="eastAsia" w:hAnsi="宋体" w:cs="宋体"/>
          <w:color w:val="auto"/>
          <w:sz w:val="24"/>
          <w:szCs w:val="24"/>
          <w:highlight w:val="none"/>
        </w:rPr>
        <w:t>注：投标人可按合同包投标，对同一合同包内所有品目号内容投标时必须完整。评标与授标以合同包为单位。</w:t>
      </w:r>
    </w:p>
    <w:p w14:paraId="7B5E366D">
      <w:pPr>
        <w:pStyle w:val="6"/>
        <w:tabs>
          <w:tab w:val="left" w:pos="8360"/>
        </w:tabs>
        <w:spacing w:line="360" w:lineRule="auto"/>
        <w:jc w:val="left"/>
        <w:rPr>
          <w:rFonts w:hAnsi="宋体" w:cs="宋体"/>
          <w:color w:val="auto"/>
          <w:sz w:val="24"/>
          <w:szCs w:val="24"/>
          <w:highlight w:val="none"/>
        </w:rPr>
      </w:pPr>
    </w:p>
    <w:p w14:paraId="01EF231C">
      <w:pPr>
        <w:pStyle w:val="2"/>
        <w:spacing w:line="360" w:lineRule="auto"/>
        <w:ind w:firstLine="0"/>
        <w:rPr>
          <w:rFonts w:ascii="宋体" w:hAnsi="宋体" w:cs="宋体"/>
          <w:b/>
          <w:color w:val="auto"/>
          <w:sz w:val="24"/>
          <w:szCs w:val="24"/>
          <w:highlight w:val="none"/>
        </w:rPr>
        <w:sectPr>
          <w:footerReference r:id="rId5" w:type="default"/>
          <w:pgSz w:w="11906" w:h="16838"/>
          <w:pgMar w:top="1440" w:right="1106" w:bottom="1290" w:left="1800" w:header="851" w:footer="992" w:gutter="0"/>
          <w:pgNumType w:start="1"/>
          <w:cols w:space="720" w:num="1"/>
          <w:docGrid w:type="lines" w:linePitch="312" w:charSpace="0"/>
        </w:sectPr>
      </w:pPr>
    </w:p>
    <w:p w14:paraId="11A34B07">
      <w:pPr>
        <w:pStyle w:val="47"/>
        <w:spacing w:line="360" w:lineRule="auto"/>
        <w:jc w:val="center"/>
        <w:rPr>
          <w:rFonts w:hAnsi="宋体" w:cs="宋体"/>
          <w:b/>
          <w:color w:val="auto"/>
          <w:sz w:val="32"/>
          <w:szCs w:val="32"/>
          <w:highlight w:val="none"/>
        </w:rPr>
      </w:pPr>
      <w:r>
        <w:rPr>
          <w:rFonts w:hint="eastAsia" w:hAnsi="宋体" w:cs="宋体"/>
          <w:b/>
          <w:color w:val="auto"/>
          <w:sz w:val="32"/>
          <w:szCs w:val="32"/>
          <w:highlight w:val="none"/>
        </w:rPr>
        <w:t>第二章  投标人须知</w:t>
      </w:r>
    </w:p>
    <w:p w14:paraId="7EB7C54F">
      <w:pPr>
        <w:pStyle w:val="47"/>
        <w:spacing w:line="360" w:lineRule="auto"/>
        <w:jc w:val="center"/>
        <w:rPr>
          <w:rFonts w:hAnsi="宋体" w:cs="宋体"/>
          <w:color w:val="auto"/>
          <w:sz w:val="32"/>
          <w:szCs w:val="32"/>
          <w:highlight w:val="none"/>
        </w:rPr>
      </w:pPr>
      <w:r>
        <w:rPr>
          <w:rFonts w:hint="eastAsia" w:hAnsi="宋体" w:cs="宋体"/>
          <w:b/>
          <w:color w:val="auto"/>
          <w:sz w:val="32"/>
          <w:szCs w:val="32"/>
          <w:highlight w:val="none"/>
        </w:rPr>
        <w:t>投标人须知前附表1</w:t>
      </w:r>
    </w:p>
    <w:p w14:paraId="09467146">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本须知前附表1的条款号是与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6"/>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65B6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tcPr>
          <w:p w14:paraId="2255DDB2">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项号</w:t>
            </w:r>
          </w:p>
        </w:tc>
        <w:tc>
          <w:tcPr>
            <w:tcW w:w="1080" w:type="dxa"/>
            <w:noWrap/>
          </w:tcPr>
          <w:p w14:paraId="60C1DA5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380" w:type="dxa"/>
            <w:noWrap/>
          </w:tcPr>
          <w:p w14:paraId="528B539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编   列   内    容</w:t>
            </w:r>
          </w:p>
        </w:tc>
      </w:tr>
      <w:tr w14:paraId="09D80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ign w:val="center"/>
          </w:tcPr>
          <w:p w14:paraId="51AEE9D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1</w:t>
            </w:r>
          </w:p>
        </w:tc>
        <w:tc>
          <w:tcPr>
            <w:tcW w:w="1080" w:type="dxa"/>
            <w:noWrap/>
            <w:vAlign w:val="center"/>
          </w:tcPr>
          <w:p w14:paraId="6E172E1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1.1</w:t>
            </w:r>
          </w:p>
        </w:tc>
        <w:tc>
          <w:tcPr>
            <w:tcW w:w="7380" w:type="dxa"/>
            <w:noWrap/>
            <w:vAlign w:val="center"/>
          </w:tcPr>
          <w:p w14:paraId="24B2BAC3">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项目名称：嘉庚创新实验室新工科大楼实验室</w:t>
            </w:r>
            <w:r>
              <w:rPr>
                <w:rFonts w:hint="default" w:ascii="宋体" w:hAnsi="宋体" w:cs="宋体"/>
                <w:color w:val="auto"/>
                <w:sz w:val="24"/>
                <w:szCs w:val="24"/>
                <w:highlight w:val="none"/>
              </w:rPr>
              <w:t>家具</w:t>
            </w:r>
            <w:r>
              <w:rPr>
                <w:rFonts w:hint="eastAsia" w:ascii="宋体" w:hAnsi="宋体" w:cs="宋体"/>
                <w:color w:val="auto"/>
                <w:sz w:val="24"/>
                <w:szCs w:val="24"/>
                <w:highlight w:val="none"/>
              </w:rPr>
              <w:t>装项目</w:t>
            </w:r>
          </w:p>
          <w:p w14:paraId="42781A61">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35512974">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4BB3A304">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项目内容：嘉庚创新实验室新工科大楼实验室</w:t>
            </w:r>
            <w:r>
              <w:rPr>
                <w:rFonts w:hint="default" w:ascii="宋体" w:hAnsi="宋体" w:cs="宋体"/>
                <w:color w:val="auto"/>
                <w:sz w:val="24"/>
                <w:szCs w:val="24"/>
                <w:highlight w:val="none"/>
              </w:rPr>
              <w:t>家具</w:t>
            </w:r>
            <w:r>
              <w:rPr>
                <w:rFonts w:hint="eastAsia" w:ascii="宋体" w:hAnsi="宋体" w:cs="宋体"/>
                <w:color w:val="auto"/>
                <w:sz w:val="24"/>
                <w:szCs w:val="24"/>
                <w:highlight w:val="none"/>
              </w:rPr>
              <w:t>项目</w:t>
            </w:r>
          </w:p>
          <w:p w14:paraId="76D1678E">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u w:val="singl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XM2024-DZ0048</w:t>
            </w:r>
          </w:p>
        </w:tc>
      </w:tr>
      <w:tr w14:paraId="3EDA9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ign w:val="center"/>
          </w:tcPr>
          <w:p w14:paraId="2892EDA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2</w:t>
            </w:r>
          </w:p>
        </w:tc>
        <w:tc>
          <w:tcPr>
            <w:tcW w:w="1080" w:type="dxa"/>
            <w:noWrap/>
            <w:vAlign w:val="center"/>
          </w:tcPr>
          <w:p w14:paraId="474E9F6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3</w:t>
            </w:r>
          </w:p>
        </w:tc>
        <w:tc>
          <w:tcPr>
            <w:tcW w:w="7380" w:type="dxa"/>
            <w:noWrap/>
            <w:vAlign w:val="center"/>
          </w:tcPr>
          <w:p w14:paraId="1A5770DA">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资格标准：</w:t>
            </w:r>
          </w:p>
          <w:p w14:paraId="2A93142A">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详见第二章《投标人须知》第3条，以及第三章《招标内容及要求》有关内容。</w:t>
            </w:r>
          </w:p>
        </w:tc>
      </w:tr>
      <w:tr w14:paraId="0027C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72EA1A8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3</w:t>
            </w:r>
          </w:p>
        </w:tc>
        <w:tc>
          <w:tcPr>
            <w:tcW w:w="1080" w:type="dxa"/>
            <w:noWrap/>
            <w:vAlign w:val="center"/>
          </w:tcPr>
          <w:p w14:paraId="180C538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11.1</w:t>
            </w:r>
          </w:p>
        </w:tc>
        <w:tc>
          <w:tcPr>
            <w:tcW w:w="7380" w:type="dxa"/>
            <w:noWrap/>
            <w:vAlign w:val="center"/>
          </w:tcPr>
          <w:p w14:paraId="06F48344">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投标有效期：投标截止之日起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个日历日。</w:t>
            </w:r>
          </w:p>
          <w:p w14:paraId="0E02EF2F">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有效期不足将导致其投标文件被拒绝。</w:t>
            </w:r>
          </w:p>
        </w:tc>
      </w:tr>
      <w:tr w14:paraId="0C75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1F1EBC4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4</w:t>
            </w:r>
          </w:p>
        </w:tc>
        <w:tc>
          <w:tcPr>
            <w:tcW w:w="1080" w:type="dxa"/>
            <w:noWrap/>
            <w:vAlign w:val="center"/>
          </w:tcPr>
          <w:p w14:paraId="59C0367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380" w:type="dxa"/>
            <w:noWrap/>
            <w:vAlign w:val="center"/>
          </w:tcPr>
          <w:p w14:paraId="4DCCB7B6">
            <w:pPr>
              <w:keepNext w:val="0"/>
              <w:keepLines w:val="0"/>
              <w:widowControl/>
              <w:suppressLineNumbers w:val="0"/>
              <w:spacing w:before="0" w:beforeAutospacing="0" w:after="0" w:afterAutospacing="0" w:line="360" w:lineRule="auto"/>
              <w:ind w:left="0" w:right="0"/>
              <w:jc w:val="left"/>
              <w:rPr>
                <w:rFonts w:hint="default" w:ascii="宋体" w:hAnsi="宋体" w:cs="宋体"/>
                <w:b/>
                <w:color w:val="auto"/>
                <w:sz w:val="24"/>
                <w:szCs w:val="24"/>
                <w:highlight w:val="none"/>
                <w:u w:val="single"/>
              </w:rPr>
            </w:pPr>
            <w:r>
              <w:rPr>
                <w:rFonts w:hint="eastAsia" w:ascii="宋体" w:hAnsi="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u w:val="single"/>
              </w:rPr>
              <w:t>号收标窗口</w:t>
            </w:r>
          </w:p>
          <w:p w14:paraId="24DAC5F7">
            <w:pPr>
              <w:keepNext w:val="0"/>
              <w:keepLines w:val="0"/>
              <w:suppressLineNumbers w:val="0"/>
              <w:spacing w:before="0" w:beforeAutospacing="0" w:after="0" w:afterAutospacing="0" w:line="360" w:lineRule="auto"/>
              <w:ind w:left="0" w:right="0"/>
              <w:rPr>
                <w:rFonts w:hint="default" w:ascii="宋体" w:hAnsi="宋体" w:cs="宋体" w:eastAsiaTheme="minorEastAsia"/>
                <w:color w:val="auto"/>
                <w:sz w:val="24"/>
                <w:szCs w:val="24"/>
                <w:highlight w:val="none"/>
                <w:lang w:val="en-US" w:eastAsia="zh-CN"/>
              </w:rPr>
            </w:pPr>
            <w:r>
              <w:rPr>
                <w:rFonts w:hint="eastAsia" w:ascii="宋体" w:hAnsi="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徐先生、黄小姐</w:t>
            </w:r>
          </w:p>
        </w:tc>
      </w:tr>
      <w:tr w14:paraId="1FEB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02363E3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5</w:t>
            </w:r>
          </w:p>
        </w:tc>
        <w:tc>
          <w:tcPr>
            <w:tcW w:w="1080" w:type="dxa"/>
            <w:noWrap/>
            <w:vAlign w:val="center"/>
          </w:tcPr>
          <w:p w14:paraId="77ACF2E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12</w:t>
            </w:r>
          </w:p>
        </w:tc>
        <w:tc>
          <w:tcPr>
            <w:tcW w:w="7380" w:type="dxa"/>
            <w:noWrap/>
            <w:vAlign w:val="center"/>
          </w:tcPr>
          <w:p w14:paraId="1DF276E2">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投标保证金：</w:t>
            </w:r>
            <w:r>
              <w:rPr>
                <w:rFonts w:hint="eastAsia" w:ascii="宋体" w:hAnsi="宋体" w:cs="宋体"/>
                <w:color w:val="auto"/>
                <w:sz w:val="22"/>
                <w:highlight w:val="none"/>
                <w:u w:val="single"/>
              </w:rPr>
              <w:t xml:space="preserve">   0元       </w:t>
            </w:r>
          </w:p>
          <w:p w14:paraId="607A9569">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①投标保证金以转账、电汇两种形式提交（不收取现金、现金支票，不能用个人卡在银联支付系统转账，否则作未提交投标保证金处理）。</w:t>
            </w:r>
          </w:p>
          <w:p w14:paraId="5167063D">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②若项目存在分合同包采购的，则投标保证金应按不同的合同包号分别提交。</w:t>
            </w:r>
          </w:p>
          <w:p w14:paraId="288B42A4">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③投标人为中小企业的，其投标保证金减半交纳。减半交纳投标保证金的投标人应按照招标文件格式要求在投标文件中提供《中小企业声明函》。</w:t>
            </w:r>
          </w:p>
          <w:p w14:paraId="30840201">
            <w:pPr>
              <w:keepNext w:val="0"/>
              <w:keepLines w:val="0"/>
              <w:suppressLineNumbers w:val="0"/>
              <w:spacing w:before="0" w:beforeAutospacing="0" w:after="0" w:afterAutospacing="0" w:line="360" w:lineRule="auto"/>
              <w:ind w:left="0" w:right="0"/>
              <w:rPr>
                <w:rFonts w:hint="default" w:ascii="宋体" w:hAnsi="宋体" w:cs="宋体"/>
                <w:color w:val="auto"/>
                <w:kern w:val="0"/>
                <w:sz w:val="22"/>
                <w:highlight w:val="none"/>
              </w:rPr>
            </w:pPr>
            <w:r>
              <w:rPr>
                <w:rFonts w:hint="eastAsia" w:ascii="宋体" w:hAnsi="宋体" w:cs="宋体"/>
                <w:color w:val="auto"/>
                <w:sz w:val="22"/>
                <w:highlight w:val="none"/>
              </w:rPr>
              <w:t>④</w:t>
            </w:r>
            <w:r>
              <w:rPr>
                <w:rFonts w:hint="eastAsia" w:ascii="宋体" w:hAnsi="宋体" w:cs="宋体"/>
                <w:color w:val="auto"/>
                <w:kern w:val="0"/>
                <w:sz w:val="22"/>
                <w:highlight w:val="none"/>
              </w:rPr>
              <w:t>投标保证金应在投标截止时间前到账。</w:t>
            </w:r>
          </w:p>
          <w:p w14:paraId="3034A2F6">
            <w:pPr>
              <w:keepNext w:val="0"/>
              <w:keepLines w:val="0"/>
              <w:suppressLineNumbers w:val="0"/>
              <w:spacing w:before="0" w:beforeAutospacing="0" w:after="0" w:afterAutospacing="0" w:line="360" w:lineRule="auto"/>
              <w:ind w:left="0" w:right="0"/>
              <w:rPr>
                <w:rFonts w:hint="default" w:ascii="宋体" w:hAnsi="宋体" w:cs="宋体"/>
                <w:color w:val="auto"/>
                <w:kern w:val="0"/>
                <w:sz w:val="22"/>
                <w:highlight w:val="none"/>
              </w:rPr>
            </w:pPr>
            <w:r>
              <w:rPr>
                <w:rFonts w:hint="eastAsia" w:ascii="宋体" w:hAnsi="宋体" w:cs="宋体"/>
                <w:color w:val="auto"/>
                <w:kern w:val="0"/>
                <w:sz w:val="22"/>
                <w:highlight w:val="none"/>
              </w:rPr>
              <w:t>未按前述规定缴交投标保证金的，投标无效。</w:t>
            </w:r>
          </w:p>
          <w:p w14:paraId="116CA220">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6C99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5F76EDD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6</w:t>
            </w:r>
          </w:p>
        </w:tc>
        <w:tc>
          <w:tcPr>
            <w:tcW w:w="1080" w:type="dxa"/>
            <w:noWrap/>
            <w:vAlign w:val="center"/>
          </w:tcPr>
          <w:p w14:paraId="2EF1AD9D">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13.1</w:t>
            </w:r>
          </w:p>
        </w:tc>
        <w:tc>
          <w:tcPr>
            <w:tcW w:w="7380" w:type="dxa"/>
            <w:noWrap/>
            <w:vAlign w:val="center"/>
          </w:tcPr>
          <w:p w14:paraId="02EC2361">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投标文件份数：正本一份、副本四份</w:t>
            </w:r>
          </w:p>
        </w:tc>
      </w:tr>
      <w:tr w14:paraId="15D5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4888CC6C">
            <w:pPr>
              <w:keepNext w:val="0"/>
              <w:keepLines w:val="0"/>
              <w:suppressLineNumbers w:val="0"/>
              <w:spacing w:before="0" w:beforeAutospacing="0" w:after="0" w:afterAutospacing="0" w:line="360" w:lineRule="auto"/>
              <w:ind w:left="0" w:right="0" w:firstLine="220" w:firstLineChars="100"/>
              <w:rPr>
                <w:rFonts w:hint="default" w:ascii="宋体" w:hAnsi="宋体" w:cs="宋体"/>
                <w:color w:val="auto"/>
                <w:sz w:val="22"/>
                <w:highlight w:val="none"/>
              </w:rPr>
            </w:pPr>
            <w:r>
              <w:rPr>
                <w:rFonts w:hint="eastAsia" w:ascii="宋体" w:hAnsi="宋体" w:cs="宋体"/>
                <w:color w:val="auto"/>
                <w:sz w:val="22"/>
                <w:highlight w:val="none"/>
              </w:rPr>
              <w:t>7</w:t>
            </w:r>
          </w:p>
        </w:tc>
        <w:tc>
          <w:tcPr>
            <w:tcW w:w="1080" w:type="dxa"/>
            <w:noWrap/>
            <w:vAlign w:val="center"/>
          </w:tcPr>
          <w:p w14:paraId="6063CDD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19.1</w:t>
            </w:r>
          </w:p>
        </w:tc>
        <w:tc>
          <w:tcPr>
            <w:tcW w:w="7380" w:type="dxa"/>
            <w:noWrap/>
            <w:vAlign w:val="center"/>
          </w:tcPr>
          <w:p w14:paraId="7C735475">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评标方法、标准及定标原则(含推荐中标候选供应商数量)：</w:t>
            </w:r>
          </w:p>
          <w:p w14:paraId="665B4405">
            <w:pPr>
              <w:pStyle w:val="6"/>
              <w:keepNext w:val="0"/>
              <w:keepLines w:val="0"/>
              <w:suppressLineNumbers w:val="0"/>
              <w:spacing w:before="0" w:beforeAutospacing="0" w:after="0" w:afterAutospacing="0" w:line="360" w:lineRule="auto"/>
              <w:ind w:left="0" w:right="0"/>
              <w:rPr>
                <w:rFonts w:hint="default" w:hAnsi="宋体" w:cs="宋体"/>
                <w:color w:val="auto"/>
                <w:sz w:val="22"/>
                <w:szCs w:val="22"/>
                <w:highlight w:val="none"/>
              </w:rPr>
            </w:pPr>
            <w:r>
              <w:rPr>
                <w:rFonts w:hint="eastAsia" w:hAnsi="宋体" w:cs="宋体"/>
                <w:color w:val="auto"/>
                <w:sz w:val="22"/>
                <w:szCs w:val="22"/>
                <w:highlight w:val="none"/>
              </w:rPr>
              <w:t>详见《投标人须知前附表3》。</w:t>
            </w:r>
          </w:p>
        </w:tc>
      </w:tr>
      <w:tr w14:paraId="32A24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02E1A04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8</w:t>
            </w:r>
          </w:p>
        </w:tc>
        <w:tc>
          <w:tcPr>
            <w:tcW w:w="1080" w:type="dxa"/>
            <w:noWrap/>
            <w:vAlign w:val="center"/>
          </w:tcPr>
          <w:p w14:paraId="55BDED2B">
            <w:pPr>
              <w:keepNext w:val="0"/>
              <w:keepLines w:val="0"/>
              <w:suppressLineNumbers w:val="0"/>
              <w:spacing w:before="0" w:beforeAutospacing="0" w:after="0" w:afterAutospacing="0" w:line="360" w:lineRule="auto"/>
              <w:ind w:left="0" w:right="-63" w:rightChars="-30"/>
              <w:rPr>
                <w:rFonts w:hint="default" w:ascii="宋体" w:hAnsi="宋体" w:cs="宋体"/>
                <w:color w:val="auto"/>
                <w:sz w:val="22"/>
                <w:highlight w:val="none"/>
              </w:rPr>
            </w:pPr>
            <w:r>
              <w:rPr>
                <w:rFonts w:hint="eastAsia" w:ascii="宋体" w:hAnsi="宋体" w:cs="宋体"/>
                <w:color w:val="auto"/>
                <w:sz w:val="22"/>
                <w:highlight w:val="none"/>
              </w:rPr>
              <w:t>12.9</w:t>
            </w:r>
          </w:p>
        </w:tc>
        <w:tc>
          <w:tcPr>
            <w:tcW w:w="7380" w:type="dxa"/>
            <w:noWrap/>
            <w:vAlign w:val="center"/>
          </w:tcPr>
          <w:p w14:paraId="5E901CAA">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代理服务费：</w:t>
            </w:r>
          </w:p>
          <w:p w14:paraId="53A6696B">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1、代理服务费收费标准：</w:t>
            </w:r>
          </w:p>
          <w:tbl>
            <w:tblPr>
              <w:tblStyle w:val="16"/>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4FCBA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312BA337">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中标金额(万元)</w:t>
                  </w:r>
                </w:p>
              </w:tc>
              <w:tc>
                <w:tcPr>
                  <w:tcW w:w="2700" w:type="dxa"/>
                  <w:noWrap/>
                </w:tcPr>
                <w:p w14:paraId="0EDB647F">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费率</w:t>
                  </w:r>
                </w:p>
              </w:tc>
            </w:tr>
            <w:tr w14:paraId="0C165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201052E9">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[0―100]</w:t>
                  </w:r>
                </w:p>
              </w:tc>
              <w:tc>
                <w:tcPr>
                  <w:tcW w:w="2700" w:type="dxa"/>
                  <w:noWrap/>
                </w:tcPr>
                <w:p w14:paraId="3C261096">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1.5%</w:t>
                  </w:r>
                </w:p>
              </w:tc>
            </w:tr>
            <w:tr w14:paraId="1FBDC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65A7933B">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（100－500]</w:t>
                  </w:r>
                </w:p>
              </w:tc>
              <w:tc>
                <w:tcPr>
                  <w:tcW w:w="2700" w:type="dxa"/>
                  <w:noWrap/>
                </w:tcPr>
                <w:p w14:paraId="59943B4F">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1.1%</w:t>
                  </w:r>
                </w:p>
              </w:tc>
            </w:tr>
            <w:tr w14:paraId="72AC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2D7C80A5">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（500-1000]</w:t>
                  </w:r>
                </w:p>
              </w:tc>
              <w:tc>
                <w:tcPr>
                  <w:tcW w:w="2700" w:type="dxa"/>
                  <w:noWrap/>
                </w:tcPr>
                <w:p w14:paraId="14B80645">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0.8%</w:t>
                  </w:r>
                </w:p>
              </w:tc>
            </w:tr>
            <w:tr w14:paraId="6C79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3F5A6533">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（1000-5000]</w:t>
                  </w:r>
                </w:p>
              </w:tc>
              <w:tc>
                <w:tcPr>
                  <w:tcW w:w="2700" w:type="dxa"/>
                  <w:noWrap/>
                </w:tcPr>
                <w:p w14:paraId="0B746DAF">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0.5%</w:t>
                  </w:r>
                </w:p>
              </w:tc>
            </w:tr>
            <w:tr w14:paraId="2F28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2100CE4B">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（5000-10000]</w:t>
                  </w:r>
                </w:p>
              </w:tc>
              <w:tc>
                <w:tcPr>
                  <w:tcW w:w="2700" w:type="dxa"/>
                  <w:noWrap/>
                </w:tcPr>
                <w:p w14:paraId="4BA3EE79">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0.25%</w:t>
                  </w:r>
                </w:p>
              </w:tc>
            </w:tr>
            <w:tr w14:paraId="2A99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noWrap/>
                </w:tcPr>
                <w:p w14:paraId="507049B6">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（10000-50000]</w:t>
                  </w:r>
                </w:p>
              </w:tc>
              <w:tc>
                <w:tcPr>
                  <w:tcW w:w="2700" w:type="dxa"/>
                  <w:noWrap/>
                </w:tcPr>
                <w:p w14:paraId="25FDFEE7">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0.05%</w:t>
                  </w:r>
                </w:p>
              </w:tc>
            </w:tr>
            <w:tr w14:paraId="60292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4BA989FB">
                  <w:pPr>
                    <w:keepNext w:val="0"/>
                    <w:keepLines w:val="0"/>
                    <w:suppressLineNumbers w:val="0"/>
                    <w:adjustRightInd w:val="0"/>
                    <w:snapToGrid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（50000-100000]</w:t>
                  </w:r>
                </w:p>
              </w:tc>
              <w:tc>
                <w:tcPr>
                  <w:tcW w:w="2700" w:type="dxa"/>
                  <w:noWrap/>
                </w:tcPr>
                <w:p w14:paraId="3F548167">
                  <w:pPr>
                    <w:keepNext w:val="0"/>
                    <w:keepLines w:val="0"/>
                    <w:suppressLineNumbers w:val="0"/>
                    <w:adjustRightInd w:val="0"/>
                    <w:snapToGrid w:val="0"/>
                    <w:spacing w:before="0" w:beforeAutospacing="0" w:after="0" w:afterAutospacing="0" w:line="360" w:lineRule="auto"/>
                    <w:ind w:left="0" w:right="0" w:firstLine="110" w:firstLineChars="50"/>
                    <w:rPr>
                      <w:rFonts w:hint="default" w:ascii="宋体" w:hAnsi="宋体" w:cs="宋体"/>
                      <w:color w:val="auto"/>
                      <w:sz w:val="22"/>
                      <w:highlight w:val="none"/>
                    </w:rPr>
                  </w:pPr>
                  <w:r>
                    <w:rPr>
                      <w:rFonts w:hint="eastAsia" w:ascii="宋体" w:hAnsi="宋体" w:cs="宋体"/>
                      <w:color w:val="auto"/>
                      <w:sz w:val="22"/>
                      <w:highlight w:val="none"/>
                    </w:rPr>
                    <w:t>0.035%</w:t>
                  </w:r>
                </w:p>
              </w:tc>
            </w:tr>
          </w:tbl>
          <w:p w14:paraId="4A0A74A2">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注：1、代理服务费的收取按差额定率累进法计算,由中标供应商支付。</w:t>
            </w:r>
          </w:p>
          <w:p w14:paraId="4C898C13">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2、中标供应商以转账或汇款方式提交。</w:t>
            </w:r>
          </w:p>
          <w:p w14:paraId="35E8C1E8">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3、中标供应商为中小企业的，其代理服务费按照上述服务收费标准下浮10%进行支付。</w:t>
            </w:r>
          </w:p>
        </w:tc>
      </w:tr>
      <w:tr w14:paraId="33CEA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3F007E3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9</w:t>
            </w:r>
          </w:p>
        </w:tc>
        <w:tc>
          <w:tcPr>
            <w:tcW w:w="1080" w:type="dxa"/>
            <w:tcBorders>
              <w:top w:val="single" w:color="auto" w:sz="4" w:space="0"/>
              <w:left w:val="single" w:color="auto" w:sz="4" w:space="0"/>
              <w:bottom w:val="single" w:color="auto" w:sz="4" w:space="0"/>
              <w:right w:val="single" w:color="auto" w:sz="4" w:space="0"/>
            </w:tcBorders>
            <w:noWrap/>
            <w:vAlign w:val="center"/>
          </w:tcPr>
          <w:p w14:paraId="44F54CE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3C5B5F29">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监督管理部门：厦门市财政局。</w:t>
            </w:r>
          </w:p>
        </w:tc>
      </w:tr>
      <w:tr w14:paraId="6C6F2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6439DBA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10</w:t>
            </w:r>
          </w:p>
        </w:tc>
        <w:tc>
          <w:tcPr>
            <w:tcW w:w="1080" w:type="dxa"/>
            <w:tcBorders>
              <w:top w:val="single" w:color="auto" w:sz="4" w:space="0"/>
              <w:left w:val="single" w:color="auto" w:sz="4" w:space="0"/>
              <w:bottom w:val="single" w:color="auto" w:sz="4" w:space="0"/>
              <w:right w:val="single" w:color="auto" w:sz="4" w:space="0"/>
            </w:tcBorders>
            <w:noWrap/>
            <w:vAlign w:val="center"/>
          </w:tcPr>
          <w:p w14:paraId="532915D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7380" w:type="dxa"/>
            <w:tcBorders>
              <w:top w:val="single" w:color="auto" w:sz="4" w:space="0"/>
              <w:left w:val="single" w:color="auto" w:sz="4" w:space="0"/>
              <w:bottom w:val="single" w:color="auto" w:sz="4" w:space="0"/>
              <w:right w:val="single" w:color="auto" w:sz="4" w:space="0"/>
            </w:tcBorders>
            <w:noWrap/>
            <w:vAlign w:val="center"/>
          </w:tcPr>
          <w:p w14:paraId="051793C2">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是否允许进口产品参加本采购项目：</w:t>
            </w:r>
            <w:r>
              <w:rPr>
                <w:rFonts w:hint="eastAsia" w:ascii="宋体" w:hAnsi="宋体" w:cs="宋体"/>
                <w:b/>
                <w:color w:val="auto"/>
                <w:sz w:val="22"/>
                <w:highlight w:val="none"/>
              </w:rPr>
              <w:t>□</w:t>
            </w:r>
            <w:r>
              <w:rPr>
                <w:rFonts w:hint="eastAsia" w:ascii="宋体" w:hAnsi="宋体" w:cs="宋体"/>
                <w:color w:val="auto"/>
                <w:sz w:val="22"/>
                <w:highlight w:val="none"/>
              </w:rPr>
              <w:t xml:space="preserve">是/ </w:t>
            </w:r>
            <w:r>
              <w:rPr>
                <w:rFonts w:hint="eastAsia" w:ascii="宋体" w:hAnsi="宋体" w:cs="宋体"/>
                <w:color w:val="auto"/>
                <w:sz w:val="22"/>
                <w:highlight w:val="none"/>
              </w:rPr>
              <w:fldChar w:fldCharType="begin"/>
            </w:r>
            <w:r>
              <w:rPr>
                <w:rFonts w:hint="eastAsia" w:ascii="宋体" w:hAnsi="宋体" w:cs="宋体"/>
                <w:color w:val="auto"/>
                <w:sz w:val="22"/>
                <w:highlight w:val="none"/>
              </w:rPr>
              <w:instrText xml:space="preserve"> eq \o\ac(</w:instrText>
            </w:r>
            <w:r>
              <w:rPr>
                <w:rFonts w:hint="eastAsia" w:ascii="宋体" w:hAnsi="宋体" w:cs="宋体"/>
                <w:color w:val="auto"/>
                <w:position w:val="-4"/>
                <w:sz w:val="33"/>
                <w:highlight w:val="none"/>
              </w:rPr>
              <w:instrText xml:space="preserve">□</w:instrText>
            </w:r>
            <w:r>
              <w:rPr>
                <w:rFonts w:hint="eastAsia" w:ascii="宋体" w:hAnsi="宋体" w:cs="宋体"/>
                <w:color w:val="auto"/>
                <w:sz w:val="22"/>
                <w:highlight w:val="none"/>
              </w:rPr>
              <w:instrText xml:space="preserve">,√)</w:instrText>
            </w:r>
            <w:r>
              <w:rPr>
                <w:rFonts w:hint="eastAsia" w:ascii="宋体" w:hAnsi="宋体" w:cs="宋体"/>
                <w:color w:val="auto"/>
                <w:sz w:val="22"/>
                <w:highlight w:val="none"/>
              </w:rPr>
              <w:fldChar w:fldCharType="end"/>
            </w:r>
            <w:r>
              <w:rPr>
                <w:rFonts w:hint="eastAsia" w:ascii="宋体" w:hAnsi="宋体" w:cs="宋体"/>
                <w:color w:val="auto"/>
                <w:sz w:val="22"/>
                <w:highlight w:val="none"/>
              </w:rPr>
              <w:t>否</w:t>
            </w:r>
          </w:p>
        </w:tc>
      </w:tr>
    </w:tbl>
    <w:p w14:paraId="695E95CD">
      <w:pPr>
        <w:tabs>
          <w:tab w:val="left" w:pos="-1080"/>
          <w:tab w:val="left" w:pos="180"/>
          <w:tab w:val="left" w:pos="1080"/>
        </w:tabs>
        <w:spacing w:line="360" w:lineRule="auto"/>
        <w:rPr>
          <w:rFonts w:ascii="宋体" w:hAnsi="宋体" w:cs="宋体"/>
          <w:b/>
          <w:color w:val="auto"/>
          <w:sz w:val="22"/>
          <w:highlight w:val="none"/>
        </w:rPr>
      </w:pPr>
    </w:p>
    <w:p w14:paraId="0B246E13">
      <w:pPr>
        <w:tabs>
          <w:tab w:val="left" w:pos="-1080"/>
          <w:tab w:val="left" w:pos="180"/>
          <w:tab w:val="left" w:pos="1080"/>
        </w:tabs>
        <w:spacing w:line="360" w:lineRule="auto"/>
        <w:rPr>
          <w:rFonts w:ascii="宋体" w:hAnsi="宋体" w:cs="宋体"/>
          <w:b/>
          <w:color w:val="auto"/>
          <w:sz w:val="22"/>
          <w:highlight w:val="none"/>
        </w:rPr>
      </w:pPr>
    </w:p>
    <w:p w14:paraId="2F204AA2">
      <w:pPr>
        <w:tabs>
          <w:tab w:val="left" w:pos="-1080"/>
          <w:tab w:val="left" w:pos="180"/>
          <w:tab w:val="left" w:pos="1080"/>
        </w:tabs>
        <w:spacing w:line="360" w:lineRule="auto"/>
        <w:rPr>
          <w:rFonts w:ascii="宋体" w:hAnsi="宋体" w:cs="宋体"/>
          <w:b/>
          <w:color w:val="auto"/>
          <w:sz w:val="22"/>
          <w:highlight w:val="none"/>
        </w:rPr>
      </w:pPr>
    </w:p>
    <w:p w14:paraId="6B00A352">
      <w:pPr>
        <w:tabs>
          <w:tab w:val="left" w:pos="-1080"/>
          <w:tab w:val="left" w:pos="180"/>
          <w:tab w:val="left" w:pos="1080"/>
        </w:tabs>
        <w:spacing w:line="360" w:lineRule="auto"/>
        <w:rPr>
          <w:rFonts w:ascii="宋体" w:hAnsi="宋体" w:cs="宋体"/>
          <w:b/>
          <w:color w:val="auto"/>
          <w:sz w:val="22"/>
          <w:highlight w:val="none"/>
        </w:rPr>
      </w:pPr>
    </w:p>
    <w:p w14:paraId="38520BD5">
      <w:pPr>
        <w:spacing w:line="360" w:lineRule="auto"/>
        <w:rPr>
          <w:rFonts w:ascii="宋体" w:hAnsi="宋体" w:cs="宋体"/>
          <w:b/>
          <w:bCs/>
          <w:color w:val="auto"/>
          <w:sz w:val="22"/>
          <w:highlight w:val="none"/>
          <w:u w:val="single"/>
        </w:rPr>
      </w:pPr>
    </w:p>
    <w:p w14:paraId="6F56B80F">
      <w:pPr>
        <w:spacing w:line="360" w:lineRule="auto"/>
        <w:jc w:val="center"/>
        <w:rPr>
          <w:rFonts w:ascii="宋体" w:hAnsi="宋体" w:cs="宋体"/>
          <w:b/>
          <w:bCs/>
          <w:color w:val="auto"/>
          <w:sz w:val="22"/>
          <w:highlight w:val="none"/>
          <w:u w:val="single"/>
        </w:rPr>
      </w:pPr>
    </w:p>
    <w:p w14:paraId="7E7A83F4">
      <w:pPr>
        <w:spacing w:line="360" w:lineRule="auto"/>
        <w:jc w:val="center"/>
        <w:rPr>
          <w:rFonts w:ascii="宋体" w:hAnsi="宋体" w:cs="宋体"/>
          <w:b/>
          <w:bCs/>
          <w:color w:val="auto"/>
          <w:sz w:val="22"/>
          <w:highlight w:val="none"/>
          <w:u w:val="single"/>
        </w:rPr>
      </w:pPr>
    </w:p>
    <w:p w14:paraId="338CB161">
      <w:pPr>
        <w:spacing w:line="360" w:lineRule="auto"/>
        <w:jc w:val="center"/>
        <w:rPr>
          <w:rFonts w:ascii="宋体" w:hAnsi="宋体" w:cs="宋体"/>
          <w:b/>
          <w:bCs/>
          <w:color w:val="auto"/>
          <w:sz w:val="22"/>
          <w:highlight w:val="none"/>
          <w:u w:val="single"/>
        </w:rPr>
      </w:pPr>
    </w:p>
    <w:p w14:paraId="3BE89F55">
      <w:pPr>
        <w:spacing w:line="360" w:lineRule="auto"/>
        <w:jc w:val="center"/>
        <w:rPr>
          <w:rFonts w:ascii="宋体" w:hAnsi="宋体" w:cs="宋体"/>
          <w:b/>
          <w:bCs/>
          <w:color w:val="auto"/>
          <w:sz w:val="22"/>
          <w:highlight w:val="none"/>
          <w:u w:val="single"/>
        </w:rPr>
      </w:pPr>
    </w:p>
    <w:p w14:paraId="2FC12A79">
      <w:pPr>
        <w:spacing w:line="360" w:lineRule="auto"/>
        <w:jc w:val="center"/>
        <w:rPr>
          <w:rFonts w:ascii="宋体" w:hAnsi="宋体" w:cs="宋体"/>
          <w:b/>
          <w:bCs/>
          <w:color w:val="auto"/>
          <w:sz w:val="22"/>
          <w:highlight w:val="none"/>
          <w:u w:val="single"/>
        </w:rPr>
      </w:pPr>
    </w:p>
    <w:p w14:paraId="7208EE27">
      <w:pPr>
        <w:spacing w:line="360" w:lineRule="auto"/>
        <w:jc w:val="center"/>
        <w:rPr>
          <w:rFonts w:ascii="宋体" w:hAnsi="宋体" w:cs="宋体"/>
          <w:b/>
          <w:bCs/>
          <w:color w:val="auto"/>
          <w:sz w:val="22"/>
          <w:highlight w:val="none"/>
          <w:u w:val="single"/>
        </w:rPr>
      </w:pPr>
    </w:p>
    <w:p w14:paraId="78CAEE4D">
      <w:pPr>
        <w:spacing w:line="360" w:lineRule="auto"/>
        <w:jc w:val="center"/>
        <w:rPr>
          <w:rFonts w:ascii="宋体" w:hAnsi="宋体" w:cs="宋体"/>
          <w:b/>
          <w:bCs/>
          <w:color w:val="auto"/>
          <w:sz w:val="22"/>
          <w:highlight w:val="none"/>
          <w:u w:val="single"/>
        </w:rPr>
      </w:pPr>
    </w:p>
    <w:p w14:paraId="0ABEC3C7">
      <w:pPr>
        <w:spacing w:line="360" w:lineRule="auto"/>
        <w:jc w:val="center"/>
        <w:rPr>
          <w:rFonts w:ascii="宋体" w:hAnsi="宋体" w:cs="宋体"/>
          <w:b/>
          <w:bCs/>
          <w:color w:val="auto"/>
          <w:sz w:val="22"/>
          <w:highlight w:val="none"/>
          <w:u w:val="single"/>
        </w:rPr>
      </w:pPr>
      <w:r>
        <w:rPr>
          <w:rFonts w:hint="eastAsia" w:ascii="宋体" w:hAnsi="宋体" w:cs="宋体"/>
          <w:b/>
          <w:bCs/>
          <w:color w:val="auto"/>
          <w:sz w:val="22"/>
          <w:highlight w:val="none"/>
          <w:u w:val="single"/>
        </w:rPr>
        <w:t>投标人须知前附表2:资格性、符合性检查表</w:t>
      </w:r>
    </w:p>
    <w:p w14:paraId="73A8B4A9">
      <w:pPr>
        <w:spacing w:line="360" w:lineRule="auto"/>
        <w:ind w:firstLine="527"/>
        <w:rPr>
          <w:rFonts w:ascii="宋体" w:hAnsi="宋体" w:cs="宋体"/>
          <w:color w:val="auto"/>
          <w:sz w:val="22"/>
          <w:highlight w:val="none"/>
        </w:rPr>
      </w:pPr>
      <w:r>
        <w:rPr>
          <w:rFonts w:hint="eastAsia" w:ascii="宋体" w:hAnsi="宋体" w:cs="宋体"/>
          <w:color w:val="auto"/>
          <w:sz w:val="22"/>
          <w:highlight w:val="none"/>
        </w:rPr>
        <w:t>本须知前附表2集中列示了符合性检查的所有条款，其内容是评标委员会在评审过程中判断投标人的投标是否有效的重要依据。本须知前附表</w:t>
      </w:r>
      <w:r>
        <w:rPr>
          <w:rFonts w:ascii="宋体" w:hAnsi="宋体" w:cs="宋体"/>
          <w:color w:val="auto"/>
          <w:sz w:val="22"/>
          <w:highlight w:val="none"/>
        </w:rPr>
        <w:t>2</w:t>
      </w:r>
      <w:r>
        <w:rPr>
          <w:rFonts w:hint="eastAsia" w:ascii="宋体" w:hAnsi="宋体" w:cs="宋体"/>
          <w:color w:val="auto"/>
          <w:sz w:val="22"/>
          <w:highlight w:val="none"/>
        </w:rPr>
        <w:t>的条款号是与</w:t>
      </w:r>
      <w:r>
        <w:rPr>
          <w:rFonts w:ascii="宋体" w:hAnsi="宋体" w:cs="宋体"/>
          <w:color w:val="auto"/>
          <w:sz w:val="22"/>
          <w:highlight w:val="none"/>
        </w:rPr>
        <w:t>固定部分第二章</w:t>
      </w:r>
      <w:r>
        <w:rPr>
          <w:rFonts w:hint="eastAsia" w:ascii="宋体" w:hAnsi="宋体" w:cs="宋体"/>
          <w:color w:val="auto"/>
          <w:sz w:val="22"/>
          <w:highlight w:val="none"/>
        </w:rPr>
        <w:t xml:space="preserve">《投标人须知》中条款的项号相对应的。如有矛盾，应以本须知前附表为准。 </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0"/>
        <w:gridCol w:w="268"/>
        <w:gridCol w:w="374"/>
        <w:gridCol w:w="7657"/>
      </w:tblGrid>
      <w:tr w14:paraId="6FB50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14:paraId="551DC00D">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资格性要求</w:t>
            </w:r>
          </w:p>
        </w:tc>
      </w:tr>
      <w:tr w14:paraId="2784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52A4CCDA">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项</w:t>
            </w:r>
          </w:p>
          <w:p w14:paraId="2378B351">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号</w:t>
            </w:r>
          </w:p>
        </w:tc>
        <w:tc>
          <w:tcPr>
            <w:tcW w:w="155" w:type="pct"/>
            <w:tcBorders>
              <w:bottom w:val="single" w:color="auto" w:sz="4" w:space="0"/>
            </w:tcBorders>
            <w:noWrap/>
            <w:vAlign w:val="center"/>
          </w:tcPr>
          <w:p w14:paraId="74DD33A9">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章</w:t>
            </w:r>
          </w:p>
        </w:tc>
        <w:tc>
          <w:tcPr>
            <w:tcW w:w="216" w:type="pct"/>
            <w:tcBorders>
              <w:bottom w:val="single" w:color="auto" w:sz="4" w:space="0"/>
            </w:tcBorders>
            <w:noWrap/>
            <w:vAlign w:val="center"/>
          </w:tcPr>
          <w:p w14:paraId="624CEFCB">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条款号</w:t>
            </w:r>
          </w:p>
        </w:tc>
        <w:tc>
          <w:tcPr>
            <w:tcW w:w="4441" w:type="pct"/>
            <w:tcBorders>
              <w:bottom w:val="single" w:color="auto" w:sz="4" w:space="0"/>
            </w:tcBorders>
            <w:noWrap/>
            <w:vAlign w:val="center"/>
          </w:tcPr>
          <w:p w14:paraId="4CC95594">
            <w:pPr>
              <w:keepNext w:val="0"/>
              <w:keepLines w:val="0"/>
              <w:suppressLineNumbers w:val="0"/>
              <w:tabs>
                <w:tab w:val="left" w:pos="2848"/>
              </w:tabs>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具体内容</w:t>
            </w:r>
          </w:p>
        </w:tc>
      </w:tr>
      <w:tr w14:paraId="1000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5DA155E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w:t>
            </w:r>
          </w:p>
        </w:tc>
        <w:tc>
          <w:tcPr>
            <w:tcW w:w="155" w:type="pct"/>
            <w:tcBorders>
              <w:top w:val="single" w:color="auto" w:sz="4" w:space="0"/>
              <w:left w:val="single" w:color="auto" w:sz="4" w:space="0"/>
              <w:bottom w:val="single" w:color="auto" w:sz="4" w:space="0"/>
              <w:right w:val="single" w:color="auto" w:sz="4" w:space="0"/>
            </w:tcBorders>
            <w:noWrap/>
            <w:vAlign w:val="center"/>
          </w:tcPr>
          <w:p w14:paraId="173A00C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6126BF9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w:t>
            </w:r>
          </w:p>
        </w:tc>
        <w:tc>
          <w:tcPr>
            <w:tcW w:w="4441" w:type="pct"/>
            <w:tcBorders>
              <w:top w:val="single" w:color="auto" w:sz="4" w:space="0"/>
              <w:left w:val="single" w:color="auto" w:sz="4" w:space="0"/>
              <w:bottom w:val="single" w:color="auto" w:sz="4" w:space="0"/>
              <w:right w:val="single" w:color="auto" w:sz="4" w:space="0"/>
            </w:tcBorders>
            <w:noWrap/>
            <w:vAlign w:val="center"/>
          </w:tcPr>
          <w:p w14:paraId="494EA7C6">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合格的投标人</w:t>
            </w:r>
          </w:p>
          <w:p w14:paraId="5024BD3F">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具体内容详见第二章第3条“合格的投标人”。</w:t>
            </w:r>
          </w:p>
        </w:tc>
      </w:tr>
      <w:tr w14:paraId="2197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DF423F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2</w:t>
            </w:r>
          </w:p>
        </w:tc>
        <w:tc>
          <w:tcPr>
            <w:tcW w:w="155" w:type="pct"/>
            <w:tcBorders>
              <w:top w:val="single" w:color="auto" w:sz="4" w:space="0"/>
              <w:left w:val="single" w:color="auto" w:sz="4" w:space="0"/>
              <w:bottom w:val="single" w:color="auto" w:sz="4" w:space="0"/>
              <w:right w:val="single" w:color="auto" w:sz="4" w:space="0"/>
            </w:tcBorders>
            <w:noWrap/>
            <w:vAlign w:val="center"/>
          </w:tcPr>
          <w:p w14:paraId="3AB3320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22C1D45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3.1</w:t>
            </w:r>
          </w:p>
        </w:tc>
        <w:tc>
          <w:tcPr>
            <w:tcW w:w="4441" w:type="pct"/>
            <w:tcBorders>
              <w:top w:val="single" w:color="auto" w:sz="4" w:space="0"/>
              <w:left w:val="single" w:color="auto" w:sz="4" w:space="0"/>
              <w:bottom w:val="single" w:color="auto" w:sz="4" w:space="0"/>
              <w:right w:val="single" w:color="auto" w:sz="4" w:space="0"/>
            </w:tcBorders>
            <w:noWrap/>
            <w:vAlign w:val="center"/>
          </w:tcPr>
          <w:p w14:paraId="621EADA3">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767F12AE">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投标人应具备《中华人民共和国政府采购法》第二十二条第一款规定的条件，并提供以下材料：</w:t>
            </w:r>
          </w:p>
          <w:p w14:paraId="483D5306">
            <w:pPr>
              <w:keepNext w:val="0"/>
              <w:keepLines w:val="0"/>
              <w:suppressLineNumbers w:val="0"/>
              <w:spacing w:before="0" w:beforeAutospacing="0" w:after="0" w:afterAutospacing="0" w:line="360" w:lineRule="auto"/>
              <w:ind w:left="0" w:right="0" w:firstLine="480"/>
              <w:rPr>
                <w:rFonts w:hint="default" w:ascii="宋体" w:hAnsi="宋体" w:cs="宋体"/>
                <w:b/>
                <w:color w:val="auto"/>
                <w:sz w:val="22"/>
                <w:highlight w:val="none"/>
              </w:rPr>
            </w:pPr>
            <w:r>
              <w:rPr>
                <w:rFonts w:hint="eastAsia" w:ascii="宋体" w:hAnsi="宋体" w:cs="宋体"/>
                <w:b/>
                <w:color w:val="auto"/>
                <w:sz w:val="22"/>
                <w:highlight w:val="none"/>
              </w:rPr>
              <w:t>（1）投标人提供工商营业执照（副本）复印件（加盖公章）的复印件，提供组织机构代码证复印件。投标人已提供加载有统一社会信用代码营业执照的，视为已提供税务登记证和组织机构代码证。</w:t>
            </w:r>
          </w:p>
          <w:p w14:paraId="414F2273">
            <w:pPr>
              <w:keepNext w:val="0"/>
              <w:keepLines w:val="0"/>
              <w:suppressLineNumbers w:val="0"/>
              <w:spacing w:before="0" w:beforeAutospacing="0" w:after="0" w:afterAutospacing="0" w:line="360" w:lineRule="auto"/>
              <w:ind w:left="0" w:right="0" w:firstLine="442" w:firstLineChars="200"/>
              <w:rPr>
                <w:rFonts w:hint="default" w:ascii="宋体" w:hAnsi="宋体" w:cs="宋体"/>
                <w:color w:val="auto"/>
                <w:sz w:val="22"/>
                <w:highlight w:val="none"/>
              </w:rPr>
            </w:pPr>
            <w:r>
              <w:rPr>
                <w:rFonts w:hint="eastAsia" w:ascii="宋体" w:hAnsi="宋体" w:cs="宋体"/>
                <w:b/>
                <w:color w:val="auto"/>
                <w:sz w:val="22"/>
                <w:highlight w:val="none"/>
              </w:rPr>
              <w:t>（2）投标人全权代表若不是单位负责人，应提供投标单位授权书原件，并提供被授权代表身份证复印件。</w:t>
            </w:r>
          </w:p>
          <w:p w14:paraId="19DC0A74">
            <w:pPr>
              <w:keepNext w:val="0"/>
              <w:keepLines w:val="0"/>
              <w:suppressLineNumbers w:val="0"/>
              <w:spacing w:before="0" w:beforeAutospacing="0" w:after="0" w:afterAutospacing="0" w:line="360" w:lineRule="auto"/>
              <w:ind w:left="0" w:right="0" w:firstLine="330" w:firstLineChars="150"/>
              <w:rPr>
                <w:rFonts w:hint="default" w:ascii="宋体" w:hAnsi="宋体" w:cs="宋体"/>
                <w:color w:val="auto"/>
                <w:sz w:val="22"/>
                <w:highlight w:val="none"/>
              </w:rPr>
            </w:pPr>
            <w:r>
              <w:rPr>
                <w:rFonts w:hint="eastAsia" w:ascii="宋体" w:hAnsi="宋体" w:cs="宋体"/>
                <w:color w:val="auto"/>
                <w:sz w:val="22"/>
                <w:highlight w:val="none"/>
              </w:rPr>
              <w:t>（3）</w:t>
            </w:r>
            <w:r>
              <w:rPr>
                <w:rFonts w:hint="eastAsia" w:ascii="宋体" w:hAnsi="宋体" w:cs="宋体"/>
                <w:color w:val="auto"/>
                <w:kern w:val="0"/>
                <w:sz w:val="22"/>
                <w:highlight w:val="none"/>
              </w:rPr>
              <w:t>经审计的上一年度的年度财务报告（</w:t>
            </w:r>
            <w:r>
              <w:rPr>
                <w:rFonts w:hint="eastAsia" w:ascii="宋体" w:hAnsi="宋体" w:cs="宋体"/>
                <w:color w:val="auto"/>
                <w:sz w:val="22"/>
                <w:highlight w:val="none"/>
              </w:rPr>
              <w:t>投标人上一年度的财务报告尚未完成编制且投标截止时间在每年1月1日至4月30日的，可提供上上年度经审计的年度财务报告。</w:t>
            </w:r>
            <w:r>
              <w:rPr>
                <w:rFonts w:hint="eastAsia" w:ascii="宋体" w:hAnsi="宋体" w:cs="宋体"/>
                <w:color w:val="auto"/>
                <w:kern w:val="0"/>
                <w:sz w:val="22"/>
                <w:highlight w:val="none"/>
              </w:rPr>
              <w:t>）</w:t>
            </w:r>
            <w:r>
              <w:rPr>
                <w:rFonts w:hint="eastAsia" w:ascii="宋体" w:hAnsi="宋体" w:cs="宋体"/>
                <w:color w:val="auto"/>
                <w:sz w:val="22"/>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5D90BFEB">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财务状况报告指“四表一注”，即资产负债表、利润表、现金流量表、所有者权益变动表及其附注，或基本开户银行出具的资信证明。</w:t>
            </w:r>
          </w:p>
          <w:p w14:paraId="4D7BCBAA">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406F15B6">
            <w:pPr>
              <w:keepNext w:val="0"/>
              <w:keepLines w:val="0"/>
              <w:suppressLineNumbers w:val="0"/>
              <w:spacing w:before="0" w:beforeAutospacing="0" w:after="0" w:afterAutospacing="0" w:line="360" w:lineRule="auto"/>
              <w:ind w:left="0" w:right="0" w:firstLine="200"/>
              <w:rPr>
                <w:rFonts w:hint="default" w:ascii="宋体" w:hAnsi="宋体" w:cs="宋体"/>
                <w:color w:val="auto"/>
                <w:sz w:val="22"/>
                <w:highlight w:val="none"/>
              </w:rPr>
            </w:pPr>
            <w:r>
              <w:rPr>
                <w:rFonts w:hint="eastAsia" w:ascii="宋体" w:hAnsi="宋体" w:cs="宋体"/>
                <w:color w:val="auto"/>
                <w:sz w:val="22"/>
                <w:highlight w:val="none"/>
              </w:rPr>
              <w:t>（4）具备履行合同所必需的设备和专业技术能力的证明材料。</w:t>
            </w:r>
          </w:p>
          <w:p w14:paraId="021D2111">
            <w:pPr>
              <w:keepNext w:val="0"/>
              <w:keepLines w:val="0"/>
              <w:suppressLineNumbers w:val="0"/>
              <w:spacing w:before="0" w:beforeAutospacing="0" w:after="0" w:afterAutospacing="0" w:line="360" w:lineRule="auto"/>
              <w:ind w:left="0" w:right="0" w:firstLine="200"/>
              <w:rPr>
                <w:rFonts w:hint="default" w:ascii="宋体" w:hAnsi="宋体" w:cs="宋体"/>
                <w:color w:val="auto"/>
                <w:sz w:val="22"/>
                <w:highlight w:val="none"/>
              </w:rPr>
            </w:pPr>
            <w:r>
              <w:rPr>
                <w:rFonts w:hint="eastAsia" w:ascii="宋体" w:hAnsi="宋体" w:cs="宋体"/>
                <w:color w:val="auto"/>
                <w:sz w:val="22"/>
                <w:highlight w:val="none"/>
              </w:rPr>
              <w:t>（5）参加政府采购活动前3年内在经营活动中没有重大违法记录的书面声明；投标人自行对其有无行贿犯罪情形进行书面说明或书面承诺。</w:t>
            </w:r>
          </w:p>
          <w:p w14:paraId="24BBDC19">
            <w:pPr>
              <w:keepNext w:val="0"/>
              <w:keepLines w:val="0"/>
              <w:suppressLineNumbers w:val="0"/>
              <w:spacing w:before="0" w:beforeAutospacing="0" w:after="0" w:afterAutospacing="0" w:line="360" w:lineRule="auto"/>
              <w:ind w:left="0" w:right="0" w:firstLine="220" w:firstLineChars="100"/>
              <w:rPr>
                <w:rFonts w:hint="default" w:ascii="宋体" w:hAnsi="宋体" w:cs="宋体"/>
                <w:color w:val="auto"/>
                <w:sz w:val="22"/>
                <w:highlight w:val="none"/>
              </w:rPr>
            </w:pPr>
            <w:r>
              <w:rPr>
                <w:rFonts w:hint="eastAsia" w:ascii="宋体" w:hAnsi="宋体" w:cs="宋体"/>
                <w:color w:val="auto"/>
                <w:sz w:val="22"/>
                <w:highlight w:val="none"/>
              </w:rPr>
              <w:t>（6）具备法律、行政法规规定的其他条件的证明材料。</w:t>
            </w:r>
          </w:p>
          <w:p w14:paraId="1F17F7A1">
            <w:pPr>
              <w:keepNext w:val="0"/>
              <w:keepLines w:val="0"/>
              <w:suppressLineNumbers w:val="0"/>
              <w:spacing w:before="0" w:beforeAutospacing="0" w:after="0" w:afterAutospacing="0" w:line="360" w:lineRule="auto"/>
              <w:ind w:left="0" w:right="0" w:firstLine="220" w:firstLineChars="100"/>
              <w:rPr>
                <w:rFonts w:hint="default" w:ascii="宋体" w:hAnsi="宋体" w:cs="宋体"/>
                <w:color w:val="auto"/>
                <w:sz w:val="22"/>
                <w:highlight w:val="none"/>
              </w:rPr>
            </w:pPr>
            <w:r>
              <w:rPr>
                <w:rFonts w:hint="eastAsia" w:ascii="宋体" w:hAnsi="宋体" w:cs="宋体"/>
                <w:color w:val="auto"/>
                <w:sz w:val="22"/>
                <w:highlight w:val="none"/>
              </w:rPr>
              <w:t>（7）投标人已提供加载有统一社会信用代码营业执照的，视为已提供税务登记证和组织机构代码证。</w:t>
            </w:r>
          </w:p>
        </w:tc>
      </w:tr>
      <w:tr w14:paraId="3EC35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555F4C41">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w:t>
            </w:r>
          </w:p>
        </w:tc>
        <w:tc>
          <w:tcPr>
            <w:tcW w:w="155" w:type="pct"/>
            <w:tcBorders>
              <w:top w:val="single" w:color="auto" w:sz="4" w:space="0"/>
              <w:left w:val="single" w:color="auto" w:sz="4" w:space="0"/>
              <w:bottom w:val="single" w:color="auto" w:sz="4" w:space="0"/>
              <w:right w:val="single" w:color="auto" w:sz="4" w:space="0"/>
            </w:tcBorders>
            <w:noWrap/>
            <w:vAlign w:val="center"/>
          </w:tcPr>
          <w:p w14:paraId="165F219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1A44CBE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3.5</w:t>
            </w:r>
          </w:p>
        </w:tc>
        <w:tc>
          <w:tcPr>
            <w:tcW w:w="4441" w:type="pct"/>
            <w:tcBorders>
              <w:top w:val="single" w:color="auto" w:sz="4" w:space="0"/>
              <w:left w:val="single" w:color="auto" w:sz="4" w:space="0"/>
              <w:bottom w:val="single" w:color="auto" w:sz="4" w:space="0"/>
              <w:right w:val="single" w:color="auto" w:sz="4" w:space="0"/>
            </w:tcBorders>
            <w:noWrap/>
            <w:vAlign w:val="center"/>
          </w:tcPr>
          <w:p w14:paraId="63E2DA84">
            <w:pPr>
              <w:keepNext w:val="0"/>
              <w:keepLines w:val="0"/>
              <w:suppressLineNumbers w:val="0"/>
              <w:spacing w:before="0" w:beforeAutospacing="0" w:after="0" w:afterAutospacing="0" w:line="360" w:lineRule="auto"/>
              <w:ind w:left="0" w:right="0" w:firstLine="330" w:firstLineChars="150"/>
              <w:rPr>
                <w:rFonts w:hint="default" w:ascii="宋体" w:hAnsi="宋体" w:cs="宋体"/>
                <w:color w:val="auto"/>
                <w:sz w:val="22"/>
                <w:highlight w:val="none"/>
              </w:rPr>
            </w:pPr>
            <w:r>
              <w:rPr>
                <w:rFonts w:hint="eastAsia" w:ascii="宋体" w:hAnsi="宋体" w:cs="宋体"/>
                <w:color w:val="auto"/>
                <w:sz w:val="22"/>
                <w:highlight w:val="none"/>
              </w:rPr>
              <w:t>3.5</w:t>
            </w:r>
            <w:r>
              <w:rPr>
                <w:rFonts w:hint="eastAsia" w:ascii="宋体" w:hAnsi="宋体" w:cs="宋体"/>
                <w:b/>
                <w:bCs/>
                <w:color w:val="auto"/>
                <w:sz w:val="22"/>
                <w:highlight w:val="none"/>
              </w:rPr>
              <w:t>本项目不接受联合体投标，否则做无效投标处理。</w:t>
            </w:r>
          </w:p>
        </w:tc>
      </w:tr>
      <w:tr w14:paraId="42044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0055F07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4</w:t>
            </w:r>
          </w:p>
        </w:tc>
        <w:tc>
          <w:tcPr>
            <w:tcW w:w="155" w:type="pct"/>
            <w:tcBorders>
              <w:top w:val="single" w:color="auto" w:sz="4" w:space="0"/>
              <w:left w:val="single" w:color="auto" w:sz="4" w:space="0"/>
              <w:bottom w:val="single" w:color="auto" w:sz="4" w:space="0"/>
              <w:right w:val="single" w:color="auto" w:sz="4" w:space="0"/>
            </w:tcBorders>
            <w:noWrap/>
            <w:vAlign w:val="center"/>
          </w:tcPr>
          <w:p w14:paraId="75B41ED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4A55B5B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3.6</w:t>
            </w:r>
          </w:p>
        </w:tc>
        <w:tc>
          <w:tcPr>
            <w:tcW w:w="4441" w:type="pct"/>
            <w:tcBorders>
              <w:top w:val="single" w:color="auto" w:sz="4" w:space="0"/>
              <w:left w:val="single" w:color="auto" w:sz="4" w:space="0"/>
              <w:bottom w:val="single" w:color="auto" w:sz="4" w:space="0"/>
              <w:right w:val="single" w:color="auto" w:sz="4" w:space="0"/>
            </w:tcBorders>
            <w:noWrap/>
            <w:vAlign w:val="center"/>
          </w:tcPr>
          <w:p w14:paraId="31EB240F">
            <w:pPr>
              <w:keepNext w:val="0"/>
              <w:keepLines w:val="0"/>
              <w:suppressLineNumbers w:val="0"/>
              <w:spacing w:before="0" w:beforeAutospacing="0" w:after="0" w:afterAutospacing="0" w:line="360" w:lineRule="auto"/>
              <w:ind w:left="0" w:right="0" w:firstLine="442" w:firstLineChars="200"/>
              <w:rPr>
                <w:rFonts w:hint="default" w:ascii="宋体" w:hAnsi="宋体" w:cs="宋体"/>
                <w:color w:val="auto"/>
                <w:sz w:val="22"/>
                <w:highlight w:val="none"/>
              </w:rPr>
            </w:pPr>
            <w:r>
              <w:rPr>
                <w:rFonts w:hint="eastAsia" w:ascii="宋体" w:hAnsi="宋体" w:cs="宋体"/>
                <w:b/>
                <w:color w:val="auto"/>
                <w:sz w:val="22"/>
                <w:highlight w:val="none"/>
              </w:rPr>
              <w:t>3.6属于联合体投标的，除招标文件其他章节或本须知其他条款另有规定或要求外，投标文件中仅加盖联合体一方公章的相关文件，对联合体各方均具有约束力。</w:t>
            </w:r>
          </w:p>
        </w:tc>
      </w:tr>
      <w:tr w14:paraId="2C4E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B53639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5</w:t>
            </w:r>
          </w:p>
        </w:tc>
        <w:tc>
          <w:tcPr>
            <w:tcW w:w="155" w:type="pct"/>
            <w:tcBorders>
              <w:top w:val="single" w:color="auto" w:sz="4" w:space="0"/>
              <w:left w:val="single" w:color="auto" w:sz="4" w:space="0"/>
              <w:bottom w:val="single" w:color="auto" w:sz="4" w:space="0"/>
              <w:right w:val="single" w:color="auto" w:sz="4" w:space="0"/>
            </w:tcBorders>
            <w:noWrap/>
            <w:vAlign w:val="center"/>
          </w:tcPr>
          <w:p w14:paraId="7C12B79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7F931FF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3.7</w:t>
            </w:r>
          </w:p>
        </w:tc>
        <w:tc>
          <w:tcPr>
            <w:tcW w:w="4441" w:type="pct"/>
            <w:tcBorders>
              <w:top w:val="single" w:color="auto" w:sz="4" w:space="0"/>
              <w:left w:val="single" w:color="auto" w:sz="4" w:space="0"/>
              <w:bottom w:val="single" w:color="auto" w:sz="4" w:space="0"/>
              <w:right w:val="single" w:color="auto" w:sz="4" w:space="0"/>
            </w:tcBorders>
            <w:noWrap/>
            <w:vAlign w:val="center"/>
          </w:tcPr>
          <w:p w14:paraId="0A9EF59D">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3.7投标代理人在同一个项目中只能接受一个投标人的委托参加投标。</w:t>
            </w:r>
          </w:p>
        </w:tc>
      </w:tr>
      <w:tr w14:paraId="63DCD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944336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6</w:t>
            </w:r>
          </w:p>
        </w:tc>
        <w:tc>
          <w:tcPr>
            <w:tcW w:w="155" w:type="pct"/>
            <w:tcBorders>
              <w:top w:val="single" w:color="auto" w:sz="4" w:space="0"/>
              <w:left w:val="single" w:color="auto" w:sz="4" w:space="0"/>
              <w:bottom w:val="single" w:color="auto" w:sz="4" w:space="0"/>
              <w:right w:val="single" w:color="auto" w:sz="4" w:space="0"/>
            </w:tcBorders>
            <w:noWrap/>
            <w:vAlign w:val="center"/>
          </w:tcPr>
          <w:p w14:paraId="4B599EF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top w:val="single" w:color="auto" w:sz="4" w:space="0"/>
              <w:left w:val="single" w:color="auto" w:sz="4" w:space="0"/>
              <w:bottom w:val="single" w:color="auto" w:sz="4" w:space="0"/>
              <w:right w:val="single" w:color="auto" w:sz="4" w:space="0"/>
            </w:tcBorders>
            <w:noWrap/>
            <w:vAlign w:val="center"/>
          </w:tcPr>
          <w:p w14:paraId="44B3409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top w:val="single" w:color="auto" w:sz="4" w:space="0"/>
              <w:left w:val="single" w:color="auto" w:sz="4" w:space="0"/>
              <w:bottom w:val="single" w:color="auto" w:sz="4" w:space="0"/>
              <w:right w:val="single" w:color="auto" w:sz="4" w:space="0"/>
            </w:tcBorders>
            <w:noWrap/>
            <w:vAlign w:val="center"/>
          </w:tcPr>
          <w:p w14:paraId="78F6D6E0">
            <w:pPr>
              <w:keepNext w:val="0"/>
              <w:keepLines w:val="0"/>
              <w:suppressLineNumbers w:val="0"/>
              <w:tabs>
                <w:tab w:val="left" w:pos="630"/>
              </w:tabs>
              <w:spacing w:before="0" w:beforeAutospacing="0" w:after="0" w:afterAutospacing="0" w:line="360" w:lineRule="auto"/>
              <w:ind w:left="0" w:right="0" w:firstLine="560"/>
              <w:rPr>
                <w:rFonts w:hint="default" w:ascii="宋体" w:hAnsi="宋体" w:cs="宋体"/>
                <w:color w:val="auto"/>
                <w:sz w:val="22"/>
                <w:highlight w:val="none"/>
              </w:rPr>
            </w:pPr>
            <w:r>
              <w:rPr>
                <w:rFonts w:hint="eastAsia" w:ascii="宋体" w:hAnsi="宋体" w:cs="宋体"/>
                <w:color w:val="auto"/>
                <w:sz w:val="22"/>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2612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6B9F67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7</w:t>
            </w:r>
          </w:p>
        </w:tc>
        <w:tc>
          <w:tcPr>
            <w:tcW w:w="155" w:type="pct"/>
            <w:tcBorders>
              <w:top w:val="single" w:color="auto" w:sz="4" w:space="0"/>
              <w:left w:val="single" w:color="auto" w:sz="4" w:space="0"/>
              <w:bottom w:val="single" w:color="auto" w:sz="4" w:space="0"/>
              <w:right w:val="single" w:color="auto" w:sz="4" w:space="0"/>
            </w:tcBorders>
            <w:noWrap/>
            <w:vAlign w:val="center"/>
          </w:tcPr>
          <w:p w14:paraId="05C4A8F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top w:val="single" w:color="auto" w:sz="4" w:space="0"/>
              <w:left w:val="single" w:color="auto" w:sz="4" w:space="0"/>
              <w:bottom w:val="single" w:color="auto" w:sz="4" w:space="0"/>
              <w:right w:val="single" w:color="auto" w:sz="4" w:space="0"/>
            </w:tcBorders>
            <w:noWrap/>
            <w:vAlign w:val="center"/>
          </w:tcPr>
          <w:p w14:paraId="1E4883C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top w:val="single" w:color="auto" w:sz="4" w:space="0"/>
              <w:left w:val="single" w:color="auto" w:sz="4" w:space="0"/>
              <w:bottom w:val="single" w:color="auto" w:sz="4" w:space="0"/>
              <w:right w:val="single" w:color="auto" w:sz="4" w:space="0"/>
            </w:tcBorders>
            <w:noWrap/>
            <w:vAlign w:val="center"/>
          </w:tcPr>
          <w:p w14:paraId="17D63113">
            <w:pPr>
              <w:keepNext w:val="0"/>
              <w:keepLines w:val="0"/>
              <w:suppressLineNumbers w:val="0"/>
              <w:spacing w:before="0" w:beforeAutospacing="0" w:after="0" w:afterAutospacing="0" w:line="360" w:lineRule="auto"/>
              <w:ind w:left="0" w:right="0" w:firstLine="442" w:firstLineChars="200"/>
              <w:rPr>
                <w:rFonts w:hint="default" w:ascii="宋体" w:hAnsi="宋体" w:cs="宋体"/>
                <w:color w:val="auto"/>
                <w:sz w:val="22"/>
                <w:highlight w:val="none"/>
              </w:rPr>
            </w:pPr>
            <w:r>
              <w:rPr>
                <w:rFonts w:hint="eastAsia" w:ascii="宋体" w:hAnsi="宋体" w:cs="宋体"/>
                <w:b/>
                <w:bCs/>
                <w:color w:val="auto"/>
                <w:sz w:val="22"/>
                <w:highlight w:val="none"/>
              </w:rPr>
              <w:t>1、根据《政府采购促进中小企业发展管理办法》(财库[2020]46号)以及《福建省财政厅关于进一步加大政府采购支持中小企业力度的通知》(闽财规〔2022〕13号)的规定，本项目预留份额专门面向中小企业采购【即预留项目预算总额的40%及以上专门面向中小企业采购，其中预留给小微企业的比例不低于采购项目预算的24%】。 2、本项目允许分包，供应商可将本项目的非主体、非关键性工作按第1条规定，将不低于采购项目预算40%比例分包给一家或多家中小企业，其中分包给小微企业占比不低于采购项目预算的24%，应提交《分包意向协议》及《中小企业声明函》。《分包意向协议》中的“分包合同金额占比”应当达到上述规定的比例。</w:t>
            </w:r>
            <w:r>
              <w:rPr>
                <w:rFonts w:hint="default" w:ascii="宋体" w:hAnsi="宋体" w:cs="宋体"/>
                <w:b/>
                <w:bCs/>
                <w:color w:val="auto"/>
                <w:sz w:val="22"/>
                <w:highlight w:val="none"/>
              </w:rPr>
              <w:t>总包方、分包企业之间不得存在直接控股、管理关系。</w:t>
            </w:r>
            <w:r>
              <w:rPr>
                <w:rFonts w:hint="eastAsia" w:ascii="宋体" w:hAnsi="宋体" w:cs="宋体"/>
                <w:b/>
                <w:bCs/>
                <w:color w:val="auto"/>
                <w:sz w:val="22"/>
                <w:highlight w:val="none"/>
              </w:rPr>
              <w:t>【供应商可结合企业划分，视情况进行独立响应或是进行分包】3、投标人需满足以下任一条件，否则投标无效： ①接受分包合同的中小企业与联合体内其他企业、分包企业之间不得存在直接控股、管理关系。②若所投产品制造商为小微企业，且投标人为所投产品制造商的，则可以自己单独投标即可。 注意：若制造商自身是中小微企业，但其属于大企业的分支机构，或者与大企业的负责人为同一人，或者与大企业存在直接控股、管理关系的情形的，则视为不属于中小微企业。4、监狱企业视同小型、微型企业，若制造商为监狱企业的，提供由省级以上监狱管理局、戒毒管理局（含新疆生产建设兵团）出具的属于监狱企业的证明文件。5、残疾人福利性单位视同小型、微型企业，若制造商为残疾人福利性单位的，提供《残疾人福利性单位声明函》。本项目对应的中小企业划分标准所属工业行业。</w:t>
            </w:r>
          </w:p>
        </w:tc>
      </w:tr>
      <w:tr w14:paraId="4FA3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single" w:color="auto" w:sz="4" w:space="0"/>
              <w:bottom w:val="single" w:color="auto" w:sz="4" w:space="0"/>
              <w:right w:val="single" w:color="auto" w:sz="4" w:space="0"/>
            </w:tcBorders>
            <w:noWrap/>
          </w:tcPr>
          <w:p w14:paraId="0C042393">
            <w:pPr>
              <w:keepNext w:val="0"/>
              <w:keepLines w:val="0"/>
              <w:suppressLineNumbers w:val="0"/>
              <w:spacing w:before="0" w:beforeAutospacing="0" w:after="0" w:afterAutospacing="0" w:line="360" w:lineRule="auto"/>
              <w:ind w:left="0" w:right="0" w:firstLine="3092" w:firstLineChars="1400"/>
              <w:rPr>
                <w:rFonts w:hint="default" w:ascii="宋体" w:hAnsi="宋体" w:cs="宋体"/>
                <w:color w:val="auto"/>
                <w:sz w:val="22"/>
                <w:highlight w:val="none"/>
              </w:rPr>
            </w:pPr>
            <w:r>
              <w:rPr>
                <w:rFonts w:hint="eastAsia" w:ascii="宋体" w:hAnsi="宋体" w:cs="宋体"/>
                <w:b/>
                <w:color w:val="auto"/>
                <w:sz w:val="22"/>
                <w:highlight w:val="none"/>
              </w:rPr>
              <w:t>符合性要求</w:t>
            </w:r>
          </w:p>
        </w:tc>
      </w:tr>
      <w:tr w14:paraId="1ECD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7B71B33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项号</w:t>
            </w:r>
          </w:p>
        </w:tc>
        <w:tc>
          <w:tcPr>
            <w:tcW w:w="155" w:type="pct"/>
            <w:tcBorders>
              <w:top w:val="single" w:color="auto" w:sz="4" w:space="0"/>
              <w:left w:val="single" w:color="auto" w:sz="4" w:space="0"/>
              <w:bottom w:val="single" w:color="auto" w:sz="4" w:space="0"/>
              <w:right w:val="single" w:color="auto" w:sz="4" w:space="0"/>
            </w:tcBorders>
            <w:noWrap/>
            <w:vAlign w:val="center"/>
          </w:tcPr>
          <w:p w14:paraId="1A981C21">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章</w:t>
            </w:r>
          </w:p>
        </w:tc>
        <w:tc>
          <w:tcPr>
            <w:tcW w:w="216" w:type="pct"/>
            <w:tcBorders>
              <w:top w:val="single" w:color="auto" w:sz="4" w:space="0"/>
              <w:left w:val="single" w:color="auto" w:sz="4" w:space="0"/>
              <w:bottom w:val="single" w:color="auto" w:sz="4" w:space="0"/>
              <w:right w:val="single" w:color="auto" w:sz="4" w:space="0"/>
            </w:tcBorders>
            <w:noWrap/>
            <w:vAlign w:val="center"/>
          </w:tcPr>
          <w:p w14:paraId="136CE38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条款号</w:t>
            </w:r>
          </w:p>
        </w:tc>
        <w:tc>
          <w:tcPr>
            <w:tcW w:w="4441" w:type="pct"/>
            <w:tcBorders>
              <w:top w:val="single" w:color="auto" w:sz="4" w:space="0"/>
              <w:left w:val="single" w:color="auto" w:sz="4" w:space="0"/>
              <w:bottom w:val="single" w:color="auto" w:sz="4" w:space="0"/>
              <w:right w:val="single" w:color="auto" w:sz="4" w:space="0"/>
            </w:tcBorders>
            <w:noWrap/>
            <w:vAlign w:val="center"/>
          </w:tcPr>
          <w:p w14:paraId="05801553">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具体内容</w:t>
            </w:r>
          </w:p>
        </w:tc>
      </w:tr>
      <w:tr w14:paraId="2E535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336F77E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w:t>
            </w:r>
          </w:p>
        </w:tc>
        <w:tc>
          <w:tcPr>
            <w:tcW w:w="155" w:type="pct"/>
            <w:tcBorders>
              <w:top w:val="single" w:color="auto" w:sz="4" w:space="0"/>
              <w:left w:val="single" w:color="auto" w:sz="4" w:space="0"/>
              <w:bottom w:val="single" w:color="auto" w:sz="4" w:space="0"/>
              <w:right w:val="single" w:color="auto" w:sz="4" w:space="0"/>
            </w:tcBorders>
            <w:noWrap/>
            <w:vAlign w:val="center"/>
          </w:tcPr>
          <w:p w14:paraId="6E6B8F7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一</w:t>
            </w:r>
          </w:p>
        </w:tc>
        <w:tc>
          <w:tcPr>
            <w:tcW w:w="216" w:type="pct"/>
            <w:tcBorders>
              <w:top w:val="single" w:color="auto" w:sz="4" w:space="0"/>
              <w:left w:val="single" w:color="auto" w:sz="4" w:space="0"/>
              <w:bottom w:val="single" w:color="auto" w:sz="4" w:space="0"/>
              <w:right w:val="single" w:color="auto" w:sz="4" w:space="0"/>
            </w:tcBorders>
            <w:noWrap/>
            <w:vAlign w:val="center"/>
          </w:tcPr>
          <w:p w14:paraId="5D78E1D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5</w:t>
            </w:r>
          </w:p>
        </w:tc>
        <w:tc>
          <w:tcPr>
            <w:tcW w:w="4441" w:type="pct"/>
            <w:tcBorders>
              <w:top w:val="single" w:color="auto" w:sz="4" w:space="0"/>
              <w:left w:val="single" w:color="auto" w:sz="4" w:space="0"/>
              <w:bottom w:val="single" w:color="auto" w:sz="4" w:space="0"/>
              <w:right w:val="single" w:color="auto" w:sz="4" w:space="0"/>
            </w:tcBorders>
            <w:noWrap/>
          </w:tcPr>
          <w:p w14:paraId="5B565BE9">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投标人的投标文件未按规定的投标截止时间之前提交的，其投标将被拒绝。</w:t>
            </w:r>
          </w:p>
        </w:tc>
      </w:tr>
      <w:tr w14:paraId="6FC33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BFE0AF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2</w:t>
            </w:r>
          </w:p>
        </w:tc>
        <w:tc>
          <w:tcPr>
            <w:tcW w:w="155" w:type="pct"/>
            <w:tcBorders>
              <w:top w:val="single" w:color="auto" w:sz="4" w:space="0"/>
              <w:left w:val="single" w:color="auto" w:sz="4" w:space="0"/>
              <w:bottom w:val="single" w:color="auto" w:sz="4" w:space="0"/>
              <w:right w:val="single" w:color="auto" w:sz="4" w:space="0"/>
            </w:tcBorders>
            <w:noWrap/>
            <w:vAlign w:val="center"/>
          </w:tcPr>
          <w:p w14:paraId="12B398C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7BC1AAB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3.2</w:t>
            </w:r>
          </w:p>
        </w:tc>
        <w:tc>
          <w:tcPr>
            <w:tcW w:w="4441" w:type="pct"/>
            <w:tcBorders>
              <w:top w:val="single" w:color="auto" w:sz="4" w:space="0"/>
              <w:left w:val="single" w:color="auto" w:sz="4" w:space="0"/>
              <w:bottom w:val="single" w:color="auto" w:sz="4" w:space="0"/>
              <w:right w:val="single" w:color="auto" w:sz="4" w:space="0"/>
            </w:tcBorders>
            <w:noWrap/>
            <w:vAlign w:val="center"/>
          </w:tcPr>
          <w:p w14:paraId="4146A1F2">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3.2投标人应遵守并符合中国的有关法律、法规和规章的规定，同时其投标货物或服务也应符合中国的有关法律、法规和规章的规定。认可本须知中的规定。</w:t>
            </w:r>
          </w:p>
        </w:tc>
      </w:tr>
      <w:tr w14:paraId="123C2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434AF4C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w:t>
            </w:r>
          </w:p>
        </w:tc>
        <w:tc>
          <w:tcPr>
            <w:tcW w:w="155" w:type="pct"/>
            <w:tcBorders>
              <w:top w:val="single" w:color="auto" w:sz="4" w:space="0"/>
              <w:left w:val="single" w:color="auto" w:sz="4" w:space="0"/>
              <w:bottom w:val="single" w:color="auto" w:sz="4" w:space="0"/>
              <w:right w:val="single" w:color="auto" w:sz="4" w:space="0"/>
            </w:tcBorders>
            <w:noWrap/>
            <w:vAlign w:val="center"/>
          </w:tcPr>
          <w:p w14:paraId="14223B6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6A302F7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3.3</w:t>
            </w:r>
          </w:p>
        </w:tc>
        <w:tc>
          <w:tcPr>
            <w:tcW w:w="4441" w:type="pct"/>
            <w:tcBorders>
              <w:top w:val="single" w:color="auto" w:sz="4" w:space="0"/>
              <w:left w:val="single" w:color="auto" w:sz="4" w:space="0"/>
              <w:bottom w:val="single" w:color="auto" w:sz="4" w:space="0"/>
              <w:right w:val="single" w:color="auto" w:sz="4" w:space="0"/>
            </w:tcBorders>
            <w:noWrap/>
            <w:vAlign w:val="center"/>
          </w:tcPr>
          <w:p w14:paraId="298E9090">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3.3一个投标人只能提交一个投标文件。如果投标人之间存在下列互为关联关系的情形之一的，不得同时参加本项目同一合同包投标：</w:t>
            </w:r>
          </w:p>
          <w:p w14:paraId="1D7FD4B4">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(1)法定代表人、单位负责人为同一人或夫妻关系的不同投标人；</w:t>
            </w:r>
          </w:p>
          <w:p w14:paraId="399A2B60">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(2)存在直接控股、管理关系的不同投标人；</w:t>
            </w:r>
          </w:p>
          <w:p w14:paraId="089E3D67">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(3)均为同一家母公司直接或间接持股50％及以上的被投资公司。</w:t>
            </w:r>
          </w:p>
        </w:tc>
      </w:tr>
      <w:tr w14:paraId="2944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1F14C6D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4</w:t>
            </w:r>
          </w:p>
        </w:tc>
        <w:tc>
          <w:tcPr>
            <w:tcW w:w="155" w:type="pct"/>
            <w:tcBorders>
              <w:top w:val="single" w:color="auto" w:sz="4" w:space="0"/>
              <w:left w:val="single" w:color="auto" w:sz="4" w:space="0"/>
              <w:bottom w:val="single" w:color="auto" w:sz="4" w:space="0"/>
              <w:right w:val="single" w:color="auto" w:sz="4" w:space="0"/>
            </w:tcBorders>
            <w:noWrap/>
            <w:vAlign w:val="center"/>
          </w:tcPr>
          <w:p w14:paraId="0BC80EA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454B4F3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3.4</w:t>
            </w:r>
          </w:p>
        </w:tc>
        <w:tc>
          <w:tcPr>
            <w:tcW w:w="4441" w:type="pct"/>
            <w:tcBorders>
              <w:top w:val="single" w:color="auto" w:sz="4" w:space="0"/>
              <w:left w:val="single" w:color="auto" w:sz="4" w:space="0"/>
              <w:bottom w:val="single" w:color="auto" w:sz="4" w:space="0"/>
              <w:right w:val="single" w:color="auto" w:sz="4" w:space="0"/>
            </w:tcBorders>
            <w:noWrap/>
            <w:vAlign w:val="center"/>
          </w:tcPr>
          <w:p w14:paraId="6E8D9FB5">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4D1C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4123AD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5</w:t>
            </w:r>
          </w:p>
        </w:tc>
        <w:tc>
          <w:tcPr>
            <w:tcW w:w="155" w:type="pct"/>
            <w:tcBorders>
              <w:top w:val="single" w:color="auto" w:sz="4" w:space="0"/>
              <w:left w:val="single" w:color="auto" w:sz="4" w:space="0"/>
              <w:bottom w:val="single" w:color="auto" w:sz="4" w:space="0"/>
              <w:right w:val="single" w:color="auto" w:sz="4" w:space="0"/>
            </w:tcBorders>
            <w:noWrap/>
            <w:vAlign w:val="center"/>
          </w:tcPr>
          <w:p w14:paraId="33EC004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02CFFCA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3.8</w:t>
            </w:r>
          </w:p>
        </w:tc>
        <w:tc>
          <w:tcPr>
            <w:tcW w:w="4441" w:type="pct"/>
            <w:tcBorders>
              <w:top w:val="single" w:color="auto" w:sz="4" w:space="0"/>
              <w:left w:val="single" w:color="auto" w:sz="4" w:space="0"/>
              <w:bottom w:val="single" w:color="auto" w:sz="4" w:space="0"/>
              <w:right w:val="single" w:color="auto" w:sz="4" w:space="0"/>
            </w:tcBorders>
            <w:noWrap/>
            <w:vAlign w:val="center"/>
          </w:tcPr>
          <w:p w14:paraId="6294996E">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3.8投标人存在下列情形之一的，将被认定为串通投标行为并作无效投标处理：</w:t>
            </w:r>
          </w:p>
          <w:p w14:paraId="4DC66647">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（1）投标人之间协商投标报价等投标文件的实质性内容；</w:t>
            </w:r>
          </w:p>
          <w:p w14:paraId="25D2740A">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（2）投标人之间约定中标供应商；</w:t>
            </w:r>
          </w:p>
          <w:p w14:paraId="7F31240C">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（3）投标人之间约定部分投标人放弃投标或者中标；</w:t>
            </w:r>
          </w:p>
          <w:p w14:paraId="184666F1">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（4）属于同一集团、协会、商会等组织成员的投标人按照该组织要求协同投标；</w:t>
            </w:r>
          </w:p>
          <w:p w14:paraId="00EBB6CC">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（5）投标人之间为谋取中标或者排斥特定投标人而采取的其他联合行动；</w:t>
            </w:r>
          </w:p>
          <w:p w14:paraId="27CA804D">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（6）不同投标人的投标文件由同一单位或者个人编制；</w:t>
            </w:r>
          </w:p>
          <w:p w14:paraId="602A57A3">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（7）不同投标人委托同一单位或者个人办理投标事宜；</w:t>
            </w:r>
          </w:p>
          <w:p w14:paraId="512FADAD">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（8）不同投标人的投标文件载明的项目管理成员或者联系人员为同一人；</w:t>
            </w:r>
          </w:p>
          <w:p w14:paraId="1AC1DDE1">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（9）不同投标人的投标文件异常一致或者投标报价呈规律性差异；</w:t>
            </w:r>
          </w:p>
          <w:p w14:paraId="4F1377E8">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（10）不同投标人的投标文件相互混装；</w:t>
            </w:r>
          </w:p>
          <w:p w14:paraId="2903C80E">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（11）不同投标人的投标保证金从同一单位或者个人的账户转出。</w:t>
            </w:r>
          </w:p>
          <w:p w14:paraId="1B76D611">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（12）不同投标人的投标文件错、漏之处一致或雷同，且不能合理解释的；</w:t>
            </w:r>
          </w:p>
          <w:p w14:paraId="52D0CB4F">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（13）不同的投标人的法定代表人、委托代理人等由同一个单位缴纳社会保险的；</w:t>
            </w:r>
          </w:p>
          <w:p w14:paraId="640CDE56">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7486457F">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（15）有关法律、法规或规章规定的其他串通投标行为。</w:t>
            </w:r>
          </w:p>
        </w:tc>
      </w:tr>
      <w:tr w14:paraId="4663F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3CDE2D5D">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6</w:t>
            </w:r>
          </w:p>
        </w:tc>
        <w:tc>
          <w:tcPr>
            <w:tcW w:w="155" w:type="pct"/>
            <w:tcBorders>
              <w:top w:val="single" w:color="auto" w:sz="4" w:space="0"/>
              <w:left w:val="single" w:color="auto" w:sz="4" w:space="0"/>
              <w:bottom w:val="single" w:color="auto" w:sz="4" w:space="0"/>
              <w:right w:val="single" w:color="auto" w:sz="4" w:space="0"/>
            </w:tcBorders>
            <w:noWrap/>
            <w:vAlign w:val="center"/>
          </w:tcPr>
          <w:p w14:paraId="2DA77C5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40093C9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8.1</w:t>
            </w:r>
          </w:p>
        </w:tc>
        <w:tc>
          <w:tcPr>
            <w:tcW w:w="4441" w:type="pct"/>
            <w:tcBorders>
              <w:top w:val="single" w:color="auto" w:sz="4" w:space="0"/>
              <w:left w:val="single" w:color="auto" w:sz="4" w:space="0"/>
              <w:bottom w:val="single" w:color="auto" w:sz="4" w:space="0"/>
              <w:right w:val="single" w:color="auto" w:sz="4" w:space="0"/>
            </w:tcBorders>
            <w:noWrap/>
          </w:tcPr>
          <w:p w14:paraId="7F522BBB">
            <w:pPr>
              <w:keepNext w:val="0"/>
              <w:keepLines w:val="0"/>
              <w:suppressLineNumbers w:val="0"/>
              <w:spacing w:before="0" w:beforeAutospacing="0" w:after="0" w:afterAutospacing="0" w:line="360" w:lineRule="auto"/>
              <w:ind w:left="0" w:right="0" w:firstLine="442" w:firstLineChars="200"/>
              <w:rPr>
                <w:rFonts w:hint="default" w:ascii="宋体" w:hAnsi="宋体" w:cs="宋体"/>
                <w:color w:val="auto"/>
                <w:sz w:val="22"/>
                <w:highlight w:val="none"/>
              </w:rPr>
            </w:pPr>
            <w:r>
              <w:rPr>
                <w:rFonts w:hint="eastAsia" w:ascii="宋体" w:hAnsi="宋体" w:cs="宋体"/>
                <w:b/>
                <w:color w:val="auto"/>
                <w:sz w:val="22"/>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5B8D8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43954CD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7</w:t>
            </w:r>
          </w:p>
        </w:tc>
        <w:tc>
          <w:tcPr>
            <w:tcW w:w="155" w:type="pct"/>
            <w:tcBorders>
              <w:top w:val="single" w:color="auto" w:sz="4" w:space="0"/>
              <w:left w:val="single" w:color="auto" w:sz="4" w:space="0"/>
              <w:bottom w:val="single" w:color="auto" w:sz="4" w:space="0"/>
              <w:right w:val="single" w:color="auto" w:sz="4" w:space="0"/>
            </w:tcBorders>
            <w:noWrap/>
            <w:vAlign w:val="center"/>
          </w:tcPr>
          <w:p w14:paraId="3B058CC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6456931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8.2</w:t>
            </w:r>
          </w:p>
        </w:tc>
        <w:tc>
          <w:tcPr>
            <w:tcW w:w="4441" w:type="pct"/>
            <w:tcBorders>
              <w:top w:val="single" w:color="auto" w:sz="4" w:space="0"/>
              <w:left w:val="single" w:color="auto" w:sz="4" w:space="0"/>
              <w:bottom w:val="single" w:color="auto" w:sz="4" w:space="0"/>
              <w:right w:val="single" w:color="auto" w:sz="4" w:space="0"/>
            </w:tcBorders>
            <w:noWrap/>
          </w:tcPr>
          <w:p w14:paraId="7B080A2D">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0018E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0DB790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8</w:t>
            </w:r>
          </w:p>
        </w:tc>
        <w:tc>
          <w:tcPr>
            <w:tcW w:w="155" w:type="pct"/>
            <w:tcBorders>
              <w:top w:val="single" w:color="auto" w:sz="4" w:space="0"/>
              <w:left w:val="single" w:color="auto" w:sz="4" w:space="0"/>
              <w:bottom w:val="single" w:color="auto" w:sz="4" w:space="0"/>
              <w:right w:val="single" w:color="auto" w:sz="4" w:space="0"/>
            </w:tcBorders>
            <w:noWrap/>
            <w:vAlign w:val="center"/>
          </w:tcPr>
          <w:p w14:paraId="086E79A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294D40A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11.1</w:t>
            </w:r>
          </w:p>
        </w:tc>
        <w:tc>
          <w:tcPr>
            <w:tcW w:w="4441" w:type="pct"/>
            <w:tcBorders>
              <w:top w:val="single" w:color="auto" w:sz="4" w:space="0"/>
              <w:left w:val="single" w:color="auto" w:sz="4" w:space="0"/>
              <w:bottom w:val="single" w:color="auto" w:sz="4" w:space="0"/>
              <w:right w:val="single" w:color="auto" w:sz="4" w:space="0"/>
            </w:tcBorders>
            <w:noWrap/>
            <w:vAlign w:val="center"/>
          </w:tcPr>
          <w:p w14:paraId="60677D53">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11.1投标文件从投标截止之日开始生效，在</w:t>
            </w:r>
            <w:r>
              <w:rPr>
                <w:rFonts w:hint="eastAsia" w:ascii="宋体" w:hAnsi="宋体" w:cs="宋体"/>
                <w:b/>
                <w:bCs/>
                <w:color w:val="auto"/>
                <w:sz w:val="22"/>
                <w:highlight w:val="none"/>
              </w:rPr>
              <w:t>投标人须知前附表1</w:t>
            </w:r>
            <w:r>
              <w:rPr>
                <w:rFonts w:hint="eastAsia" w:ascii="宋体" w:hAnsi="宋体" w:cs="宋体"/>
                <w:b/>
                <w:color w:val="auto"/>
                <w:sz w:val="22"/>
                <w:highlight w:val="none"/>
              </w:rPr>
              <w:t>第3项所规定的期限内保持有效。有效期不足将导致其投标文件被拒绝。</w:t>
            </w:r>
          </w:p>
        </w:tc>
      </w:tr>
      <w:tr w14:paraId="215DD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34EBEE5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9</w:t>
            </w:r>
          </w:p>
        </w:tc>
        <w:tc>
          <w:tcPr>
            <w:tcW w:w="155" w:type="pct"/>
            <w:tcBorders>
              <w:top w:val="single" w:color="auto" w:sz="4" w:space="0"/>
              <w:left w:val="single" w:color="auto" w:sz="4" w:space="0"/>
              <w:bottom w:val="single" w:color="auto" w:sz="4" w:space="0"/>
              <w:right w:val="single" w:color="auto" w:sz="4" w:space="0"/>
            </w:tcBorders>
            <w:noWrap/>
            <w:vAlign w:val="center"/>
          </w:tcPr>
          <w:p w14:paraId="77987AE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0FEEC47D">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12.5</w:t>
            </w:r>
          </w:p>
        </w:tc>
        <w:tc>
          <w:tcPr>
            <w:tcW w:w="4441" w:type="pct"/>
            <w:tcBorders>
              <w:top w:val="single" w:color="auto" w:sz="4" w:space="0"/>
              <w:left w:val="single" w:color="auto" w:sz="4" w:space="0"/>
              <w:bottom w:val="single" w:color="auto" w:sz="4" w:space="0"/>
              <w:right w:val="single" w:color="auto" w:sz="4" w:space="0"/>
            </w:tcBorders>
            <w:noWrap/>
            <w:vAlign w:val="center"/>
          </w:tcPr>
          <w:p w14:paraId="1B962ADF">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12.5未按要求缴交投标保证金的投标，将被视为无效投标。</w:t>
            </w:r>
          </w:p>
        </w:tc>
      </w:tr>
      <w:tr w14:paraId="41F51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738A118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10</w:t>
            </w:r>
          </w:p>
        </w:tc>
        <w:tc>
          <w:tcPr>
            <w:tcW w:w="155" w:type="pct"/>
            <w:tcBorders>
              <w:top w:val="single" w:color="auto" w:sz="4" w:space="0"/>
              <w:left w:val="single" w:color="auto" w:sz="4" w:space="0"/>
              <w:bottom w:val="single" w:color="auto" w:sz="4" w:space="0"/>
              <w:right w:val="single" w:color="auto" w:sz="4" w:space="0"/>
            </w:tcBorders>
            <w:noWrap/>
            <w:vAlign w:val="center"/>
          </w:tcPr>
          <w:p w14:paraId="0B41CBB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073AEFA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13.7</w:t>
            </w:r>
          </w:p>
        </w:tc>
        <w:tc>
          <w:tcPr>
            <w:tcW w:w="4441" w:type="pct"/>
            <w:tcBorders>
              <w:top w:val="single" w:color="auto" w:sz="4" w:space="0"/>
              <w:left w:val="single" w:color="auto" w:sz="4" w:space="0"/>
              <w:bottom w:val="single" w:color="auto" w:sz="4" w:space="0"/>
              <w:right w:val="single" w:color="auto" w:sz="4" w:space="0"/>
            </w:tcBorders>
            <w:noWrap/>
            <w:vAlign w:val="center"/>
          </w:tcPr>
          <w:p w14:paraId="58F9CE72">
            <w:pPr>
              <w:keepNext w:val="0"/>
              <w:keepLines w:val="0"/>
              <w:suppressLineNumbers w:val="0"/>
              <w:spacing w:before="0" w:beforeAutospacing="0" w:after="0" w:afterAutospacing="0" w:line="360" w:lineRule="auto"/>
              <w:ind w:left="0" w:right="0" w:firstLine="482"/>
              <w:rPr>
                <w:rFonts w:hint="default" w:ascii="宋体" w:hAnsi="宋体" w:cs="宋体"/>
                <w:b/>
                <w:color w:val="auto"/>
                <w:sz w:val="22"/>
                <w:highlight w:val="none"/>
              </w:rPr>
            </w:pPr>
            <w:r>
              <w:rPr>
                <w:rFonts w:hint="eastAsia" w:ascii="宋体" w:hAnsi="宋体" w:cs="宋体"/>
                <w:b/>
                <w:color w:val="auto"/>
                <w:sz w:val="22"/>
                <w:highlight w:val="none"/>
              </w:rPr>
              <w:t>13.7未按本须知规定的格式填写投标文件、投标文件字迹模糊不清的，其投标将被拒绝。</w:t>
            </w:r>
          </w:p>
        </w:tc>
      </w:tr>
      <w:tr w14:paraId="09829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554CFBD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11</w:t>
            </w:r>
          </w:p>
        </w:tc>
        <w:tc>
          <w:tcPr>
            <w:tcW w:w="155" w:type="pct"/>
            <w:tcBorders>
              <w:top w:val="single" w:color="auto" w:sz="4" w:space="0"/>
              <w:left w:val="single" w:color="auto" w:sz="4" w:space="0"/>
              <w:bottom w:val="single" w:color="auto" w:sz="4" w:space="0"/>
              <w:right w:val="single" w:color="auto" w:sz="4" w:space="0"/>
            </w:tcBorders>
            <w:noWrap/>
            <w:vAlign w:val="center"/>
          </w:tcPr>
          <w:p w14:paraId="1E0FFE2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2D992F5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13.9</w:t>
            </w:r>
          </w:p>
        </w:tc>
        <w:tc>
          <w:tcPr>
            <w:tcW w:w="4441" w:type="pct"/>
            <w:tcBorders>
              <w:top w:val="single" w:color="auto" w:sz="4" w:space="0"/>
              <w:left w:val="single" w:color="auto" w:sz="4" w:space="0"/>
              <w:bottom w:val="single" w:color="auto" w:sz="4" w:space="0"/>
              <w:right w:val="single" w:color="auto" w:sz="4" w:space="0"/>
            </w:tcBorders>
            <w:noWrap/>
            <w:vAlign w:val="center"/>
          </w:tcPr>
          <w:p w14:paraId="089EEA32">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0370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4886618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12</w:t>
            </w:r>
          </w:p>
        </w:tc>
        <w:tc>
          <w:tcPr>
            <w:tcW w:w="155" w:type="pct"/>
            <w:tcBorders>
              <w:top w:val="single" w:color="auto" w:sz="4" w:space="0"/>
              <w:left w:val="single" w:color="auto" w:sz="4" w:space="0"/>
              <w:bottom w:val="single" w:color="auto" w:sz="4" w:space="0"/>
              <w:right w:val="single" w:color="auto" w:sz="4" w:space="0"/>
            </w:tcBorders>
            <w:noWrap/>
            <w:vAlign w:val="center"/>
          </w:tcPr>
          <w:p w14:paraId="61B9139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2888752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14.1</w:t>
            </w:r>
          </w:p>
        </w:tc>
        <w:tc>
          <w:tcPr>
            <w:tcW w:w="4441" w:type="pct"/>
            <w:tcBorders>
              <w:top w:val="single" w:color="auto" w:sz="4" w:space="0"/>
              <w:left w:val="single" w:color="auto" w:sz="4" w:space="0"/>
              <w:bottom w:val="single" w:color="auto" w:sz="4" w:space="0"/>
              <w:right w:val="single" w:color="auto" w:sz="4" w:space="0"/>
            </w:tcBorders>
            <w:noWrap/>
            <w:vAlign w:val="center"/>
          </w:tcPr>
          <w:p w14:paraId="4A6B1BFB">
            <w:pPr>
              <w:keepNext w:val="0"/>
              <w:keepLines w:val="0"/>
              <w:suppressLineNumbers w:val="0"/>
              <w:spacing w:before="0" w:beforeAutospacing="0" w:after="0" w:afterAutospacing="0" w:line="360" w:lineRule="auto"/>
              <w:ind w:left="0" w:right="0" w:firstLine="480"/>
              <w:rPr>
                <w:rFonts w:hint="default" w:ascii="宋体" w:hAnsi="宋体" w:cs="宋体"/>
                <w:b/>
                <w:color w:val="auto"/>
                <w:sz w:val="22"/>
                <w:highlight w:val="none"/>
              </w:rPr>
            </w:pPr>
            <w:r>
              <w:rPr>
                <w:rFonts w:hint="eastAsia" w:ascii="宋体" w:hAnsi="宋体" w:cs="宋体"/>
                <w:color w:val="auto"/>
                <w:sz w:val="22"/>
                <w:highlight w:val="none"/>
              </w:rPr>
              <w:t>14.1</w:t>
            </w:r>
            <w:r>
              <w:rPr>
                <w:rFonts w:hint="eastAsia" w:ascii="宋体" w:hAnsi="宋体" w:cs="宋体"/>
                <w:b/>
                <w:color w:val="auto"/>
                <w:sz w:val="22"/>
                <w:highlight w:val="none"/>
              </w:rPr>
              <w:t>投标文件未密封将导致其投标被拒绝。</w:t>
            </w:r>
          </w:p>
        </w:tc>
      </w:tr>
      <w:tr w14:paraId="5C8E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45D438F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13</w:t>
            </w:r>
          </w:p>
        </w:tc>
        <w:tc>
          <w:tcPr>
            <w:tcW w:w="155" w:type="pct"/>
            <w:tcBorders>
              <w:top w:val="single" w:color="auto" w:sz="4" w:space="0"/>
              <w:left w:val="single" w:color="auto" w:sz="4" w:space="0"/>
              <w:bottom w:val="single" w:color="auto" w:sz="4" w:space="0"/>
              <w:right w:val="single" w:color="auto" w:sz="4" w:space="0"/>
            </w:tcBorders>
            <w:noWrap/>
            <w:vAlign w:val="center"/>
          </w:tcPr>
          <w:p w14:paraId="5AC017D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10206351">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14.5</w:t>
            </w:r>
          </w:p>
        </w:tc>
        <w:tc>
          <w:tcPr>
            <w:tcW w:w="4441" w:type="pct"/>
            <w:tcBorders>
              <w:top w:val="single" w:color="auto" w:sz="4" w:space="0"/>
              <w:left w:val="single" w:color="auto" w:sz="4" w:space="0"/>
              <w:bottom w:val="single" w:color="auto" w:sz="4" w:space="0"/>
              <w:right w:val="single" w:color="auto" w:sz="4" w:space="0"/>
            </w:tcBorders>
            <w:noWrap/>
            <w:vAlign w:val="center"/>
          </w:tcPr>
          <w:p w14:paraId="6D8C00DC">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14.5投标文件应在投标邀请中规定的截止时间前送达，迟到的投标文件为无效投标文件, 将被拒收。</w:t>
            </w:r>
          </w:p>
        </w:tc>
      </w:tr>
      <w:tr w14:paraId="5E51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09C149A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14</w:t>
            </w:r>
          </w:p>
        </w:tc>
        <w:tc>
          <w:tcPr>
            <w:tcW w:w="155" w:type="pct"/>
            <w:tcBorders>
              <w:top w:val="single" w:color="auto" w:sz="4" w:space="0"/>
              <w:left w:val="single" w:color="auto" w:sz="4" w:space="0"/>
              <w:bottom w:val="single" w:color="auto" w:sz="4" w:space="0"/>
              <w:right w:val="single" w:color="auto" w:sz="4" w:space="0"/>
            </w:tcBorders>
            <w:noWrap/>
            <w:vAlign w:val="center"/>
          </w:tcPr>
          <w:p w14:paraId="612E341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0A23DD3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14.7</w:t>
            </w:r>
          </w:p>
        </w:tc>
        <w:tc>
          <w:tcPr>
            <w:tcW w:w="4441" w:type="pct"/>
            <w:tcBorders>
              <w:top w:val="single" w:color="auto" w:sz="4" w:space="0"/>
              <w:left w:val="single" w:color="auto" w:sz="4" w:space="0"/>
              <w:bottom w:val="single" w:color="auto" w:sz="4" w:space="0"/>
              <w:right w:val="single" w:color="auto" w:sz="4" w:space="0"/>
            </w:tcBorders>
            <w:noWrap/>
          </w:tcPr>
          <w:p w14:paraId="77965A82">
            <w:pPr>
              <w:keepNext w:val="0"/>
              <w:keepLines w:val="0"/>
              <w:suppressLineNumbers w:val="0"/>
              <w:spacing w:before="0" w:beforeAutospacing="0" w:after="0" w:afterAutospacing="0" w:line="360" w:lineRule="auto"/>
              <w:ind w:left="0" w:right="0" w:firstLine="480"/>
              <w:rPr>
                <w:rFonts w:hint="default" w:ascii="宋体" w:hAnsi="宋体" w:cs="宋体"/>
                <w:b/>
                <w:color w:val="auto"/>
                <w:sz w:val="22"/>
                <w:highlight w:val="none"/>
              </w:rPr>
            </w:pPr>
            <w:r>
              <w:rPr>
                <w:rFonts w:hint="eastAsia" w:ascii="宋体" w:hAnsi="宋体" w:cs="宋体"/>
                <w:b/>
                <w:color w:val="auto"/>
                <w:sz w:val="22"/>
                <w:highlight w:val="none"/>
              </w:rPr>
              <w:t>14.7投标人在投标截止时间后不得修改、撤回投标文件。投标人在投标截止时间后修改投标文件的，其投标将被拒绝。</w:t>
            </w:r>
          </w:p>
        </w:tc>
      </w:tr>
      <w:tr w14:paraId="2E2A8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6939005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15</w:t>
            </w:r>
          </w:p>
        </w:tc>
        <w:tc>
          <w:tcPr>
            <w:tcW w:w="155" w:type="pct"/>
            <w:tcBorders>
              <w:top w:val="single" w:color="auto" w:sz="4" w:space="0"/>
              <w:left w:val="single" w:color="auto" w:sz="4" w:space="0"/>
              <w:bottom w:val="single" w:color="auto" w:sz="4" w:space="0"/>
              <w:right w:val="single" w:color="auto" w:sz="4" w:space="0"/>
            </w:tcBorders>
            <w:noWrap/>
            <w:vAlign w:val="center"/>
          </w:tcPr>
          <w:p w14:paraId="0B55BDC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742B0DCF">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17.</w:t>
            </w:r>
          </w:p>
        </w:tc>
        <w:tc>
          <w:tcPr>
            <w:tcW w:w="4441" w:type="pct"/>
            <w:tcBorders>
              <w:top w:val="single" w:color="auto" w:sz="4" w:space="0"/>
              <w:left w:val="single" w:color="auto" w:sz="4" w:space="0"/>
              <w:bottom w:val="single" w:color="auto" w:sz="4" w:space="0"/>
              <w:right w:val="single" w:color="auto" w:sz="4" w:space="0"/>
            </w:tcBorders>
            <w:noWrap/>
          </w:tcPr>
          <w:p w14:paraId="021D1B69">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17.投标人任何试图影响评委会对投标文件的评估、比较或者推荐候选人的行为，都将导致其投标按照无效投标处理，并被没收投标保证金。</w:t>
            </w:r>
          </w:p>
        </w:tc>
      </w:tr>
      <w:tr w14:paraId="1360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2B56DB9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16</w:t>
            </w:r>
          </w:p>
        </w:tc>
        <w:tc>
          <w:tcPr>
            <w:tcW w:w="155" w:type="pct"/>
            <w:tcBorders>
              <w:top w:val="single" w:color="auto" w:sz="4" w:space="0"/>
              <w:left w:val="single" w:color="auto" w:sz="4" w:space="0"/>
              <w:bottom w:val="single" w:color="auto" w:sz="4" w:space="0"/>
              <w:right w:val="single" w:color="auto" w:sz="4" w:space="0"/>
            </w:tcBorders>
            <w:noWrap/>
            <w:vAlign w:val="center"/>
          </w:tcPr>
          <w:p w14:paraId="719E973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31826D4D">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color w:val="auto"/>
                <w:sz w:val="22"/>
                <w:highlight w:val="none"/>
              </w:rPr>
              <w:t>17.2</w:t>
            </w:r>
          </w:p>
        </w:tc>
        <w:tc>
          <w:tcPr>
            <w:tcW w:w="4441" w:type="pct"/>
            <w:tcBorders>
              <w:top w:val="single" w:color="auto" w:sz="4" w:space="0"/>
              <w:left w:val="single" w:color="auto" w:sz="4" w:space="0"/>
              <w:bottom w:val="single" w:color="auto" w:sz="4" w:space="0"/>
              <w:right w:val="single" w:color="auto" w:sz="4" w:space="0"/>
            </w:tcBorders>
            <w:noWrap/>
          </w:tcPr>
          <w:p w14:paraId="3AA4D30E">
            <w:pPr>
              <w:keepNext w:val="0"/>
              <w:keepLines w:val="0"/>
              <w:suppressLineNumbers w:val="0"/>
              <w:spacing w:before="0" w:beforeAutospacing="0" w:after="0" w:afterAutospacing="0" w:line="360" w:lineRule="auto"/>
              <w:ind w:left="0" w:right="0" w:firstLine="440" w:firstLineChars="200"/>
              <w:rPr>
                <w:rFonts w:hint="default" w:ascii="宋体" w:hAnsi="宋体" w:cs="宋体"/>
                <w:b/>
                <w:color w:val="auto"/>
                <w:sz w:val="22"/>
                <w:highlight w:val="none"/>
              </w:rPr>
            </w:pPr>
            <w:r>
              <w:rPr>
                <w:rFonts w:hint="eastAsia" w:ascii="宋体" w:hAnsi="宋体" w:cs="宋体"/>
                <w:color w:val="auto"/>
                <w:sz w:val="22"/>
                <w:highlight w:val="none"/>
              </w:rPr>
              <w:t>17.2</w:t>
            </w:r>
            <w:r>
              <w:rPr>
                <w:rFonts w:hint="eastAsia" w:ascii="宋体" w:hAnsi="宋体" w:cs="宋体"/>
                <w:b/>
                <w:color w:val="auto"/>
                <w:sz w:val="22"/>
                <w:highlight w:val="none"/>
              </w:rPr>
              <w:t>如果投标人不接受按上述方法对投标文件中的算术错误进行更正，其投标将按照无效投标处理并被没收投标保证金。</w:t>
            </w:r>
          </w:p>
        </w:tc>
      </w:tr>
      <w:tr w14:paraId="17E51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4152AAC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17</w:t>
            </w:r>
          </w:p>
        </w:tc>
        <w:tc>
          <w:tcPr>
            <w:tcW w:w="155" w:type="pct"/>
            <w:tcBorders>
              <w:top w:val="single" w:color="auto" w:sz="4" w:space="0"/>
              <w:left w:val="single" w:color="auto" w:sz="4" w:space="0"/>
              <w:bottom w:val="single" w:color="auto" w:sz="4" w:space="0"/>
              <w:right w:val="single" w:color="auto" w:sz="4" w:space="0"/>
            </w:tcBorders>
            <w:noWrap/>
            <w:vAlign w:val="center"/>
          </w:tcPr>
          <w:p w14:paraId="40476BE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6131BBD0">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color w:val="auto"/>
                <w:sz w:val="22"/>
                <w:highlight w:val="none"/>
              </w:rPr>
              <w:t>17.3.2</w:t>
            </w:r>
          </w:p>
        </w:tc>
        <w:tc>
          <w:tcPr>
            <w:tcW w:w="4441" w:type="pct"/>
            <w:tcBorders>
              <w:top w:val="single" w:color="auto" w:sz="4" w:space="0"/>
              <w:left w:val="single" w:color="auto" w:sz="4" w:space="0"/>
              <w:bottom w:val="single" w:color="auto" w:sz="4" w:space="0"/>
              <w:right w:val="single" w:color="auto" w:sz="4" w:space="0"/>
            </w:tcBorders>
            <w:noWrap/>
          </w:tcPr>
          <w:p w14:paraId="294E3167">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17.3.2依据招标文件的规定，评标委员会还将从投标文件的有效性、完整性和对招标文件的响应程度等方面进行审查，以确定其是否符合对招标文件的实质性要求作出响应。（采购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0423316E">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 未按规定提交投标保证金的；</w:t>
            </w:r>
          </w:p>
          <w:p w14:paraId="526B5910">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(2)投标有效期不满足招标文件要求的；</w:t>
            </w:r>
          </w:p>
          <w:p w14:paraId="65B308DC">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(3)投标内容与招标内容及要求有重大偏离或保留的；</w:t>
            </w:r>
          </w:p>
          <w:p w14:paraId="736A3D40">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(4)投标人提交的是可选择的报价；</w:t>
            </w:r>
          </w:p>
          <w:p w14:paraId="5278273A">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(5)投标人未按招标文件要求对投标进行分项报价；</w:t>
            </w:r>
          </w:p>
          <w:p w14:paraId="5452EA9E">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(6)投标文件中提供虚假或失实资料的；</w:t>
            </w:r>
          </w:p>
          <w:p w14:paraId="2593C755">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 xml:space="preserve">(7)不符合招标文件中规定的其它实质性条款。 </w:t>
            </w:r>
          </w:p>
          <w:p w14:paraId="4F3B0269">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评标委员会决定投标的响应性只根据投标文件本身的内容，而不寻求其他的外部证据。</w:t>
            </w:r>
          </w:p>
        </w:tc>
      </w:tr>
      <w:tr w14:paraId="11A83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top w:val="single" w:color="auto" w:sz="4" w:space="0"/>
              <w:left w:val="single" w:color="auto" w:sz="4" w:space="0"/>
              <w:bottom w:val="single" w:color="auto" w:sz="4" w:space="0"/>
              <w:right w:val="single" w:color="auto" w:sz="4" w:space="0"/>
            </w:tcBorders>
            <w:noWrap/>
            <w:vAlign w:val="center"/>
          </w:tcPr>
          <w:p w14:paraId="3C57AAED">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18</w:t>
            </w:r>
          </w:p>
        </w:tc>
        <w:tc>
          <w:tcPr>
            <w:tcW w:w="155" w:type="pct"/>
            <w:tcBorders>
              <w:top w:val="single" w:color="auto" w:sz="4" w:space="0"/>
              <w:left w:val="single" w:color="auto" w:sz="4" w:space="0"/>
              <w:bottom w:val="single" w:color="auto" w:sz="4" w:space="0"/>
              <w:right w:val="single" w:color="auto" w:sz="4" w:space="0"/>
            </w:tcBorders>
            <w:noWrap/>
            <w:vAlign w:val="center"/>
          </w:tcPr>
          <w:p w14:paraId="43064F2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left w:val="single" w:color="auto" w:sz="4" w:space="0"/>
              <w:bottom w:val="single" w:color="auto" w:sz="4" w:space="0"/>
              <w:right w:val="single" w:color="auto" w:sz="4" w:space="0"/>
            </w:tcBorders>
            <w:noWrap/>
            <w:vAlign w:val="center"/>
          </w:tcPr>
          <w:p w14:paraId="16B5C03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17.3.3</w:t>
            </w:r>
          </w:p>
        </w:tc>
        <w:tc>
          <w:tcPr>
            <w:tcW w:w="4441" w:type="pct"/>
            <w:tcBorders>
              <w:top w:val="single" w:color="auto" w:sz="4" w:space="0"/>
              <w:left w:val="single" w:color="auto" w:sz="4" w:space="0"/>
              <w:bottom w:val="single" w:color="auto" w:sz="4" w:space="0"/>
              <w:right w:val="single" w:color="auto" w:sz="4" w:space="0"/>
            </w:tcBorders>
            <w:noWrap/>
          </w:tcPr>
          <w:p w14:paraId="349A4EC8">
            <w:pPr>
              <w:keepNext w:val="0"/>
              <w:keepLines w:val="0"/>
              <w:suppressLineNumbers w:val="0"/>
              <w:spacing w:before="0" w:beforeAutospacing="0" w:after="0" w:afterAutospacing="0" w:line="360" w:lineRule="auto"/>
              <w:ind w:left="0" w:right="0" w:firstLine="442" w:firstLineChars="200"/>
              <w:rPr>
                <w:rFonts w:hint="default" w:ascii="宋体" w:hAnsi="宋体" w:cs="宋体"/>
                <w:color w:val="auto"/>
                <w:sz w:val="22"/>
                <w:highlight w:val="none"/>
              </w:rPr>
            </w:pPr>
            <w:r>
              <w:rPr>
                <w:rFonts w:hint="eastAsia" w:ascii="宋体" w:hAnsi="宋体" w:cs="宋体"/>
                <w:b/>
                <w:color w:val="auto"/>
                <w:sz w:val="22"/>
                <w:highlight w:val="none"/>
              </w:rPr>
              <w:t>17.3.3投标产品必须满足中华人民共和国相关法律法规及行业的强制性要求，否则该投标人的投标将按照无效投标处理。</w:t>
            </w:r>
          </w:p>
        </w:tc>
      </w:tr>
      <w:tr w14:paraId="5E930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85" w:type="pct"/>
            <w:tcBorders>
              <w:top w:val="single" w:color="auto" w:sz="4" w:space="0"/>
            </w:tcBorders>
            <w:noWrap/>
            <w:vAlign w:val="center"/>
          </w:tcPr>
          <w:p w14:paraId="2B409AE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19</w:t>
            </w:r>
          </w:p>
        </w:tc>
        <w:tc>
          <w:tcPr>
            <w:tcW w:w="155" w:type="pct"/>
            <w:tcBorders>
              <w:top w:val="single" w:color="auto" w:sz="4" w:space="0"/>
            </w:tcBorders>
            <w:noWrap/>
            <w:vAlign w:val="center"/>
          </w:tcPr>
          <w:p w14:paraId="3C24C14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tcBorders>
              <w:top w:val="single" w:color="auto" w:sz="4" w:space="0"/>
            </w:tcBorders>
            <w:noWrap/>
            <w:vAlign w:val="center"/>
          </w:tcPr>
          <w:p w14:paraId="7CD68F1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17.3.4</w:t>
            </w:r>
          </w:p>
        </w:tc>
        <w:tc>
          <w:tcPr>
            <w:tcW w:w="4441" w:type="pct"/>
            <w:tcBorders>
              <w:top w:val="single" w:color="auto" w:sz="4" w:space="0"/>
            </w:tcBorders>
            <w:noWrap/>
            <w:vAlign w:val="center"/>
          </w:tcPr>
          <w:p w14:paraId="31B73C68">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17.3.4采购单位（或使用单位）、招标代理机构有下列情形之一的，将被认定为采购单位（或使用单位）、招标代理机构与投标人有串通投标行为，该投标人投标作无效投标处理：</w:t>
            </w:r>
          </w:p>
          <w:p w14:paraId="20151BC1">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（1）在开标前开启投标文件并将有关信息泄露给其他投标人;</w:t>
            </w:r>
          </w:p>
          <w:p w14:paraId="083C3B21">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（2）评审结果公告前，直接或者间接向投标人泄露评标委员会成员等信息；</w:t>
            </w:r>
          </w:p>
          <w:p w14:paraId="3A077E58">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（3）明示或者暗示投标人压低或者抬高投标报价；</w:t>
            </w:r>
          </w:p>
          <w:p w14:paraId="30DFAE16">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（4）授意投标人撤换、修改投标文件（按18条进行的澄清除外）；</w:t>
            </w:r>
          </w:p>
          <w:p w14:paraId="724EFA49">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（5）明示或者暗示投标人为特定投标人中标提供方便；</w:t>
            </w:r>
          </w:p>
          <w:p w14:paraId="49E9A56D">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r>
              <w:rPr>
                <w:rFonts w:hint="eastAsia" w:ascii="宋体" w:hAnsi="宋体" w:cs="宋体"/>
                <w:color w:val="auto"/>
                <w:sz w:val="22"/>
                <w:highlight w:val="none"/>
              </w:rPr>
              <w:t>（6）为谋求特定投标人中标而采取的其他串通行为。</w:t>
            </w:r>
          </w:p>
          <w:p w14:paraId="1BC5287A">
            <w:pPr>
              <w:keepNext w:val="0"/>
              <w:keepLines w:val="0"/>
              <w:suppressLineNumbers w:val="0"/>
              <w:spacing w:before="0" w:beforeAutospacing="0" w:after="0" w:afterAutospacing="0" w:line="360" w:lineRule="auto"/>
              <w:ind w:left="0" w:right="0" w:firstLine="440" w:firstLineChars="200"/>
              <w:rPr>
                <w:rFonts w:hint="default" w:ascii="宋体" w:hAnsi="宋体" w:cs="宋体"/>
                <w:color w:val="auto"/>
                <w:sz w:val="22"/>
                <w:highlight w:val="none"/>
              </w:rPr>
            </w:pPr>
          </w:p>
        </w:tc>
      </w:tr>
      <w:tr w14:paraId="2693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4250D17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20</w:t>
            </w:r>
          </w:p>
        </w:tc>
        <w:tc>
          <w:tcPr>
            <w:tcW w:w="155" w:type="pct"/>
            <w:noWrap/>
            <w:vAlign w:val="center"/>
          </w:tcPr>
          <w:p w14:paraId="13FF6091">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noWrap/>
            <w:vAlign w:val="center"/>
          </w:tcPr>
          <w:p w14:paraId="7FE6440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kern w:val="0"/>
                <w:sz w:val="22"/>
                <w:highlight w:val="none"/>
              </w:rPr>
              <w:t>17.3.5</w:t>
            </w:r>
          </w:p>
        </w:tc>
        <w:tc>
          <w:tcPr>
            <w:tcW w:w="4441" w:type="pct"/>
            <w:noWrap/>
            <w:vAlign w:val="center"/>
          </w:tcPr>
          <w:p w14:paraId="401C53FF">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kern w:val="0"/>
                <w:sz w:val="22"/>
                <w:highlight w:val="none"/>
              </w:rPr>
              <w:t>17.3.5出现17.3.4情形之一的，作无效投标处理的</w:t>
            </w:r>
            <w:r>
              <w:rPr>
                <w:rFonts w:hint="eastAsia" w:ascii="宋体" w:hAnsi="宋体" w:cs="宋体"/>
                <w:b/>
                <w:color w:val="auto"/>
                <w:sz w:val="22"/>
                <w:highlight w:val="none"/>
              </w:rPr>
              <w:t>投标人的投标保证金将予以没收，招标代理机构有权上报财政部门取消其采购供应商资格、并按有关规定予以处罚。</w:t>
            </w:r>
          </w:p>
        </w:tc>
      </w:tr>
      <w:tr w14:paraId="1E905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3C53E2E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21</w:t>
            </w:r>
          </w:p>
        </w:tc>
        <w:tc>
          <w:tcPr>
            <w:tcW w:w="155" w:type="pct"/>
            <w:noWrap/>
            <w:vAlign w:val="center"/>
          </w:tcPr>
          <w:p w14:paraId="3A73501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noWrap/>
            <w:vAlign w:val="center"/>
          </w:tcPr>
          <w:p w14:paraId="4092F54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b/>
                <w:color w:val="auto"/>
                <w:sz w:val="22"/>
                <w:highlight w:val="none"/>
              </w:rPr>
              <w:t>19.3</w:t>
            </w:r>
          </w:p>
        </w:tc>
        <w:tc>
          <w:tcPr>
            <w:tcW w:w="4441" w:type="pct"/>
            <w:noWrap/>
            <w:vAlign w:val="center"/>
          </w:tcPr>
          <w:p w14:paraId="0DFCC29D">
            <w:pPr>
              <w:keepNext w:val="0"/>
              <w:keepLines w:val="0"/>
              <w:suppressLineNumbers w:val="0"/>
              <w:spacing w:before="0" w:beforeAutospacing="0" w:after="0" w:afterAutospacing="0" w:line="360" w:lineRule="auto"/>
              <w:ind w:left="0" w:right="0" w:firstLine="442" w:firstLineChars="200"/>
              <w:rPr>
                <w:rFonts w:hint="default" w:ascii="宋体" w:hAnsi="宋体" w:cs="宋体"/>
                <w:b/>
                <w:color w:val="auto"/>
                <w:sz w:val="22"/>
                <w:highlight w:val="none"/>
              </w:rPr>
            </w:pPr>
            <w:r>
              <w:rPr>
                <w:rFonts w:hint="eastAsia" w:ascii="宋体" w:hAnsi="宋体" w:cs="宋体"/>
                <w:b/>
                <w:color w:val="auto"/>
                <w:sz w:val="22"/>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213E7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08BB043D">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22</w:t>
            </w:r>
          </w:p>
        </w:tc>
        <w:tc>
          <w:tcPr>
            <w:tcW w:w="155" w:type="pct"/>
            <w:noWrap/>
            <w:vAlign w:val="center"/>
          </w:tcPr>
          <w:p w14:paraId="54F2470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二</w:t>
            </w:r>
          </w:p>
        </w:tc>
        <w:tc>
          <w:tcPr>
            <w:tcW w:w="216" w:type="pct"/>
            <w:noWrap/>
            <w:vAlign w:val="center"/>
          </w:tcPr>
          <w:p w14:paraId="7D20B1E5">
            <w:pPr>
              <w:keepNext w:val="0"/>
              <w:keepLines w:val="0"/>
              <w:suppressLineNumbers w:val="0"/>
              <w:spacing w:before="0" w:beforeAutospacing="0" w:after="0" w:afterAutospacing="0" w:line="360" w:lineRule="auto"/>
              <w:ind w:left="0" w:right="0"/>
              <w:jc w:val="center"/>
              <w:rPr>
                <w:rFonts w:hint="default" w:ascii="宋体" w:hAnsi="宋体" w:cs="宋体"/>
                <w:b/>
                <w:color w:val="auto"/>
                <w:sz w:val="22"/>
                <w:highlight w:val="none"/>
              </w:rPr>
            </w:pPr>
            <w:r>
              <w:rPr>
                <w:rFonts w:hint="eastAsia" w:ascii="宋体" w:hAnsi="宋体" w:cs="宋体"/>
                <w:b/>
                <w:color w:val="auto"/>
                <w:sz w:val="22"/>
                <w:highlight w:val="none"/>
              </w:rPr>
              <w:t>22</w:t>
            </w:r>
          </w:p>
        </w:tc>
        <w:tc>
          <w:tcPr>
            <w:tcW w:w="4441" w:type="pct"/>
            <w:noWrap/>
            <w:vAlign w:val="center"/>
          </w:tcPr>
          <w:p w14:paraId="5C218EE9">
            <w:pPr>
              <w:keepNext w:val="0"/>
              <w:keepLines w:val="0"/>
              <w:suppressLineNumbers w:val="0"/>
              <w:spacing w:before="0" w:beforeAutospacing="0" w:after="0" w:afterAutospacing="0" w:line="360" w:lineRule="auto"/>
              <w:ind w:left="0" w:right="0" w:firstLine="440" w:firstLineChars="200"/>
              <w:rPr>
                <w:rFonts w:hint="default" w:ascii="宋体" w:hAnsi="宋体" w:cs="宋体"/>
                <w:b/>
                <w:color w:val="auto"/>
                <w:sz w:val="22"/>
                <w:highlight w:val="none"/>
              </w:rPr>
            </w:pPr>
            <w:r>
              <w:rPr>
                <w:rFonts w:hint="eastAsia" w:ascii="宋体" w:hAnsi="宋体" w:cs="宋体"/>
                <w:color w:val="auto"/>
                <w:sz w:val="22"/>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2"/>
                <w:highlight w:val="none"/>
              </w:rPr>
              <w:t>否则作无效投标处理。</w:t>
            </w:r>
          </w:p>
        </w:tc>
      </w:tr>
      <w:tr w14:paraId="503B1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53ECC09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23</w:t>
            </w:r>
          </w:p>
        </w:tc>
        <w:tc>
          <w:tcPr>
            <w:tcW w:w="155" w:type="pct"/>
            <w:noWrap/>
            <w:vAlign w:val="center"/>
          </w:tcPr>
          <w:p w14:paraId="1BA938D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1B06F2B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549C50B6">
            <w:pPr>
              <w:keepNext w:val="0"/>
              <w:keepLines w:val="0"/>
              <w:suppressLineNumbers w:val="0"/>
              <w:spacing w:before="0" w:beforeAutospacing="0" w:after="0" w:afterAutospacing="0" w:line="360" w:lineRule="auto"/>
              <w:ind w:left="0" w:right="0"/>
              <w:rPr>
                <w:rFonts w:hint="default" w:ascii="宋体" w:hAnsi="宋体" w:cs="宋体"/>
                <w:bCs/>
                <w:color w:val="auto"/>
                <w:sz w:val="22"/>
                <w:highlight w:val="none"/>
              </w:rPr>
            </w:pPr>
            <w:r>
              <w:rPr>
                <w:rFonts w:hint="eastAsia" w:ascii="宋体" w:hAnsi="宋体" w:cs="宋体"/>
                <w:bCs/>
                <w:color w:val="auto"/>
                <w:sz w:val="22"/>
                <w:highlight w:val="none"/>
              </w:rPr>
              <w:t>投标人如果为联合体投标，则必须同时满足下列要求，否则</w:t>
            </w:r>
            <w:r>
              <w:rPr>
                <w:rFonts w:hint="eastAsia" w:ascii="宋体" w:hAnsi="宋体" w:cs="宋体"/>
                <w:color w:val="auto"/>
                <w:sz w:val="22"/>
                <w:highlight w:val="none"/>
              </w:rPr>
              <w:t>该投标人的投标将按照无效投标处理</w:t>
            </w:r>
            <w:r>
              <w:rPr>
                <w:rFonts w:hint="eastAsia" w:ascii="宋体" w:hAnsi="宋体" w:cs="宋体"/>
                <w:bCs/>
                <w:color w:val="auto"/>
                <w:sz w:val="22"/>
                <w:highlight w:val="none"/>
              </w:rPr>
              <w:t>：</w:t>
            </w:r>
          </w:p>
          <w:p w14:paraId="129AC378">
            <w:pPr>
              <w:keepNext w:val="0"/>
              <w:keepLines w:val="0"/>
              <w:suppressLineNumbers w:val="0"/>
              <w:spacing w:before="0" w:beforeAutospacing="0" w:after="0" w:afterAutospacing="0" w:line="360" w:lineRule="auto"/>
              <w:ind w:left="0" w:right="0"/>
              <w:rPr>
                <w:rFonts w:hint="default" w:ascii="宋体" w:hAnsi="宋体" w:cs="宋体"/>
                <w:bCs/>
                <w:color w:val="auto"/>
                <w:sz w:val="22"/>
                <w:highlight w:val="none"/>
              </w:rPr>
            </w:pPr>
            <w:r>
              <w:rPr>
                <w:rFonts w:hint="eastAsia" w:ascii="宋体" w:hAnsi="宋体" w:cs="宋体"/>
                <w:bCs/>
                <w:color w:val="auto"/>
                <w:sz w:val="22"/>
                <w:highlight w:val="none"/>
              </w:rPr>
              <w:t>①在开标一览表中注明是否联合体投标、联合体组成单位；</w:t>
            </w:r>
          </w:p>
          <w:p w14:paraId="49826FEC">
            <w:pPr>
              <w:keepNext w:val="0"/>
              <w:keepLines w:val="0"/>
              <w:suppressLineNumbers w:val="0"/>
              <w:spacing w:before="0" w:beforeAutospacing="0" w:after="0" w:afterAutospacing="0" w:line="360" w:lineRule="auto"/>
              <w:ind w:left="0" w:right="0"/>
              <w:jc w:val="left"/>
              <w:rPr>
                <w:rFonts w:hint="default" w:ascii="宋体" w:hAnsi="宋体" w:cs="宋体"/>
                <w:color w:val="auto"/>
                <w:sz w:val="22"/>
                <w:highlight w:val="none"/>
              </w:rPr>
            </w:pPr>
            <w:r>
              <w:rPr>
                <w:rFonts w:hint="eastAsia" w:ascii="宋体" w:hAnsi="宋体" w:cs="宋体"/>
                <w:bCs/>
                <w:color w:val="auto"/>
                <w:sz w:val="22"/>
                <w:highlight w:val="none"/>
              </w:rPr>
              <w:t>②在投标文件中提供各方盖章签署的共同投标协议原件。</w:t>
            </w:r>
          </w:p>
        </w:tc>
      </w:tr>
      <w:tr w14:paraId="5994A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44A91B2D">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r>
              <w:rPr>
                <w:rFonts w:hint="eastAsia" w:ascii="宋体" w:hAnsi="宋体" w:cs="宋体"/>
                <w:color w:val="auto"/>
                <w:sz w:val="22"/>
                <w:szCs w:val="22"/>
                <w:highlight w:val="none"/>
              </w:rPr>
              <w:t>24</w:t>
            </w:r>
          </w:p>
        </w:tc>
        <w:tc>
          <w:tcPr>
            <w:tcW w:w="155" w:type="pct"/>
            <w:noWrap/>
            <w:vAlign w:val="center"/>
          </w:tcPr>
          <w:p w14:paraId="1DC8B6F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47789FA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5D576C1C">
            <w:pPr>
              <w:keepNext w:val="0"/>
              <w:keepLines w:val="0"/>
              <w:suppressLineNumbers w:val="0"/>
              <w:spacing w:before="0" w:beforeAutospacing="0" w:after="0" w:afterAutospacing="0" w:line="360" w:lineRule="auto"/>
              <w:ind w:left="0" w:right="0"/>
              <w:jc w:val="left"/>
              <w:rPr>
                <w:rFonts w:hint="default" w:ascii="宋体" w:hAnsi="宋体" w:cs="宋体"/>
                <w:color w:val="auto"/>
                <w:sz w:val="22"/>
                <w:highlight w:val="none"/>
              </w:rPr>
            </w:pPr>
            <w:r>
              <w:rPr>
                <w:rFonts w:hint="eastAsia" w:ascii="宋体" w:hAnsi="宋体" w:cs="宋体"/>
                <w:bCs/>
                <w:color w:val="auto"/>
                <w:sz w:val="22"/>
                <w:highlight w:val="none"/>
              </w:rPr>
              <w:t>投标文件中不得附有采购单位</w:t>
            </w:r>
            <w:r>
              <w:rPr>
                <w:rFonts w:hint="eastAsia" w:ascii="宋体" w:hAnsi="宋体" w:cs="宋体"/>
                <w:color w:val="auto"/>
                <w:sz w:val="22"/>
                <w:highlight w:val="none"/>
              </w:rPr>
              <w:t>（或使用单位）</w:t>
            </w:r>
            <w:r>
              <w:rPr>
                <w:rFonts w:hint="eastAsia" w:ascii="宋体" w:hAnsi="宋体" w:cs="宋体"/>
                <w:bCs/>
                <w:color w:val="auto"/>
                <w:sz w:val="22"/>
                <w:highlight w:val="none"/>
              </w:rPr>
              <w:t>不能接受的条款，</w:t>
            </w:r>
            <w:r>
              <w:rPr>
                <w:rFonts w:hint="eastAsia" w:ascii="宋体" w:hAnsi="宋体" w:cs="宋体"/>
                <w:color w:val="auto"/>
                <w:sz w:val="22"/>
                <w:highlight w:val="none"/>
              </w:rPr>
              <w:t>否则该投标人的投标将按照无效投标处理。</w:t>
            </w:r>
          </w:p>
        </w:tc>
      </w:tr>
      <w:tr w14:paraId="2000C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047BA56A">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r>
              <w:rPr>
                <w:rFonts w:hint="eastAsia" w:ascii="宋体" w:hAnsi="宋体" w:cs="宋体"/>
                <w:color w:val="auto"/>
                <w:sz w:val="22"/>
                <w:szCs w:val="22"/>
                <w:highlight w:val="none"/>
              </w:rPr>
              <w:t>25</w:t>
            </w:r>
          </w:p>
        </w:tc>
        <w:tc>
          <w:tcPr>
            <w:tcW w:w="155" w:type="pct"/>
            <w:noWrap/>
            <w:vAlign w:val="center"/>
          </w:tcPr>
          <w:p w14:paraId="35B0B756">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p>
        </w:tc>
        <w:tc>
          <w:tcPr>
            <w:tcW w:w="216" w:type="pct"/>
            <w:noWrap/>
            <w:vAlign w:val="center"/>
          </w:tcPr>
          <w:p w14:paraId="046A222C">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4441" w:type="pct"/>
            <w:noWrap/>
            <w:vAlign w:val="center"/>
          </w:tcPr>
          <w:p w14:paraId="210876D2">
            <w:pPr>
              <w:pStyle w:val="2"/>
              <w:keepNext w:val="0"/>
              <w:keepLines w:val="0"/>
              <w:suppressLineNumbers w:val="0"/>
              <w:snapToGrid w:val="0"/>
              <w:spacing w:before="0" w:beforeAutospacing="0" w:after="0" w:afterAutospacing="0" w:line="360" w:lineRule="auto"/>
              <w:ind w:left="0" w:right="0" w:firstLine="0"/>
              <w:jc w:val="left"/>
              <w:rPr>
                <w:rFonts w:hint="default" w:ascii="宋体" w:hAnsi="宋体" w:cs="宋体"/>
                <w:b/>
                <w:color w:val="auto"/>
                <w:sz w:val="22"/>
                <w:szCs w:val="22"/>
                <w:highlight w:val="none"/>
              </w:rPr>
            </w:pPr>
            <w:r>
              <w:rPr>
                <w:rFonts w:hint="eastAsia" w:ascii="宋体" w:hAnsi="宋体" w:cs="宋体"/>
                <w:bCs/>
                <w:color w:val="auto"/>
                <w:sz w:val="22"/>
                <w:szCs w:val="22"/>
                <w:highlight w:val="none"/>
              </w:rPr>
              <w:t>本项目以合同包为单位，对于每个合同包，投标人必须完整地提供合同包要求的所有货物和服务，否则</w:t>
            </w:r>
            <w:r>
              <w:rPr>
                <w:rFonts w:hint="eastAsia" w:ascii="宋体" w:hAnsi="宋体" w:cs="宋体"/>
                <w:color w:val="auto"/>
                <w:sz w:val="22"/>
                <w:szCs w:val="22"/>
                <w:highlight w:val="none"/>
              </w:rPr>
              <w:t>该投标人针对该合同包的投标将按照无效投标处理</w:t>
            </w:r>
            <w:r>
              <w:rPr>
                <w:rFonts w:hint="eastAsia" w:ascii="宋体" w:hAnsi="宋体" w:cs="宋体"/>
                <w:bCs/>
                <w:color w:val="auto"/>
                <w:sz w:val="22"/>
                <w:szCs w:val="22"/>
                <w:highlight w:val="none"/>
              </w:rPr>
              <w:t>。</w:t>
            </w:r>
          </w:p>
        </w:tc>
      </w:tr>
      <w:tr w14:paraId="1EA9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355E37D5">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r>
              <w:rPr>
                <w:rFonts w:hint="eastAsia" w:ascii="宋体" w:hAnsi="宋体" w:cs="宋体"/>
                <w:color w:val="auto"/>
                <w:sz w:val="22"/>
                <w:szCs w:val="22"/>
                <w:highlight w:val="none"/>
              </w:rPr>
              <w:t>26</w:t>
            </w:r>
          </w:p>
        </w:tc>
        <w:tc>
          <w:tcPr>
            <w:tcW w:w="155" w:type="pct"/>
            <w:noWrap/>
            <w:vAlign w:val="center"/>
          </w:tcPr>
          <w:p w14:paraId="60DBC678">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216" w:type="pct"/>
            <w:noWrap/>
            <w:vAlign w:val="center"/>
          </w:tcPr>
          <w:p w14:paraId="57928464">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4441" w:type="pct"/>
            <w:noWrap/>
            <w:vAlign w:val="center"/>
          </w:tcPr>
          <w:p w14:paraId="1F0E8E53">
            <w:pPr>
              <w:keepNext w:val="0"/>
              <w:keepLines w:val="0"/>
              <w:suppressLineNumbers w:val="0"/>
              <w:spacing w:before="0" w:beforeAutospacing="0" w:after="0" w:afterAutospacing="0" w:line="360" w:lineRule="auto"/>
              <w:ind w:left="0" w:right="0"/>
              <w:rPr>
                <w:rFonts w:hint="default" w:ascii="宋体" w:hAnsi="宋体" w:cs="宋体"/>
                <w:bCs/>
                <w:color w:val="auto"/>
                <w:sz w:val="22"/>
                <w:highlight w:val="none"/>
              </w:rPr>
            </w:pPr>
            <w:r>
              <w:rPr>
                <w:rFonts w:hint="eastAsia" w:ascii="宋体" w:hAnsi="宋体" w:cs="宋体"/>
                <w:bCs/>
                <w:color w:val="auto"/>
                <w:sz w:val="22"/>
                <w:highlight w:val="none"/>
              </w:rPr>
              <w:t>投标人应对其在投标文件中声明的关于中小企业事项的真实性负责，存在以下情形之一的，经评标委员会查实，应认定存在虚假的：</w:t>
            </w:r>
          </w:p>
          <w:p w14:paraId="61DFAE5B">
            <w:pPr>
              <w:keepNext w:val="0"/>
              <w:keepLines w:val="0"/>
              <w:suppressLineNumbers w:val="0"/>
              <w:spacing w:before="0" w:beforeAutospacing="0" w:after="0" w:afterAutospacing="0" w:line="360" w:lineRule="auto"/>
              <w:ind w:left="0" w:right="0"/>
              <w:rPr>
                <w:rFonts w:hint="default" w:ascii="宋体" w:hAnsi="宋体" w:cs="宋体"/>
                <w:bCs/>
                <w:color w:val="auto"/>
                <w:sz w:val="22"/>
                <w:highlight w:val="none"/>
              </w:rPr>
            </w:pPr>
            <w:r>
              <w:rPr>
                <w:rFonts w:hint="eastAsia" w:ascii="宋体" w:hAnsi="宋体" w:cs="宋体"/>
                <w:bCs/>
                <w:color w:val="auto"/>
                <w:sz w:val="22"/>
                <w:highlight w:val="none"/>
              </w:rPr>
              <w:t>（1）投标人（包括联合体任一方）不符合“工信部联企业[2011]300号”规定的中小企业标准的；</w:t>
            </w:r>
          </w:p>
          <w:p w14:paraId="4629433D">
            <w:pPr>
              <w:keepNext w:val="0"/>
              <w:keepLines w:val="0"/>
              <w:suppressLineNumbers w:val="0"/>
              <w:spacing w:before="0" w:beforeAutospacing="0" w:after="0" w:afterAutospacing="0" w:line="360" w:lineRule="auto"/>
              <w:ind w:left="0" w:right="0"/>
              <w:rPr>
                <w:rFonts w:hint="default" w:ascii="宋体" w:hAnsi="宋体" w:cs="宋体"/>
                <w:bCs/>
                <w:color w:val="auto"/>
                <w:sz w:val="22"/>
                <w:highlight w:val="none"/>
              </w:rPr>
            </w:pPr>
            <w:r>
              <w:rPr>
                <w:rFonts w:hint="eastAsia" w:ascii="宋体" w:hAnsi="宋体" w:cs="宋体"/>
                <w:bCs/>
                <w:color w:val="auto"/>
                <w:sz w:val="22"/>
                <w:highlight w:val="none"/>
              </w:rPr>
              <w:t>（2）投标货物全部或部分为使用大型企业注册商标的货物的；</w:t>
            </w:r>
          </w:p>
          <w:p w14:paraId="678A6FE9">
            <w:pPr>
              <w:keepNext w:val="0"/>
              <w:keepLines w:val="0"/>
              <w:suppressLineNumbers w:val="0"/>
              <w:spacing w:before="0" w:beforeAutospacing="0" w:after="0" w:afterAutospacing="0" w:line="360" w:lineRule="auto"/>
              <w:ind w:left="0" w:right="0"/>
              <w:rPr>
                <w:rFonts w:hint="default" w:ascii="宋体" w:hAnsi="宋体" w:cs="宋体"/>
                <w:bCs/>
                <w:color w:val="auto"/>
                <w:sz w:val="22"/>
                <w:highlight w:val="none"/>
              </w:rPr>
            </w:pPr>
            <w:r>
              <w:rPr>
                <w:rFonts w:hint="eastAsia" w:ascii="宋体" w:hAnsi="宋体" w:cs="宋体"/>
                <w:bCs/>
                <w:color w:val="auto"/>
                <w:sz w:val="22"/>
                <w:highlight w:val="none"/>
              </w:rPr>
              <w:t>（3）投标文件中标明的小型或微型企业产品的制造商不符合“工信部联企业[2011]300号”规定的小型和微型企业标准的。</w:t>
            </w:r>
          </w:p>
          <w:p w14:paraId="16B2BE03">
            <w:pPr>
              <w:pStyle w:val="2"/>
              <w:keepNext w:val="0"/>
              <w:keepLines w:val="0"/>
              <w:suppressLineNumbers w:val="0"/>
              <w:snapToGrid w:val="0"/>
              <w:spacing w:before="0" w:beforeAutospacing="0" w:after="0" w:afterAutospacing="0" w:line="360" w:lineRule="auto"/>
              <w:ind w:left="0" w:right="0" w:firstLine="0"/>
              <w:jc w:val="left"/>
              <w:rPr>
                <w:rFonts w:hint="default" w:ascii="宋体" w:hAnsi="宋体" w:cs="宋体"/>
                <w:b/>
                <w:color w:val="auto"/>
                <w:sz w:val="22"/>
                <w:szCs w:val="22"/>
                <w:highlight w:val="none"/>
              </w:rPr>
            </w:pPr>
            <w:r>
              <w:rPr>
                <w:rFonts w:hint="eastAsia" w:ascii="宋体" w:hAnsi="宋体" w:cs="宋体"/>
                <w:bCs/>
                <w:color w:val="auto"/>
                <w:sz w:val="22"/>
                <w:szCs w:val="22"/>
                <w:highlight w:val="none"/>
              </w:rPr>
              <w:t>在评审过程中发现上述虚假情形的，该投标人的投标作无效投标处理。</w:t>
            </w:r>
          </w:p>
        </w:tc>
      </w:tr>
      <w:tr w14:paraId="5CCC7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388D54AC">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r>
              <w:rPr>
                <w:rFonts w:hint="eastAsia" w:ascii="宋体" w:hAnsi="宋体" w:cs="宋体"/>
                <w:color w:val="auto"/>
                <w:sz w:val="22"/>
                <w:szCs w:val="22"/>
                <w:highlight w:val="none"/>
              </w:rPr>
              <w:t>27</w:t>
            </w:r>
          </w:p>
        </w:tc>
        <w:tc>
          <w:tcPr>
            <w:tcW w:w="155" w:type="pct"/>
            <w:noWrap/>
            <w:vAlign w:val="center"/>
          </w:tcPr>
          <w:p w14:paraId="5461AE6F">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216" w:type="pct"/>
            <w:noWrap/>
            <w:vAlign w:val="center"/>
          </w:tcPr>
          <w:p w14:paraId="69EF6FF4">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4441" w:type="pct"/>
            <w:noWrap/>
            <w:vAlign w:val="center"/>
          </w:tcPr>
          <w:p w14:paraId="5B7BE84D">
            <w:pPr>
              <w:pStyle w:val="2"/>
              <w:keepNext w:val="0"/>
              <w:keepLines w:val="0"/>
              <w:suppressLineNumbers w:val="0"/>
              <w:snapToGrid w:val="0"/>
              <w:spacing w:before="0" w:beforeAutospacing="0" w:after="0" w:afterAutospacing="0" w:line="360" w:lineRule="auto"/>
              <w:ind w:left="0" w:right="0" w:firstLine="0"/>
              <w:jc w:val="left"/>
              <w:rPr>
                <w:rFonts w:hint="default" w:ascii="宋体" w:hAnsi="宋体" w:cs="宋体"/>
                <w:color w:val="auto"/>
                <w:sz w:val="22"/>
                <w:szCs w:val="22"/>
                <w:highlight w:val="none"/>
              </w:rPr>
            </w:pPr>
            <w:r>
              <w:rPr>
                <w:rFonts w:hint="eastAsia" w:ascii="宋体" w:hAnsi="宋体" w:cs="宋体"/>
                <w:bCs/>
                <w:color w:val="auto"/>
                <w:sz w:val="22"/>
                <w:szCs w:val="22"/>
                <w:highlight w:val="none"/>
              </w:rPr>
              <w:t>减半交纳投标保证金的投标人未按照招标文件格式要求在投标文件中提供《中小企业声明函》的，其投标作无效投标处理。</w:t>
            </w:r>
          </w:p>
        </w:tc>
      </w:tr>
      <w:tr w14:paraId="48C8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521AA092">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r>
              <w:rPr>
                <w:rFonts w:hint="eastAsia" w:ascii="宋体" w:hAnsi="宋体" w:cs="宋体"/>
                <w:color w:val="auto"/>
                <w:sz w:val="22"/>
                <w:szCs w:val="22"/>
                <w:highlight w:val="none"/>
              </w:rPr>
              <w:t>28</w:t>
            </w:r>
          </w:p>
        </w:tc>
        <w:tc>
          <w:tcPr>
            <w:tcW w:w="155" w:type="pct"/>
            <w:tcBorders>
              <w:bottom w:val="single" w:color="auto" w:sz="4" w:space="0"/>
            </w:tcBorders>
            <w:noWrap/>
            <w:vAlign w:val="center"/>
          </w:tcPr>
          <w:p w14:paraId="71F2E073">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216" w:type="pct"/>
            <w:tcBorders>
              <w:bottom w:val="single" w:color="auto" w:sz="4" w:space="0"/>
            </w:tcBorders>
            <w:noWrap/>
            <w:vAlign w:val="center"/>
          </w:tcPr>
          <w:p w14:paraId="730E3063">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4441" w:type="pct"/>
            <w:tcBorders>
              <w:bottom w:val="single" w:color="auto" w:sz="4" w:space="0"/>
            </w:tcBorders>
            <w:noWrap/>
            <w:vAlign w:val="center"/>
          </w:tcPr>
          <w:p w14:paraId="001612E9">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b/>
                <w:color w:val="auto"/>
                <w:sz w:val="22"/>
                <w:szCs w:val="22"/>
                <w:highlight w:val="none"/>
              </w:rPr>
            </w:pPr>
            <w:r>
              <w:rPr>
                <w:rFonts w:hint="eastAsia" w:ascii="宋体" w:hAnsi="宋体" w:cs="宋体"/>
                <w:bCs/>
                <w:color w:val="auto"/>
                <w:sz w:val="22"/>
                <w:szCs w:val="22"/>
                <w:highlight w:val="none"/>
              </w:rPr>
              <w:t>投标人应按照招标文件格式要求在投标文件中提供《廉洁承诺书》原件（投标人为联合体的，联合体各方均应提供《廉洁承诺书》原件），否则作无效投标处理。</w:t>
            </w:r>
          </w:p>
        </w:tc>
      </w:tr>
      <w:tr w14:paraId="1A2D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427A286B">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color w:val="auto"/>
                <w:sz w:val="22"/>
                <w:szCs w:val="22"/>
                <w:highlight w:val="none"/>
              </w:rPr>
            </w:pPr>
            <w:r>
              <w:rPr>
                <w:rFonts w:hint="eastAsia" w:ascii="宋体" w:hAnsi="宋体" w:cs="宋体"/>
                <w:color w:val="auto"/>
                <w:sz w:val="22"/>
                <w:szCs w:val="22"/>
                <w:highlight w:val="none"/>
              </w:rPr>
              <w:t>29</w:t>
            </w:r>
          </w:p>
        </w:tc>
        <w:tc>
          <w:tcPr>
            <w:tcW w:w="155" w:type="pct"/>
            <w:tcBorders>
              <w:bottom w:val="single" w:color="auto" w:sz="4" w:space="0"/>
            </w:tcBorders>
            <w:noWrap/>
            <w:vAlign w:val="center"/>
          </w:tcPr>
          <w:p w14:paraId="5509BB91">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216" w:type="pct"/>
            <w:tcBorders>
              <w:bottom w:val="single" w:color="auto" w:sz="4" w:space="0"/>
            </w:tcBorders>
            <w:noWrap/>
            <w:vAlign w:val="center"/>
          </w:tcPr>
          <w:p w14:paraId="0F6E85A2">
            <w:pPr>
              <w:pStyle w:val="2"/>
              <w:keepNext w:val="0"/>
              <w:keepLines w:val="0"/>
              <w:suppressLineNumbers w:val="0"/>
              <w:snapToGrid w:val="0"/>
              <w:spacing w:before="0" w:beforeAutospacing="0" w:after="0" w:afterAutospacing="0" w:line="360" w:lineRule="auto"/>
              <w:ind w:left="0" w:right="0" w:firstLine="0"/>
              <w:jc w:val="center"/>
              <w:rPr>
                <w:rFonts w:hint="default" w:ascii="宋体" w:hAnsi="宋体" w:cs="宋体"/>
                <w:b/>
                <w:color w:val="auto"/>
                <w:sz w:val="22"/>
                <w:szCs w:val="22"/>
                <w:highlight w:val="none"/>
              </w:rPr>
            </w:pPr>
          </w:p>
        </w:tc>
        <w:tc>
          <w:tcPr>
            <w:tcW w:w="4441" w:type="pct"/>
            <w:tcBorders>
              <w:bottom w:val="single" w:color="auto" w:sz="4" w:space="0"/>
            </w:tcBorders>
            <w:noWrap/>
            <w:vAlign w:val="center"/>
          </w:tcPr>
          <w:p w14:paraId="3F68BC3E">
            <w:pPr>
              <w:keepNext w:val="0"/>
              <w:keepLines w:val="0"/>
              <w:suppressLineNumbers w:val="0"/>
              <w:spacing w:before="0" w:beforeAutospacing="0" w:after="0" w:afterAutospacing="0" w:line="360" w:lineRule="auto"/>
              <w:ind w:left="0" w:right="0"/>
              <w:rPr>
                <w:rFonts w:hint="default" w:ascii="宋体" w:hAnsi="宋体" w:cs="宋体"/>
                <w:b/>
                <w:color w:val="auto"/>
                <w:sz w:val="22"/>
                <w:highlight w:val="none"/>
              </w:rPr>
            </w:pPr>
            <w:r>
              <w:rPr>
                <w:rFonts w:hint="eastAsia" w:ascii="宋体" w:hAnsi="宋体" w:cs="宋体"/>
                <w:bCs/>
                <w:color w:val="auto"/>
                <w:sz w:val="22"/>
                <w:highlight w:val="none"/>
              </w:rPr>
              <w:t>其他不满足招标文件要求经评标委员会认定须作无效投标处理的。</w:t>
            </w:r>
          </w:p>
        </w:tc>
      </w:tr>
      <w:tr w14:paraId="33DB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2DE8404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30</w:t>
            </w:r>
          </w:p>
        </w:tc>
        <w:tc>
          <w:tcPr>
            <w:tcW w:w="155" w:type="pct"/>
            <w:tcBorders>
              <w:bottom w:val="single" w:color="auto" w:sz="4" w:space="0"/>
            </w:tcBorders>
            <w:noWrap/>
            <w:vAlign w:val="center"/>
          </w:tcPr>
          <w:p w14:paraId="251D674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119CF763">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vAlign w:val="center"/>
          </w:tcPr>
          <w:p w14:paraId="16224E0E">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hAnsi="宋体" w:cs="宋体"/>
                <w:color w:val="auto"/>
                <w:sz w:val="22"/>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1E40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23E997B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r>
              <w:rPr>
                <w:rFonts w:hint="eastAsia" w:ascii="宋体" w:hAnsi="宋体" w:cs="宋体"/>
                <w:color w:val="auto"/>
                <w:sz w:val="22"/>
                <w:highlight w:val="none"/>
              </w:rPr>
              <w:t>31</w:t>
            </w:r>
          </w:p>
        </w:tc>
        <w:tc>
          <w:tcPr>
            <w:tcW w:w="155" w:type="pct"/>
            <w:tcBorders>
              <w:bottom w:val="single" w:color="auto" w:sz="4" w:space="0"/>
            </w:tcBorders>
            <w:noWrap/>
            <w:vAlign w:val="center"/>
          </w:tcPr>
          <w:p w14:paraId="2F2E5E8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5F4BE13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vAlign w:val="center"/>
          </w:tcPr>
          <w:p w14:paraId="024E7FED">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eastAsia" w:ascii="宋体" w:hAnsi="宋体" w:cs="宋体"/>
                <w:color w:val="auto"/>
                <w:sz w:val="22"/>
                <w:highlight w:val="none"/>
              </w:rPr>
              <w:t>本项目采购人有权核查投标人在投标文件中提供资料的真实性，中标人需配合采购人提交投标文件中所有证书及检测报告（电子版或复印件须有送检方鲜章），以上文件不得有造假行为，保持清晰有效，供其查验真伪。若在签订合同前发现中标人在投标过程中提供虚假资料，采购人或使用单位有权取消其中标资格，并追究其法律责任。若在合同约期间发现中标人在投标过程中提供了虚假资料，采购人有权扣除其履约保证金，终止合同并追究其法律责任。</w:t>
            </w:r>
          </w:p>
        </w:tc>
      </w:tr>
      <w:tr w14:paraId="6CA1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799D864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tcBorders>
              <w:bottom w:val="single" w:color="auto" w:sz="4" w:space="0"/>
            </w:tcBorders>
            <w:noWrap/>
            <w:vAlign w:val="center"/>
          </w:tcPr>
          <w:p w14:paraId="36C6D25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626D428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tcPr>
          <w:p w14:paraId="20BEC47C">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⑴、主材基本安全项，所投产品13mm厚优抗板台面①～⑧提供须提供带有“CMA”或“CNAS ”标志第三方质量检验检测机构出具的检测报告复印件及官方网站查询截图（原件备查）。</w:t>
            </w:r>
            <w:r>
              <w:rPr>
                <w:rFonts w:hint="eastAsia" w:ascii="宋体" w:hAnsi="宋体" w:eastAsia="宋体" w:cs="宋体"/>
                <w:b/>
                <w:bCs/>
                <w:color w:val="auto"/>
                <w:kern w:val="2"/>
                <w:sz w:val="24"/>
                <w:szCs w:val="24"/>
                <w:highlight w:val="none"/>
                <w:lang w:val="en-US" w:eastAsia="zh-CN" w:bidi="ar"/>
              </w:rPr>
              <w:t>未提供官方网站查询截图的应书面承诺检验报告可在官方网站查询。（格式自拟）</w:t>
            </w:r>
            <w:r>
              <w:rPr>
                <w:rFonts w:hint="eastAsia" w:ascii="宋体" w:hAnsi="宋体" w:eastAsia="宋体" w:cs="宋体"/>
                <w:b/>
                <w:bCs w:val="0"/>
                <w:color w:val="auto"/>
                <w:kern w:val="2"/>
                <w:sz w:val="24"/>
                <w:szCs w:val="24"/>
                <w:highlight w:val="none"/>
                <w:lang w:val="en-US" w:eastAsia="zh-CN" w:bidi="ar"/>
              </w:rPr>
              <w:t>：</w:t>
            </w:r>
          </w:p>
          <w:p w14:paraId="37CE844D">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①、化学性能要求：参照 GB/T 17657-2022“人造板及饰面人造板理化性能试验方法”进行检验：对硫酸（98%）、盐酸（37%）、磷酸（85%）、铬酸、乙酸（99%）、苯酚（90%）、硝酸银（1%）、氨水（28%）、硫化钠饱和液、氯化镁（10%）、氯仿、高锰酸钾（10%）、苯、甲酚</w:t>
            </w:r>
          </w:p>
          <w:p w14:paraId="6B94E2B0">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二甲基甲酰胺、碘酒、煤油、品红（1%）、苏丹红、四氢呋喃、甲基橙、氧化锌饱和液、萘、红茶、红药水、铬酸钾溶液（1g/L）、乙醇胺、液体石蜡、甲酸（80%）、柠檬酸、氢氧化钾（65%）、氯乙烯基镁、丁酮、甲苯、丙三醇、乙醚、无水甲醇、乙酰丙酮、乙腈、环丙甲酮、己二酸二乙酯、1,2-二氯乙烷、溴丙烷、异丁醇、二丙二醇甲醚、丙二醇、正十六烷、邻二甲苯、间二甲苯、正丙醇、三乙胺等136 种化学试剂进行检测，板材检验结果无明显变化，分级结果为 5 级；</w:t>
            </w:r>
          </w:p>
          <w:p w14:paraId="7036661A">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②、提供通过耐化学/耐污(SEFA 3-2020科学设备及家具协会-实验室工作台面条款 2.1)检测49项化学试剂报告；</w:t>
            </w:r>
          </w:p>
          <w:p w14:paraId="61803A5A">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③、台面物理性能及甲醛性能：物理性能需提供符合GB/T17657-2022标准及其他相关检测标准的报告，其中：弯曲强度≥137 MPa，弯曲弹性模量≥8700MPa,表面耐磨性能：≥1450r，未出现磨损，耐光色牢度：＞4级，耐水蒸气性能、耐龟裂性、耐湿热性能、耐干热性能等级均为5级，抗冲击性能（1m）表面压痕直径＜5.0mm，板面握钉力≥4050N，浸渍剥离性能结果为0，体积电阻、表面电阻≤4.7*</w:t>
            </w:r>
            <w:r>
              <w:rPr>
                <w:rFonts w:hint="eastAsia" w:ascii="宋体" w:hAnsi="宋体" w:eastAsia="宋体" w:cs="宋体"/>
                <w:b/>
                <w:bCs w:val="0"/>
                <w:color w:val="auto"/>
                <w:kern w:val="2"/>
                <w:sz w:val="24"/>
                <w:szCs w:val="24"/>
                <w:highlight w:val="none"/>
                <w:u w:val="single"/>
                <w:lang w:val="en-US" w:eastAsia="zh-CN" w:bidi="ar"/>
              </w:rPr>
              <w:t>1012（</w:t>
            </w:r>
            <w:r>
              <w:rPr>
                <w:rFonts w:hint="eastAsia" w:ascii="宋体" w:hAnsi="宋体" w:eastAsia="宋体" w:cs="宋体"/>
                <w:b/>
                <w:bCs/>
                <w:color w:val="auto"/>
                <w:kern w:val="2"/>
                <w:sz w:val="24"/>
                <w:szCs w:val="24"/>
                <w:highlight w:val="none"/>
                <w:u w:val="single"/>
                <w:lang w:val="en-US" w:eastAsia="zh-CN" w:bidi="ar"/>
              </w:rPr>
              <w:t>10¹²电阻格式）</w:t>
            </w:r>
            <w:r>
              <w:rPr>
                <w:rFonts w:hint="eastAsia" w:ascii="宋体" w:hAnsi="宋体" w:eastAsia="宋体" w:cs="宋体"/>
                <w:b/>
                <w:bCs w:val="0"/>
                <w:color w:val="auto"/>
                <w:kern w:val="2"/>
                <w:sz w:val="24"/>
                <w:szCs w:val="24"/>
                <w:highlight w:val="none"/>
                <w:lang w:val="en-US" w:eastAsia="zh-CN" w:bidi="ar"/>
              </w:rPr>
              <w:t>，耐臭氧（72h）外观无明显变化，静曲强度≥137 MPa，弹性模量≥9880MPa，尺寸稳定性纵向不大于0.04%、横向不大于0.05%，漆膜附着力达六级：切割边缘完全平滑，网格内无脱落；</w:t>
            </w:r>
          </w:p>
          <w:p w14:paraId="23A15468">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④、甲醛性能需符合GB/T 39600-2021标准检验，甲醛释放量≤0.007 mg/m³。检测依据QB/T 2761-2006《室内空气净化产品净化效果测定方法》，提供甲醛去除率、甲苯去除率的检测报告,甲醛去除率结果达50%以上，甲苯去除率结果达15%以上；</w:t>
            </w:r>
          </w:p>
          <w:p w14:paraId="35B0116E">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⑤、台面参照ISO 21702:2019标准进行抗病毒活性检测试验,检测结果达到以下结果：甲型流感病毒H1N1抗病毒活性值＞1.1.抗病毒活性率＞90%；甲型流感病毒H3N2抗病毒活性值＞1.1.抗病毒活性率＞90%；脊髓灰质炎病毒-1型疫苗株抗病毒活性值＞0.35.抗病毒活性率＞55%。</w:t>
            </w:r>
          </w:p>
          <w:p w14:paraId="51C9A9D4">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⑥、抗霉抗菌检测：依据JC/T 2039-2010标准进行检测，黑曲霉、土曲霉、宛氏拟青霉、绳状青霉、出芽短梗霉、长枝木霉等7种霉菌检测抗霉菌等级为0级。甲型溶血性链球群、粪肠球菌、鼠伤寒沙门氏菌、大肠埃希氏菌、白色念珠菌、铜绿假单胞菌、肺炎克雷伯氏菌、枯草芽孢杆菌、宋氏志贺氏菌、金黄色葡萄球菌、白色葡萄球菌、变异库克菌、肠沙门氏菌肠亚种、表皮葡萄球菌、海氏肠球菌、单核细胞增生李斯特氏菌、耐甲氧西林金黄色葡萄球菌等17种菌种抗菌率≥99.99%。</w:t>
            </w:r>
          </w:p>
          <w:p w14:paraId="6502C363">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⑦、燃烧性能项目检测符合GB 8624-2012标准，达到B1（C-s1,d0,t1）级，烟气毒性等级为ZA3级；检测依据GB/T 2408-2021标准水平燃烧符合HB级、垂直燃符合V-0级。</w:t>
            </w:r>
          </w:p>
          <w:p w14:paraId="455E05EF">
            <w:pPr>
              <w:keepNext w:val="0"/>
              <w:keepLines w:val="0"/>
              <w:widowControl/>
              <w:suppressLineNumbers w:val="0"/>
              <w:spacing w:before="0" w:beforeAutospacing="0" w:after="0" w:afterAutospacing="0" w:line="240" w:lineRule="auto"/>
              <w:ind w:left="0" w:right="0"/>
              <w:jc w:val="left"/>
              <w:rPr>
                <w:rFonts w:hint="default" w:ascii="宋体" w:hAnsi="宋体" w:cs="宋体"/>
                <w:b/>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⑧、参照AfPS GS 2019:01PAK方法，采用GC-MS设备对不少于15项多环芳烃（PAHs15)进行检测，结果为未检出；</w:t>
            </w:r>
            <w:r>
              <w:rPr>
                <w:rFonts w:hint="default" w:ascii="宋体" w:hAnsi="宋体" w:eastAsia="宋体" w:cs="宋体"/>
                <w:color w:val="auto"/>
                <w:kern w:val="2"/>
                <w:sz w:val="24"/>
                <w:szCs w:val="24"/>
                <w:highlight w:val="none"/>
                <w:lang w:val="en-US" w:eastAsia="zh-CN" w:bidi="ar"/>
              </w:rPr>
              <w:t xml:space="preserve"> </w:t>
            </w:r>
          </w:p>
        </w:tc>
      </w:tr>
      <w:tr w14:paraId="5B78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2024A0A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tcBorders>
              <w:bottom w:val="single" w:color="auto" w:sz="4" w:space="0"/>
            </w:tcBorders>
            <w:noWrap/>
            <w:vAlign w:val="center"/>
          </w:tcPr>
          <w:p w14:paraId="08CF59A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3A936CC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tcPr>
          <w:p w14:paraId="01A9E537">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（5）、精密仪器平台设备智慧安全控制系统需满足①～⑥：</w:t>
            </w:r>
          </w:p>
          <w:p w14:paraId="5FCD503B">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①、主板采用工业级高速多核嵌入式CPU，嵌入式融合控制LINUX操作系统内核及平台。</w:t>
            </w:r>
          </w:p>
          <w:p w14:paraId="3B21B408">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②、智慧安全融合管理台电源部分：固定220V 10A防脱落智能强电输出插座口≥8路，旁路输出插座≥2路，每路接口为新国标五孔插口，每路可扩展独立的无线控制开关，集成电源时序功能，可通过PC、手机、智能终端方便管理安防录像机或平板显示器、中控、电脑、服务器等的电源，可对每路输出的用电做分析；整机输出支持最大功率3.5KW以上，防雷防浪涌。提供该设备相关云融合控制管理软件产权登记证书证明文件。</w:t>
            </w:r>
          </w:p>
          <w:p w14:paraId="579E153F">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③、设备主机已集成智慧电能管理系统，支持空调控制物联协议、其他红外协议的设备对接、温度、湿度的采集和控制，结合智慧物联管理平台直接远程和现场（中控面板操作）实现所有输出线路的用电管理。</w:t>
            </w:r>
          </w:p>
          <w:p w14:paraId="2CBAD46E">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控制器网络物联部分：固定8个10/100/1000M以太网RJ45网络接口、1路USB3.0接口（提供该设备以上端口界面截图），可扩展智能可编程红外控制模块、存储器、充电等。可扩展多路个温湿度物联模块和1个光感模块或电源红外开关，可采集环境温度变化及湿度变化的采集。</w:t>
            </w:r>
          </w:p>
          <w:p w14:paraId="626852DC">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④、可自定义每路输出电路端口的名称和图案，自动统计、查询和控制各种用电多媒体设备的使用状况及状态。（提供产品此项功能配置界面截图）</w:t>
            </w:r>
          </w:p>
          <w:p w14:paraId="17CEE789">
            <w:pPr>
              <w:keepNext w:val="0"/>
              <w:keepLines w:val="0"/>
              <w:widowControl/>
              <w:suppressLineNumbers w:val="0"/>
              <w:spacing w:before="0" w:beforeAutospacing="0" w:after="0" w:afterAutospacing="0" w:line="240" w:lineRule="auto"/>
              <w:ind w:left="0" w:right="0"/>
              <w:jc w:val="left"/>
              <w:rPr>
                <w:rFonts w:hint="eastAsia" w:ascii="宋体" w:hAnsi="宋体" w:eastAsia="宋体" w:cs="Times New Roman"/>
                <w:b/>
                <w:bCs w:val="0"/>
                <w:color w:val="auto"/>
                <w:sz w:val="24"/>
                <w:szCs w:val="24"/>
                <w:highlight w:val="none"/>
                <w:lang w:val="en-US"/>
              </w:rPr>
            </w:pPr>
            <w:r>
              <w:rPr>
                <w:rFonts w:hint="eastAsia" w:ascii="宋体" w:hAnsi="宋体" w:eastAsia="宋体" w:cs="宋体"/>
                <w:b/>
                <w:bCs w:val="0"/>
                <w:color w:val="auto"/>
                <w:kern w:val="2"/>
                <w:sz w:val="24"/>
                <w:szCs w:val="24"/>
                <w:highlight w:val="none"/>
                <w:lang w:val="en-US" w:eastAsia="zh-CN" w:bidi="ar"/>
              </w:rPr>
              <w:t>⑤、设备支持TCP/IP集中或远程云平台管理，可以通过手机APP终端或微信进行远程管理和控制输出设备的使用，通过云端智慧物联集中管理平台无缝对接，包括设备的每路电源输出开关控制、用电情况及环境预警等。（提供终端远程控制界面截图）</w:t>
            </w:r>
          </w:p>
          <w:p w14:paraId="6D835E80">
            <w:pPr>
              <w:keepNext w:val="0"/>
              <w:keepLines w:val="0"/>
              <w:widowControl/>
              <w:suppressLineNumbers w:val="0"/>
              <w:spacing w:before="0" w:beforeAutospacing="0" w:after="0" w:afterAutospacing="0" w:line="240" w:lineRule="auto"/>
              <w:ind w:left="0" w:right="0"/>
              <w:jc w:val="left"/>
              <w:rPr>
                <w:rFonts w:hint="default" w:ascii="宋体" w:hAnsi="宋体" w:cs="宋体"/>
                <w:b/>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⑥、设备带有≥1.5寸LCD或OLED显示屏，屏幕监视工作状态帮助故障分析，可显示工作状态，对每路输出电路端口工作情况及负载情况进行精确判断，包括端口功率、电压、电流、温湿度等状态作出显示，对环境温度和湿度、每路输出端口连接设备的使用电量、电压做实时显示总查询情况。（提供该设备显示屏面板界面截图）。同时上面所提到的每项指标功能要求必须逐条对应满足。</w:t>
            </w:r>
            <w:r>
              <w:rPr>
                <w:rFonts w:hint="default" w:ascii="宋体" w:hAnsi="宋体" w:eastAsia="宋体" w:cs="宋体"/>
                <w:color w:val="auto"/>
                <w:kern w:val="2"/>
                <w:sz w:val="24"/>
                <w:szCs w:val="24"/>
                <w:highlight w:val="none"/>
                <w:lang w:val="en-US" w:eastAsia="zh-CN" w:bidi="ar"/>
              </w:rPr>
              <w:t xml:space="preserve"> </w:t>
            </w:r>
          </w:p>
        </w:tc>
      </w:tr>
      <w:tr w14:paraId="3EA4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46135D3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tcBorders>
              <w:bottom w:val="single" w:color="auto" w:sz="4" w:space="0"/>
            </w:tcBorders>
            <w:noWrap/>
            <w:vAlign w:val="center"/>
          </w:tcPr>
          <w:p w14:paraId="249684B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2BB2C6DD">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tcPr>
          <w:p w14:paraId="10F09BFA">
            <w:pPr>
              <w:keepNext w:val="0"/>
              <w:keepLines w:val="0"/>
              <w:suppressLineNumbers w:val="0"/>
              <w:tabs>
                <w:tab w:val="left" w:pos="5130"/>
              </w:tabs>
              <w:spacing w:before="0" w:beforeAutospacing="0" w:after="0" w:afterAutospacing="0" w:line="360" w:lineRule="auto"/>
              <w:ind w:left="0" w:right="0"/>
              <w:rPr>
                <w:rFonts w:hint="default" w:ascii="宋体" w:hAnsi="宋体" w:cs="宋体"/>
                <w:b/>
                <w:color w:val="auto"/>
                <w:sz w:val="24"/>
                <w:szCs w:val="24"/>
                <w:highlight w:val="none"/>
              </w:rPr>
            </w:pPr>
            <w:r>
              <w:rPr>
                <w:rFonts w:hint="eastAsia" w:ascii="宋体" w:hAnsi="宋体" w:eastAsia="宋体" w:cs="宋体"/>
                <w:b/>
                <w:bCs w:val="0"/>
                <w:color w:val="auto"/>
                <w:kern w:val="2"/>
                <w:sz w:val="24"/>
                <w:szCs w:val="24"/>
                <w:highlight w:val="none"/>
                <w:u w:val="single"/>
                <w:lang w:val="en-US" w:eastAsia="zh-CN" w:bidi="ar"/>
              </w:rPr>
              <w:t>★①基本要求：水槽台面边缘凸起，储水量，台面沥干工艺要求：水槽台台面沥水工艺要求：应采用一体碟形阻水边工艺防止液体外溢、釉面采用沥水槽工艺减少器皿意外滑动，釉面至少达到七根沥水槽，槽内深度从边沿至水槽内应有深度落差工艺实现沥水功能，为了便于清洁，沥水槽表面釉面应与台面釉面颜色一致。须提供合规的防滑、沥水功能的第三方检测报告。</w:t>
            </w:r>
          </w:p>
        </w:tc>
      </w:tr>
      <w:tr w14:paraId="5396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15726A6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tcBorders>
              <w:bottom w:val="single" w:color="auto" w:sz="4" w:space="0"/>
            </w:tcBorders>
            <w:noWrap/>
            <w:vAlign w:val="center"/>
          </w:tcPr>
          <w:p w14:paraId="3CF9B96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3704304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tcPr>
          <w:p w14:paraId="710AC310">
            <w:pPr>
              <w:keepNext w:val="0"/>
              <w:keepLines w:val="0"/>
              <w:suppressLineNumbers w:val="0"/>
              <w:tabs>
                <w:tab w:val="left" w:pos="5130"/>
              </w:tabs>
              <w:spacing w:before="0" w:beforeAutospacing="0" w:after="0" w:afterAutospacing="0" w:line="360" w:lineRule="auto"/>
              <w:ind w:left="0" w:right="0"/>
              <w:rPr>
                <w:rFonts w:hint="default" w:ascii="宋体" w:hAnsi="宋体" w:cs="宋体"/>
                <w:b/>
                <w:color w:val="auto"/>
                <w:sz w:val="24"/>
                <w:szCs w:val="24"/>
                <w:highlight w:val="none"/>
              </w:rPr>
            </w:pPr>
            <w:r>
              <w:rPr>
                <w:rFonts w:hint="default" w:ascii="宋体" w:hAnsi="宋体" w:cs="宋体"/>
                <w:b/>
                <w:color w:val="auto"/>
                <w:sz w:val="24"/>
                <w:szCs w:val="24"/>
                <w:highlight w:val="none"/>
              </w:rPr>
              <w:t>★2.为确保投标人提供的货物质量和工艺制作满足本项目要求，投标人须针对货物技术参数要求及检测报告等逐条如实列明偏离情况，如采购清单中有要求提供必要的佐证材料，包括检测报告或样品等，投标人须按要求提供。</w:t>
            </w:r>
          </w:p>
        </w:tc>
      </w:tr>
      <w:tr w14:paraId="5ADA1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64180D2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tcBorders>
              <w:bottom w:val="single" w:color="auto" w:sz="4" w:space="0"/>
            </w:tcBorders>
            <w:noWrap/>
            <w:vAlign w:val="center"/>
          </w:tcPr>
          <w:p w14:paraId="02608EAA">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78E751E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tcPr>
          <w:p w14:paraId="30511CC2">
            <w:pPr>
              <w:keepNext w:val="0"/>
              <w:keepLines w:val="0"/>
              <w:suppressLineNumbers w:val="0"/>
              <w:spacing w:before="0" w:beforeAutospacing="0" w:after="0" w:afterAutospacing="0" w:line="360" w:lineRule="auto"/>
              <w:ind w:left="0" w:right="0"/>
              <w:rPr>
                <w:rFonts w:hint="default" w:ascii="宋体" w:hAnsi="宋体" w:cs="宋体"/>
                <w:b/>
                <w:bCs/>
                <w:color w:val="auto"/>
                <w:sz w:val="24"/>
                <w:szCs w:val="24"/>
                <w:highlight w:val="none"/>
              </w:rPr>
            </w:pPr>
            <w:r>
              <w:rPr>
                <w:rFonts w:hint="eastAsia" w:cs="宋体" w:asciiTheme="minorEastAsia" w:hAnsiTheme="minorEastAsia"/>
                <w:color w:val="auto"/>
                <w:sz w:val="24"/>
                <w:szCs w:val="24"/>
                <w:highlight w:val="none"/>
              </w:rPr>
              <w:t>★</w:t>
            </w:r>
            <w:r>
              <w:rPr>
                <w:rFonts w:hint="default" w:cs="宋体" w:asciiTheme="minorEastAsia" w:hAnsiTheme="minorEastAsia"/>
                <w:b/>
                <w:color w:val="auto"/>
                <w:sz w:val="24"/>
                <w:szCs w:val="24"/>
                <w:highlight w:val="none"/>
              </w:rPr>
              <w:t>3.</w:t>
            </w:r>
            <w:r>
              <w:rPr>
                <w:rFonts w:hint="eastAsia" w:ascii="宋体" w:hAnsi="宋体" w:cs="宋体"/>
                <w:b/>
                <w:bCs/>
                <w:color w:val="auto"/>
                <w:sz w:val="24"/>
                <w:szCs w:val="24"/>
                <w:highlight w:val="none"/>
              </w:rPr>
              <w:t>若检测报告同时要求提供官方网站查询截图</w:t>
            </w:r>
            <w:r>
              <w:rPr>
                <w:rFonts w:hint="default" w:ascii="宋体" w:hAnsi="宋体" w:cs="宋体"/>
                <w:b/>
                <w:bCs/>
                <w:color w:val="auto"/>
                <w:sz w:val="24"/>
                <w:szCs w:val="24"/>
                <w:highlight w:val="none"/>
              </w:rPr>
              <w:t>，而未提供官方网站查询截图的应书面承诺检验报告可在官方网站查询</w:t>
            </w:r>
            <w:r>
              <w:rPr>
                <w:rFonts w:hint="eastAsia" w:ascii="宋体" w:hAnsi="宋体" w:cs="宋体"/>
                <w:b/>
                <w:bCs/>
                <w:color w:val="auto"/>
                <w:sz w:val="24"/>
                <w:szCs w:val="24"/>
                <w:highlight w:val="none"/>
              </w:rPr>
              <w:t>。（格式自拟）</w:t>
            </w:r>
          </w:p>
        </w:tc>
      </w:tr>
      <w:tr w14:paraId="73AF5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5155905B">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3DB3BF5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338644D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525143D1">
            <w:pPr>
              <w:pStyle w:val="54"/>
              <w:keepNext w:val="0"/>
              <w:keepLines w:val="0"/>
              <w:widowControl/>
              <w:suppressLineNumbers w:val="0"/>
              <w:spacing w:before="0" w:beforeAutospacing="0" w:after="0" w:afterAutospacing="0" w:line="360" w:lineRule="auto"/>
              <w:ind w:left="0" w:right="0" w:firstLine="482"/>
              <w:jc w:val="both"/>
              <w:rPr>
                <w:rFonts w:hint="default" w:ascii="宋体" w:hAnsi="宋体" w:cs="宋体"/>
                <w:b/>
                <w:color w:val="auto"/>
                <w:kern w:val="2"/>
                <w:sz w:val="24"/>
                <w:szCs w:val="24"/>
                <w:highlight w:val="none"/>
              </w:rPr>
            </w:pPr>
            <w:r>
              <w:rPr>
                <w:rFonts w:ascii="宋体" w:hAnsi="宋体" w:cs="宋体"/>
                <w:b/>
                <w:color w:val="auto"/>
                <w:kern w:val="2"/>
                <w:sz w:val="24"/>
                <w:szCs w:val="24"/>
                <w:highlight w:val="none"/>
              </w:rPr>
              <w:t>★8.投标人在递交投标文件时应提供以下样品：</w:t>
            </w:r>
          </w:p>
          <w:p w14:paraId="08B2E662">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default" w:ascii="宋体" w:hAnsi="宋体" w:cs="宋体"/>
                <w:color w:val="auto"/>
                <w:sz w:val="22"/>
                <w:highlight w:val="none"/>
              </w:rPr>
              <w:t>具体内容见正文。</w:t>
            </w:r>
          </w:p>
        </w:tc>
      </w:tr>
      <w:tr w14:paraId="26FC7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793D9AE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7F142851">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618C1FBE">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6732E55C">
            <w:pPr>
              <w:pStyle w:val="54"/>
              <w:keepNext w:val="0"/>
              <w:keepLines w:val="0"/>
              <w:widowControl/>
              <w:suppressLineNumbers w:val="0"/>
              <w:spacing w:before="0" w:beforeAutospacing="0" w:after="0" w:afterAutospacing="0" w:line="360" w:lineRule="auto"/>
              <w:ind w:left="0" w:right="0" w:firstLine="470"/>
              <w:rPr>
                <w:rFonts w:hint="default" w:ascii="宋体" w:hAnsi="宋体" w:cs="宋体"/>
                <w:color w:val="auto"/>
                <w:kern w:val="2"/>
                <w:sz w:val="24"/>
                <w:szCs w:val="24"/>
                <w:highlight w:val="none"/>
              </w:rPr>
            </w:pPr>
            <w:r>
              <w:rPr>
                <w:rFonts w:ascii="宋体" w:hAnsi="宋体" w:cs="宋体"/>
                <w:b/>
                <w:color w:val="auto"/>
                <w:kern w:val="2"/>
                <w:sz w:val="24"/>
                <w:szCs w:val="24"/>
                <w:highlight w:val="none"/>
              </w:rPr>
              <w:t>★9.投标人提供的样品及投标现场对样品</w:t>
            </w:r>
            <w:r>
              <w:rPr>
                <w:rFonts w:hint="eastAsia" w:ascii="宋体" w:hAnsi="宋体" w:eastAsia="宋体" w:cs="宋体"/>
                <w:b/>
                <w:bCs w:val="0"/>
                <w:color w:val="auto"/>
                <w:kern w:val="2"/>
                <w:sz w:val="24"/>
                <w:szCs w:val="24"/>
                <w:highlight w:val="none"/>
                <w:lang w:val="en-US" w:eastAsia="zh-CN" w:bidi="ar"/>
              </w:rPr>
              <w:t>（部分原配件标识除外）</w:t>
            </w:r>
            <w:r>
              <w:rPr>
                <w:rFonts w:ascii="宋体" w:hAnsi="宋体" w:eastAsia="宋体" w:cs="宋体"/>
                <w:color w:val="auto"/>
                <w:kern w:val="2"/>
                <w:sz w:val="24"/>
                <w:szCs w:val="24"/>
                <w:highlight w:val="none"/>
                <w:lang w:eastAsia="zh-CN"/>
              </w:rPr>
              <w:t xml:space="preserve"> </w:t>
            </w:r>
            <w:r>
              <w:rPr>
                <w:rFonts w:ascii="宋体" w:hAnsi="宋体" w:cs="宋体"/>
                <w:b/>
                <w:color w:val="auto"/>
                <w:kern w:val="2"/>
                <w:sz w:val="24"/>
                <w:szCs w:val="24"/>
                <w:highlight w:val="none"/>
              </w:rPr>
              <w:t>的盛装物均不得出现投标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ascii="宋体" w:hAnsi="宋体" w:cs="宋体"/>
                <w:b/>
                <w:color w:val="auto"/>
                <w:kern w:val="2"/>
                <w:sz w:val="24"/>
                <w:szCs w:val="24"/>
                <w:highlight w:val="none"/>
                <w:u w:val="single"/>
              </w:rPr>
              <w:t>厦门市湖里区云顶北路842号厦门市政务服务中心</w:t>
            </w:r>
            <w:r>
              <w:rPr>
                <w:rFonts w:hint="default" w:ascii="宋体" w:hAnsi="宋体" w:cs="宋体"/>
                <w:b/>
                <w:color w:val="auto"/>
                <w:kern w:val="2"/>
                <w:sz w:val="24"/>
                <w:szCs w:val="24"/>
                <w:highlight w:val="none"/>
                <w:u w:val="single"/>
              </w:rPr>
              <w:t>负一楼样品间</w:t>
            </w:r>
            <w:r>
              <w:rPr>
                <w:rFonts w:ascii="宋体" w:hAnsi="宋体" w:cs="宋体"/>
                <w:b/>
                <w:color w:val="auto"/>
                <w:kern w:val="2"/>
                <w:sz w:val="24"/>
                <w:szCs w:val="24"/>
                <w:highlight w:val="none"/>
              </w:rPr>
              <w:t>。</w:t>
            </w:r>
          </w:p>
          <w:p w14:paraId="1DC4C375">
            <w:pPr>
              <w:pStyle w:val="54"/>
              <w:keepNext w:val="0"/>
              <w:keepLines w:val="0"/>
              <w:widowControl/>
              <w:suppressLineNumbers w:val="0"/>
              <w:spacing w:before="0" w:beforeAutospacing="0" w:after="0" w:afterAutospacing="0" w:line="360" w:lineRule="auto"/>
              <w:ind w:left="0" w:right="0" w:firstLine="470"/>
              <w:rPr>
                <w:rFonts w:hint="default" w:ascii="宋体" w:hAnsi="宋体" w:cs="宋体"/>
                <w:b/>
                <w:color w:val="auto"/>
                <w:kern w:val="2"/>
                <w:sz w:val="24"/>
                <w:szCs w:val="24"/>
                <w:highlight w:val="none"/>
              </w:rPr>
            </w:pPr>
            <w:r>
              <w:rPr>
                <w:rFonts w:ascii="宋体" w:hAnsi="宋体" w:cs="宋体"/>
                <w:b/>
                <w:color w:val="auto"/>
                <w:kern w:val="2"/>
                <w:sz w:val="24"/>
                <w:szCs w:val="24"/>
                <w:highlight w:val="none"/>
              </w:rPr>
              <w:t>注：</w:t>
            </w:r>
          </w:p>
          <w:p w14:paraId="0412C192">
            <w:pPr>
              <w:pStyle w:val="54"/>
              <w:keepNext w:val="0"/>
              <w:keepLines w:val="0"/>
              <w:widowControl/>
              <w:suppressLineNumbers w:val="0"/>
              <w:spacing w:before="0" w:beforeAutospacing="0" w:after="0" w:afterAutospacing="0" w:line="360" w:lineRule="auto"/>
              <w:ind w:left="0" w:right="0" w:firstLine="470"/>
              <w:rPr>
                <w:rFonts w:hint="default" w:ascii="宋体" w:hAnsi="宋体" w:cs="宋体"/>
                <w:b/>
                <w:color w:val="auto"/>
                <w:kern w:val="2"/>
                <w:sz w:val="24"/>
                <w:szCs w:val="24"/>
                <w:highlight w:val="none"/>
              </w:rPr>
            </w:pPr>
            <w:r>
              <w:rPr>
                <w:rFonts w:ascii="宋体" w:hAnsi="宋体" w:cs="宋体"/>
                <w:b/>
                <w:color w:val="auto"/>
                <w:kern w:val="2"/>
                <w:sz w:val="24"/>
                <w:szCs w:val="24"/>
                <w:highlight w:val="none"/>
              </w:rPr>
              <w:t>投标人提供的成品样需在投标截止时间前，在样品室摆放到位。</w:t>
            </w:r>
          </w:p>
          <w:p w14:paraId="3429207B">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default" w:ascii="宋体" w:hAnsi="宋体" w:cs="宋体"/>
                <w:b/>
                <w:color w:val="auto"/>
                <w:sz w:val="24"/>
                <w:szCs w:val="24"/>
                <w:highlight w:val="none"/>
              </w:rPr>
              <w:t>由于市行政服务中心地下停车库不让限高&gt;2米车辆进入，因此送样品的车辆限高≦2米。不遵守此规定，后果自负。</w:t>
            </w:r>
          </w:p>
        </w:tc>
      </w:tr>
      <w:tr w14:paraId="672C8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12ED415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0B73094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78197A8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07028016">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default" w:ascii="宋体" w:hAnsi="宋体" w:cs="宋体"/>
                <w:b/>
                <w:color w:val="auto"/>
                <w:sz w:val="24"/>
                <w:szCs w:val="24"/>
                <w:highlight w:val="none"/>
              </w:rPr>
              <w:t>★9.投标人必须在投标文件中书面承诺（格式自拟）：一旦中标，在生产本次采购家具的过程中，邀请采购人代表到工厂对产品从切料、钣金冲压、焊接，打磨，酸洗钝化、烤漆，检验等一系列生产程序进行检查、监督；采购人根据合同进度可以采用书面函件形式要求投标人对生产情况合理改进，投标人应予书面答复，并制定完整的整改措施。</w:t>
            </w:r>
          </w:p>
        </w:tc>
      </w:tr>
      <w:tr w14:paraId="4EDEB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2B40381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3629539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647F334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51360FBD">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default" w:ascii="宋体" w:hAnsi="宋体" w:cs="宋体"/>
                <w:b/>
                <w:color w:val="auto"/>
                <w:sz w:val="24"/>
                <w:szCs w:val="24"/>
                <w:highlight w:val="none"/>
              </w:rPr>
              <w:t>★11.投标人必须在投标文件中书面承诺（格式自拟）：一旦中标，在保证按招标文件中要求提供的产品数量进行供货外，还应保证能够免费提供足够的样品供采购人邀请相关部门对其在封闭式的环境中进行开放性的检测；如经检测家具环保等指标达不到国家以及招标文件中的要求，投标人应按成交价的2倍金额赔偿给采购人，并要求更换符合要求的产品。</w:t>
            </w:r>
          </w:p>
        </w:tc>
      </w:tr>
      <w:tr w14:paraId="47159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7B58420F">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446C0CD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797BCBE0">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2C353180">
            <w:pPr>
              <w:keepNext w:val="0"/>
              <w:keepLines w:val="0"/>
              <w:suppressLineNumbers w:val="0"/>
              <w:spacing w:before="0" w:beforeAutospacing="0" w:after="0" w:afterAutospacing="0" w:line="360" w:lineRule="auto"/>
              <w:ind w:left="0" w:right="0"/>
              <w:rPr>
                <w:rFonts w:hint="default" w:ascii="宋体" w:hAnsi="宋体" w:cs="宋体"/>
                <w:color w:val="auto"/>
                <w:sz w:val="22"/>
                <w:highlight w:val="none"/>
              </w:rPr>
            </w:pPr>
            <w:r>
              <w:rPr>
                <w:rFonts w:hint="default" w:ascii="宋体" w:hAnsi="宋体" w:cs="宋体"/>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一名专人与采购人建立服务联系。</w:t>
            </w:r>
          </w:p>
        </w:tc>
      </w:tr>
      <w:tr w14:paraId="7945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6AA41F3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797B0E97">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4F7FCFD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7AFD9367">
            <w:pPr>
              <w:keepNext w:val="0"/>
              <w:keepLines w:val="0"/>
              <w:suppressLineNumbers w:val="0"/>
              <w:spacing w:before="0" w:beforeAutospacing="0" w:after="0" w:afterAutospacing="0" w:line="360" w:lineRule="auto"/>
              <w:ind w:left="0" w:right="0"/>
              <w:rPr>
                <w:rFonts w:hint="default" w:ascii="宋体" w:hAnsi="宋体" w:cs="宋体"/>
                <w:b/>
                <w:color w:val="auto"/>
                <w:sz w:val="24"/>
                <w:szCs w:val="24"/>
                <w:highlight w:val="none"/>
              </w:rPr>
            </w:pPr>
            <w:r>
              <w:rPr>
                <w:rFonts w:hint="default" w:ascii="宋体" w:hAnsi="宋体" w:cs="宋体"/>
                <w:b/>
                <w:color w:val="auto"/>
                <w:sz w:val="24"/>
                <w:szCs w:val="24"/>
                <w:highlight w:val="none"/>
              </w:rPr>
              <w:t>★1.投标人须以人民币报价且报价总价应含货物费、运至采购人指定地点的运输费、保险费和伴随服务费（包括产品检验检测）、安装调试（包括安装采购人能使用的水电敷设到位所需的辅材、配件等）费用、税收及售后服务等一切与完成本项目相关的费用，报价方式为指定目的地价。采购人无需再向中标人支付其他任何费用。一旦中标，合同价款将不予调整。采购人不接受有选择的报价。</w:t>
            </w:r>
          </w:p>
        </w:tc>
      </w:tr>
      <w:tr w14:paraId="54ABB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0AD29145">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4AFAAD02">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6A575154">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3E69E118">
            <w:pPr>
              <w:keepNext w:val="0"/>
              <w:keepLines w:val="0"/>
              <w:suppressLineNumbers w:val="0"/>
              <w:spacing w:before="0" w:beforeAutospacing="0" w:after="0" w:afterAutospacing="0" w:line="360" w:lineRule="auto"/>
              <w:ind w:left="0" w:right="0"/>
              <w:rPr>
                <w:rFonts w:hint="default" w:ascii="宋体" w:hAnsi="宋体" w:cs="宋体"/>
                <w:b/>
                <w:color w:val="auto"/>
                <w:sz w:val="24"/>
                <w:szCs w:val="24"/>
                <w:highlight w:val="none"/>
              </w:rPr>
            </w:pPr>
            <w:r>
              <w:rPr>
                <w:rFonts w:hint="default" w:ascii="宋体" w:hAnsi="宋体" w:cs="宋体"/>
                <w:b/>
                <w:color w:val="auto"/>
                <w:sz w:val="24"/>
                <w:szCs w:val="24"/>
                <w:highlight w:val="none"/>
              </w:rPr>
              <w:t>★1.本项目采购预算为人民币930万元，</w:t>
            </w:r>
            <w:r>
              <w:rPr>
                <w:rFonts w:hint="default" w:ascii="宋体" w:hAnsi="宋体" w:cs="宋体"/>
                <w:b/>
                <w:bCs/>
                <w:color w:val="auto"/>
                <w:sz w:val="24"/>
                <w:szCs w:val="24"/>
                <w:highlight w:val="none"/>
              </w:rPr>
              <w:t>最高控制价为920.467997万元，投标人的投标总价不得超过最高控制价，否则其投标作无效投标处理。</w:t>
            </w:r>
          </w:p>
        </w:tc>
      </w:tr>
      <w:tr w14:paraId="4020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noWrap/>
            <w:vAlign w:val="center"/>
          </w:tcPr>
          <w:p w14:paraId="332A5B7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noWrap/>
            <w:vAlign w:val="center"/>
          </w:tcPr>
          <w:p w14:paraId="17EA70B9">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noWrap/>
            <w:vAlign w:val="center"/>
          </w:tcPr>
          <w:p w14:paraId="339442DC">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noWrap/>
            <w:vAlign w:val="center"/>
          </w:tcPr>
          <w:p w14:paraId="67E90162">
            <w:pPr>
              <w:keepNext w:val="0"/>
              <w:keepLines w:val="0"/>
              <w:suppressLineNumbers w:val="0"/>
              <w:spacing w:before="0" w:beforeAutospacing="0" w:after="0" w:afterAutospacing="0" w:line="360" w:lineRule="auto"/>
              <w:ind w:left="0" w:right="0"/>
              <w:rPr>
                <w:rFonts w:hint="default" w:ascii="宋体" w:hAnsi="宋体" w:cs="宋体"/>
                <w:b/>
                <w:color w:val="auto"/>
                <w:sz w:val="24"/>
                <w:szCs w:val="24"/>
                <w:highlight w:val="none"/>
              </w:rPr>
            </w:pPr>
            <w:r>
              <w:rPr>
                <w:rFonts w:hint="default" w:ascii="宋体" w:hAnsi="宋体" w:cs="宋体"/>
                <w:b/>
                <w:color w:val="auto"/>
                <w:sz w:val="24"/>
                <w:szCs w:val="24"/>
                <w:highlight w:val="none"/>
              </w:rPr>
              <w:t>★7.交货期：合同签订之日起60个日历日内（含交货及安装）。</w:t>
            </w:r>
          </w:p>
        </w:tc>
      </w:tr>
      <w:tr w14:paraId="34ACB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 w:type="pct"/>
            <w:tcBorders>
              <w:bottom w:val="single" w:color="auto" w:sz="4" w:space="0"/>
            </w:tcBorders>
            <w:noWrap/>
            <w:vAlign w:val="center"/>
          </w:tcPr>
          <w:p w14:paraId="17B2CA38">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155" w:type="pct"/>
            <w:tcBorders>
              <w:bottom w:val="single" w:color="auto" w:sz="4" w:space="0"/>
            </w:tcBorders>
            <w:noWrap/>
            <w:vAlign w:val="center"/>
          </w:tcPr>
          <w:p w14:paraId="3B48D326">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216" w:type="pct"/>
            <w:tcBorders>
              <w:bottom w:val="single" w:color="auto" w:sz="4" w:space="0"/>
            </w:tcBorders>
            <w:noWrap/>
            <w:vAlign w:val="center"/>
          </w:tcPr>
          <w:p w14:paraId="3C961C51">
            <w:pPr>
              <w:keepNext w:val="0"/>
              <w:keepLines w:val="0"/>
              <w:suppressLineNumbers w:val="0"/>
              <w:spacing w:before="0" w:beforeAutospacing="0" w:after="0" w:afterAutospacing="0" w:line="360" w:lineRule="auto"/>
              <w:ind w:left="0" w:right="0"/>
              <w:jc w:val="center"/>
              <w:rPr>
                <w:rFonts w:hint="default" w:ascii="宋体" w:hAnsi="宋体" w:cs="宋体"/>
                <w:color w:val="auto"/>
                <w:sz w:val="22"/>
                <w:highlight w:val="none"/>
              </w:rPr>
            </w:pPr>
          </w:p>
        </w:tc>
        <w:tc>
          <w:tcPr>
            <w:tcW w:w="4441" w:type="pct"/>
            <w:tcBorders>
              <w:bottom w:val="single" w:color="auto" w:sz="4" w:space="0"/>
            </w:tcBorders>
            <w:noWrap/>
            <w:vAlign w:val="center"/>
          </w:tcPr>
          <w:p w14:paraId="33D88C09">
            <w:pPr>
              <w:keepNext w:val="0"/>
              <w:keepLines w:val="0"/>
              <w:suppressLineNumbers w:val="0"/>
              <w:spacing w:before="0" w:beforeAutospacing="0" w:after="0" w:afterAutospacing="0" w:line="360" w:lineRule="auto"/>
              <w:ind w:left="0" w:right="0"/>
              <w:rPr>
                <w:rFonts w:hint="default" w:ascii="宋体" w:hAnsi="宋体" w:cs="宋体"/>
                <w:b/>
                <w:color w:val="auto"/>
                <w:sz w:val="24"/>
                <w:szCs w:val="24"/>
                <w:highlight w:val="none"/>
              </w:rPr>
            </w:pPr>
            <w:r>
              <w:rPr>
                <w:rFonts w:hint="default" w:ascii="宋体" w:hAnsi="宋体" w:cs="宋体"/>
                <w:b/>
                <w:color w:val="auto"/>
                <w:sz w:val="24"/>
                <w:szCs w:val="24"/>
                <w:highlight w:val="none"/>
              </w:rPr>
              <w:t>★9.投标人须在投标文件中作出响应：投标人若中标，未按工期内完成交付使用并最终验收合格，每逾期一天，罚款为合同总额的千分之一。</w:t>
            </w:r>
          </w:p>
        </w:tc>
      </w:tr>
    </w:tbl>
    <w:p w14:paraId="4170A50B">
      <w:pPr>
        <w:spacing w:line="360" w:lineRule="auto"/>
        <w:rPr>
          <w:rFonts w:ascii="宋体" w:hAnsi="宋体" w:cs="宋体"/>
          <w:bCs/>
          <w:color w:val="auto"/>
          <w:sz w:val="22"/>
          <w:highlight w:val="none"/>
        </w:rPr>
      </w:pPr>
      <w:r>
        <w:rPr>
          <w:rFonts w:hint="eastAsia" w:ascii="宋体" w:hAnsi="宋体" w:cs="宋体"/>
          <w:bCs/>
          <w:color w:val="auto"/>
          <w:sz w:val="22"/>
          <w:highlight w:val="none"/>
        </w:rPr>
        <w:t>备注：由于编排顺序混乱而导致投标文件被误读或漏读，该投标人的投标可能被视为无效投标或承担不利的评标结果。</w:t>
      </w:r>
    </w:p>
    <w:p w14:paraId="326F53FF">
      <w:pPr>
        <w:spacing w:line="360" w:lineRule="auto"/>
        <w:jc w:val="center"/>
        <w:rPr>
          <w:rFonts w:ascii="宋体" w:hAnsi="宋体" w:cs="宋体"/>
          <w:color w:val="auto"/>
          <w:sz w:val="22"/>
          <w:highlight w:val="none"/>
        </w:rPr>
      </w:pPr>
    </w:p>
    <w:p w14:paraId="32888AFD">
      <w:pPr>
        <w:spacing w:line="360" w:lineRule="auto"/>
        <w:jc w:val="center"/>
        <w:rPr>
          <w:rFonts w:ascii="宋体" w:hAnsi="宋体" w:cs="宋体"/>
          <w:color w:val="auto"/>
          <w:sz w:val="22"/>
          <w:highlight w:val="none"/>
        </w:rPr>
      </w:pPr>
    </w:p>
    <w:p w14:paraId="0EECEA81">
      <w:pPr>
        <w:spacing w:line="360" w:lineRule="auto"/>
        <w:jc w:val="center"/>
        <w:rPr>
          <w:rFonts w:ascii="宋体" w:hAnsi="宋体" w:cs="宋体"/>
          <w:color w:val="auto"/>
          <w:sz w:val="22"/>
          <w:highlight w:val="none"/>
        </w:rPr>
      </w:pPr>
    </w:p>
    <w:p w14:paraId="3C06E06C">
      <w:pPr>
        <w:spacing w:line="360" w:lineRule="auto"/>
        <w:jc w:val="center"/>
        <w:rPr>
          <w:rFonts w:ascii="宋体" w:hAnsi="宋体" w:cs="宋体"/>
          <w:color w:val="auto"/>
          <w:sz w:val="22"/>
          <w:highlight w:val="none"/>
        </w:rPr>
      </w:pPr>
    </w:p>
    <w:p w14:paraId="75314A18">
      <w:pPr>
        <w:spacing w:line="360" w:lineRule="auto"/>
        <w:jc w:val="center"/>
        <w:rPr>
          <w:rFonts w:ascii="宋体" w:hAnsi="宋体" w:cs="宋体"/>
          <w:color w:val="auto"/>
          <w:sz w:val="22"/>
          <w:highlight w:val="none"/>
        </w:rPr>
      </w:pPr>
    </w:p>
    <w:p w14:paraId="395D0DF8">
      <w:pPr>
        <w:spacing w:line="360" w:lineRule="auto"/>
        <w:jc w:val="center"/>
        <w:rPr>
          <w:rFonts w:ascii="宋体" w:hAnsi="宋体" w:cs="宋体"/>
          <w:color w:val="auto"/>
          <w:sz w:val="22"/>
          <w:highlight w:val="none"/>
        </w:rPr>
      </w:pPr>
    </w:p>
    <w:p w14:paraId="1C6F2E80">
      <w:pPr>
        <w:spacing w:line="360" w:lineRule="auto"/>
        <w:jc w:val="center"/>
        <w:rPr>
          <w:rFonts w:ascii="宋体" w:hAnsi="宋体" w:cs="宋体"/>
          <w:color w:val="auto"/>
          <w:sz w:val="22"/>
          <w:highlight w:val="none"/>
        </w:rPr>
      </w:pPr>
    </w:p>
    <w:p w14:paraId="2026A4CB">
      <w:pPr>
        <w:spacing w:line="360" w:lineRule="auto"/>
        <w:jc w:val="center"/>
        <w:rPr>
          <w:rFonts w:ascii="宋体" w:hAnsi="宋体" w:cs="宋体"/>
          <w:color w:val="auto"/>
          <w:sz w:val="22"/>
          <w:highlight w:val="none"/>
        </w:rPr>
      </w:pPr>
    </w:p>
    <w:p w14:paraId="11DD61B3">
      <w:pPr>
        <w:spacing w:line="360" w:lineRule="auto"/>
        <w:jc w:val="center"/>
        <w:rPr>
          <w:rFonts w:ascii="宋体" w:hAnsi="宋体" w:cs="宋体"/>
          <w:color w:val="auto"/>
          <w:sz w:val="22"/>
          <w:highlight w:val="none"/>
        </w:rPr>
      </w:pPr>
    </w:p>
    <w:p w14:paraId="23AD1369">
      <w:pPr>
        <w:spacing w:line="360" w:lineRule="auto"/>
        <w:jc w:val="center"/>
        <w:rPr>
          <w:rFonts w:ascii="宋体" w:hAnsi="宋体" w:cs="宋体"/>
          <w:color w:val="auto"/>
          <w:sz w:val="22"/>
          <w:highlight w:val="none"/>
        </w:rPr>
      </w:pPr>
    </w:p>
    <w:p w14:paraId="0B75890C">
      <w:pPr>
        <w:spacing w:line="360" w:lineRule="auto"/>
        <w:jc w:val="center"/>
        <w:rPr>
          <w:rFonts w:ascii="宋体" w:hAnsi="宋体" w:cs="宋体"/>
          <w:color w:val="auto"/>
          <w:sz w:val="22"/>
          <w:highlight w:val="none"/>
        </w:rPr>
      </w:pPr>
    </w:p>
    <w:p w14:paraId="4D337785">
      <w:pPr>
        <w:spacing w:line="360" w:lineRule="auto"/>
        <w:jc w:val="center"/>
        <w:rPr>
          <w:rFonts w:ascii="宋体" w:hAnsi="宋体" w:cs="宋体"/>
          <w:color w:val="auto"/>
          <w:sz w:val="22"/>
          <w:highlight w:val="none"/>
        </w:rPr>
      </w:pPr>
    </w:p>
    <w:p w14:paraId="3B88A910">
      <w:pPr>
        <w:spacing w:line="360" w:lineRule="auto"/>
        <w:rPr>
          <w:rFonts w:ascii="宋体" w:hAnsi="宋体" w:cs="宋体"/>
          <w:color w:val="auto"/>
          <w:sz w:val="22"/>
          <w:highlight w:val="none"/>
        </w:rPr>
      </w:pPr>
    </w:p>
    <w:p w14:paraId="5670F616">
      <w:pPr>
        <w:spacing w:line="360" w:lineRule="auto"/>
        <w:jc w:val="center"/>
        <w:rPr>
          <w:rFonts w:ascii="宋体" w:hAnsi="宋体" w:cs="宋体"/>
          <w:color w:val="auto"/>
          <w:sz w:val="22"/>
          <w:highlight w:val="none"/>
        </w:rPr>
      </w:pPr>
    </w:p>
    <w:p w14:paraId="0EB7A94B">
      <w:pPr>
        <w:rPr>
          <w:rFonts w:hint="eastAsia" w:ascii="宋体" w:hAnsi="宋体" w:cs="宋体"/>
          <w:color w:val="auto"/>
          <w:sz w:val="22"/>
          <w:highlight w:val="none"/>
        </w:rPr>
      </w:pPr>
      <w:r>
        <w:rPr>
          <w:rFonts w:hint="eastAsia" w:ascii="宋体" w:hAnsi="宋体" w:cs="宋体"/>
          <w:color w:val="auto"/>
          <w:sz w:val="22"/>
          <w:highlight w:val="none"/>
        </w:rPr>
        <w:br w:type="page"/>
      </w:r>
    </w:p>
    <w:p w14:paraId="311443C7">
      <w:pPr>
        <w:spacing w:line="360" w:lineRule="auto"/>
        <w:jc w:val="center"/>
        <w:rPr>
          <w:rFonts w:ascii="宋体" w:hAnsi="宋体" w:cs="宋体"/>
          <w:b/>
          <w:color w:val="auto"/>
          <w:sz w:val="22"/>
          <w:highlight w:val="none"/>
          <w:u w:val="single"/>
        </w:rPr>
      </w:pPr>
      <w:r>
        <w:rPr>
          <w:rFonts w:hint="eastAsia" w:ascii="宋体" w:hAnsi="宋体" w:cs="宋体"/>
          <w:color w:val="auto"/>
          <w:sz w:val="22"/>
          <w:highlight w:val="none"/>
        </w:rPr>
        <w:t>投标人须知前附表3：评标方法、评标标准、定标原则</w:t>
      </w:r>
    </w:p>
    <w:tbl>
      <w:tblPr>
        <w:tblStyle w:val="1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5D003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68DB8377">
            <w:pPr>
              <w:pStyle w:val="2"/>
              <w:keepNext w:val="0"/>
              <w:keepLines w:val="0"/>
              <w:numPr>
                <w:ilvl w:val="0"/>
                <w:numId w:val="1"/>
              </w:numPr>
              <w:suppressLineNumbers w:val="0"/>
              <w:snapToGrid w:val="0"/>
              <w:spacing w:before="0" w:beforeAutospacing="0" w:after="0" w:afterAutospacing="0" w:line="360" w:lineRule="auto"/>
              <w:ind w:right="0"/>
              <w:rPr>
                <w:rFonts w:hint="default" w:ascii="宋体" w:hAnsi="宋体" w:cs="宋体"/>
                <w:color w:val="auto"/>
                <w:sz w:val="22"/>
                <w:szCs w:val="22"/>
                <w:highlight w:val="none"/>
              </w:rPr>
            </w:pPr>
            <w:r>
              <w:rPr>
                <w:rFonts w:hint="eastAsia" w:ascii="宋体" w:hAnsi="宋体" w:cs="宋体"/>
                <w:color w:val="auto"/>
                <w:sz w:val="22"/>
                <w:szCs w:val="22"/>
                <w:highlight w:val="none"/>
              </w:rPr>
              <w:t>评标方法：</w:t>
            </w:r>
          </w:p>
          <w:p w14:paraId="39E0C055">
            <w:pPr>
              <w:pStyle w:val="2"/>
              <w:keepNext w:val="0"/>
              <w:keepLines w:val="0"/>
              <w:suppressLineNumbers w:val="0"/>
              <w:snapToGrid w:val="0"/>
              <w:spacing w:before="0" w:beforeAutospacing="0" w:after="0" w:afterAutospacing="0" w:line="360" w:lineRule="auto"/>
              <w:ind w:left="480" w:right="0" w:firstLine="0"/>
              <w:rPr>
                <w:rFonts w:hint="default" w:ascii="宋体" w:hAnsi="宋体" w:cs="宋体"/>
                <w:color w:val="auto"/>
                <w:sz w:val="22"/>
                <w:szCs w:val="22"/>
                <w:highlight w:val="none"/>
              </w:rPr>
            </w:pPr>
            <w:r>
              <w:rPr>
                <w:rFonts w:hint="eastAsia" w:ascii="宋体" w:hAnsi="宋体" w:cs="宋体"/>
                <w:b/>
                <w:color w:val="auto"/>
                <w:sz w:val="22"/>
                <w:szCs w:val="22"/>
                <w:highlight w:val="none"/>
              </w:rPr>
              <w:fldChar w:fldCharType="begin"/>
            </w:r>
            <w:r>
              <w:rPr>
                <w:rFonts w:hint="eastAsia" w:ascii="宋体" w:hAnsi="宋体" w:cs="宋体"/>
                <w:b/>
                <w:color w:val="auto"/>
                <w:sz w:val="22"/>
                <w:szCs w:val="22"/>
                <w:highlight w:val="none"/>
              </w:rPr>
              <w:instrText xml:space="preserve"> eq \o\ac(</w:instrText>
            </w:r>
            <w:r>
              <w:rPr>
                <w:rFonts w:hint="eastAsia" w:ascii="宋体" w:hAnsi="宋体" w:cs="宋体"/>
                <w:b/>
                <w:color w:val="auto"/>
                <w:position w:val="-4"/>
                <w:sz w:val="33"/>
                <w:szCs w:val="22"/>
                <w:highlight w:val="none"/>
              </w:rPr>
              <w:instrText xml:space="preserve">□</w:instrText>
            </w:r>
            <w:r>
              <w:rPr>
                <w:rFonts w:hint="eastAsia" w:ascii="宋体" w:hAnsi="宋体" w:cs="宋体"/>
                <w:b/>
                <w:color w:val="auto"/>
                <w:sz w:val="22"/>
                <w:szCs w:val="22"/>
                <w:highlight w:val="none"/>
              </w:rPr>
              <w:instrText xml:space="preserve">,√)</w:instrText>
            </w:r>
            <w:r>
              <w:rPr>
                <w:rFonts w:hint="eastAsia" w:ascii="宋体" w:hAnsi="宋体" w:cs="宋体"/>
                <w:b/>
                <w:color w:val="auto"/>
                <w:sz w:val="22"/>
                <w:szCs w:val="22"/>
                <w:highlight w:val="none"/>
              </w:rPr>
              <w:fldChar w:fldCharType="end"/>
            </w:r>
            <w:r>
              <w:rPr>
                <w:rFonts w:hint="eastAsia" w:ascii="宋体" w:hAnsi="宋体" w:cs="宋体"/>
                <w:color w:val="auto"/>
                <w:sz w:val="22"/>
                <w:szCs w:val="22"/>
                <w:highlight w:val="none"/>
              </w:rPr>
              <w:t xml:space="preserve">综合评分法  □ 最低评标价法  </w:t>
            </w:r>
          </w:p>
        </w:tc>
      </w:tr>
      <w:tr w14:paraId="5E9A3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30CCF346">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color w:val="auto"/>
                <w:sz w:val="22"/>
                <w:szCs w:val="22"/>
                <w:highlight w:val="none"/>
              </w:rPr>
            </w:pPr>
            <w:r>
              <w:rPr>
                <w:rFonts w:hint="eastAsia" w:ascii="宋体" w:hAnsi="宋体" w:cs="宋体"/>
                <w:color w:val="auto"/>
                <w:sz w:val="22"/>
                <w:szCs w:val="22"/>
                <w:highlight w:val="none"/>
              </w:rPr>
              <w:t>二、评标标准：</w:t>
            </w:r>
          </w:p>
          <w:p w14:paraId="3ACD3793">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color w:val="auto"/>
                <w:sz w:val="22"/>
                <w:szCs w:val="22"/>
                <w:highlight w:val="none"/>
              </w:rPr>
            </w:pPr>
            <w:r>
              <w:rPr>
                <w:rFonts w:hint="eastAsia" w:ascii="宋体" w:hAnsi="宋体" w:cs="宋体"/>
                <w:color w:val="auto"/>
                <w:sz w:val="22"/>
                <w:szCs w:val="22"/>
                <w:highlight w:val="none"/>
              </w:rPr>
              <w:t>（一）具体的评标标准、权重。</w:t>
            </w:r>
          </w:p>
          <w:p w14:paraId="37CBCB7E">
            <w:pPr>
              <w:pStyle w:val="2"/>
              <w:keepNext w:val="0"/>
              <w:keepLines w:val="0"/>
              <w:suppressLineNumbers w:val="0"/>
              <w:snapToGrid w:val="0"/>
              <w:spacing w:before="0" w:beforeAutospacing="0" w:after="0" w:afterAutospacing="0" w:line="360" w:lineRule="auto"/>
              <w:ind w:left="0" w:right="0" w:firstLine="660" w:firstLineChars="300"/>
              <w:rPr>
                <w:rFonts w:hint="default" w:ascii="宋体" w:hAnsi="宋体" w:cs="宋体"/>
                <w:color w:val="auto"/>
                <w:sz w:val="22"/>
                <w:szCs w:val="22"/>
                <w:highlight w:val="none"/>
              </w:rPr>
            </w:pPr>
            <w:r>
              <w:rPr>
                <w:rFonts w:hint="eastAsia" w:ascii="宋体" w:hAnsi="宋体" w:cs="宋体"/>
                <w:color w:val="auto"/>
                <w:sz w:val="22"/>
                <w:szCs w:val="22"/>
                <w:highlight w:val="none"/>
              </w:rPr>
              <w:t>详见附件</w:t>
            </w:r>
          </w:p>
          <w:p w14:paraId="3872F0C5">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color w:val="auto"/>
                <w:sz w:val="22"/>
                <w:szCs w:val="22"/>
                <w:highlight w:val="none"/>
              </w:rPr>
            </w:pPr>
            <w:r>
              <w:rPr>
                <w:rFonts w:hint="eastAsia" w:ascii="宋体" w:hAnsi="宋体" w:cs="宋体"/>
                <w:color w:val="auto"/>
                <w:sz w:val="22"/>
                <w:szCs w:val="22"/>
                <w:highlight w:val="none"/>
              </w:rPr>
              <w:t>（二）推荐中标候选供应商名单。</w:t>
            </w:r>
          </w:p>
          <w:p w14:paraId="6893A202">
            <w:pPr>
              <w:pStyle w:val="2"/>
              <w:keepNext w:val="0"/>
              <w:keepLines w:val="0"/>
              <w:suppressLineNumbers w:val="0"/>
              <w:snapToGrid w:val="0"/>
              <w:spacing w:before="0" w:beforeAutospacing="0" w:after="0" w:afterAutospacing="0" w:line="360" w:lineRule="auto"/>
              <w:ind w:left="0" w:right="0" w:firstLine="330" w:firstLineChars="150"/>
              <w:rPr>
                <w:rFonts w:hint="default" w:ascii="宋体" w:hAnsi="宋体" w:cs="宋体"/>
                <w:color w:val="auto"/>
                <w:sz w:val="22"/>
                <w:szCs w:val="22"/>
                <w:highlight w:val="none"/>
              </w:rPr>
            </w:pPr>
            <w:r>
              <w:rPr>
                <w:rFonts w:hint="eastAsia" w:ascii="宋体" w:hAnsi="宋体" w:cs="宋体"/>
                <w:color w:val="auto"/>
                <w:sz w:val="22"/>
                <w:szCs w:val="22"/>
                <w:highlight w:val="none"/>
              </w:rPr>
              <w:t>1、中标候选供应商数量：</w:t>
            </w:r>
            <w:r>
              <w:rPr>
                <w:rFonts w:hint="eastAsia" w:ascii="宋体" w:hAnsi="宋体" w:cs="宋体"/>
                <w:color w:val="auto"/>
                <w:sz w:val="22"/>
                <w:szCs w:val="22"/>
                <w:highlight w:val="none"/>
                <w:u w:val="single"/>
              </w:rPr>
              <w:t>3</w:t>
            </w:r>
            <w:r>
              <w:rPr>
                <w:rFonts w:hint="eastAsia" w:ascii="宋体" w:hAnsi="宋体" w:cs="宋体"/>
                <w:color w:val="auto"/>
                <w:sz w:val="22"/>
                <w:szCs w:val="22"/>
                <w:highlight w:val="none"/>
              </w:rPr>
              <w:t>个。</w:t>
            </w:r>
          </w:p>
          <w:p w14:paraId="4D3D308B">
            <w:pPr>
              <w:pStyle w:val="2"/>
              <w:keepNext w:val="0"/>
              <w:keepLines w:val="0"/>
              <w:suppressLineNumbers w:val="0"/>
              <w:snapToGrid w:val="0"/>
              <w:spacing w:before="0" w:beforeAutospacing="0" w:after="0" w:afterAutospacing="0" w:line="360" w:lineRule="auto"/>
              <w:ind w:left="0" w:right="0" w:firstLine="330" w:firstLineChars="150"/>
              <w:rPr>
                <w:rFonts w:hint="default" w:ascii="宋体" w:hAnsi="宋体" w:cs="宋体"/>
                <w:color w:val="auto"/>
                <w:sz w:val="22"/>
                <w:szCs w:val="22"/>
                <w:highlight w:val="none"/>
              </w:rPr>
            </w:pPr>
            <w:r>
              <w:rPr>
                <w:rFonts w:hint="eastAsia" w:ascii="宋体" w:hAnsi="宋体" w:cs="宋体"/>
                <w:color w:val="auto"/>
                <w:sz w:val="22"/>
                <w:szCs w:val="22"/>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1495F973">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color w:val="auto"/>
                <w:sz w:val="22"/>
                <w:szCs w:val="22"/>
                <w:highlight w:val="none"/>
              </w:rPr>
            </w:pPr>
            <w:r>
              <w:rPr>
                <w:rFonts w:hint="eastAsia" w:ascii="宋体" w:hAnsi="宋体" w:cs="宋体"/>
                <w:color w:val="auto"/>
                <w:sz w:val="22"/>
                <w:szCs w:val="22"/>
                <w:highlight w:val="none"/>
              </w:rPr>
              <w:t xml:space="preserve">    □采用最低评标价法的，按投标报价由低到高顺序排列。投标报价相同的，按技术指标优劣顺序排列。</w:t>
            </w:r>
          </w:p>
          <w:p w14:paraId="0FA1D415">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color w:val="auto"/>
                <w:sz w:val="22"/>
                <w:szCs w:val="22"/>
                <w:highlight w:val="none"/>
              </w:rPr>
            </w:pPr>
            <w:r>
              <w:rPr>
                <w:rFonts w:hint="eastAsia" w:ascii="宋体" w:hAnsi="宋体" w:cs="宋体"/>
                <w:b/>
                <w:color w:val="auto"/>
                <w:sz w:val="22"/>
                <w:szCs w:val="22"/>
                <w:highlight w:val="none"/>
              </w:rPr>
              <w:fldChar w:fldCharType="begin"/>
            </w:r>
            <w:r>
              <w:rPr>
                <w:rFonts w:hint="eastAsia" w:ascii="宋体" w:hAnsi="宋体" w:cs="宋体"/>
                <w:b/>
                <w:color w:val="auto"/>
                <w:sz w:val="22"/>
                <w:szCs w:val="22"/>
                <w:highlight w:val="none"/>
              </w:rPr>
              <w:instrText xml:space="preserve"> eq \o\ac(</w:instrText>
            </w:r>
            <w:r>
              <w:rPr>
                <w:rFonts w:hint="eastAsia" w:ascii="宋体" w:hAnsi="宋体" w:cs="宋体"/>
                <w:b/>
                <w:color w:val="auto"/>
                <w:position w:val="-4"/>
                <w:sz w:val="33"/>
                <w:szCs w:val="22"/>
                <w:highlight w:val="none"/>
              </w:rPr>
              <w:instrText xml:space="preserve">□</w:instrText>
            </w:r>
            <w:r>
              <w:rPr>
                <w:rFonts w:hint="eastAsia" w:ascii="宋体" w:hAnsi="宋体" w:cs="宋体"/>
                <w:b/>
                <w:color w:val="auto"/>
                <w:sz w:val="22"/>
                <w:szCs w:val="22"/>
                <w:highlight w:val="none"/>
              </w:rPr>
              <w:instrText xml:space="preserve">,√)</w:instrText>
            </w:r>
            <w:r>
              <w:rPr>
                <w:rFonts w:hint="eastAsia" w:ascii="宋体" w:hAnsi="宋体" w:cs="宋体"/>
                <w:b/>
                <w:color w:val="auto"/>
                <w:sz w:val="22"/>
                <w:szCs w:val="22"/>
                <w:highlight w:val="none"/>
              </w:rPr>
              <w:fldChar w:fldCharType="end"/>
            </w:r>
            <w:r>
              <w:rPr>
                <w:rFonts w:hint="eastAsia" w:ascii="宋体" w:hAnsi="宋体" w:cs="宋体"/>
                <w:color w:val="auto"/>
                <w:sz w:val="22"/>
                <w:szCs w:val="22"/>
                <w:highlight w:val="none"/>
              </w:rPr>
              <w:t>采用综合评分法的，按评审后得分由高到低顺序排列。得分相同的，按投标报价由低到高顺序排列。得分且投标报价相同的，按技术指标优劣顺序排列。</w:t>
            </w:r>
          </w:p>
          <w:p w14:paraId="2D8AC636">
            <w:pPr>
              <w:pStyle w:val="7"/>
              <w:keepNext w:val="0"/>
              <w:keepLines w:val="0"/>
              <w:suppressLineNumbers w:val="0"/>
              <w:spacing w:before="0" w:beforeAutospacing="0" w:after="0" w:afterAutospacing="0" w:line="360" w:lineRule="auto"/>
              <w:ind w:left="0" w:right="0" w:firstLine="330" w:firstLineChars="150"/>
              <w:rPr>
                <w:rFonts w:hint="default" w:ascii="宋体" w:hAnsi="宋体" w:cs="宋体"/>
                <w:color w:val="auto"/>
                <w:sz w:val="22"/>
                <w:szCs w:val="22"/>
                <w:highlight w:val="none"/>
              </w:rPr>
            </w:pPr>
            <w:r>
              <w:rPr>
                <w:rFonts w:hint="eastAsia" w:ascii="宋体" w:hAnsi="宋体" w:cs="宋体"/>
                <w:color w:val="auto"/>
                <w:sz w:val="22"/>
                <w:szCs w:val="22"/>
                <w:highlight w:val="none"/>
              </w:rPr>
              <w:t>3、关于同一品牌产品投标的相关规定</w:t>
            </w:r>
          </w:p>
          <w:p w14:paraId="7DBBC0FC">
            <w:pPr>
              <w:pStyle w:val="7"/>
              <w:keepNext w:val="0"/>
              <w:keepLines w:val="0"/>
              <w:suppressLineNumbers w:val="0"/>
              <w:spacing w:before="0" w:beforeAutospacing="0" w:after="0" w:afterAutospacing="0" w:line="360" w:lineRule="auto"/>
              <w:ind w:left="0" w:right="0" w:firstLine="330" w:firstLineChars="150"/>
              <w:rPr>
                <w:rFonts w:hint="default" w:ascii="宋体" w:hAnsi="宋体" w:cs="宋体"/>
                <w:color w:val="auto"/>
                <w:sz w:val="22"/>
                <w:szCs w:val="22"/>
                <w:highlight w:val="none"/>
              </w:rPr>
            </w:pPr>
            <w:r>
              <w:rPr>
                <w:rFonts w:hint="eastAsia" w:ascii="宋体" w:hAnsi="宋体" w:cs="宋体"/>
                <w:color w:val="auto"/>
                <w:sz w:val="22"/>
                <w:szCs w:val="22"/>
                <w:highlight w:val="none"/>
              </w:rPr>
              <w:t>如果有多家投标人以同一品牌的产品参加投标，只能视为一家。</w:t>
            </w:r>
          </w:p>
          <w:p w14:paraId="3AE45EB3">
            <w:pPr>
              <w:keepNext w:val="0"/>
              <w:keepLines w:val="0"/>
              <w:suppressLineNumbers w:val="0"/>
              <w:spacing w:before="0" w:beforeAutospacing="0" w:after="0" w:afterAutospacing="0" w:line="360" w:lineRule="auto"/>
              <w:ind w:left="0" w:right="0" w:firstLine="330" w:firstLineChars="150"/>
              <w:rPr>
                <w:rFonts w:hint="default" w:ascii="宋体" w:hAnsi="宋体" w:cs="宋体"/>
                <w:color w:val="auto"/>
                <w:sz w:val="22"/>
                <w:highlight w:val="none"/>
              </w:rPr>
            </w:pPr>
            <w:r>
              <w:rPr>
                <w:rFonts w:hint="eastAsia" w:ascii="宋体" w:hAnsi="宋体" w:cs="宋体"/>
                <w:color w:val="auto"/>
                <w:sz w:val="22"/>
                <w:highlight w:val="none"/>
              </w:rPr>
              <w:t>采用</w:t>
            </w:r>
            <w:r>
              <w:rPr>
                <w:rFonts w:hint="default"/>
                <w:color w:val="auto"/>
                <w:highlight w:val="none"/>
              </w:rPr>
              <w:fldChar w:fldCharType="begin"/>
            </w:r>
            <w:r>
              <w:rPr>
                <w:rFonts w:hint="default"/>
                <w:color w:val="auto"/>
                <w:highlight w:val="none"/>
              </w:rPr>
              <w:instrText xml:space="preserve"> HYPERLINK "http://lilun.caigou2003.com/recijiedu/2365668.html" \t "_blank" </w:instrText>
            </w:r>
            <w:r>
              <w:rPr>
                <w:rFonts w:hint="default"/>
                <w:color w:val="auto"/>
                <w:highlight w:val="none"/>
              </w:rPr>
              <w:fldChar w:fldCharType="separate"/>
            </w:r>
            <w:r>
              <w:rPr>
                <w:rFonts w:hint="eastAsia" w:ascii="宋体" w:hAnsi="宋体" w:cs="宋体"/>
                <w:color w:val="auto"/>
                <w:sz w:val="22"/>
                <w:highlight w:val="none"/>
              </w:rPr>
              <w:t>最低评标价法</w:t>
            </w:r>
            <w:r>
              <w:rPr>
                <w:rFonts w:hint="eastAsia" w:ascii="宋体" w:hAnsi="宋体" w:cs="宋体"/>
                <w:color w:val="auto"/>
                <w:sz w:val="22"/>
                <w:highlight w:val="none"/>
              </w:rPr>
              <w:fldChar w:fldCharType="end"/>
            </w:r>
            <w:r>
              <w:rPr>
                <w:rFonts w:hint="eastAsia" w:ascii="宋体" w:hAnsi="宋体" w:cs="宋体"/>
                <w:color w:val="auto"/>
                <w:sz w:val="22"/>
                <w:highlight w:val="none"/>
              </w:rPr>
              <w:t>的采购项目，提供相同品牌产品的不同投标人参加同一合同项下投标的，以其中通过资格审查、符合性审查且报价最低的参加评标；报价相同的，由采购单位委托</w:t>
            </w:r>
            <w:r>
              <w:rPr>
                <w:rFonts w:hint="default"/>
                <w:color w:val="auto"/>
                <w:highlight w:val="none"/>
              </w:rPr>
              <w:fldChar w:fldCharType="begin"/>
            </w:r>
            <w:r>
              <w:rPr>
                <w:rFonts w:hint="default"/>
                <w:color w:val="auto"/>
                <w:highlight w:val="none"/>
              </w:rPr>
              <w:instrText xml:space="preserve"> HYPERLINK "http://lilun.caigou2003.com/recijiedu/2539165.html" \t "_blank" </w:instrText>
            </w:r>
            <w:r>
              <w:rPr>
                <w:rFonts w:hint="default"/>
                <w:color w:val="auto"/>
                <w:highlight w:val="none"/>
              </w:rPr>
              <w:fldChar w:fldCharType="separate"/>
            </w:r>
            <w:r>
              <w:rPr>
                <w:rFonts w:hint="eastAsia" w:ascii="宋体" w:hAnsi="宋体" w:cs="宋体"/>
                <w:color w:val="auto"/>
                <w:sz w:val="22"/>
                <w:highlight w:val="none"/>
              </w:rPr>
              <w:t>评标委员会</w:t>
            </w:r>
            <w:r>
              <w:rPr>
                <w:rFonts w:hint="eastAsia" w:ascii="宋体" w:hAnsi="宋体" w:cs="宋体"/>
                <w:color w:val="auto"/>
                <w:sz w:val="22"/>
                <w:highlight w:val="none"/>
              </w:rPr>
              <w:fldChar w:fldCharType="end"/>
            </w:r>
            <w:r>
              <w:rPr>
                <w:rFonts w:hint="eastAsia" w:ascii="宋体" w:hAnsi="宋体" w:cs="宋体"/>
                <w:color w:val="auto"/>
                <w:sz w:val="22"/>
                <w:highlight w:val="none"/>
              </w:rPr>
              <w:t>按照招标文件规定的方式确定一个参加评标的投标人，招标文件未规定的采取随机抽取方式确定，其他投标无效。</w:t>
            </w:r>
          </w:p>
          <w:p w14:paraId="7726F9A1">
            <w:pPr>
              <w:keepNext w:val="0"/>
              <w:keepLines w:val="0"/>
              <w:suppressLineNumbers w:val="0"/>
              <w:spacing w:before="0" w:beforeAutospacing="0" w:after="0" w:afterAutospacing="0" w:line="360" w:lineRule="auto"/>
              <w:ind w:left="0" w:right="0" w:firstLine="324"/>
              <w:rPr>
                <w:rFonts w:hint="default" w:ascii="宋体" w:hAnsi="宋体" w:cs="宋体"/>
                <w:color w:val="auto"/>
                <w:sz w:val="22"/>
                <w:highlight w:val="none"/>
              </w:rPr>
            </w:pPr>
            <w:r>
              <w:rPr>
                <w:rFonts w:hint="eastAsia" w:ascii="宋体" w:hAnsi="宋体" w:cs="宋体"/>
                <w:color w:val="auto"/>
                <w:sz w:val="22"/>
                <w:highlight w:val="none"/>
              </w:rPr>
              <w:t>使用</w:t>
            </w:r>
            <w:r>
              <w:rPr>
                <w:rFonts w:hint="default"/>
                <w:color w:val="auto"/>
                <w:highlight w:val="none"/>
              </w:rPr>
              <w:fldChar w:fldCharType="begin"/>
            </w:r>
            <w:r>
              <w:rPr>
                <w:rFonts w:hint="default"/>
                <w:color w:val="auto"/>
                <w:highlight w:val="none"/>
              </w:rPr>
              <w:instrText xml:space="preserve"> HYPERLINK "http://lilun.caigou2003.com/recijiedu/2365667.html" \t "_blank" </w:instrText>
            </w:r>
            <w:r>
              <w:rPr>
                <w:rFonts w:hint="default"/>
                <w:color w:val="auto"/>
                <w:highlight w:val="none"/>
              </w:rPr>
              <w:fldChar w:fldCharType="separate"/>
            </w:r>
            <w:r>
              <w:rPr>
                <w:rFonts w:hint="eastAsia" w:ascii="宋体" w:hAnsi="宋体" w:cs="宋体"/>
                <w:color w:val="auto"/>
                <w:sz w:val="22"/>
                <w:highlight w:val="none"/>
              </w:rPr>
              <w:t>综合评分法</w:t>
            </w:r>
            <w:r>
              <w:rPr>
                <w:rFonts w:hint="eastAsia" w:ascii="宋体" w:hAnsi="宋体" w:cs="宋体"/>
                <w:color w:val="auto"/>
                <w:sz w:val="22"/>
                <w:highlight w:val="none"/>
              </w:rPr>
              <w:fldChar w:fldCharType="end"/>
            </w:r>
            <w:r>
              <w:rPr>
                <w:rFonts w:hint="eastAsia" w:ascii="宋体" w:hAnsi="宋体" w:cs="宋体"/>
                <w:color w:val="auto"/>
                <w:sz w:val="22"/>
                <w:highlight w:val="none"/>
              </w:rPr>
              <w:t>的采购项目，提供相同品牌产品且通过资格审查、符合性审查的不同投标人参加同一合同项下投标的，按一家投标人计算，评审后得分最高的同品牌投标人获得中标供应商推荐资格；评审得分相同的，由采购单位委托评标委员会按照招标文件规定的方式确定一个投标人获得中标供应商推荐资格，招标文件未规定的采取随机抽取方式确定，其他同品牌投标人不作为中标候选人。</w:t>
            </w:r>
          </w:p>
          <w:p w14:paraId="725BFA84">
            <w:pPr>
              <w:pStyle w:val="2"/>
              <w:keepNext w:val="0"/>
              <w:keepLines w:val="0"/>
              <w:suppressLineNumbers w:val="0"/>
              <w:snapToGrid w:val="0"/>
              <w:spacing w:before="0" w:beforeAutospacing="0" w:after="0" w:afterAutospacing="0" w:line="360" w:lineRule="auto"/>
              <w:ind w:left="0" w:right="0" w:firstLine="440" w:firstLineChars="200"/>
              <w:rPr>
                <w:rFonts w:hint="default" w:ascii="宋体" w:hAnsi="宋体" w:cs="宋体"/>
                <w:color w:val="auto"/>
                <w:sz w:val="22"/>
                <w:szCs w:val="22"/>
                <w:highlight w:val="none"/>
              </w:rPr>
            </w:pPr>
            <w:r>
              <w:rPr>
                <w:rFonts w:hint="eastAsia" w:ascii="宋体" w:hAnsi="宋体" w:cs="宋体"/>
                <w:color w:val="auto"/>
                <w:sz w:val="22"/>
                <w:szCs w:val="22"/>
                <w:highlight w:val="none"/>
              </w:rPr>
              <w:t>非单一产品采购项目，采购单位应当根据采购项目技术构成、产品价格比重等合理确定核心产品，并在招标文件中载明。多家投标人提供的核心产品品牌相同的，按前两款规定处理。</w:t>
            </w:r>
          </w:p>
        </w:tc>
      </w:tr>
      <w:tr w14:paraId="5B351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tcPr>
          <w:p w14:paraId="5DA25A3E">
            <w:pPr>
              <w:pStyle w:val="2"/>
              <w:keepNext w:val="0"/>
              <w:keepLines w:val="0"/>
              <w:suppressLineNumbers w:val="0"/>
              <w:snapToGrid w:val="0"/>
              <w:spacing w:before="0" w:beforeAutospacing="0" w:after="0" w:afterAutospacing="0" w:line="360" w:lineRule="auto"/>
              <w:ind w:left="0" w:right="0" w:firstLine="0"/>
              <w:rPr>
                <w:rFonts w:hint="default" w:ascii="宋体" w:hAnsi="宋体" w:cs="宋体"/>
                <w:color w:val="auto"/>
                <w:sz w:val="22"/>
                <w:szCs w:val="22"/>
                <w:highlight w:val="none"/>
              </w:rPr>
            </w:pPr>
            <w:r>
              <w:rPr>
                <w:rFonts w:hint="eastAsia" w:ascii="宋体" w:hAnsi="宋体" w:cs="宋体"/>
                <w:color w:val="auto"/>
                <w:sz w:val="22"/>
                <w:szCs w:val="22"/>
                <w:highlight w:val="none"/>
              </w:rPr>
              <w:t>三、定标原则（确定中标供应商数量：1个）：</w:t>
            </w:r>
          </w:p>
          <w:p w14:paraId="3E716CEE">
            <w:pPr>
              <w:pStyle w:val="2"/>
              <w:keepNext w:val="0"/>
              <w:keepLines w:val="0"/>
              <w:suppressLineNumbers w:val="0"/>
              <w:snapToGrid w:val="0"/>
              <w:spacing w:before="0" w:beforeAutospacing="0" w:after="0" w:afterAutospacing="0" w:line="360" w:lineRule="auto"/>
              <w:ind w:left="0" w:right="0" w:firstLine="440" w:firstLineChars="200"/>
              <w:rPr>
                <w:rFonts w:hint="default" w:ascii="宋体" w:hAnsi="宋体" w:cs="宋体"/>
                <w:color w:val="auto"/>
                <w:sz w:val="22"/>
                <w:szCs w:val="22"/>
                <w:highlight w:val="none"/>
              </w:rPr>
            </w:pPr>
            <w:r>
              <w:rPr>
                <w:rFonts w:hint="eastAsia" w:ascii="宋体" w:hAnsi="宋体" w:cs="宋体"/>
                <w:color w:val="auto"/>
                <w:sz w:val="22"/>
                <w:szCs w:val="22"/>
                <w:highlight w:val="none"/>
              </w:rPr>
              <w:t>□采购单位委托招标代理机构招标，在收到评标报告后五个工作日内，按照评标报告中推荐的中标候选供应商顺序确定中标供应商。</w:t>
            </w:r>
          </w:p>
          <w:p w14:paraId="32464756">
            <w:pPr>
              <w:pStyle w:val="2"/>
              <w:keepNext w:val="0"/>
              <w:keepLines w:val="0"/>
              <w:suppressLineNumbers w:val="0"/>
              <w:snapToGrid w:val="0"/>
              <w:spacing w:before="0" w:beforeAutospacing="0" w:after="0" w:afterAutospacing="0" w:line="360" w:lineRule="auto"/>
              <w:ind w:left="0" w:right="0" w:firstLine="442" w:firstLineChars="200"/>
              <w:rPr>
                <w:rFonts w:hint="default" w:ascii="宋体" w:hAnsi="宋体" w:cs="宋体"/>
                <w:color w:val="auto"/>
                <w:sz w:val="22"/>
                <w:szCs w:val="22"/>
                <w:highlight w:val="none"/>
              </w:rPr>
            </w:pPr>
            <w:r>
              <w:rPr>
                <w:rFonts w:hint="eastAsia" w:ascii="宋体" w:hAnsi="宋体" w:cs="宋体"/>
                <w:b/>
                <w:color w:val="auto"/>
                <w:sz w:val="22"/>
                <w:szCs w:val="22"/>
                <w:highlight w:val="none"/>
              </w:rPr>
              <w:fldChar w:fldCharType="begin"/>
            </w:r>
            <w:r>
              <w:rPr>
                <w:rFonts w:hint="eastAsia" w:ascii="宋体" w:hAnsi="宋体" w:cs="宋体"/>
                <w:b/>
                <w:color w:val="auto"/>
                <w:sz w:val="22"/>
                <w:szCs w:val="22"/>
                <w:highlight w:val="none"/>
              </w:rPr>
              <w:instrText xml:space="preserve"> eq \o\ac(</w:instrText>
            </w:r>
            <w:r>
              <w:rPr>
                <w:rFonts w:hint="eastAsia" w:ascii="宋体" w:hAnsi="宋体" w:cs="宋体"/>
                <w:b/>
                <w:color w:val="auto"/>
                <w:position w:val="-4"/>
                <w:sz w:val="33"/>
                <w:szCs w:val="22"/>
                <w:highlight w:val="none"/>
              </w:rPr>
              <w:instrText xml:space="preserve">□</w:instrText>
            </w:r>
            <w:r>
              <w:rPr>
                <w:rFonts w:hint="eastAsia" w:ascii="宋体" w:hAnsi="宋体" w:cs="宋体"/>
                <w:b/>
                <w:color w:val="auto"/>
                <w:sz w:val="22"/>
                <w:szCs w:val="22"/>
                <w:highlight w:val="none"/>
              </w:rPr>
              <w:instrText xml:space="preserve">,√)</w:instrText>
            </w:r>
            <w:r>
              <w:rPr>
                <w:rFonts w:hint="eastAsia" w:ascii="宋体" w:hAnsi="宋体" w:cs="宋体"/>
                <w:b/>
                <w:color w:val="auto"/>
                <w:sz w:val="22"/>
                <w:szCs w:val="22"/>
                <w:highlight w:val="none"/>
              </w:rPr>
              <w:fldChar w:fldCharType="end"/>
            </w:r>
            <w:r>
              <w:rPr>
                <w:rFonts w:hint="eastAsia" w:ascii="宋体" w:hAnsi="宋体" w:cs="宋体"/>
                <w:color w:val="auto"/>
                <w:sz w:val="22"/>
                <w:szCs w:val="22"/>
                <w:highlight w:val="none"/>
              </w:rPr>
              <w:t>采购单位委托招标代理机构招标，授权评标委员会直接确定中标供应商。</w:t>
            </w:r>
          </w:p>
          <w:p w14:paraId="7BDC5405">
            <w:pPr>
              <w:pStyle w:val="2"/>
              <w:keepNext w:val="0"/>
              <w:keepLines w:val="0"/>
              <w:suppressLineNumbers w:val="0"/>
              <w:snapToGrid w:val="0"/>
              <w:spacing w:before="0" w:beforeAutospacing="0" w:after="0" w:afterAutospacing="0" w:line="360" w:lineRule="auto"/>
              <w:ind w:left="0" w:right="0" w:firstLine="440" w:firstLineChars="200"/>
              <w:rPr>
                <w:rFonts w:hint="default" w:ascii="宋体" w:hAnsi="宋体" w:cs="宋体"/>
                <w:color w:val="auto"/>
                <w:sz w:val="22"/>
                <w:szCs w:val="22"/>
                <w:highlight w:val="none"/>
              </w:rPr>
            </w:pPr>
            <w:r>
              <w:rPr>
                <w:rFonts w:hint="eastAsia" w:ascii="宋体" w:hAnsi="宋体" w:cs="宋体"/>
                <w:color w:val="auto"/>
                <w:sz w:val="22"/>
                <w:szCs w:val="22"/>
                <w:highlight w:val="none"/>
              </w:rPr>
              <w:t>□ 采购单位自行组织招标，在评标结束后五个工作日内确定中标供应商。</w:t>
            </w:r>
          </w:p>
        </w:tc>
      </w:tr>
    </w:tbl>
    <w:p w14:paraId="00964E8F">
      <w:pPr>
        <w:pStyle w:val="2"/>
        <w:snapToGrid w:val="0"/>
        <w:spacing w:line="360" w:lineRule="auto"/>
        <w:ind w:firstLine="0"/>
        <w:rPr>
          <w:rFonts w:ascii="宋体" w:hAnsi="宋体" w:cs="宋体"/>
          <w:b/>
          <w:color w:val="auto"/>
          <w:sz w:val="22"/>
          <w:szCs w:val="22"/>
          <w:highlight w:val="none"/>
          <w:u w:val="single"/>
        </w:rPr>
      </w:pPr>
    </w:p>
    <w:p w14:paraId="6516FA2A">
      <w:pPr>
        <w:tabs>
          <w:tab w:val="left" w:pos="-1080"/>
          <w:tab w:val="left" w:pos="180"/>
          <w:tab w:val="left" w:pos="1080"/>
        </w:tabs>
        <w:spacing w:line="360" w:lineRule="auto"/>
        <w:rPr>
          <w:rFonts w:ascii="宋体" w:hAnsi="宋体" w:cs="宋体"/>
          <w:b/>
          <w:color w:val="auto"/>
          <w:sz w:val="22"/>
          <w:highlight w:val="none"/>
        </w:rPr>
      </w:pPr>
    </w:p>
    <w:p w14:paraId="0990F32D">
      <w:pPr>
        <w:tabs>
          <w:tab w:val="left" w:pos="-1080"/>
          <w:tab w:val="left" w:pos="180"/>
          <w:tab w:val="left" w:pos="1080"/>
        </w:tabs>
        <w:spacing w:line="360" w:lineRule="auto"/>
        <w:rPr>
          <w:rFonts w:ascii="宋体" w:hAnsi="宋体" w:cs="宋体"/>
          <w:b/>
          <w:color w:val="auto"/>
          <w:sz w:val="22"/>
          <w:highlight w:val="none"/>
        </w:rPr>
      </w:pPr>
      <w:r>
        <w:rPr>
          <w:rFonts w:hint="eastAsia" w:ascii="宋体" w:hAnsi="宋体" w:cs="宋体"/>
          <w:b/>
          <w:color w:val="auto"/>
          <w:sz w:val="22"/>
          <w:highlight w:val="none"/>
        </w:rPr>
        <w:t>附件：评标标准、权重</w:t>
      </w:r>
    </w:p>
    <w:p w14:paraId="1C8BFEF8">
      <w:pPr>
        <w:tabs>
          <w:tab w:val="left" w:pos="-1080"/>
          <w:tab w:val="left" w:pos="180"/>
          <w:tab w:val="left" w:pos="1080"/>
        </w:tabs>
        <w:spacing w:line="360" w:lineRule="auto"/>
        <w:rPr>
          <w:rFonts w:ascii="宋体" w:hAnsi="宋体" w:cs="宋体"/>
          <w:color w:val="auto"/>
          <w:sz w:val="22"/>
          <w:highlight w:val="none"/>
        </w:rPr>
      </w:pPr>
      <w:r>
        <w:rPr>
          <w:rFonts w:hint="eastAsia" w:ascii="宋体" w:hAnsi="宋体" w:cs="宋体"/>
          <w:color w:val="auto"/>
          <w:sz w:val="22"/>
          <w:highlight w:val="none"/>
        </w:rPr>
        <w:t>（一）技术评分(F1)：按55分评分法，技术评分考虑下列因素：</w:t>
      </w:r>
    </w:p>
    <w:tbl>
      <w:tblPr>
        <w:tblStyle w:val="16"/>
        <w:tblW w:w="5197" w:type="pct"/>
        <w:tblInd w:w="0" w:type="dxa"/>
        <w:tblLayout w:type="fixed"/>
        <w:tblCellMar>
          <w:top w:w="0" w:type="dxa"/>
          <w:left w:w="108" w:type="dxa"/>
          <w:bottom w:w="0" w:type="dxa"/>
          <w:right w:w="108" w:type="dxa"/>
        </w:tblCellMar>
      </w:tblPr>
      <w:tblGrid>
        <w:gridCol w:w="700"/>
        <w:gridCol w:w="7592"/>
        <w:gridCol w:w="667"/>
      </w:tblGrid>
      <w:tr w14:paraId="1CEC8658">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11E7C30C">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序号</w:t>
            </w:r>
          </w:p>
        </w:tc>
        <w:tc>
          <w:tcPr>
            <w:tcW w:w="4237" w:type="pct"/>
            <w:tcBorders>
              <w:top w:val="single" w:color="auto" w:sz="4" w:space="0"/>
              <w:left w:val="single" w:color="auto" w:sz="4" w:space="0"/>
              <w:bottom w:val="single" w:color="auto" w:sz="4" w:space="0"/>
              <w:right w:val="single" w:color="auto" w:sz="4" w:space="0"/>
            </w:tcBorders>
            <w:noWrap/>
          </w:tcPr>
          <w:p w14:paraId="36C98B8E">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细则内容</w:t>
            </w:r>
          </w:p>
        </w:tc>
        <w:tc>
          <w:tcPr>
            <w:tcW w:w="372" w:type="pct"/>
            <w:tcBorders>
              <w:top w:val="single" w:color="auto" w:sz="4" w:space="0"/>
              <w:left w:val="single" w:color="auto" w:sz="4" w:space="0"/>
              <w:bottom w:val="single" w:color="auto" w:sz="4" w:space="0"/>
              <w:right w:val="single" w:color="auto" w:sz="4" w:space="0"/>
            </w:tcBorders>
            <w:noWrap/>
            <w:vAlign w:val="center"/>
          </w:tcPr>
          <w:p w14:paraId="5C1612F8">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满分</w:t>
            </w:r>
          </w:p>
          <w:p w14:paraId="436D7217">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分值</w:t>
            </w:r>
          </w:p>
        </w:tc>
      </w:tr>
      <w:tr w14:paraId="1DAA53FE">
        <w:tblPrEx>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7CEDDE3F">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eastAsia" w:cs="宋体" w:asciiTheme="minorEastAsia" w:hAnsiTheme="minorEastAsia"/>
                <w:color w:val="auto"/>
                <w:kern w:val="0"/>
                <w:sz w:val="22"/>
                <w:highlight w:val="none"/>
              </w:rPr>
              <w:t>若检测报告同时要求提供官方网站查询截图</w:t>
            </w:r>
            <w:r>
              <w:rPr>
                <w:rFonts w:hint="default" w:cs="宋体" w:asciiTheme="minorEastAsia" w:hAnsiTheme="minorEastAsia"/>
                <w:bCs/>
                <w:color w:val="auto"/>
                <w:kern w:val="0"/>
                <w:sz w:val="22"/>
                <w:highlight w:val="none"/>
              </w:rPr>
              <w:t>，而未提供官方网站查询截图的应书面承诺检验报告可在官方网站查询</w:t>
            </w:r>
            <w:r>
              <w:rPr>
                <w:rFonts w:hint="eastAsia" w:cs="宋体" w:asciiTheme="minorEastAsia" w:hAnsiTheme="minorEastAsia"/>
                <w:color w:val="auto"/>
                <w:kern w:val="0"/>
                <w:sz w:val="22"/>
                <w:highlight w:val="none"/>
              </w:rPr>
              <w:t>（格式自拟）。所有检测报告须盖送检单位公章，否则不得分，原件备查，查询内容及结果以检测报告出具机构官网查询结果为准。</w:t>
            </w:r>
          </w:p>
        </w:tc>
      </w:tr>
      <w:tr w14:paraId="340949F1">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4D13FCF">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w:t>
            </w:r>
          </w:p>
        </w:tc>
        <w:tc>
          <w:tcPr>
            <w:tcW w:w="4237" w:type="pct"/>
            <w:tcBorders>
              <w:top w:val="single" w:color="auto" w:sz="4" w:space="0"/>
              <w:left w:val="single" w:color="auto" w:sz="4" w:space="0"/>
              <w:bottom w:val="single" w:color="auto" w:sz="4" w:space="0"/>
              <w:right w:val="single" w:color="auto" w:sz="4" w:space="0"/>
            </w:tcBorders>
            <w:noWrap/>
            <w:vAlign w:val="center"/>
          </w:tcPr>
          <w:p w14:paraId="05EFFE2B">
            <w:pPr>
              <w:keepNext w:val="0"/>
              <w:keepLines w:val="0"/>
              <w:suppressLineNumbers w:val="0"/>
              <w:spacing w:before="0" w:beforeAutospacing="0" w:after="0" w:afterAutospacing="0" w:line="360" w:lineRule="auto"/>
              <w:ind w:left="0" w:right="0"/>
              <w:jc w:val="left"/>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投标人提供以下检验报告</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7F0CB1BC">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▲（2）、合页：304不锈钢材质，开启角度＞200度。产品经过10万次寿命试验后，其轴磨损不超过 1.57mm；门扇下沉量不超过 4.0mm。（</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554EC1C">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3C8743D2">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971F559">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w:t>
            </w:r>
          </w:p>
        </w:tc>
        <w:tc>
          <w:tcPr>
            <w:tcW w:w="4237" w:type="pct"/>
            <w:tcBorders>
              <w:top w:val="single" w:color="auto" w:sz="4" w:space="0"/>
              <w:left w:val="single" w:color="auto" w:sz="4" w:space="0"/>
              <w:bottom w:val="single" w:color="auto" w:sz="4" w:space="0"/>
              <w:right w:val="single" w:color="auto" w:sz="4" w:space="0"/>
            </w:tcBorders>
            <w:noWrap/>
            <w:vAlign w:val="center"/>
          </w:tcPr>
          <w:p w14:paraId="5DFC5096">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294277AE">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▲（3）、调整脚：不锈钢可调整脚，可自由调整高低。其抗滑移系数、扭矩系数、螺栓楔负载、螺母保证载荷需符合GB50205-2020标准，盐雾试验需≥300小时。（</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0DBED827">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76FD2130">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1C2A71FF">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w:t>
            </w:r>
          </w:p>
        </w:tc>
        <w:tc>
          <w:tcPr>
            <w:tcW w:w="4237" w:type="pct"/>
            <w:tcBorders>
              <w:top w:val="single" w:color="auto" w:sz="4" w:space="0"/>
              <w:left w:val="single" w:color="auto" w:sz="4" w:space="0"/>
              <w:bottom w:val="single" w:color="auto" w:sz="4" w:space="0"/>
              <w:right w:val="single" w:color="auto" w:sz="4" w:space="0"/>
            </w:tcBorders>
            <w:noWrap/>
            <w:vAlign w:val="center"/>
          </w:tcPr>
          <w:p w14:paraId="7D6598E5">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66BBA390">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▲（4）、层板扣：采用不锈钢材质模具一次成型，下屈服强度≥235Mpa，抗拉强度≥370Mpa，盐雾试验≥300小时。（</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0A8D5EF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0</w:t>
            </w:r>
            <w:r>
              <w:rPr>
                <w:rFonts w:hint="eastAsia" w:cs="宋体" w:asciiTheme="minorEastAsia" w:hAnsiTheme="minorEastAsia"/>
                <w:bCs/>
                <w:color w:val="auto"/>
                <w:sz w:val="22"/>
                <w:highlight w:val="none"/>
              </w:rPr>
              <w:t>.5</w:t>
            </w:r>
          </w:p>
        </w:tc>
      </w:tr>
      <w:tr w14:paraId="0F23AC95">
        <w:tblPrEx>
          <w:tblCellMar>
            <w:top w:w="0" w:type="dxa"/>
            <w:left w:w="108" w:type="dxa"/>
            <w:bottom w:w="0" w:type="dxa"/>
            <w:right w:w="108" w:type="dxa"/>
          </w:tblCellMar>
        </w:tblPrEx>
        <w:trPr>
          <w:trHeight w:val="90"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61305A80">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1-4</w:t>
            </w:r>
          </w:p>
        </w:tc>
        <w:tc>
          <w:tcPr>
            <w:tcW w:w="4237" w:type="pct"/>
            <w:tcBorders>
              <w:top w:val="single" w:color="auto" w:sz="4" w:space="0"/>
              <w:left w:val="single" w:color="auto" w:sz="4" w:space="0"/>
              <w:bottom w:val="single" w:color="auto" w:sz="4" w:space="0"/>
              <w:right w:val="single" w:color="auto" w:sz="4" w:space="0"/>
            </w:tcBorders>
            <w:noWrap/>
            <w:vAlign w:val="center"/>
          </w:tcPr>
          <w:p w14:paraId="6AD14A86">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7B1FAF89">
            <w:pPr>
              <w:keepNext w:val="0"/>
              <w:keepLines w:val="0"/>
              <w:suppressLineNumbers w:val="0"/>
              <w:tabs>
                <w:tab w:val="left" w:pos="-1080"/>
                <w:tab w:val="left" w:pos="180"/>
                <w:tab w:val="left" w:pos="108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▲①、表面耐污染性能：至少耐17项实验室化学试剂，须包含：高氯酸72%、硝酸65%、盐酸37%、乙酸99%、磷酸85%、氢氧化钠40%、甲醛37%、氢氟酸40%、氨水28%。检测结果为：5级无明显变化。（</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69F13874">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63886FCB">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8260205">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c>
          <w:tcPr>
            <w:tcW w:w="4237" w:type="pct"/>
            <w:tcBorders>
              <w:top w:val="single" w:color="auto" w:sz="4" w:space="0"/>
              <w:left w:val="single" w:color="auto" w:sz="4" w:space="0"/>
              <w:bottom w:val="single" w:color="auto" w:sz="4" w:space="0"/>
              <w:right w:val="single" w:color="auto" w:sz="4" w:space="0"/>
            </w:tcBorders>
            <w:noWrap/>
            <w:vAlign w:val="center"/>
          </w:tcPr>
          <w:p w14:paraId="559BFCEA">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4EB79968">
            <w:pPr>
              <w:keepNext w:val="0"/>
              <w:keepLines w:val="0"/>
              <w:suppressLineNumbers w:val="0"/>
              <w:tabs>
                <w:tab w:val="left" w:pos="72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▲②、耐磨性：检测结果为：≤1.9mm³（T 级）。并且物理性能：检测结果为：外观无孔洞、裂纹，杂质、色差、气泡、异常凹痕不明显、弯曲性无开裂、色牢度≥6级、残余凹陷≤0.03mm、加热翘曲≤4mm、纵向加热尺寸变化率≤0.09%、横向加热尺寸变化率≤0.09%。（</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A036C60">
            <w:pPr>
              <w:keepNext w:val="0"/>
              <w:keepLines w:val="0"/>
              <w:suppressLineNumbers w:val="0"/>
              <w:tabs>
                <w:tab w:val="left" w:pos="72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4AEB615A">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57CA2D9">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1-6</w:t>
            </w:r>
          </w:p>
        </w:tc>
        <w:tc>
          <w:tcPr>
            <w:tcW w:w="4237" w:type="pct"/>
            <w:tcBorders>
              <w:top w:val="single" w:color="auto" w:sz="4" w:space="0"/>
              <w:left w:val="single" w:color="auto" w:sz="4" w:space="0"/>
              <w:bottom w:val="single" w:color="auto" w:sz="4" w:space="0"/>
              <w:right w:val="single" w:color="auto" w:sz="4" w:space="0"/>
            </w:tcBorders>
            <w:noWrap/>
            <w:vAlign w:val="center"/>
          </w:tcPr>
          <w:p w14:paraId="09A69111">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投标人提供以下检验报告，</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22678958">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③、有害物质释放：检测结果为：可溶性铅：≤1.75mg/㎡、可溶性镉：未检出、氯乙烯单体：未检出、挥发物：≤5.5g/㎡；燃烧性能：根检测结果为：B1（B-s1）。产烟毒性：检测结果为：ZA1级。须满足基本性能：（</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1F405516">
            <w:pPr>
              <w:keepNext w:val="0"/>
              <w:keepLines w:val="0"/>
              <w:suppressLineNumbers w:val="0"/>
              <w:tabs>
                <w:tab w:val="left" w:pos="72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050946EB">
        <w:tblPrEx>
          <w:tblCellMar>
            <w:top w:w="0" w:type="dxa"/>
            <w:left w:w="108" w:type="dxa"/>
            <w:bottom w:w="0" w:type="dxa"/>
            <w:right w:w="108" w:type="dxa"/>
          </w:tblCellMar>
        </w:tblPrEx>
        <w:trPr>
          <w:trHeight w:val="3322"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7013AAAE">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1-7</w:t>
            </w:r>
          </w:p>
        </w:tc>
        <w:tc>
          <w:tcPr>
            <w:tcW w:w="4237" w:type="pct"/>
            <w:tcBorders>
              <w:top w:val="single" w:color="auto" w:sz="4" w:space="0"/>
              <w:left w:val="single" w:color="auto" w:sz="4" w:space="0"/>
              <w:bottom w:val="single" w:color="auto" w:sz="4" w:space="0"/>
              <w:right w:val="single" w:color="auto" w:sz="4" w:space="0"/>
            </w:tcBorders>
            <w:noWrap/>
            <w:vAlign w:val="center"/>
          </w:tcPr>
          <w:p w14:paraId="081ED958">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投标人提供以下检验报告</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424B436F">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eastAsia" w:cs="宋体" w:asciiTheme="minorEastAsia" w:hAnsiTheme="minorEastAsia"/>
                <w:color w:val="auto"/>
                <w:sz w:val="22"/>
                <w:highlight w:val="none"/>
              </w:rPr>
              <w:t>台面光泽度（60°）检测，检测结果不大于8；采用JY/T 0567-2020方法检测银元素（Ag）未检出；台面具有不低于235项及以上高关注度物质（SVHC）；台面参照US EPA3540C：1996方法，采用GC-MS设备对不少于39项邻苯二甲酸脂进行检测，结果为未检出；（</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482FE943">
            <w:pPr>
              <w:keepNext w:val="0"/>
              <w:keepLines w:val="0"/>
              <w:suppressLineNumbers w:val="0"/>
              <w:tabs>
                <w:tab w:val="left" w:pos="72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0.5</w:t>
            </w:r>
          </w:p>
        </w:tc>
      </w:tr>
      <w:tr w14:paraId="4C353DAC">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070AF27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1-8</w:t>
            </w:r>
          </w:p>
        </w:tc>
        <w:tc>
          <w:tcPr>
            <w:tcW w:w="4237" w:type="pct"/>
            <w:tcBorders>
              <w:top w:val="single" w:color="auto" w:sz="4" w:space="0"/>
              <w:left w:val="single" w:color="auto" w:sz="4" w:space="0"/>
              <w:bottom w:val="single" w:color="auto" w:sz="4" w:space="0"/>
              <w:right w:val="single" w:color="auto" w:sz="4" w:space="0"/>
            </w:tcBorders>
            <w:noWrap/>
            <w:vAlign w:val="center"/>
          </w:tcPr>
          <w:p w14:paraId="60E51FD7">
            <w:pPr>
              <w:keepNext w:val="0"/>
              <w:keepLines w:val="0"/>
              <w:suppressLineNumbers w:val="0"/>
              <w:tabs>
                <w:tab w:val="left" w:pos="72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投标人所投产品响应以下要求得满分：▲（3）、台面材料背面须有产品背标，且不可刮涂和磨灭，以便鉴别真伪、验收。</w:t>
            </w:r>
          </w:p>
        </w:tc>
        <w:tc>
          <w:tcPr>
            <w:tcW w:w="372" w:type="pct"/>
            <w:tcBorders>
              <w:top w:val="single" w:color="auto" w:sz="4" w:space="0"/>
              <w:left w:val="single" w:color="auto" w:sz="4" w:space="0"/>
              <w:bottom w:val="single" w:color="auto" w:sz="4" w:space="0"/>
              <w:right w:val="single" w:color="auto" w:sz="4" w:space="0"/>
            </w:tcBorders>
            <w:noWrap/>
            <w:vAlign w:val="center"/>
          </w:tcPr>
          <w:p w14:paraId="2417F5F3">
            <w:pPr>
              <w:keepNext w:val="0"/>
              <w:keepLines w:val="0"/>
              <w:suppressLineNumbers w:val="0"/>
              <w:tabs>
                <w:tab w:val="left" w:pos="72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w:t>
            </w:r>
          </w:p>
        </w:tc>
      </w:tr>
      <w:tr w14:paraId="77076012">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5D28E7D8">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1-9</w:t>
            </w:r>
          </w:p>
        </w:tc>
        <w:tc>
          <w:tcPr>
            <w:tcW w:w="4237" w:type="pct"/>
            <w:tcBorders>
              <w:top w:val="single" w:color="auto" w:sz="4" w:space="0"/>
              <w:left w:val="single" w:color="auto" w:sz="4" w:space="0"/>
              <w:bottom w:val="single" w:color="auto" w:sz="4" w:space="0"/>
              <w:right w:val="single" w:color="auto" w:sz="4" w:space="0"/>
            </w:tcBorders>
            <w:noWrap/>
          </w:tcPr>
          <w:p w14:paraId="771549BC">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投标人提供以下检验报告</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14747D79">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eastAsia" w:cs="宋体" w:asciiTheme="minorEastAsia" w:hAnsiTheme="minorEastAsia"/>
                <w:color w:val="auto"/>
                <w:sz w:val="22"/>
                <w:highlight w:val="none"/>
              </w:rPr>
              <w:t>▲（6）、凸版门板：采用≥1.0mm高品质冷轧钢板（SPCCT），喷涂75μm厚环氧树脂粉末，门面板为</w:t>
            </w:r>
            <w:r>
              <w:rPr>
                <w:rFonts w:hint="eastAsia" w:cs="宋体" w:asciiTheme="minorEastAsia" w:hAnsiTheme="minorEastAsia"/>
                <w:b/>
                <w:bCs/>
                <w:color w:val="auto"/>
                <w:sz w:val="22"/>
                <w:highlight w:val="none"/>
              </w:rPr>
              <w:t>凸面双斜</w:t>
            </w:r>
            <w:r>
              <w:rPr>
                <w:rFonts w:hint="eastAsia" w:cs="宋体" w:asciiTheme="minorEastAsia" w:hAnsiTheme="minorEastAsia"/>
                <w:color w:val="auto"/>
                <w:sz w:val="22"/>
                <w:highlight w:val="none"/>
              </w:rPr>
              <w:t>边设计，双层结构内外部都经过环氧树脂喷涂中间填充隔音材料；门板内含填充材料起到静音作用。 柜体门板以下性能指标：拉门强度、拉门水平加载、拉门耐久性等试验均符合EN14727:2005测试标准；（</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502847BD">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1B1E33D8">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020267C0">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1-10</w:t>
            </w:r>
          </w:p>
        </w:tc>
        <w:tc>
          <w:tcPr>
            <w:tcW w:w="4237" w:type="pct"/>
            <w:tcBorders>
              <w:top w:val="single" w:color="auto" w:sz="4" w:space="0"/>
              <w:left w:val="single" w:color="auto" w:sz="4" w:space="0"/>
              <w:bottom w:val="single" w:color="auto" w:sz="4" w:space="0"/>
              <w:right w:val="single" w:color="auto" w:sz="4" w:space="0"/>
            </w:tcBorders>
            <w:noWrap/>
          </w:tcPr>
          <w:p w14:paraId="46C0B275">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▲抽屉: 抽屉为片装组合结构凸面双斜边设计，采用≥1.0mm高品质冷轧钢板（SPCCT），喷涂≧75μm厚环氧树脂粉末，抽屉底部和四面抽墙应为独立拆装结构组装，用拉铆螺母经19kn以上拉力铆固，配合不锈钢机丝螺丝连接方便现场组装，不破坏防腐涂层，工件所有连接部分经过两次环氧喷涂，避免因水份或者试剂渗漏进接缝后出现腐蚀生锈。抽屉内不出现焊接位，双层结构内外部都经过环氧树脂喷涂中间填充隔音材料；①、抽屉柜以下性能指标：顶板底部静载荷、抽屉结构强度和抽屉和推拉构件强度、耐久性等试验均符合EN14727:2005测试标准。（</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6A9D858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07CABA96">
        <w:tblPrEx>
          <w:tblCellMar>
            <w:top w:w="0" w:type="dxa"/>
            <w:left w:w="108" w:type="dxa"/>
            <w:bottom w:w="0" w:type="dxa"/>
            <w:right w:w="108" w:type="dxa"/>
          </w:tblCellMar>
        </w:tblPrEx>
        <w:trPr>
          <w:trHeight w:val="5184"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0DB5AE0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1-11</w:t>
            </w:r>
          </w:p>
        </w:tc>
        <w:tc>
          <w:tcPr>
            <w:tcW w:w="4237" w:type="pct"/>
            <w:tcBorders>
              <w:top w:val="single" w:color="auto" w:sz="4" w:space="0"/>
              <w:left w:val="single" w:color="auto" w:sz="4" w:space="0"/>
              <w:bottom w:val="single" w:color="auto" w:sz="4" w:space="0"/>
              <w:right w:val="single" w:color="auto" w:sz="4" w:space="0"/>
            </w:tcBorders>
            <w:noWrap/>
          </w:tcPr>
          <w:p w14:paraId="7F335908">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投标人提供以下检验报告</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0497B146">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eastAsia" w:cs="宋体" w:asciiTheme="minorEastAsia" w:hAnsiTheme="minorEastAsia"/>
                <w:color w:val="auto"/>
                <w:sz w:val="22"/>
                <w:highlight w:val="none"/>
              </w:rPr>
              <w:t>②、配备三节滑轨，此滑轨耐久测试可达≥60000次，滑轨耐久性测试载荷≥46kg（包含抽屉自重）情况下不得对可延伸零件的前端提供支撑，轻柔打开闭合可延伸零件≥60000次；拉出安全性测试可达15次：在载荷46kg（包含测试抽屉自重）以0.2m/s的速度将抽屉朝拉出终点挡板拖拉15次，拉力在抽屉导轨移动到终端位置还剩10mm时停止。测试后，可延伸零件及其部位无变形/损坏/拉托和功能丧失；中性盐雾测试48小时结果达到7级。以中性盐喷雾测试，盐液浓度为5%氯化钠溶解在95%的蒸馏水中，48小时，结果达到7级。（</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1711655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0973920D">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7EA87D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1-12</w:t>
            </w:r>
          </w:p>
        </w:tc>
        <w:tc>
          <w:tcPr>
            <w:tcW w:w="4237" w:type="pct"/>
            <w:tcBorders>
              <w:top w:val="single" w:color="auto" w:sz="4" w:space="0"/>
              <w:left w:val="single" w:color="auto" w:sz="4" w:space="0"/>
              <w:bottom w:val="single" w:color="auto" w:sz="4" w:space="0"/>
              <w:right w:val="single" w:color="auto" w:sz="4" w:space="0"/>
            </w:tcBorders>
            <w:noWrap/>
          </w:tcPr>
          <w:p w14:paraId="0CF6A60F">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0E470C56">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第三方检测机构出具的检测报告复印件，原件备查）。</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eastAsia" w:cs="宋体" w:asciiTheme="minorEastAsia" w:hAnsiTheme="minorEastAsia"/>
                <w:color w:val="auto"/>
                <w:sz w:val="22"/>
                <w:highlight w:val="none"/>
              </w:rPr>
              <w:t>拉手与柜门、抽面板一体折弯成型拉手，简洁大方线条感强、牢固耐用，高低调整脚：采用M10螺丝压模成型，底衬防水黑色PVC六角套环，保证可以在柜门打开的情况下，进行钢柜体的水平调节。</w:t>
            </w:r>
          </w:p>
          <w:p w14:paraId="3B2A5C08">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（10）、</w:t>
            </w:r>
            <w:r>
              <w:rPr>
                <w:rFonts w:hint="default" w:cs="宋体" w:asciiTheme="minorEastAsia" w:hAnsiTheme="minorEastAsia"/>
                <w:color w:val="auto"/>
                <w:sz w:val="22"/>
                <w:highlight w:val="none"/>
              </w:rPr>
              <w:t>▲</w:t>
            </w:r>
            <w:r>
              <w:rPr>
                <w:rFonts w:hint="eastAsia" w:cs="宋体" w:asciiTheme="minorEastAsia" w:hAnsiTheme="minorEastAsia"/>
                <w:color w:val="auto"/>
                <w:sz w:val="22"/>
                <w:highlight w:val="none"/>
              </w:rPr>
              <w:t>实验台检测应符合以下技术要求提供相关的检测报告：</w:t>
            </w:r>
          </w:p>
          <w:p w14:paraId="5E6DD0A3">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①、符合水平静载荷测试要求： 从桌子的A,B,C,D的4个方向分别施加600N的水平力，如果实验台倾翻，则调整水平力的角度，使得实验台刚好保持平衡。重复10次。</w:t>
            </w:r>
          </w:p>
          <w:p w14:paraId="57C28395">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②、符合垂直静压测试要求： 在实验台距离边缘不小于100mm最容易出现损坏的位置上施加2000N的垂直力10次。如果位置不明显，最多可以在3个不用的位置进行试验在实验台各个辅助面重复上述试验，力值改为500N。如果实验台倾翻，则在主面施加足够的平衡载荷。</w:t>
            </w:r>
          </w:p>
          <w:p w14:paraId="2FDED1EC">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③、符合搁板的变形量测试要求：搁板按1.25kg/dm²均布载荷24小时，在搁板中心最近前边缘的位置测量变形量。</w:t>
            </w:r>
          </w:p>
          <w:p w14:paraId="1D860E10">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④、符合水平冲击稳定性要求：把实验台放在测试平台，远离冲击点的脚固定。冲击器从40mm的高度冲击实验台最容易倾翻的边缘。</w:t>
            </w:r>
          </w:p>
          <w:p w14:paraId="37764A40">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⑤、符合垂直稳定新测试要求： 在距离实验台边缘50mm位置加载750N的载荷。在长短边做同样的测试。如果带有抽屉，在在抽屉里加载0.</w:t>
            </w:r>
            <w:r>
              <w:rPr>
                <w:rFonts w:hint="default" w:cs="宋体" w:asciiTheme="minorEastAsia" w:hAnsiTheme="minorEastAsia"/>
                <w:color w:val="auto"/>
                <w:sz w:val="22"/>
                <w:highlight w:val="none"/>
              </w:rPr>
              <w:t>2</w:t>
            </w:r>
            <w:r>
              <w:rPr>
                <w:rFonts w:hint="eastAsia" w:cs="宋体" w:asciiTheme="minorEastAsia" w:hAnsiTheme="minorEastAsia"/>
                <w:color w:val="auto"/>
                <w:sz w:val="22"/>
                <w:highlight w:val="none"/>
              </w:rPr>
              <w:t>kg/dm²，并把抽屉打开到最容易使实验台倾翻的位置。</w:t>
            </w:r>
          </w:p>
        </w:tc>
        <w:tc>
          <w:tcPr>
            <w:tcW w:w="372" w:type="pct"/>
            <w:tcBorders>
              <w:top w:val="single" w:color="auto" w:sz="4" w:space="0"/>
              <w:left w:val="single" w:color="auto" w:sz="4" w:space="0"/>
              <w:bottom w:val="single" w:color="auto" w:sz="4" w:space="0"/>
              <w:right w:val="single" w:color="auto" w:sz="4" w:space="0"/>
            </w:tcBorders>
            <w:noWrap/>
            <w:vAlign w:val="center"/>
          </w:tcPr>
          <w:p w14:paraId="33533E2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5033D5EF">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74EBC88">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1-13</w:t>
            </w:r>
          </w:p>
        </w:tc>
        <w:tc>
          <w:tcPr>
            <w:tcW w:w="4237" w:type="pct"/>
            <w:tcBorders>
              <w:top w:val="single" w:color="auto" w:sz="4" w:space="0"/>
              <w:left w:val="single" w:color="auto" w:sz="4" w:space="0"/>
              <w:bottom w:val="single" w:color="auto" w:sz="4" w:space="0"/>
              <w:right w:val="single" w:color="auto" w:sz="4" w:space="0"/>
            </w:tcBorders>
            <w:noWrap/>
          </w:tcPr>
          <w:p w14:paraId="563E0417">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7FE6401F">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9）、边台或其他配备实验室专用插座盒装86型实验室专用防水插座，插座尺寸应为86*86mm，适配于大型插头的使用。插座应带有防水盖对插座正面进行全密封的覆盖，产品上带有IP55级别的标识，具有防尘、防溅水的功能。防水盖四周为硬质工程塑料，中间为软质透明胶面，便于观察插座的款式和使用情况。防水盖上带有弹性闭合装置，平时不使用时处于闭合状态，插头拔掉后能快速顺畅自行闭合，不需手动干预。可适用于所有国产和各类仪器使用需求。</w:t>
            </w:r>
          </w:p>
          <w:p w14:paraId="4F8A2165">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具体参数：</w:t>
            </w:r>
          </w:p>
          <w:p w14:paraId="1698A06A">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①、外观性能上焊接处表面波纹应均匀，应无脱焊、虚焊、焊穿、错位、夹渣、气孔、焊瘤、焊丝头、咬边、飞溅等现象，冲压件应无脱层和裂缝，喷涂层应光滑均匀，色泽一致，应无流挂、疙瘩、皱皮、飞漆等缺陷，应无漏喷、锈蚀和脱色、掉色现象。</w:t>
            </w:r>
          </w:p>
          <w:p w14:paraId="27E0FDFF">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②、插座盒，在产品上划道两侧3mm，经过100个小时的耐腐蚀试验，100个小时内涂层不得其他有鼓泡产生，100个小时后不得有其他锈迹、剥落、起皱、变色和失光等现象。经过100个小时的抗盐雾试验，直径1.5mm以下锈点应≤20点/d㎡，其中直径≥1.0mm的锈点不得超过5点。</w:t>
            </w:r>
          </w:p>
          <w:p w14:paraId="2C449E24">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eastAsia" w:cs="宋体" w:asciiTheme="minorEastAsia" w:hAnsiTheme="minorEastAsia"/>
                <w:color w:val="auto"/>
                <w:sz w:val="22"/>
                <w:highlight w:val="none"/>
              </w:rPr>
              <w:t>③、插座盒的有害物资限量的安全性能，涂层和覆面层不得存在可溶性重金属铅、镉、铬、汞，以上四项含量的检测结果均应为“未检出”。（投标人应针对以上Ⅰ～Ⅲ技术参数要求，</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40E996E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3378E09D">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7B85D9D2">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1-14</w:t>
            </w:r>
          </w:p>
        </w:tc>
        <w:tc>
          <w:tcPr>
            <w:tcW w:w="4237" w:type="pct"/>
            <w:tcBorders>
              <w:top w:val="single" w:color="auto" w:sz="4" w:space="0"/>
              <w:left w:val="single" w:color="auto" w:sz="4" w:space="0"/>
              <w:bottom w:val="single" w:color="auto" w:sz="4" w:space="0"/>
              <w:right w:val="single" w:color="auto" w:sz="4" w:space="0"/>
            </w:tcBorders>
            <w:noWrap/>
          </w:tcPr>
          <w:p w14:paraId="310C909C">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09E56D29">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11）、边台或其他配备实验室专用插座盒装86型实验室专用防水插座，插座尺寸应为86*86mm，适配于大型插头的使用。插座应带有防水盖对插座正面进行全密封的覆盖，产品上带有IP55级别的标识，具有防尘、防溅水的功能。防水盖四周为硬质工程塑料，中间为软质透明胶面，便于观察插座的款式和使用情况。防水盖上带有弹性闭合装置，平时不使用时处于闭合状态，插头拔掉后能快速顺畅自行闭合，不需手动干预。可适用于所有国产和各类仪器使用需求。</w:t>
            </w:r>
          </w:p>
          <w:p w14:paraId="08DF5BE9">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具体参数：</w:t>
            </w:r>
          </w:p>
          <w:p w14:paraId="10012A5B">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①、外观性能上焊接处表面波纹应均匀，应无脱焊、虚焊、焊穿、错位、夹渣、气孔、焊瘤、焊丝头、咬边、飞溅等现象，冲压件应无脱层和裂缝，喷涂层应光滑均匀，色泽一致，应无流挂、疙瘩、皱皮、飞漆等缺陷，应无漏喷、锈蚀和脱色、掉色现象。</w:t>
            </w:r>
          </w:p>
          <w:p w14:paraId="74185DA6">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②、插座盒，在产品上划道两侧3mm，经过100个小时的耐腐蚀试验，100个小时内涂层不得其他有鼓泡产生，100个小时后不得有其他锈迹、剥落、起皱、变色和失光等现象。经过100个小时的抗盐雾试验，直径1.5mm以下锈点应≤20点/d㎡，其中直径≥1.0mm的锈点不得超过5点。</w:t>
            </w:r>
          </w:p>
          <w:p w14:paraId="7B360DAF">
            <w:pPr>
              <w:keepNext w:val="0"/>
              <w:keepLines w:val="0"/>
              <w:suppressLineNumbers w:val="0"/>
              <w:spacing w:before="0" w:beforeAutospacing="0" w:after="0" w:afterAutospacing="0" w:line="360" w:lineRule="auto"/>
              <w:ind w:left="0" w:right="0"/>
              <w:rPr>
                <w:rFonts w:hint="default" w:asciiTheme="minorEastAsia" w:hAnsiTheme="minorEastAsia"/>
                <w:color w:val="auto"/>
                <w:spacing w:val="9"/>
                <w:sz w:val="22"/>
                <w:highlight w:val="none"/>
              </w:rPr>
            </w:pPr>
            <w:r>
              <w:rPr>
                <w:rFonts w:hint="eastAsia" w:cs="宋体" w:asciiTheme="minorEastAsia" w:hAnsiTheme="minorEastAsia"/>
                <w:color w:val="auto"/>
                <w:sz w:val="22"/>
                <w:highlight w:val="none"/>
              </w:rPr>
              <w:t>③、插座盒的有害物资限量的安全性能符合标准的要求，涂层和覆面层不得存在可溶性重金属铅、镉、铬、汞，以上四项含量的检测结果均应为“未检出”。（投标人应针对以上①～③技术参数要求，</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577921D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4C8651A9">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82B974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1-15</w:t>
            </w:r>
          </w:p>
        </w:tc>
        <w:tc>
          <w:tcPr>
            <w:tcW w:w="4237" w:type="pct"/>
            <w:tcBorders>
              <w:top w:val="single" w:color="auto" w:sz="4" w:space="0"/>
              <w:left w:val="single" w:color="auto" w:sz="4" w:space="0"/>
              <w:bottom w:val="single" w:color="auto" w:sz="4" w:space="0"/>
              <w:right w:val="single" w:color="auto" w:sz="4" w:space="0"/>
            </w:tcBorders>
            <w:noWrap/>
          </w:tcPr>
          <w:p w14:paraId="5379E38F">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投标人提供以下检验报告</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6D43D752">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w:t>
            </w:r>
            <w:r>
              <w:rPr>
                <w:rFonts w:hint="eastAsia" w:cs="宋体" w:asciiTheme="minorEastAsia" w:hAnsiTheme="minorEastAsia"/>
                <w:color w:val="auto"/>
                <w:sz w:val="22"/>
                <w:highlight w:val="none"/>
              </w:rPr>
              <w:t>②</w:t>
            </w:r>
            <w:r>
              <w:rPr>
                <w:rFonts w:hint="eastAsia" w:asciiTheme="minorEastAsia" w:hAnsiTheme="minorEastAsia"/>
                <w:color w:val="auto"/>
                <w:sz w:val="22"/>
                <w:highlight w:val="none"/>
              </w:rPr>
              <w:t>钢柜钢板：金属表面耐腐蚀，中性盐雾试验&lt;NSS法&gt;(连续喷雾</w:t>
            </w:r>
            <w:r>
              <w:rPr>
                <w:rFonts w:hint="default" w:asciiTheme="minorEastAsia" w:hAnsiTheme="minorEastAsia"/>
                <w:color w:val="auto"/>
                <w:sz w:val="22"/>
                <w:highlight w:val="none"/>
              </w:rPr>
              <w:t>432h)</w:t>
            </w:r>
            <w:r>
              <w:rPr>
                <w:rFonts w:hint="eastAsia" w:asciiTheme="minorEastAsia" w:hAnsiTheme="minorEastAsia"/>
                <w:color w:val="auto"/>
                <w:sz w:val="22"/>
                <w:highlight w:val="none"/>
              </w:rPr>
              <w:t>：涂(镀)层本身的耐腐蚀及涂(镀)层对基体的保护：等级为</w:t>
            </w:r>
            <w:r>
              <w:rPr>
                <w:rFonts w:hint="default" w:asciiTheme="minorEastAsia" w:hAnsiTheme="minorEastAsia"/>
                <w:color w:val="auto"/>
                <w:sz w:val="22"/>
                <w:highlight w:val="none"/>
              </w:rPr>
              <w:t xml:space="preserve"> 10</w:t>
            </w:r>
            <w:r>
              <w:rPr>
                <w:rFonts w:hint="eastAsia" w:asciiTheme="minorEastAsia" w:hAnsiTheme="minorEastAsia"/>
                <w:color w:val="auto"/>
                <w:sz w:val="22"/>
                <w:highlight w:val="none"/>
              </w:rPr>
              <w:t>级(试板未出现起泡、开裂、剥落、生锈现象)；耐霉菌性：耐霉菌性等级，宛氏拟青霉：0级(不生长，显微镜放大50倍观察)</w:t>
            </w:r>
            <w:r>
              <w:rPr>
                <w:rFonts w:hint="eastAsia" w:cs="宋体" w:asciiTheme="minorEastAsia" w:hAnsiTheme="minorEastAsia"/>
                <w:color w:val="auto"/>
                <w:kern w:val="0"/>
                <w:sz w:val="22"/>
                <w:highlight w:val="none"/>
              </w:rPr>
              <w:t xml:space="preserve"> ；</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20A8CA5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0</w:t>
            </w:r>
            <w:r>
              <w:rPr>
                <w:rFonts w:hint="eastAsia" w:cs="宋体" w:asciiTheme="minorEastAsia" w:hAnsiTheme="minorEastAsia"/>
                <w:bCs/>
                <w:color w:val="auto"/>
                <w:sz w:val="22"/>
                <w:highlight w:val="none"/>
              </w:rPr>
              <w:t>.5</w:t>
            </w:r>
          </w:p>
        </w:tc>
      </w:tr>
      <w:tr w14:paraId="5158D2CB">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8F5324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1-16</w:t>
            </w:r>
          </w:p>
        </w:tc>
        <w:tc>
          <w:tcPr>
            <w:tcW w:w="4237" w:type="pct"/>
            <w:tcBorders>
              <w:top w:val="single" w:color="auto" w:sz="4" w:space="0"/>
              <w:left w:val="single" w:color="auto" w:sz="4" w:space="0"/>
              <w:bottom w:val="single" w:color="auto" w:sz="4" w:space="0"/>
              <w:right w:val="single" w:color="auto" w:sz="4" w:space="0"/>
            </w:tcBorders>
            <w:noWrap/>
          </w:tcPr>
          <w:p w14:paraId="674E2475">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6391718F">
            <w:pPr>
              <w:keepNext w:val="0"/>
              <w:keepLines w:val="0"/>
              <w:suppressLineNumbers w:val="0"/>
              <w:spacing w:before="0" w:beforeAutospacing="0" w:after="0" w:afterAutospacing="0" w:line="360" w:lineRule="auto"/>
              <w:ind w:left="0" w:right="0"/>
              <w:rPr>
                <w:rFonts w:hint="default" w:asciiTheme="minorEastAsia" w:hAnsiTheme="minorEastAsia"/>
                <w:color w:val="auto"/>
                <w:sz w:val="22"/>
                <w:highlight w:val="none"/>
              </w:rPr>
            </w:pPr>
            <w:r>
              <w:rPr>
                <w:rFonts w:hint="default" w:cs="宋体" w:asciiTheme="minorEastAsia" w:hAnsiTheme="minorEastAsia"/>
                <w:color w:val="auto"/>
                <w:sz w:val="22"/>
                <w:highlight w:val="none"/>
              </w:rPr>
              <w:t>▲</w:t>
            </w:r>
            <w:r>
              <w:rPr>
                <w:rFonts w:hint="eastAsia" w:cs="宋体" w:asciiTheme="minorEastAsia" w:hAnsiTheme="minorEastAsia"/>
                <w:color w:val="auto"/>
                <w:sz w:val="22"/>
                <w:highlight w:val="none"/>
              </w:rPr>
              <w:t>③移动储物柜性能测试，以下检测结果均符合要求（</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第三方检测机构出具的检测报告复印件，原件备查）。：</w:t>
            </w:r>
          </w:p>
          <w:p w14:paraId="7D78242E">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Ⅰ、</w:t>
            </w:r>
            <w:r>
              <w:rPr>
                <w:rFonts w:hint="eastAsia" w:asciiTheme="minorEastAsia" w:hAnsiTheme="minorEastAsia"/>
                <w:color w:val="auto"/>
                <w:sz w:val="22"/>
                <w:highlight w:val="none"/>
              </w:rPr>
              <w:t>使用者在正常使用过程中可能接触到的存储家具的部件或零件以及存储家具的工作台不应有毛刺和/或锋利的边缘，也不应有开口管。</w:t>
            </w:r>
          </w:p>
          <w:p w14:paraId="31D798AD">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Ⅱ、</w:t>
            </w:r>
            <w:r>
              <w:rPr>
                <w:rFonts w:hint="eastAsia" w:asciiTheme="minorEastAsia" w:hAnsiTheme="minorEastAsia"/>
                <w:color w:val="auto"/>
                <w:sz w:val="22"/>
                <w:highlight w:val="none"/>
              </w:rPr>
              <w:t>在正常使用时为避免可接触的移动部件之间产生挤压和剪切危害，这些部件在移动过程中任何位置的间距应保持≦8mm或≥25mm，除了门（包括铰链）和延伸部件（包括滑道），但是包括把手和其他部件之间的距离。</w:t>
            </w:r>
          </w:p>
          <w:p w14:paraId="4BC9B14D">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Ⅲ、应至少有两个脚轮可锁定。</w:t>
            </w:r>
          </w:p>
          <w:p w14:paraId="11D5B76F">
            <w:pPr>
              <w:keepNext w:val="0"/>
              <w:keepLines w:val="0"/>
              <w:suppressLineNumbers w:val="0"/>
              <w:spacing w:before="0" w:beforeAutospacing="0" w:after="0" w:afterAutospacing="0" w:line="360" w:lineRule="auto"/>
              <w:ind w:left="0" w:right="0"/>
              <w:rPr>
                <w:rFonts w:hint="default" w:asciiTheme="minorEastAsia" w:hAnsiTheme="minorEastAsia"/>
                <w:color w:val="auto"/>
                <w:sz w:val="22"/>
                <w:highlight w:val="none"/>
              </w:rPr>
            </w:pPr>
            <w:r>
              <w:rPr>
                <w:rFonts w:hint="eastAsia" w:cs="宋体" w:asciiTheme="minorEastAsia" w:hAnsiTheme="minorEastAsia"/>
                <w:color w:val="auto"/>
                <w:sz w:val="22"/>
                <w:highlight w:val="none"/>
              </w:rPr>
              <w:t>Ⅳ、</w:t>
            </w:r>
            <w:r>
              <w:rPr>
                <w:rFonts w:hint="eastAsia" w:asciiTheme="minorEastAsia" w:hAnsiTheme="minorEastAsia"/>
                <w:color w:val="auto"/>
                <w:sz w:val="22"/>
                <w:highlight w:val="none"/>
              </w:rPr>
              <w:t>抽屉的猛开试验，在距延伸部件最后行程10mm位置，由配重产生的力值移除。移动从距完全打开位置300mm开始，延伸部件猛关10次。试验过程中，抽屉或其部件不应从柜体上掉落。试验后没有影响其功能的破裂或损坏。</w:t>
            </w:r>
          </w:p>
          <w:p w14:paraId="4C2750B6">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Ⅴ、</w:t>
            </w:r>
            <w:r>
              <w:rPr>
                <w:rFonts w:hint="eastAsia" w:asciiTheme="minorEastAsia" w:hAnsiTheme="minorEastAsia"/>
                <w:color w:val="auto"/>
                <w:sz w:val="22"/>
                <w:highlight w:val="none"/>
              </w:rPr>
              <w:t>抽屉和延伸部件的强度试验，将检测延伸部件打开至限位位置，若没有限位挡块，打开至内留的三分之一长度（深度）或内留至100mm。在抽屉面板上一步一角施加垂直力250N.施加力值至满负载或抽屉面板距水平位置向下偏移100mm。保持力值至少（10±2）s。试验10次。试验后，没有影响其功能的破裂或损坏</w:t>
            </w:r>
          </w:p>
          <w:p w14:paraId="69B9AD07">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Ⅵ、</w:t>
            </w:r>
            <w:r>
              <w:rPr>
                <w:rFonts w:hint="eastAsia" w:asciiTheme="minorEastAsia" w:hAnsiTheme="minorEastAsia"/>
                <w:color w:val="auto"/>
                <w:sz w:val="22"/>
                <w:highlight w:val="none"/>
              </w:rPr>
              <w:t>抽屉和延伸部件的耐久性试验，在移动过程中不提供垂直支撑也不冲击打开状态时的限位挡块的情况下缓慢打开的关闭抽屉或延伸部件50000次。若抽屉未安装限位挡块，大开至内留三分之一长度（深度）或内留至少100mm。试验后，没有影响其功能的破裂或损坏。</w:t>
            </w:r>
          </w:p>
          <w:p w14:paraId="33042C9E">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ⅰ、</w:t>
            </w:r>
            <w:r>
              <w:rPr>
                <w:rFonts w:hint="eastAsia" w:asciiTheme="minorEastAsia" w:hAnsiTheme="minorEastAsia"/>
                <w:color w:val="auto"/>
                <w:sz w:val="22"/>
                <w:highlight w:val="none"/>
              </w:rPr>
              <w:t>抽屉底部移位试验，在抽屉面板和后板内侧中间位置、距底部约25mm处施加70N力。试验10次，每次至少（10±2）S。试验后，没有影响其功能的破裂或损坏。安全要求试验，抽屉或其部件不应从柜体上掉落。</w:t>
            </w:r>
          </w:p>
          <w:p w14:paraId="4EECD4E5">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ⅱ、</w:t>
            </w:r>
            <w:r>
              <w:rPr>
                <w:rFonts w:hint="eastAsia" w:asciiTheme="minorEastAsia" w:hAnsiTheme="minorEastAsia"/>
                <w:color w:val="auto"/>
                <w:sz w:val="22"/>
                <w:highlight w:val="none"/>
              </w:rPr>
              <w:t>顶面静载试验，在工作台面最易失败的位置但距边缘不小于50mm处施加1000N载荷10次。每次施加载荷保持（10±2）S。检测结果符合要求。</w:t>
            </w:r>
          </w:p>
          <w:p w14:paraId="04F1C4FB">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eastAsia" w:cs="宋体" w:asciiTheme="minorEastAsia" w:hAnsiTheme="minorEastAsia"/>
                <w:color w:val="auto"/>
                <w:sz w:val="22"/>
                <w:highlight w:val="none"/>
              </w:rPr>
              <w:t>ⅲ、</w:t>
            </w:r>
            <w:r>
              <w:rPr>
                <w:rFonts w:hint="eastAsia" w:asciiTheme="minorEastAsia" w:hAnsiTheme="minorEastAsia"/>
                <w:color w:val="auto"/>
                <w:sz w:val="22"/>
                <w:highlight w:val="none"/>
              </w:rPr>
              <w:t>底柜脚轮的额外安全要求试验，柜子骤然停止移动时抽屉保持原位，装有脚轮的柜子在移动时，所有抽屉应保持在关闭位置。止动装置，将柜子放置与水平面成5°角的斜面上，并仅锁定两个脚轮。在没有施加水平力的情况下，检查柜子在加载和空载状态下是否沿着斜面向下移动。</w:t>
            </w:r>
          </w:p>
        </w:tc>
        <w:tc>
          <w:tcPr>
            <w:tcW w:w="372" w:type="pct"/>
            <w:tcBorders>
              <w:top w:val="single" w:color="auto" w:sz="4" w:space="0"/>
              <w:left w:val="single" w:color="auto" w:sz="4" w:space="0"/>
              <w:bottom w:val="single" w:color="auto" w:sz="4" w:space="0"/>
              <w:right w:val="single" w:color="auto" w:sz="4" w:space="0"/>
            </w:tcBorders>
            <w:noWrap/>
            <w:vAlign w:val="center"/>
          </w:tcPr>
          <w:p w14:paraId="6609A45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0</w:t>
            </w:r>
            <w:r>
              <w:rPr>
                <w:rFonts w:hint="eastAsia" w:cs="宋体" w:asciiTheme="minorEastAsia" w:hAnsiTheme="minorEastAsia"/>
                <w:bCs/>
                <w:color w:val="auto"/>
                <w:sz w:val="22"/>
                <w:highlight w:val="none"/>
              </w:rPr>
              <w:t>.5</w:t>
            </w:r>
          </w:p>
        </w:tc>
      </w:tr>
      <w:tr w14:paraId="20B6C609">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C576F6D">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1-17</w:t>
            </w:r>
          </w:p>
        </w:tc>
        <w:tc>
          <w:tcPr>
            <w:tcW w:w="4237" w:type="pct"/>
            <w:tcBorders>
              <w:top w:val="single" w:color="auto" w:sz="4" w:space="0"/>
              <w:left w:val="single" w:color="auto" w:sz="4" w:space="0"/>
              <w:bottom w:val="single" w:color="auto" w:sz="4" w:space="0"/>
              <w:right w:val="single" w:color="auto" w:sz="4" w:space="0"/>
            </w:tcBorders>
            <w:noWrap/>
          </w:tcPr>
          <w:p w14:paraId="6299A933">
            <w:pPr>
              <w:keepNext w:val="0"/>
              <w:keepLines w:val="0"/>
              <w:suppressLineNumbers w:val="0"/>
              <w:spacing w:before="0" w:beforeAutospacing="0" w:after="0" w:afterAutospacing="0" w:line="360" w:lineRule="auto"/>
              <w:ind w:left="0" w:right="0"/>
              <w:rPr>
                <w:rFonts w:hint="default" w:asciiTheme="minorEastAsia" w:hAnsiTheme="minorEastAsia"/>
                <w:color w:val="auto"/>
                <w:sz w:val="22"/>
                <w:highlight w:val="none"/>
              </w:rPr>
            </w:pPr>
            <w:r>
              <w:rPr>
                <w:rFonts w:hint="default" w:asciiTheme="minorEastAsia" w:hAnsiTheme="minorEastAsia"/>
                <w:color w:val="auto"/>
                <w:spacing w:val="9"/>
                <w:sz w:val="22"/>
                <w:highlight w:val="none"/>
              </w:rPr>
              <w:t>投标人</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p w14:paraId="2481A805">
            <w:pPr>
              <w:keepNext w:val="0"/>
              <w:keepLines w:val="0"/>
              <w:suppressLineNumbers w:val="0"/>
              <w:spacing w:before="0" w:beforeAutospacing="0" w:after="0" w:afterAutospacing="0" w:line="360" w:lineRule="auto"/>
              <w:ind w:left="0" w:right="0"/>
              <w:jc w:val="left"/>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2D789512">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default" w:cs="宋体" w:asciiTheme="minorEastAsia" w:hAnsiTheme="minorEastAsia"/>
                <w:color w:val="auto"/>
                <w:sz w:val="22"/>
                <w:highlight w:val="none"/>
              </w:rPr>
              <w:t>▲</w:t>
            </w:r>
            <w:r>
              <w:rPr>
                <w:rFonts w:hint="eastAsia" w:cs="PingFang SC" w:asciiTheme="minorEastAsia" w:hAnsiTheme="minorEastAsia"/>
                <w:color w:val="auto"/>
                <w:sz w:val="22"/>
                <w:highlight w:val="none"/>
              </w:rPr>
              <w:t>④</w:t>
            </w:r>
            <w:r>
              <w:rPr>
                <w:rFonts w:hint="eastAsia" w:cs="宋体" w:asciiTheme="minorEastAsia" w:hAnsiTheme="minorEastAsia"/>
                <w:color w:val="auto"/>
                <w:sz w:val="22"/>
                <w:highlight w:val="none"/>
              </w:rPr>
              <w:t>产品名称：试剂架</w:t>
            </w:r>
          </w:p>
          <w:p w14:paraId="16228C65">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asciiTheme="minorEastAsia" w:hAnsiTheme="minorEastAsia"/>
                <w:color w:val="auto"/>
                <w:sz w:val="22"/>
                <w:highlight w:val="none"/>
              </w:rPr>
              <w:t>A:试剂(或设备)架悬置深度（</w:t>
            </w:r>
            <w:r>
              <w:rPr>
                <w:rFonts w:hint="default" w:asciiTheme="minorEastAsia" w:hAnsiTheme="minorEastAsia"/>
                <w:color w:val="auto"/>
                <w:sz w:val="22"/>
                <w:highlight w:val="none"/>
              </w:rPr>
              <w:t>d</w:t>
            </w:r>
            <w:r>
              <w:rPr>
                <w:rFonts w:hint="default" w:asciiTheme="minorEastAsia" w:hAnsiTheme="minorEastAsia"/>
                <w:color w:val="auto"/>
                <w:sz w:val="22"/>
                <w:highlight w:val="none"/>
                <w:vertAlign w:val="subscript"/>
              </w:rPr>
              <w:t>3</w:t>
            </w:r>
            <w:r>
              <w:rPr>
                <w:rFonts w:hint="default" w:asciiTheme="minorEastAsia" w:hAnsiTheme="minorEastAsia"/>
                <w:color w:val="auto"/>
                <w:sz w:val="22"/>
                <w:highlight w:val="none"/>
              </w:rPr>
              <w:t>）:</w:t>
            </w:r>
            <w:r>
              <w:rPr>
                <w:rFonts w:hint="eastAsia" w:asciiTheme="minorEastAsia" w:hAnsiTheme="minorEastAsia"/>
                <w:color w:val="auto"/>
                <w:sz w:val="22"/>
                <w:highlight w:val="none"/>
              </w:rPr>
              <w:t>试剂架</w:t>
            </w:r>
            <w:r>
              <w:rPr>
                <w:rFonts w:hint="eastAsia" w:cs="宋体" w:asciiTheme="minorEastAsia" w:hAnsiTheme="minorEastAsia"/>
                <w:color w:val="auto"/>
                <w:kern w:val="0"/>
                <w:sz w:val="22"/>
                <w:highlight w:val="none"/>
              </w:rPr>
              <w:t>≤150</w:t>
            </w:r>
            <w:r>
              <w:rPr>
                <w:rFonts w:hint="eastAsia" w:asciiTheme="minorEastAsia" w:hAnsiTheme="minorEastAsia"/>
                <w:color w:val="auto"/>
                <w:sz w:val="22"/>
                <w:highlight w:val="none"/>
              </w:rPr>
              <w:t>、设备架</w:t>
            </w:r>
            <w:r>
              <w:rPr>
                <w:rFonts w:hint="eastAsia" w:cs="宋体" w:asciiTheme="minorEastAsia" w:hAnsiTheme="minorEastAsia"/>
                <w:color w:val="auto"/>
                <w:kern w:val="0"/>
                <w:sz w:val="22"/>
                <w:highlight w:val="none"/>
              </w:rPr>
              <w:t>≥150。B:</w:t>
            </w:r>
            <w:r>
              <w:rPr>
                <w:rFonts w:hint="eastAsia" w:asciiTheme="minorEastAsia" w:hAnsiTheme="minorEastAsia"/>
                <w:color w:val="auto"/>
                <w:sz w:val="22"/>
                <w:highlight w:val="none"/>
              </w:rPr>
              <w:t>外形尺寸偏差：受检产品标识与实测值偏差(配套组合产品的外形尺寸偏差应同取正值或负值)，宽、深、高为</w:t>
            </w:r>
            <w:r>
              <w:rPr>
                <w:rFonts w:hint="eastAsia" w:cs="宋体" w:asciiTheme="minorEastAsia" w:hAnsiTheme="minorEastAsia"/>
                <w:color w:val="auto"/>
                <w:kern w:val="0"/>
                <w:sz w:val="22"/>
                <w:highlight w:val="none"/>
              </w:rPr>
              <w:t>士5，检测结果：0，合格。C:形状位置公差：台面、正视面板翘曲度，700≤对角线长度&lt;1400≤1.1</w:t>
            </w:r>
            <w:r>
              <w:rPr>
                <w:rFonts w:hint="eastAsia" w:asciiTheme="minorEastAsia" w:hAnsiTheme="minorEastAsia"/>
                <w:color w:val="auto"/>
                <w:sz w:val="22"/>
                <w:highlight w:val="none"/>
              </w:rPr>
              <w:t>mm，合格, 台面、正视面板平整度</w:t>
            </w:r>
            <w:r>
              <w:rPr>
                <w:rFonts w:hint="eastAsia" w:cs="宋体" w:asciiTheme="minorEastAsia" w:hAnsiTheme="minorEastAsia"/>
                <w:color w:val="auto"/>
                <w:kern w:val="0"/>
                <w:sz w:val="22"/>
                <w:highlight w:val="none"/>
              </w:rPr>
              <w:t>≤0.10</w:t>
            </w:r>
            <w:r>
              <w:rPr>
                <w:rFonts w:hint="eastAsia" w:asciiTheme="minorEastAsia" w:hAnsiTheme="minorEastAsia"/>
                <w:color w:val="auto"/>
                <w:sz w:val="22"/>
                <w:highlight w:val="none"/>
              </w:rPr>
              <w:t>mm，合格； D：玻璃件外观：外露周边应磨边处理，安装牢固，玻璃应光洁平滑，不应有裂纹、划伤、沙粒、疙瘩和麻点等缺陷，检测报告为合格； E：</w:t>
            </w:r>
            <w:r>
              <w:rPr>
                <w:rFonts w:hint="eastAsia" w:cs="宋体" w:asciiTheme="minorEastAsia" w:hAnsiTheme="minorEastAsia"/>
                <w:color w:val="auto"/>
                <w:kern w:val="0"/>
                <w:sz w:val="22"/>
                <w:highlight w:val="none"/>
              </w:rPr>
              <w:t>喷涂层：涂层应无漏喷、锈蚀；涂层应光滑均匀，色泽一致，应无流挂、疙瘩、皱皮、飞漆等缺陷。检测结果：符合。F:重金属含量</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可溶性铅：≤90mg/kg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可溶性镉：≤75mg/kg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可溶性铬：≤60mg/kg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可溶性汞：≤60mg/kg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检测结果为未检出，合格。G:</w:t>
            </w:r>
            <w:r>
              <w:rPr>
                <w:rFonts w:hint="eastAsia" w:asciiTheme="minorEastAsia" w:hAnsiTheme="minorEastAsia"/>
                <w:color w:val="auto"/>
                <w:sz w:val="22"/>
                <w:highlight w:val="none"/>
              </w:rPr>
              <w:t>金属喷漆（塑）涂层：</w:t>
            </w:r>
            <w:r>
              <w:rPr>
                <w:rFonts w:hint="eastAsia" w:cs="宋体" w:asciiTheme="minorEastAsia" w:hAnsiTheme="minorEastAsia"/>
                <w:color w:val="auto"/>
                <w:kern w:val="0"/>
                <w:sz w:val="22"/>
                <w:highlight w:val="none"/>
              </w:rPr>
              <w:t>硬度≥2H;冲击强度：无剥落、裂纹、皱纹，符合；耐腐蚀24h,乙酸盐雾试验：≥9级；附着力：≤1级。</w:t>
            </w:r>
          </w:p>
        </w:tc>
        <w:tc>
          <w:tcPr>
            <w:tcW w:w="372" w:type="pct"/>
            <w:tcBorders>
              <w:top w:val="single" w:color="auto" w:sz="4" w:space="0"/>
              <w:left w:val="single" w:color="auto" w:sz="4" w:space="0"/>
              <w:bottom w:val="single" w:color="auto" w:sz="4" w:space="0"/>
              <w:right w:val="single" w:color="auto" w:sz="4" w:space="0"/>
            </w:tcBorders>
            <w:noWrap/>
            <w:vAlign w:val="center"/>
          </w:tcPr>
          <w:p w14:paraId="5FA7F0A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72C09058">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03CA012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p>
        </w:tc>
        <w:tc>
          <w:tcPr>
            <w:tcW w:w="4237" w:type="pct"/>
            <w:tcBorders>
              <w:top w:val="single" w:color="auto" w:sz="4" w:space="0"/>
              <w:left w:val="single" w:color="auto" w:sz="4" w:space="0"/>
              <w:bottom w:val="single" w:color="auto" w:sz="4" w:space="0"/>
              <w:right w:val="single" w:color="auto" w:sz="4" w:space="0"/>
            </w:tcBorders>
            <w:noWrap/>
          </w:tcPr>
          <w:p w14:paraId="12DCD2BA">
            <w:pPr>
              <w:keepNext w:val="0"/>
              <w:keepLines w:val="0"/>
              <w:numPr>
                <w:ilvl w:val="255"/>
                <w:numId w:val="0"/>
              </w:numPr>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5EAAA75A">
            <w:pPr>
              <w:keepNext w:val="0"/>
              <w:keepLines w:val="0"/>
              <w:numPr>
                <w:ilvl w:val="255"/>
                <w:numId w:val="0"/>
              </w:numPr>
              <w:suppressLineNumbers w:val="0"/>
              <w:spacing w:before="0" w:beforeAutospacing="0" w:after="0" w:afterAutospacing="0" w:line="360" w:lineRule="auto"/>
              <w:ind w:left="0" w:right="0"/>
              <w:rPr>
                <w:rFonts w:hint="default" w:cs="宋体" w:asciiTheme="minorEastAsia" w:hAnsiTheme="minorEastAsia"/>
                <w:color w:val="auto"/>
                <w:kern w:val="0"/>
                <w:sz w:val="22"/>
                <w:highlight w:val="none"/>
              </w:rPr>
            </w:pPr>
            <w:r>
              <w:rPr>
                <w:rFonts w:hint="default" w:cs="宋体" w:asciiTheme="minorEastAsia" w:hAnsiTheme="minorEastAsia"/>
                <w:color w:val="auto"/>
                <w:sz w:val="22"/>
                <w:highlight w:val="none"/>
              </w:rPr>
              <w:t>▲</w:t>
            </w:r>
            <w:r>
              <w:rPr>
                <w:rFonts w:hint="eastAsia" w:cs="PingFang SC" w:asciiTheme="minorEastAsia" w:hAnsiTheme="minorEastAsia"/>
                <w:color w:val="auto"/>
                <w:sz w:val="22"/>
                <w:highlight w:val="none"/>
              </w:rPr>
              <w:t>⑥</w:t>
            </w:r>
            <w:r>
              <w:rPr>
                <w:rFonts w:hint="eastAsia" w:cs="宋体" w:asciiTheme="minorEastAsia" w:hAnsiTheme="minorEastAsia"/>
                <w:color w:val="auto"/>
                <w:sz w:val="22"/>
                <w:highlight w:val="none"/>
              </w:rPr>
              <w:t>、A:外形尺寸偏差：受检产品标识与实测值偏差(配套组合产品的外形尺寸偏差应同取正值或负值)，宽、深、高为</w:t>
            </w:r>
            <w:r>
              <w:rPr>
                <w:rFonts w:hint="eastAsia" w:cs="宋体" w:asciiTheme="minorEastAsia" w:hAnsiTheme="minorEastAsia"/>
                <w:color w:val="auto"/>
                <w:kern w:val="0"/>
                <w:sz w:val="22"/>
                <w:highlight w:val="none"/>
              </w:rPr>
              <w:t>士5，检测结果：0，合格。</w:t>
            </w:r>
            <w:r>
              <w:rPr>
                <w:rFonts w:hint="eastAsia" w:cs="宋体" w:asciiTheme="minorEastAsia" w:hAnsiTheme="minorEastAsia"/>
                <w:color w:val="auto"/>
                <w:sz w:val="22"/>
                <w:highlight w:val="none"/>
              </w:rPr>
              <w:t>B：金属件外观要求：焊接处：焊接处应无夹渣、气孔、焊瘤、焊丝头、咬边、飞溅;</w:t>
            </w:r>
            <w:r>
              <w:rPr>
                <w:rFonts w:hint="eastAsia" w:cs="宋体" w:asciiTheme="minorEastAsia" w:hAnsiTheme="minorEastAsia"/>
                <w:color w:val="auto"/>
                <w:kern w:val="0"/>
                <w:sz w:val="22"/>
                <w:highlight w:val="none"/>
              </w:rPr>
              <w:t>焊疤表面波纹应均匀、高低之差应不大于1mm; 冲压件应无脱层、裂缝。检测结果：符合。</w:t>
            </w:r>
          </w:p>
          <w:p w14:paraId="486C1D06">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2"/>
                <w:highlight w:val="none"/>
              </w:rPr>
            </w:pPr>
            <w:r>
              <w:rPr>
                <w:rFonts w:hint="eastAsia" w:cs="宋体" w:asciiTheme="minorEastAsia" w:hAnsiTheme="minorEastAsia"/>
                <w:color w:val="auto"/>
                <w:kern w:val="0"/>
                <w:sz w:val="22"/>
                <w:highlight w:val="none"/>
              </w:rPr>
              <w:t>C:喷涂层：涂层应无漏喷、锈蚀；涂层应光滑均匀，色泽一致，应无流挂、疙瘩、皱皮、飞漆等缺陷。检测结果：符合。D.重金属含量</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可溶性铅：≤90mg/kg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可溶性镉：≤75mg/kg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可溶性铬：≤60mg/kg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可溶性汞：≤60mg/kg</w:t>
            </w:r>
            <w:r>
              <w:rPr>
                <w:rFonts w:hint="eastAsia" w:cs="宋体" w:asciiTheme="minorEastAsia" w:hAnsiTheme="minorEastAsia"/>
                <w:color w:val="auto"/>
                <w:sz w:val="22"/>
                <w:highlight w:val="none"/>
              </w:rPr>
              <w:t>，</w:t>
            </w:r>
            <w:r>
              <w:rPr>
                <w:rFonts w:hint="eastAsia" w:cs="宋体" w:asciiTheme="minorEastAsia" w:hAnsiTheme="minorEastAsia"/>
                <w:color w:val="auto"/>
                <w:kern w:val="0"/>
                <w:sz w:val="22"/>
                <w:highlight w:val="none"/>
              </w:rPr>
              <w:t>检测结果为未检出，合格。</w:t>
            </w:r>
            <w:r>
              <w:rPr>
                <w:rFonts w:hint="eastAsia" w:cs="宋体" w:asciiTheme="minorEastAsia" w:hAnsiTheme="minorEastAsia"/>
                <w:color w:val="auto"/>
                <w:sz w:val="22"/>
                <w:highlight w:val="none"/>
              </w:rPr>
              <w:t>E：金属喷漆（塑）涂层：</w:t>
            </w:r>
            <w:r>
              <w:rPr>
                <w:rFonts w:hint="eastAsia" w:cs="宋体" w:asciiTheme="minorEastAsia" w:hAnsiTheme="minorEastAsia"/>
                <w:color w:val="auto"/>
                <w:kern w:val="0"/>
                <w:sz w:val="22"/>
                <w:highlight w:val="none"/>
              </w:rPr>
              <w:t>硬度≥2H;耐腐蚀24h,乙酸盐雾试验：≥9级；附着力：≤1级。</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0E842F6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3CF7F6D2">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70D9A88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1-18</w:t>
            </w:r>
          </w:p>
        </w:tc>
        <w:tc>
          <w:tcPr>
            <w:tcW w:w="4237" w:type="pct"/>
            <w:tcBorders>
              <w:top w:val="single" w:color="auto" w:sz="4" w:space="0"/>
              <w:left w:val="single" w:color="auto" w:sz="4" w:space="0"/>
              <w:bottom w:val="single" w:color="auto" w:sz="4" w:space="0"/>
              <w:right w:val="single" w:color="auto" w:sz="4" w:space="0"/>
            </w:tcBorders>
            <w:noWrap/>
          </w:tcPr>
          <w:p w14:paraId="7B08535A">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6E55BE95">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（2）产品特点</w:t>
            </w:r>
          </w:p>
          <w:p w14:paraId="153104B2">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气瓶存储柜用于储存各类危险易燃易爆气体（甲烷、乙炔、氢气、氧气、惰性气体等）的安全气瓶存储柜，并带有报警功能，安全可靠，质量保证。</w:t>
            </w:r>
          </w:p>
          <w:p w14:paraId="5A61E270">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①柜体：采用≥1.0mm优质冷轧钢板，经酸洗磷化处理，表面环氧树脂静电喷涂，达到防酸碱及防锈之效果;整柜提供具有CMA或CNAS标识的第三方机构出具的防爆测试报告。</w:t>
            </w:r>
          </w:p>
          <w:p w14:paraId="60E1C8BD">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②、门板：采用可脱卸式铰链，正面带透明视窗。</w:t>
            </w:r>
          </w:p>
          <w:p w14:paraId="7C10100B">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③、视窗：钢化夹丝玻璃视窗，样式独特新颖。</w:t>
            </w:r>
          </w:p>
          <w:p w14:paraId="1F56F4FA">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④、PASS孔：柜体侧面设有PASS孔，保证柜内气体流动。</w:t>
            </w:r>
          </w:p>
          <w:p w14:paraId="4F28C817">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⑤、活动式固定装置：适应高度、直径不同气瓶的储存，并采用固定式304不锈钢链条式固定，防止气瓶倾倒。</w:t>
            </w:r>
          </w:p>
          <w:p w14:paraId="3B4B898F">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踏板：柜体底部设有可调节不锈钢印花踏板，方便气瓶装卸。</w:t>
            </w:r>
          </w:p>
          <w:p w14:paraId="4989A0BF">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拉手：采用304不锈钢把手，美观大方。</w:t>
            </w:r>
          </w:p>
          <w:p w14:paraId="410F118D">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⑥、报警器装置:</w:t>
            </w:r>
          </w:p>
          <w:p w14:paraId="4B577FA0">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专用气体探测报警器，根据气瓶储存情况选配专用气体探测报警装置，灵敏度精确度高，更加安全可靠，报警装置识别可燃式、有毒式气体（如甲烷、乙炔、煤气、氢气、硫化氢、一氧化碳、二氧化碳、丙烷、氮气等），采用专用气体探测报警器，空气扩散采样，当达到芯片切点设定的浓度时，将自动报警。</w:t>
            </w:r>
          </w:p>
          <w:p w14:paraId="45176A66">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eastAsia" w:cs="宋体" w:asciiTheme="minorEastAsia" w:hAnsiTheme="minorEastAsia"/>
                <w:color w:val="auto"/>
                <w:sz w:val="22"/>
                <w:highlight w:val="none"/>
              </w:rPr>
              <w:t>⑦自动排风系统:</w:t>
            </w:r>
          </w:p>
          <w:p w14:paraId="3263A71E">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cs="宋体" w:asciiTheme="minorEastAsia" w:hAnsiTheme="minorEastAsia"/>
                <w:color w:val="auto"/>
                <w:sz w:val="22"/>
                <w:highlight w:val="none"/>
              </w:rPr>
              <w:t>当柜内传感器检测到气体泄漏并报警的同时，顶部风机会自动工作，将气体通过排风管排出室外，保证工作区域的人身安全。完全符合以上①～⑦得0.5分。（</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166BB52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0C457D38">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F38AB85">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1-19</w:t>
            </w:r>
          </w:p>
        </w:tc>
        <w:tc>
          <w:tcPr>
            <w:tcW w:w="4237" w:type="pct"/>
            <w:tcBorders>
              <w:top w:val="single" w:color="auto" w:sz="4" w:space="0"/>
              <w:left w:val="single" w:color="auto" w:sz="4" w:space="0"/>
              <w:bottom w:val="single" w:color="auto" w:sz="4" w:space="0"/>
              <w:right w:val="single" w:color="auto" w:sz="4" w:space="0"/>
            </w:tcBorders>
            <w:noWrap/>
          </w:tcPr>
          <w:p w14:paraId="66DEF3A6">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asciiTheme="minorEastAsia" w:hAnsiTheme="minorEastAsia"/>
                <w:color w:val="auto"/>
                <w:spacing w:val="9"/>
                <w:sz w:val="22"/>
                <w:highlight w:val="none"/>
              </w:rPr>
              <w:t>投标人提供以下</w:t>
            </w:r>
            <w:r>
              <w:rPr>
                <w:rFonts w:hint="eastAsia" w:asciiTheme="minorEastAsia" w:hAnsiTheme="minorEastAsia"/>
                <w:color w:val="auto"/>
                <w:spacing w:val="9"/>
                <w:sz w:val="22"/>
                <w:highlight w:val="none"/>
              </w:rPr>
              <w:t>证明</w:t>
            </w:r>
            <w:r>
              <w:rPr>
                <w:rFonts w:hint="default" w:asciiTheme="minorEastAsia" w:hAnsiTheme="minorEastAsia"/>
                <w:color w:val="auto"/>
                <w:spacing w:val="9"/>
                <w:sz w:val="22"/>
                <w:highlight w:val="none"/>
              </w:rPr>
              <w:t>材料，并达到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default" w:cs="宋体" w:asciiTheme="minorEastAsia" w:hAnsiTheme="minorEastAsia"/>
                <w:color w:val="auto"/>
                <w:sz w:val="22"/>
                <w:highlight w:val="none"/>
              </w:rPr>
              <w:t>▲</w:t>
            </w:r>
            <w:r>
              <w:rPr>
                <w:rFonts w:hint="default" w:ascii="宋体" w:hAnsi="宋体" w:cs="宋体"/>
                <w:color w:val="auto"/>
                <w:sz w:val="22"/>
                <w:highlight w:val="none"/>
              </w:rPr>
              <w:t>自净化试剂柜</w:t>
            </w:r>
            <w:r>
              <w:rPr>
                <w:rFonts w:hint="eastAsia" w:ascii="宋体" w:hAnsi="宋体" w:cs="宋体"/>
                <w:color w:val="auto"/>
                <w:sz w:val="22"/>
                <w:highlight w:val="none"/>
              </w:rPr>
              <w:t>搭载了净化装置，能利用配置的分子净化装置，</w:t>
            </w:r>
            <w:r>
              <w:rPr>
                <w:rFonts w:hint="default" w:ascii="宋体" w:hAnsi="宋体" w:cs="宋体"/>
                <w:color w:val="auto"/>
                <w:sz w:val="22"/>
                <w:highlight w:val="none"/>
              </w:rPr>
              <w:t>自动净化柜内空气，</w:t>
            </w:r>
            <w:r>
              <w:rPr>
                <w:rFonts w:hint="eastAsia" w:ascii="宋体" w:hAnsi="宋体" w:cs="宋体"/>
                <w:color w:val="auto"/>
                <w:sz w:val="22"/>
                <w:highlight w:val="none"/>
              </w:rPr>
              <w:t>将挥发产生的废气进行无害化处理，</w:t>
            </w:r>
            <w:r>
              <w:rPr>
                <w:rFonts w:hint="default" w:ascii="宋体" w:hAnsi="宋体" w:cs="宋体"/>
                <w:color w:val="auto"/>
                <w:sz w:val="22"/>
                <w:highlight w:val="none"/>
              </w:rPr>
              <w:t>保护使用者的安全并减少环境污染。</w:t>
            </w:r>
            <w:r>
              <w:rPr>
                <w:rFonts w:hint="eastAsia" w:ascii="宋体" w:hAnsi="宋体" w:cs="宋体"/>
                <w:color w:val="auto"/>
                <w:sz w:val="22"/>
                <w:highlight w:val="none"/>
              </w:rPr>
              <w:t>规格900W*460D*1800H（单位：mm）</w:t>
            </w:r>
            <w:r>
              <w:rPr>
                <w:rFonts w:hint="eastAsia" w:ascii="宋体" w:hAnsi="宋体" w:cs="宋体"/>
                <w:b/>
                <w:color w:val="auto"/>
                <w:sz w:val="22"/>
                <w:highlight w:val="none"/>
              </w:rPr>
              <w:t>柜门：</w:t>
            </w:r>
            <w:r>
              <w:rPr>
                <w:rFonts w:hint="eastAsia" w:ascii="宋体" w:hAnsi="宋体" w:cs="宋体"/>
                <w:bCs/>
                <w:color w:val="auto"/>
                <w:sz w:val="22"/>
                <w:highlight w:val="none"/>
              </w:rPr>
              <w:t>双开门</w:t>
            </w:r>
            <w:r>
              <w:rPr>
                <w:rFonts w:hint="eastAsia" w:ascii="宋体" w:hAnsi="宋体" w:cs="宋体"/>
                <w:color w:val="auto"/>
                <w:sz w:val="22"/>
                <w:highlight w:val="none"/>
              </w:rPr>
              <w:t>。锁具：采用双锁（电子密码锁+机械锁）管理模式，机械锁需符合GA/T 73标准的检测要求，</w:t>
            </w:r>
            <w:r>
              <w:rPr>
                <w:rFonts w:hint="eastAsia" w:ascii="宋体" w:hAnsi="宋体" w:cs="宋体"/>
                <w:bCs/>
                <w:color w:val="auto"/>
                <w:sz w:val="22"/>
                <w:highlight w:val="none"/>
              </w:rPr>
              <w:t>并提供第三方检测机构出具的锁具检测报告</w:t>
            </w:r>
            <w:r>
              <w:rPr>
                <w:rFonts w:hint="eastAsia" w:ascii="宋体" w:hAnsi="宋体" w:cs="宋体"/>
                <w:color w:val="auto"/>
                <w:sz w:val="22"/>
                <w:highlight w:val="none"/>
              </w:rPr>
              <w:t>。</w:t>
            </w:r>
          </w:p>
        </w:tc>
        <w:tc>
          <w:tcPr>
            <w:tcW w:w="372" w:type="pct"/>
            <w:tcBorders>
              <w:top w:val="single" w:color="auto" w:sz="4" w:space="0"/>
              <w:left w:val="single" w:color="auto" w:sz="4" w:space="0"/>
              <w:bottom w:val="single" w:color="auto" w:sz="4" w:space="0"/>
              <w:right w:val="single" w:color="auto" w:sz="4" w:space="0"/>
            </w:tcBorders>
            <w:noWrap/>
            <w:vAlign w:val="center"/>
          </w:tcPr>
          <w:p w14:paraId="3952336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0</w:t>
            </w:r>
            <w:r>
              <w:rPr>
                <w:rFonts w:hint="eastAsia" w:cs="宋体" w:asciiTheme="minorEastAsia" w:hAnsiTheme="minorEastAsia"/>
                <w:bCs/>
                <w:color w:val="auto"/>
                <w:sz w:val="22"/>
                <w:highlight w:val="none"/>
              </w:rPr>
              <w:t>.5</w:t>
            </w:r>
          </w:p>
        </w:tc>
      </w:tr>
      <w:tr w14:paraId="101DE7FD">
        <w:tblPrEx>
          <w:tblCellMar>
            <w:top w:w="0" w:type="dxa"/>
            <w:left w:w="108" w:type="dxa"/>
            <w:bottom w:w="0" w:type="dxa"/>
            <w:right w:w="108" w:type="dxa"/>
          </w:tblCellMar>
        </w:tblPrEx>
        <w:trPr>
          <w:trHeight w:val="154"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0DC33F32">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1-20</w:t>
            </w:r>
          </w:p>
        </w:tc>
        <w:tc>
          <w:tcPr>
            <w:tcW w:w="4237" w:type="pct"/>
            <w:tcBorders>
              <w:top w:val="single" w:color="auto" w:sz="4" w:space="0"/>
              <w:left w:val="single" w:color="auto" w:sz="4" w:space="0"/>
              <w:bottom w:val="single" w:color="auto" w:sz="4" w:space="0"/>
              <w:right w:val="single" w:color="auto" w:sz="4" w:space="0"/>
            </w:tcBorders>
            <w:noWrap/>
          </w:tcPr>
          <w:p w14:paraId="351346DF">
            <w:pPr>
              <w:pStyle w:val="43"/>
              <w:keepNext w:val="0"/>
              <w:keepLines w:val="0"/>
              <w:suppressLineNumbers w:val="0"/>
              <w:spacing w:line="360" w:lineRule="auto"/>
              <w:ind w:left="0" w:right="0"/>
              <w:rPr>
                <w:rFonts w:hint="default"/>
                <w:color w:val="auto"/>
                <w:kern w:val="2"/>
                <w:sz w:val="22"/>
                <w:szCs w:val="22"/>
                <w:highlight w:val="none"/>
              </w:rPr>
            </w:pPr>
            <w:r>
              <w:rPr>
                <w:rFonts w:hint="default" w:asciiTheme="minorEastAsia" w:hAnsiTheme="minorEastAsia" w:eastAsiaTheme="minorEastAsia"/>
                <w:color w:val="auto"/>
                <w:spacing w:val="9"/>
                <w:sz w:val="22"/>
                <w:szCs w:val="22"/>
                <w:highlight w:val="none"/>
              </w:rPr>
              <w:t>投标人所投产品</w:t>
            </w:r>
            <w:r>
              <w:rPr>
                <w:rFonts w:hint="eastAsia" w:asciiTheme="minorEastAsia" w:hAnsiTheme="minorEastAsia" w:eastAsiaTheme="minorEastAsia"/>
                <w:color w:val="auto"/>
                <w:spacing w:val="9"/>
                <w:sz w:val="22"/>
                <w:szCs w:val="22"/>
                <w:highlight w:val="none"/>
              </w:rPr>
              <w:t>需</w:t>
            </w:r>
            <w:r>
              <w:rPr>
                <w:rFonts w:hint="default" w:asciiTheme="minorEastAsia" w:hAnsiTheme="minorEastAsia" w:eastAsiaTheme="minorEastAsia"/>
                <w:color w:val="auto"/>
                <w:spacing w:val="9"/>
                <w:sz w:val="22"/>
                <w:szCs w:val="22"/>
                <w:highlight w:val="none"/>
              </w:rPr>
              <w:t>满足以下要求，并达到</w:t>
            </w:r>
            <w:r>
              <w:rPr>
                <w:rFonts w:hint="default" w:asciiTheme="minorEastAsia" w:hAnsiTheme="minorEastAsia" w:eastAsiaTheme="minorEastAsia"/>
                <w:color w:val="auto"/>
                <w:spacing w:val="8"/>
                <w:sz w:val="22"/>
                <w:szCs w:val="22"/>
                <w:highlight w:val="none"/>
              </w:rPr>
              <w:t>以下相应技术指标要求的，</w:t>
            </w:r>
            <w:r>
              <w:rPr>
                <w:rFonts w:hint="eastAsia" w:asciiTheme="minorEastAsia" w:hAnsiTheme="minorEastAsia" w:eastAsiaTheme="minorEastAsia"/>
                <w:color w:val="auto"/>
                <w:spacing w:val="8"/>
                <w:sz w:val="22"/>
                <w:szCs w:val="22"/>
                <w:highlight w:val="none"/>
              </w:rPr>
              <w:t>完全满足要求的</w:t>
            </w:r>
            <w:r>
              <w:rPr>
                <w:rFonts w:hint="default" w:asciiTheme="minorEastAsia" w:hAnsiTheme="minorEastAsia" w:eastAsiaTheme="minorEastAsia"/>
                <w:color w:val="auto"/>
                <w:spacing w:val="8"/>
                <w:sz w:val="22"/>
                <w:szCs w:val="22"/>
                <w:highlight w:val="none"/>
              </w:rPr>
              <w:t>得</w:t>
            </w:r>
            <w:r>
              <w:rPr>
                <w:rFonts w:hint="eastAsia" w:asciiTheme="minorEastAsia" w:hAnsiTheme="minorEastAsia" w:eastAsiaTheme="minorEastAsia"/>
                <w:color w:val="auto"/>
                <w:spacing w:val="8"/>
                <w:sz w:val="22"/>
                <w:szCs w:val="22"/>
                <w:highlight w:val="none"/>
              </w:rPr>
              <w:t>满</w:t>
            </w:r>
            <w:r>
              <w:rPr>
                <w:rFonts w:hint="default" w:asciiTheme="minorEastAsia" w:hAnsiTheme="minorEastAsia" w:eastAsiaTheme="minorEastAsia"/>
                <w:color w:val="auto"/>
                <w:spacing w:val="8"/>
                <w:sz w:val="22"/>
                <w:szCs w:val="22"/>
                <w:highlight w:val="none"/>
              </w:rPr>
              <w:t>分，否则不得分</w:t>
            </w:r>
            <w:r>
              <w:rPr>
                <w:rFonts w:hint="default" w:asciiTheme="minorEastAsia" w:hAnsiTheme="minorEastAsia"/>
                <w:color w:val="auto"/>
                <w:sz w:val="22"/>
                <w:szCs w:val="22"/>
                <w:highlight w:val="none"/>
              </w:rPr>
              <w:t>▲</w:t>
            </w:r>
            <w:r>
              <w:rPr>
                <w:rFonts w:hint="eastAsia" w:ascii="PingFang SC" w:hAnsi="PingFang SC" w:eastAsia="PingFang SC" w:cs="PingFang SC"/>
                <w:b/>
                <w:bCs/>
                <w:color w:val="auto"/>
                <w:kern w:val="2"/>
                <w:sz w:val="22"/>
                <w:szCs w:val="22"/>
                <w:highlight w:val="none"/>
              </w:rPr>
              <w:t>②</w:t>
            </w:r>
            <w:r>
              <w:rPr>
                <w:rFonts w:hint="eastAsia"/>
                <w:b/>
                <w:color w:val="auto"/>
                <w:sz w:val="22"/>
                <w:szCs w:val="22"/>
                <w:highlight w:val="none"/>
              </w:rPr>
              <w:t>材质</w:t>
            </w:r>
            <w:r>
              <w:rPr>
                <w:rFonts w:hint="eastAsia"/>
                <w:color w:val="auto"/>
                <w:sz w:val="22"/>
                <w:szCs w:val="22"/>
                <w:highlight w:val="none"/>
              </w:rPr>
              <w:t>：主柜体采用厚度≥1.0mm冷轧钢板，38mm中空双层防火结构设计，内外表面均经环氧树脂粉末静电喷涂处理喷涂后的金属表面抗一定的化学物质（</w:t>
            </w:r>
            <w:r>
              <w:rPr>
                <w:rFonts w:hint="default" w:ascii="Arial" w:hAnsi="Arial" w:cs="Arial"/>
                <w:color w:val="auto"/>
                <w:sz w:val="22"/>
                <w:szCs w:val="22"/>
                <w:highlight w:val="none"/>
              </w:rPr>
              <w:t>≥</w:t>
            </w:r>
            <w:r>
              <w:rPr>
                <w:rFonts w:hint="eastAsia"/>
                <w:color w:val="auto"/>
                <w:sz w:val="22"/>
                <w:szCs w:val="22"/>
                <w:highlight w:val="none"/>
              </w:rPr>
              <w:t>10种常见的化学试剂）具备耐腐蚀耐酸碱功能，漆表面结果无可见变化；须提供对应的第三方检测报告。另外内胆配置柜体内部内衬PP板，耐腐蚀性能优异。</w:t>
            </w:r>
            <w:r>
              <w:rPr>
                <w:rFonts w:hint="eastAsia" w:ascii="PingFang SC" w:hAnsi="PingFang SC" w:eastAsia="PingFang SC" w:cs="PingFang SC"/>
                <w:b/>
                <w:bCs/>
                <w:color w:val="auto"/>
                <w:kern w:val="2"/>
                <w:sz w:val="22"/>
                <w:szCs w:val="22"/>
                <w:highlight w:val="none"/>
              </w:rPr>
              <w:t>③</w:t>
            </w:r>
            <w:r>
              <w:rPr>
                <w:rFonts w:hint="eastAsia"/>
                <w:b/>
                <w:bCs/>
                <w:color w:val="auto"/>
                <w:kern w:val="2"/>
                <w:sz w:val="22"/>
                <w:szCs w:val="22"/>
                <w:highlight w:val="none"/>
              </w:rPr>
              <w:t>通风口：</w:t>
            </w:r>
            <w:r>
              <w:rPr>
                <w:rFonts w:hint="eastAsia"/>
                <w:color w:val="auto"/>
                <w:kern w:val="2"/>
                <w:sz w:val="22"/>
                <w:szCs w:val="22"/>
                <w:highlight w:val="none"/>
              </w:rPr>
              <w:t>附有消焰器的两个通风口分别位于两侧底部和顶部，安全降低柜内有害气体聚集的风险，并在外部火情发生时有效断绝火势进入柜体。提供通风口消焰器阻隔火苗的照片。</w:t>
            </w:r>
          </w:p>
          <w:p w14:paraId="5FD3CDDD">
            <w:pPr>
              <w:pStyle w:val="43"/>
              <w:keepNext w:val="0"/>
              <w:keepLines w:val="0"/>
              <w:suppressLineNumbers w:val="0"/>
              <w:spacing w:line="360" w:lineRule="auto"/>
              <w:ind w:left="0" w:right="0"/>
              <w:rPr>
                <w:rFonts w:hint="default"/>
                <w:color w:val="auto"/>
                <w:kern w:val="2"/>
                <w:sz w:val="22"/>
                <w:szCs w:val="22"/>
                <w:highlight w:val="none"/>
              </w:rPr>
            </w:pPr>
            <w:r>
              <w:rPr>
                <w:rFonts w:hint="eastAsia" w:ascii="PingFang SC" w:hAnsi="PingFang SC" w:eastAsia="PingFang SC" w:cs="PingFang SC"/>
                <w:color w:val="auto"/>
                <w:kern w:val="2"/>
                <w:sz w:val="22"/>
                <w:szCs w:val="22"/>
                <w:highlight w:val="none"/>
              </w:rPr>
              <w:t>④</w:t>
            </w:r>
            <w:r>
              <w:rPr>
                <w:rFonts w:hint="eastAsia"/>
                <w:b/>
                <w:bCs/>
                <w:color w:val="auto"/>
                <w:kern w:val="2"/>
                <w:sz w:val="22"/>
                <w:szCs w:val="22"/>
                <w:highlight w:val="none"/>
              </w:rPr>
              <w:t>可调层板挂钩设计：</w:t>
            </w:r>
            <w:r>
              <w:rPr>
                <w:rFonts w:hint="eastAsia"/>
                <w:color w:val="auto"/>
                <w:kern w:val="2"/>
                <w:sz w:val="22"/>
                <w:szCs w:val="22"/>
                <w:highlight w:val="none"/>
              </w:rPr>
              <w:t>内部挂钩设计对层板的放置无方向要求，安装操作简单便捷，保证溢出物被安全导入盛漏槽，绝无误操作的隐忧。</w:t>
            </w:r>
          </w:p>
          <w:p w14:paraId="2C19A10F">
            <w:pPr>
              <w:pStyle w:val="43"/>
              <w:keepNext w:val="0"/>
              <w:keepLines w:val="0"/>
              <w:suppressLineNumbers w:val="0"/>
              <w:spacing w:line="360" w:lineRule="auto"/>
              <w:ind w:left="0" w:right="0"/>
              <w:rPr>
                <w:rFonts w:hint="default"/>
                <w:color w:val="auto"/>
                <w:kern w:val="2"/>
                <w:sz w:val="22"/>
                <w:szCs w:val="22"/>
                <w:highlight w:val="none"/>
              </w:rPr>
            </w:pPr>
            <w:r>
              <w:rPr>
                <w:rFonts w:hint="eastAsia" w:ascii="PingFang SC" w:hAnsi="PingFang SC" w:eastAsia="PingFang SC" w:cs="PingFang SC"/>
                <w:color w:val="auto"/>
                <w:kern w:val="2"/>
                <w:sz w:val="22"/>
                <w:szCs w:val="22"/>
                <w:highlight w:val="none"/>
              </w:rPr>
              <w:t>⑤</w:t>
            </w:r>
            <w:r>
              <w:rPr>
                <w:rFonts w:hint="eastAsia"/>
                <w:color w:val="auto"/>
                <w:kern w:val="2"/>
                <w:sz w:val="22"/>
                <w:szCs w:val="22"/>
                <w:highlight w:val="none"/>
              </w:rPr>
              <w:t>警示标语：3M反光材质，夜间可视距离达50米，配警示标语。在夜晚突发断电的情况下，也能清晰准确的锁定位置。</w:t>
            </w:r>
          </w:p>
          <w:p w14:paraId="3CB61747">
            <w:pPr>
              <w:pStyle w:val="43"/>
              <w:keepNext w:val="0"/>
              <w:keepLines w:val="0"/>
              <w:suppressLineNumbers w:val="0"/>
              <w:spacing w:line="360" w:lineRule="auto"/>
              <w:ind w:left="0" w:right="0"/>
              <w:rPr>
                <w:rFonts w:hint="default"/>
                <w:color w:val="auto"/>
                <w:sz w:val="22"/>
                <w:szCs w:val="22"/>
                <w:highlight w:val="none"/>
              </w:rPr>
            </w:pPr>
            <w:r>
              <w:rPr>
                <w:rFonts w:hint="eastAsia" w:ascii="PingFang SC" w:hAnsi="PingFang SC" w:eastAsia="PingFang SC" w:cs="PingFang SC"/>
                <w:b/>
                <w:color w:val="auto"/>
                <w:sz w:val="22"/>
                <w:szCs w:val="22"/>
                <w:highlight w:val="none"/>
              </w:rPr>
              <w:t>⑥</w:t>
            </w:r>
            <w:r>
              <w:rPr>
                <w:rFonts w:hint="eastAsia"/>
                <w:b/>
                <w:color w:val="auto"/>
                <w:sz w:val="22"/>
                <w:szCs w:val="22"/>
                <w:highlight w:val="none"/>
              </w:rPr>
              <w:t>静电接地</w:t>
            </w:r>
            <w:r>
              <w:rPr>
                <w:rFonts w:hint="eastAsia"/>
                <w:color w:val="auto"/>
                <w:sz w:val="22"/>
                <w:szCs w:val="22"/>
                <w:highlight w:val="none"/>
              </w:rPr>
              <w:t>：柜体设计静电接地接口。</w:t>
            </w:r>
          </w:p>
          <w:p w14:paraId="7CA6E2AE">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eastAsia" w:ascii="PingFang SC" w:hAnsi="PingFang SC" w:eastAsia="PingFang SC" w:cs="PingFang SC"/>
                <w:b/>
                <w:color w:val="auto"/>
                <w:sz w:val="22"/>
                <w:highlight w:val="none"/>
              </w:rPr>
              <w:t>⑦</w:t>
            </w:r>
            <w:r>
              <w:rPr>
                <w:rFonts w:hint="eastAsia"/>
                <w:b/>
                <w:color w:val="auto"/>
                <w:sz w:val="22"/>
                <w:highlight w:val="none"/>
              </w:rPr>
              <w:t>配置脚轮：</w:t>
            </w:r>
            <w:r>
              <w:rPr>
                <w:rFonts w:hint="eastAsia"/>
                <w:color w:val="auto"/>
                <w:sz w:val="22"/>
                <w:highlight w:val="none"/>
              </w:rPr>
              <w:t>柜体配备4副移动福马脚轮，便于管理员对现场进行调动，移动脚轮单轮承重500KG，同时具有调整柜体高度功能，在地面存在角度倾斜的情况下，可通过调整脚轮高度使柜体达到平衡。</w:t>
            </w:r>
          </w:p>
        </w:tc>
        <w:tc>
          <w:tcPr>
            <w:tcW w:w="372" w:type="pct"/>
            <w:tcBorders>
              <w:top w:val="single" w:color="auto" w:sz="4" w:space="0"/>
              <w:left w:val="single" w:color="auto" w:sz="4" w:space="0"/>
              <w:bottom w:val="single" w:color="auto" w:sz="4" w:space="0"/>
              <w:right w:val="single" w:color="auto" w:sz="4" w:space="0"/>
            </w:tcBorders>
            <w:noWrap/>
            <w:vAlign w:val="center"/>
          </w:tcPr>
          <w:p w14:paraId="42F8EF1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33C1F7BB">
        <w:tblPrEx>
          <w:tblCellMar>
            <w:top w:w="0" w:type="dxa"/>
            <w:left w:w="108" w:type="dxa"/>
            <w:bottom w:w="0" w:type="dxa"/>
            <w:right w:w="108" w:type="dxa"/>
          </w:tblCellMar>
        </w:tblPrEx>
        <w:trPr>
          <w:trHeight w:val="1219"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39EE57D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1-21</w:t>
            </w:r>
          </w:p>
        </w:tc>
        <w:tc>
          <w:tcPr>
            <w:tcW w:w="4237" w:type="pct"/>
            <w:tcBorders>
              <w:top w:val="single" w:color="auto" w:sz="4" w:space="0"/>
              <w:left w:val="single" w:color="auto" w:sz="4" w:space="0"/>
              <w:bottom w:val="single" w:color="auto" w:sz="4" w:space="0"/>
              <w:right w:val="single" w:color="auto" w:sz="4" w:space="0"/>
            </w:tcBorders>
            <w:noWrap/>
          </w:tcPr>
          <w:p w14:paraId="1F79CF1E">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w:t>
            </w:r>
            <w:r>
              <w:rPr>
                <w:rFonts w:hint="eastAsia" w:asciiTheme="minorEastAsia" w:hAnsiTheme="minorEastAsia"/>
                <w:color w:val="auto"/>
                <w:spacing w:val="9"/>
                <w:sz w:val="22"/>
                <w:highlight w:val="none"/>
              </w:rPr>
              <w:t>证明</w:t>
            </w:r>
            <w:r>
              <w:rPr>
                <w:rFonts w:hint="default" w:asciiTheme="minorEastAsia" w:hAnsiTheme="minorEastAsia"/>
                <w:color w:val="auto"/>
                <w:spacing w:val="9"/>
                <w:sz w:val="22"/>
                <w:highlight w:val="none"/>
              </w:rPr>
              <w:t>材料，</w:t>
            </w:r>
            <w:r>
              <w:rPr>
                <w:rFonts w:hint="eastAsia" w:asciiTheme="minorEastAsia" w:hAnsiTheme="minorEastAsia"/>
                <w:color w:val="auto"/>
                <w:spacing w:val="9"/>
                <w:sz w:val="22"/>
                <w:highlight w:val="none"/>
              </w:rPr>
              <w:t>满足上项要求</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满足</w:t>
            </w:r>
            <w:r>
              <w:rPr>
                <w:rFonts w:hint="eastAsia" w:cs="宋体" w:asciiTheme="minorEastAsia" w:hAnsiTheme="minorEastAsia"/>
                <w:color w:val="auto"/>
                <w:sz w:val="22"/>
                <w:highlight w:val="none"/>
              </w:rPr>
              <w:t>▲</w:t>
            </w:r>
            <w:r>
              <w:rPr>
                <w:rStyle w:val="51"/>
                <w:rFonts w:hint="default" w:ascii="PingFang SC" w:hAnsi="PingFang SC" w:eastAsia="PingFang SC" w:cs="PingFang SC"/>
                <w:color w:val="auto"/>
                <w:sz w:val="22"/>
                <w:highlight w:val="none"/>
              </w:rPr>
              <w:t>⑧～</w:t>
            </w:r>
            <w:r>
              <w:rPr>
                <w:rFonts w:hint="eastAsia" w:ascii="PingFang SC" w:hAnsi="PingFang SC" w:eastAsia="PingFang SC" w:cs="PingFang SC"/>
                <w:b/>
                <w:bCs/>
                <w:color w:val="auto"/>
                <w:sz w:val="22"/>
                <w:highlight w:val="none"/>
              </w:rPr>
              <w:t>⑩</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1.5分满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51366676">
            <w:pPr>
              <w:pStyle w:val="43"/>
              <w:keepNext w:val="0"/>
              <w:keepLines w:val="0"/>
              <w:suppressLineNumbers w:val="0"/>
              <w:spacing w:line="360" w:lineRule="auto"/>
              <w:ind w:left="0" w:right="0"/>
              <w:rPr>
                <w:rFonts w:hint="default" w:ascii="微软雅黑 Light" w:hAnsi="微软雅黑 Light" w:eastAsia="微软雅黑 Light" w:cs="微软雅黑 Light"/>
                <w:color w:val="auto"/>
                <w:kern w:val="2"/>
                <w:sz w:val="22"/>
                <w:szCs w:val="22"/>
                <w:highlight w:val="none"/>
              </w:rPr>
            </w:pPr>
            <w:r>
              <w:rPr>
                <w:rStyle w:val="51"/>
                <w:rFonts w:hint="default" w:ascii="PingFang SC" w:hAnsi="PingFang SC" w:eastAsia="PingFang SC" w:cs="PingFang SC"/>
                <w:color w:val="auto"/>
                <w:sz w:val="22"/>
                <w:szCs w:val="22"/>
                <w:highlight w:val="none"/>
              </w:rPr>
              <w:t>⑧</w:t>
            </w:r>
            <w:r>
              <w:rPr>
                <w:rFonts w:hint="eastAsia"/>
                <w:b/>
                <w:color w:val="auto"/>
                <w:sz w:val="22"/>
                <w:szCs w:val="22"/>
                <w:highlight w:val="none"/>
              </w:rPr>
              <w:t>通风净化：</w:t>
            </w:r>
            <w:r>
              <w:rPr>
                <w:rFonts w:hint="eastAsia"/>
                <w:color w:val="auto"/>
                <w:sz w:val="22"/>
                <w:szCs w:val="22"/>
                <w:highlight w:val="none"/>
              </w:rPr>
              <w:t>自净化试剂柜配有分子过滤器，可实现柜内气体自净化，滤芯过滤性能不小于99.9%，提供过滤器滤芯过滤性能检测报告，报告中应包含苯、甲苯、二甲苯、非甲烷等气体检测项目。提供第三方检测报告。</w:t>
            </w:r>
          </w:p>
          <w:p w14:paraId="15F3D7F1">
            <w:pPr>
              <w:pStyle w:val="43"/>
              <w:keepNext w:val="0"/>
              <w:keepLines w:val="0"/>
              <w:suppressLineNumbers w:val="0"/>
              <w:spacing w:line="360" w:lineRule="auto"/>
              <w:ind w:left="0" w:right="0"/>
              <w:rPr>
                <w:rFonts w:hint="default"/>
                <w:color w:val="auto"/>
                <w:sz w:val="22"/>
                <w:szCs w:val="22"/>
                <w:highlight w:val="none"/>
              </w:rPr>
            </w:pPr>
            <w:r>
              <w:rPr>
                <w:rFonts w:hint="eastAsia" w:ascii="PingFang SC" w:hAnsi="PingFang SC" w:eastAsia="PingFang SC" w:cs="PingFang SC"/>
                <w:b/>
                <w:bCs/>
                <w:color w:val="auto"/>
                <w:sz w:val="22"/>
                <w:szCs w:val="22"/>
                <w:highlight w:val="none"/>
              </w:rPr>
              <w:t>⑨</w:t>
            </w:r>
            <w:r>
              <w:rPr>
                <w:rFonts w:hint="default"/>
                <w:b/>
                <w:bCs/>
                <w:color w:val="auto"/>
                <w:sz w:val="22"/>
                <w:szCs w:val="22"/>
                <w:highlight w:val="none"/>
              </w:rPr>
              <w:t>传感器技术:</w:t>
            </w:r>
            <w:r>
              <w:rPr>
                <w:rFonts w:hint="default"/>
                <w:color w:val="auto"/>
                <w:sz w:val="22"/>
                <w:szCs w:val="22"/>
                <w:highlight w:val="none"/>
              </w:rPr>
              <w:t xml:space="preserve"> 利用多种传感器，如气体检测传感器、温湿度传感器等，实时监测柜内的空气质量和环境条件。这些传感器能够检测特定的化学气体及其浓度，以及监控柜内的温湿度状况。</w:t>
            </w:r>
            <w:r>
              <w:rPr>
                <w:rFonts w:hint="eastAsia"/>
                <w:color w:val="auto"/>
                <w:sz w:val="22"/>
                <w:szCs w:val="22"/>
                <w:highlight w:val="none"/>
              </w:rPr>
              <w:t>提供第三方检测报告。</w:t>
            </w:r>
          </w:p>
          <w:p w14:paraId="5F223ED0">
            <w:pPr>
              <w:pStyle w:val="43"/>
              <w:keepNext w:val="0"/>
              <w:keepLines w:val="0"/>
              <w:suppressLineNumbers w:val="0"/>
              <w:spacing w:line="360" w:lineRule="auto"/>
              <w:ind w:left="0" w:right="0"/>
              <w:rPr>
                <w:rFonts w:hint="default" w:asciiTheme="minorEastAsia" w:hAnsiTheme="minorEastAsia" w:eastAsiaTheme="minorEastAsia"/>
                <w:bCs/>
                <w:color w:val="auto"/>
                <w:sz w:val="22"/>
                <w:highlight w:val="none"/>
              </w:rPr>
            </w:pPr>
            <w:r>
              <w:rPr>
                <w:rFonts w:hint="eastAsia" w:ascii="PingFang SC" w:hAnsi="PingFang SC" w:eastAsia="PingFang SC" w:cs="PingFang SC"/>
                <w:b/>
                <w:bCs/>
                <w:color w:val="auto"/>
                <w:sz w:val="22"/>
                <w:szCs w:val="22"/>
                <w:highlight w:val="none"/>
              </w:rPr>
              <w:t>⑩</w:t>
            </w:r>
            <w:r>
              <w:rPr>
                <w:rFonts w:hint="default"/>
                <w:b/>
                <w:bCs/>
                <w:color w:val="auto"/>
                <w:sz w:val="22"/>
                <w:szCs w:val="22"/>
                <w:highlight w:val="none"/>
              </w:rPr>
              <w:t>数据分析:</w:t>
            </w:r>
            <w:r>
              <w:rPr>
                <w:rFonts w:hint="default"/>
                <w:color w:val="auto"/>
                <w:sz w:val="22"/>
                <w:szCs w:val="22"/>
                <w:highlight w:val="none"/>
              </w:rPr>
              <w:t xml:space="preserve"> 智能系统会根据监测到的数据，通过内置算法分析是否启动净化流程，确保柜内环境始终处于安全状态。</w:t>
            </w:r>
            <w:r>
              <w:rPr>
                <w:rFonts w:hint="eastAsia"/>
                <w:color w:val="auto"/>
                <w:sz w:val="22"/>
                <w:szCs w:val="22"/>
                <w:highlight w:val="none"/>
              </w:rPr>
              <w:t>自净化试剂柜应包含1套温湿度探头、2套VOC气体探头，实时监测柜内化学品存储环境；同时支持管理员远程控制风机运行模式，支持远程报警功能，可通过电话、短信、小程序推送等方式通知管理员（提供界面截图佐证）。</w:t>
            </w:r>
            <w:r>
              <w:rPr>
                <w:rFonts w:hint="eastAsia"/>
                <w:b/>
                <w:color w:val="auto"/>
                <w:sz w:val="22"/>
                <w:szCs w:val="22"/>
                <w:highlight w:val="none"/>
              </w:rPr>
              <w:t>屏幕：</w:t>
            </w:r>
            <w:r>
              <w:rPr>
                <w:rFonts w:hint="eastAsia"/>
                <w:color w:val="auto"/>
                <w:sz w:val="22"/>
                <w:szCs w:val="22"/>
                <w:highlight w:val="none"/>
              </w:rPr>
              <w:t>净化器额外搭载≥7英寸触摸电容屏，屏幕分辨率≥1024*600像素；可通过屏幕现场控制净化器，或调整净化器工作模式（提供界面截图佐证）。</w:t>
            </w:r>
          </w:p>
        </w:tc>
        <w:tc>
          <w:tcPr>
            <w:tcW w:w="372" w:type="pct"/>
            <w:tcBorders>
              <w:top w:val="single" w:color="auto" w:sz="4" w:space="0"/>
              <w:left w:val="single" w:color="auto" w:sz="4" w:space="0"/>
              <w:bottom w:val="single" w:color="auto" w:sz="4" w:space="0"/>
              <w:right w:val="single" w:color="auto" w:sz="4" w:space="0"/>
            </w:tcBorders>
            <w:noWrap/>
            <w:vAlign w:val="center"/>
          </w:tcPr>
          <w:p w14:paraId="3E63810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asciiTheme="minorEastAsia" w:hAnsiTheme="minorEastAsia"/>
                <w:color w:val="auto"/>
                <w:spacing w:val="8"/>
                <w:sz w:val="22"/>
                <w:highlight w:val="none"/>
              </w:rPr>
              <w:t>1.5</w:t>
            </w:r>
          </w:p>
        </w:tc>
      </w:tr>
      <w:tr w14:paraId="12DCB895">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5D6651B9">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1-22</w:t>
            </w:r>
          </w:p>
        </w:tc>
        <w:tc>
          <w:tcPr>
            <w:tcW w:w="4237" w:type="pct"/>
            <w:tcBorders>
              <w:top w:val="single" w:color="auto" w:sz="4" w:space="0"/>
              <w:left w:val="single" w:color="auto" w:sz="4" w:space="0"/>
              <w:bottom w:val="single" w:color="auto" w:sz="4" w:space="0"/>
              <w:right w:val="single" w:color="auto" w:sz="4" w:space="0"/>
            </w:tcBorders>
            <w:noWrap/>
          </w:tcPr>
          <w:p w14:paraId="072A5EA2">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default" w:cs="宋体" w:asciiTheme="minorEastAsia" w:hAnsiTheme="minorEastAsia"/>
                <w:color w:val="auto"/>
                <w:sz w:val="22"/>
                <w:highlight w:val="none"/>
              </w:rPr>
              <w:t>耐高温性能和安全采用20mm厚平板台面釉料与胚体经高温一体烧结而成，表面釉面颜色和胚体颜色一致的同色透芯（或者黑坯）的实验室专用陶瓷台面，台面表面耐高温、耐腐蚀、耐磨、不脱色、不变色、美观大方，高温台参数如下</w:t>
            </w:r>
            <w:r>
              <w:rPr>
                <w:rFonts w:hint="eastAsia" w:cs="宋体" w:asciiTheme="minorEastAsia" w:hAnsiTheme="minorEastAsia"/>
                <w:color w:val="auto"/>
                <w:sz w:val="22"/>
                <w:highlight w:val="none"/>
              </w:rPr>
              <w:t>：</w:t>
            </w:r>
          </w:p>
          <w:p w14:paraId="08BD028A">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w:t>
            </w:r>
            <w:r>
              <w:rPr>
                <w:rFonts w:hint="eastAsia" w:cs="宋体" w:asciiTheme="minorEastAsia" w:hAnsiTheme="minorEastAsia"/>
                <w:color w:val="auto"/>
                <w:sz w:val="22"/>
                <w:highlight w:val="none"/>
              </w:rPr>
              <w:t>（1）</w:t>
            </w:r>
            <w:r>
              <w:rPr>
                <w:rFonts w:hint="default" w:cs="宋体" w:asciiTheme="minorEastAsia" w:hAnsiTheme="minorEastAsia"/>
                <w:color w:val="auto"/>
                <w:sz w:val="22"/>
                <w:highlight w:val="none"/>
              </w:rPr>
              <w:t>、耐酸碱腐蚀：陶瓷台面可抵御（除氢氟酸等同类型化学试剂）强酸强碱及有机溶剂腐蚀。至少对含有98%硫酸、65%硝酸、二氧乙酸、正丁醇、三氯甲烷、四氢呋喃等在内的多种化学试剂的测试表面无明显变化。</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65F58E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2FFB1FE3">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AF09B86">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1-23</w:t>
            </w:r>
          </w:p>
        </w:tc>
        <w:tc>
          <w:tcPr>
            <w:tcW w:w="4237" w:type="pct"/>
            <w:tcBorders>
              <w:top w:val="single" w:color="auto" w:sz="4" w:space="0"/>
              <w:left w:val="single" w:color="auto" w:sz="4" w:space="0"/>
              <w:bottom w:val="single" w:color="auto" w:sz="4" w:space="0"/>
              <w:right w:val="single" w:color="auto" w:sz="4" w:space="0"/>
            </w:tcBorders>
            <w:noWrap/>
          </w:tcPr>
          <w:p w14:paraId="31B49BA0">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default" w:cs="宋体" w:asciiTheme="minorEastAsia" w:hAnsiTheme="minorEastAsia"/>
                <w:color w:val="auto"/>
                <w:sz w:val="22"/>
                <w:highlight w:val="none"/>
              </w:rPr>
              <w:t>耐高温性能和安全采用20mm厚平板台面釉料与胚体经高温一体烧结而成，表面釉面颜色和胚体颜色一致的同色透芯（或者黑坯）的实验室专用陶瓷台面，台面表面耐高温、耐腐蚀、耐磨、不脱色、不变色、美观大方，高温台参数如下</w:t>
            </w:r>
            <w:r>
              <w:rPr>
                <w:rFonts w:hint="eastAsia" w:cs="宋体" w:asciiTheme="minorEastAsia" w:hAnsiTheme="minorEastAsia"/>
                <w:color w:val="auto"/>
                <w:sz w:val="22"/>
                <w:highlight w:val="none"/>
              </w:rPr>
              <w:t>：</w:t>
            </w:r>
          </w:p>
          <w:p w14:paraId="59DE5BE9">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w:t>
            </w:r>
            <w:r>
              <w:rPr>
                <w:rFonts w:hint="eastAsia" w:cs="宋体" w:asciiTheme="minorEastAsia" w:hAnsiTheme="minorEastAsia"/>
                <w:color w:val="auto"/>
                <w:sz w:val="22"/>
                <w:highlight w:val="none"/>
              </w:rPr>
              <w:t>（2）</w:t>
            </w:r>
            <w:r>
              <w:rPr>
                <w:rFonts w:hint="default" w:cs="宋体" w:asciiTheme="minorEastAsia" w:hAnsiTheme="minorEastAsia"/>
                <w:color w:val="auto"/>
                <w:sz w:val="22"/>
                <w:highlight w:val="none"/>
              </w:rPr>
              <w:t>、抗冲击和静曲性能测试，①、抗冲击性能：台面抗冲击性能良好，钢球在≥750mm的高度进行冲击后，板面无破损，且压痕直径不大于10mm；②、静曲强度：在 70℃水中浸渍处理，检测结果为＞55MPa。</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583FF3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175CFE79">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5FDD2A91">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1-24</w:t>
            </w:r>
          </w:p>
        </w:tc>
        <w:tc>
          <w:tcPr>
            <w:tcW w:w="4237" w:type="pct"/>
            <w:tcBorders>
              <w:top w:val="single" w:color="auto" w:sz="4" w:space="0"/>
              <w:left w:val="single" w:color="auto" w:sz="4" w:space="0"/>
              <w:bottom w:val="single" w:color="auto" w:sz="4" w:space="0"/>
              <w:right w:val="single" w:color="auto" w:sz="4" w:space="0"/>
            </w:tcBorders>
            <w:noWrap/>
          </w:tcPr>
          <w:p w14:paraId="49FEAF4A">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default" w:cs="宋体" w:asciiTheme="minorEastAsia" w:hAnsiTheme="minorEastAsia"/>
                <w:color w:val="auto"/>
                <w:sz w:val="22"/>
                <w:highlight w:val="none"/>
              </w:rPr>
              <w:t>耐高温性能和安全采用20mm厚平板台面釉料与胚体经高温一体烧结而成，表面釉面颜色和胚体颜色一致的同色透芯（或者黑坯）的实验室专用陶瓷台面，台面表面耐高温、耐腐蚀、耐磨、不脱色、不变色、美观大方，高温台参数如下</w:t>
            </w:r>
            <w:r>
              <w:rPr>
                <w:rFonts w:hint="eastAsia" w:cs="宋体" w:asciiTheme="minorEastAsia" w:hAnsiTheme="minorEastAsia"/>
                <w:color w:val="auto"/>
                <w:sz w:val="22"/>
                <w:highlight w:val="none"/>
              </w:rPr>
              <w:t>：</w:t>
            </w:r>
          </w:p>
          <w:p w14:paraId="47716631">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w:t>
            </w:r>
            <w:r>
              <w:rPr>
                <w:rFonts w:hint="eastAsia" w:cs="宋体" w:asciiTheme="minorEastAsia" w:hAnsiTheme="minorEastAsia"/>
                <w:color w:val="auto"/>
                <w:sz w:val="22"/>
                <w:highlight w:val="none"/>
              </w:rPr>
              <w:t>（3）</w:t>
            </w:r>
            <w:r>
              <w:rPr>
                <w:rFonts w:hint="default" w:cs="宋体" w:asciiTheme="minorEastAsia" w:hAnsiTheme="minorEastAsia"/>
                <w:color w:val="auto"/>
                <w:sz w:val="22"/>
                <w:highlight w:val="none"/>
              </w:rPr>
              <w:t>、光泽度和釉面对温度变化抵抗能力，①、光泽度：光泽度≤21；②、釉面对温度变化的抵抗能力:经过冷热循环检测，板材表面无裂纹鼓泡现象,</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1CC02B8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2C4828AB">
        <w:tblPrEx>
          <w:tblCellMar>
            <w:top w:w="0" w:type="dxa"/>
            <w:left w:w="108" w:type="dxa"/>
            <w:bottom w:w="0" w:type="dxa"/>
            <w:right w:w="108" w:type="dxa"/>
          </w:tblCellMar>
        </w:tblPrEx>
        <w:trPr>
          <w:trHeight w:val="1890"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7D8D8C18">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1-25</w:t>
            </w:r>
          </w:p>
        </w:tc>
        <w:tc>
          <w:tcPr>
            <w:tcW w:w="4237" w:type="pct"/>
            <w:tcBorders>
              <w:top w:val="single" w:color="auto" w:sz="4" w:space="0"/>
              <w:left w:val="single" w:color="auto" w:sz="4" w:space="0"/>
              <w:bottom w:val="single" w:color="auto" w:sz="4" w:space="0"/>
              <w:right w:val="single" w:color="auto" w:sz="4" w:space="0"/>
            </w:tcBorders>
            <w:noWrap/>
          </w:tcPr>
          <w:p w14:paraId="6F0589CE">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default" w:cs="宋体" w:asciiTheme="minorEastAsia" w:hAnsiTheme="minorEastAsia"/>
                <w:color w:val="auto"/>
                <w:sz w:val="22"/>
                <w:highlight w:val="none"/>
              </w:rPr>
              <w:t>耐高温性能和安全采用20mm厚平板台面釉料与胚体经高温一体烧结而成，表面釉面颜色和胚体颜色一致的同色透芯（或者黑坯）的实验室专用陶瓷台面，台面表面耐高温、耐腐蚀、耐磨、不脱色、不变色、美观大方，高温台参数如下</w:t>
            </w:r>
            <w:r>
              <w:rPr>
                <w:rFonts w:hint="eastAsia" w:cs="宋体" w:asciiTheme="minorEastAsia" w:hAnsiTheme="minorEastAsia"/>
                <w:color w:val="auto"/>
                <w:sz w:val="22"/>
                <w:highlight w:val="none"/>
              </w:rPr>
              <w:t>（5）</w:t>
            </w:r>
            <w:r>
              <w:rPr>
                <w:rFonts w:hint="default" w:cs="宋体" w:asciiTheme="minorEastAsia" w:hAnsiTheme="minorEastAsia"/>
                <w:color w:val="auto"/>
                <w:sz w:val="22"/>
                <w:highlight w:val="none"/>
              </w:rPr>
              <w:t>、承重安全性能：产品表面加载≥780kg,加载时间≥800小时，样品无损坏。并提供对应的检测报告。</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536BC9E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47981AD9">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18DF65FF">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1-26</w:t>
            </w:r>
          </w:p>
        </w:tc>
        <w:tc>
          <w:tcPr>
            <w:tcW w:w="4237" w:type="pct"/>
            <w:tcBorders>
              <w:top w:val="single" w:color="auto" w:sz="4" w:space="0"/>
              <w:left w:val="single" w:color="auto" w:sz="4" w:space="0"/>
              <w:bottom w:val="single" w:color="auto" w:sz="4" w:space="0"/>
              <w:right w:val="single" w:color="auto" w:sz="4" w:space="0"/>
            </w:tcBorders>
            <w:noWrap/>
          </w:tcPr>
          <w:p w14:paraId="35AF9A16">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default" w:cs="宋体" w:asciiTheme="minorEastAsia" w:hAnsiTheme="minorEastAsia"/>
                <w:color w:val="auto"/>
                <w:sz w:val="22"/>
                <w:highlight w:val="none"/>
              </w:rPr>
              <w:t>▲</w:t>
            </w:r>
            <w:r>
              <w:rPr>
                <w:rFonts w:hint="default" w:asciiTheme="minorEastAsia" w:hAnsiTheme="minorEastAsia"/>
                <w:color w:val="auto"/>
                <w:spacing w:val="9"/>
                <w:sz w:val="22"/>
                <w:highlight w:val="none"/>
              </w:rPr>
              <w:t>投标人</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第三方检测机构出具的检测报告（原件备查），</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eastAsia" w:cs="宋体" w:asciiTheme="minorEastAsia" w:hAnsiTheme="minorEastAsia"/>
                <w:color w:val="auto"/>
                <w:sz w:val="22"/>
                <w:highlight w:val="none"/>
              </w:rPr>
              <w:t>水</w:t>
            </w:r>
            <w:r>
              <w:rPr>
                <w:rFonts w:hint="eastAsia" w:asciiTheme="minorEastAsia" w:hAnsiTheme="minorEastAsia" w:cstheme="minorEastAsia"/>
                <w:iCs/>
                <w:color w:val="auto"/>
                <w:sz w:val="22"/>
                <w:highlight w:val="none"/>
              </w:rPr>
              <w:t>槽台面储水量要求：依据实验室陶瓷台面相关要求，检测报告中被检测的对象为碟形陶瓷台面，台面厚度为18/25mm，其储水量要求：净面积≥0.90㎡，水容量≥4.7L，容量为≥5L/㎡的检测报告，确保实验人员的操作安全。</w:t>
            </w:r>
          </w:p>
        </w:tc>
        <w:tc>
          <w:tcPr>
            <w:tcW w:w="372" w:type="pct"/>
            <w:tcBorders>
              <w:top w:val="single" w:color="auto" w:sz="4" w:space="0"/>
              <w:left w:val="single" w:color="auto" w:sz="4" w:space="0"/>
              <w:bottom w:val="single" w:color="auto" w:sz="4" w:space="0"/>
              <w:right w:val="single" w:color="auto" w:sz="4" w:space="0"/>
            </w:tcBorders>
            <w:noWrap/>
            <w:vAlign w:val="center"/>
          </w:tcPr>
          <w:p w14:paraId="7520AD1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40EA9F90">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181D8A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1-27</w:t>
            </w:r>
          </w:p>
        </w:tc>
        <w:tc>
          <w:tcPr>
            <w:tcW w:w="4237" w:type="pct"/>
            <w:tcBorders>
              <w:top w:val="single" w:color="auto" w:sz="4" w:space="0"/>
              <w:left w:val="single" w:color="auto" w:sz="4" w:space="0"/>
              <w:bottom w:val="single" w:color="auto" w:sz="4" w:space="0"/>
              <w:right w:val="single" w:color="auto" w:sz="4" w:space="0"/>
            </w:tcBorders>
            <w:noWrap/>
          </w:tcPr>
          <w:p w14:paraId="47AC2B74">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default" w:cs="宋体" w:asciiTheme="minorEastAsia" w:hAnsiTheme="minorEastAsia"/>
                <w:color w:val="auto"/>
                <w:sz w:val="22"/>
                <w:highlight w:val="none"/>
              </w:rPr>
              <w:t>▲</w:t>
            </w:r>
            <w:r>
              <w:rPr>
                <w:rFonts w:hint="default" w:asciiTheme="minorEastAsia" w:hAnsiTheme="minorEastAsia"/>
                <w:color w:val="auto"/>
                <w:spacing w:val="9"/>
                <w:sz w:val="22"/>
                <w:highlight w:val="none"/>
              </w:rPr>
              <w:t>投标人</w:t>
            </w:r>
            <w:r>
              <w:rPr>
                <w:rFonts w:hint="eastAsia"/>
                <w:color w:val="auto"/>
                <w:spacing w:val="10"/>
                <w:sz w:val="22"/>
                <w:highlight w:val="none"/>
              </w:rPr>
              <w:t>须</w:t>
            </w:r>
            <w:r>
              <w:rPr>
                <w:rFonts w:hint="default"/>
                <w:color w:val="auto"/>
                <w:spacing w:val="10"/>
                <w:sz w:val="22"/>
                <w:highlight w:val="none"/>
              </w:rPr>
              <w:t>提供</w:t>
            </w:r>
            <w:r>
              <w:rPr>
                <w:rFonts w:hint="eastAsia" w:cs="宋体" w:asciiTheme="minorEastAsia" w:hAnsiTheme="minorEastAsia"/>
                <w:color w:val="auto"/>
                <w:sz w:val="22"/>
                <w:highlight w:val="none"/>
              </w:rPr>
              <w:t>第三方检测机构出具的检测报告（原件备查），</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eastAsia" w:asciiTheme="minorEastAsia" w:hAnsiTheme="minorEastAsia" w:cstheme="minorEastAsia"/>
                <w:iCs/>
                <w:color w:val="auto"/>
                <w:sz w:val="22"/>
                <w:highlight w:val="none"/>
              </w:rPr>
              <w:t>水槽台台面边缘凸起：依据实验室陶瓷台面相关要求，台面厚度为18/25mm，测量结果为阻水边的厚度≥6mm的检测报告；确保实验人员的操作安全。须提供合规性检测报告。</w:t>
            </w:r>
          </w:p>
        </w:tc>
        <w:tc>
          <w:tcPr>
            <w:tcW w:w="372" w:type="pct"/>
            <w:tcBorders>
              <w:top w:val="single" w:color="auto" w:sz="4" w:space="0"/>
              <w:left w:val="single" w:color="auto" w:sz="4" w:space="0"/>
              <w:bottom w:val="single" w:color="auto" w:sz="4" w:space="0"/>
              <w:right w:val="single" w:color="auto" w:sz="4" w:space="0"/>
            </w:tcBorders>
            <w:noWrap/>
            <w:vAlign w:val="center"/>
          </w:tcPr>
          <w:p w14:paraId="255E82E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178B3344">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3A3FF04">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1-28</w:t>
            </w:r>
          </w:p>
        </w:tc>
        <w:tc>
          <w:tcPr>
            <w:tcW w:w="4237" w:type="pct"/>
            <w:tcBorders>
              <w:top w:val="single" w:color="auto" w:sz="4" w:space="0"/>
              <w:left w:val="single" w:color="auto" w:sz="4" w:space="0"/>
              <w:bottom w:val="single" w:color="auto" w:sz="4" w:space="0"/>
              <w:right w:val="single" w:color="auto" w:sz="4" w:space="0"/>
            </w:tcBorders>
            <w:noWrap/>
          </w:tcPr>
          <w:p w14:paraId="226913BF">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w:t>
            </w:r>
            <w:r>
              <w:rPr>
                <w:rFonts w:hint="eastAsia" w:asciiTheme="minorEastAsia" w:hAnsiTheme="minorEastAsia"/>
                <w:color w:val="auto"/>
                <w:spacing w:val="9"/>
                <w:sz w:val="22"/>
                <w:highlight w:val="none"/>
              </w:rPr>
              <w:t>，</w:t>
            </w:r>
            <w:r>
              <w:rPr>
                <w:rFonts w:hint="default" w:asciiTheme="minorEastAsia" w:hAnsiTheme="minorEastAsia"/>
                <w:color w:val="auto"/>
                <w:spacing w:val="9"/>
                <w:sz w:val="22"/>
                <w:highlight w:val="none"/>
              </w:rPr>
              <w:t>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eastAsia" w:asciiTheme="minorEastAsia" w:hAnsiTheme="minorEastAsia" w:cstheme="minorEastAsia"/>
                <w:iCs/>
                <w:color w:val="auto"/>
                <w:sz w:val="22"/>
                <w:highlight w:val="none"/>
              </w:rPr>
              <w:t>采用25mm厚一体实芯烧制实验室专用陶瓷台面，整个台面一体高温烧制成型，为防止有害液体外溢，且确保后期使用牢固，不能采用拼接或后期加厚方式加工。为方便摆放设备，碟型边宽度需≤80mm。台面性能必须满足以下基本要求</w:t>
            </w:r>
          </w:p>
          <w:p w14:paraId="74827973">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w:t>
            </w:r>
            <w:r>
              <w:rPr>
                <w:rFonts w:hint="eastAsia" w:cs="PingFang SC" w:asciiTheme="minorEastAsia" w:hAnsiTheme="minorEastAsia"/>
                <w:color w:val="auto"/>
                <w:sz w:val="22"/>
                <w:highlight w:val="none"/>
              </w:rPr>
              <w:t>②</w:t>
            </w:r>
            <w:r>
              <w:rPr>
                <w:rFonts w:hint="default" w:cs="宋体" w:asciiTheme="minorEastAsia" w:hAnsiTheme="minorEastAsia"/>
                <w:color w:val="auto"/>
                <w:sz w:val="22"/>
                <w:highlight w:val="none"/>
              </w:rPr>
              <w:t>、表面耐污染性能：至少耐62项常用实验室化学试剂，须包含：氢氧化钙饱和溶液、醋酸丁酯99%、重铬酸钾洗液、氯化钙溶液10%、二氧六环99%、甲酚红85%、乙醇99%、王水、红药水、硝酸银溶液1%、立顿红茶（9g/L）、氢氧化钾溶液65%、硼氢化钠饱和溶液、氯化钾饱和溶液、硝酸65%、硫酸98%、双氧水3%、苯酚10%、二甲苯99%、碳酸氢钠饱和溶液、亚硝酸钠饱和溶液、高氯酸72%、升华硫饱和溶液、二甲基甲酰胺99%、二恶烷99%、乙醚99%、糠醛99%、硫化钠饱和溶液、一氯化碳（1000mg/L）、萘（分析纯）、饱和氯化锌溶液、甲苯99%、三氯乙烯98%、过氧化氢30%、仁和碘酒、丁酮99%、二氯甲烷99%、铬酸60%、甲酚（化学纯）、二氯乙酸98%、92#汽油、甲酸85%、丙酮99%、柠檬酸饱和溶液、苯99%、四氯化碳99%、氯仿99%、片状氢氧化钠、磷酸85%、磷酸二氢钠99%、乙酸乙酯99%、乙酸99%、盐酸37%、氯化镁溶液10%、甲醛37%、氨水28%、氢氧化钠溶液溶液40%、甲基丙烯酸丁酯98%、松节油（分析纯）、丙三醇99%、亚甲基蓝饱和溶液、溴化钠饱和溶液。检测结果为：5级。（提供带有“CMA”或“CNAS ”标志第三方质量检验检测机构出具的检测报告复印件及官方网站查询截图，未提供官方网站查询截图的应书面承诺检验报告可在官方网站查询，原件备查）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AAE880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677A1F3F">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40A7C2F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1-29</w:t>
            </w:r>
          </w:p>
        </w:tc>
        <w:tc>
          <w:tcPr>
            <w:tcW w:w="4237" w:type="pct"/>
            <w:tcBorders>
              <w:top w:val="single" w:color="auto" w:sz="4" w:space="0"/>
              <w:left w:val="single" w:color="auto" w:sz="4" w:space="0"/>
              <w:bottom w:val="single" w:color="auto" w:sz="4" w:space="0"/>
              <w:right w:val="single" w:color="auto" w:sz="4" w:space="0"/>
            </w:tcBorders>
            <w:noWrap/>
          </w:tcPr>
          <w:p w14:paraId="1463F4C9">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eastAsia" w:asciiTheme="minorEastAsia" w:hAnsiTheme="minorEastAsia" w:cstheme="minorEastAsia"/>
                <w:iCs/>
                <w:color w:val="auto"/>
                <w:sz w:val="22"/>
                <w:highlight w:val="none"/>
              </w:rPr>
              <w:t>采用25mm厚一体实芯烧制实验室专用陶瓷台面，整个台面一体高温烧制成型，为防止有害液体外溢，且确保后期使用牢固，不能采用拼接或后期加厚方式加工。为方便摆放设备，碟型边宽度需≤80mm。台面性能必须满足以下基本要求</w:t>
            </w:r>
          </w:p>
          <w:p w14:paraId="2505102A">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▲抗冲击性：检测结果为：≥0.88。断裂模数：检测结果为：≥60.26。线性膨胀系数：检测结果为：≤ 4.9×10-6℃-1。</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B44D24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24FF066C">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08EAF27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1-30</w:t>
            </w:r>
          </w:p>
        </w:tc>
        <w:tc>
          <w:tcPr>
            <w:tcW w:w="4237" w:type="pct"/>
            <w:tcBorders>
              <w:top w:val="single" w:color="auto" w:sz="4" w:space="0"/>
              <w:left w:val="single" w:color="auto" w:sz="4" w:space="0"/>
              <w:bottom w:val="single" w:color="auto" w:sz="4" w:space="0"/>
              <w:right w:val="single" w:color="auto" w:sz="4" w:space="0"/>
            </w:tcBorders>
            <w:noWrap/>
          </w:tcPr>
          <w:p w14:paraId="2EA877F9">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r>
              <w:rPr>
                <w:rFonts w:hint="default" w:cs="宋体" w:asciiTheme="minorEastAsia" w:hAnsiTheme="minorEastAsia"/>
                <w:color w:val="auto"/>
                <w:sz w:val="22"/>
                <w:highlight w:val="none"/>
              </w:rPr>
              <w:t>中央台</w:t>
            </w:r>
            <w:r>
              <w:rPr>
                <w:rFonts w:hint="eastAsia" w:cs="宋体" w:asciiTheme="minorEastAsia" w:hAnsiTheme="minorEastAsia"/>
                <w:color w:val="auto"/>
                <w:sz w:val="22"/>
                <w:highlight w:val="none"/>
              </w:rPr>
              <w:t>试剂架</w:t>
            </w:r>
            <w:r>
              <w:rPr>
                <w:rFonts w:hint="default" w:cs="宋体" w:asciiTheme="minorEastAsia" w:hAnsiTheme="minorEastAsia"/>
                <w:color w:val="auto"/>
                <w:sz w:val="22"/>
                <w:highlight w:val="none"/>
              </w:rPr>
              <w:t>：</w:t>
            </w:r>
            <w:r>
              <w:rPr>
                <w:rFonts w:hint="eastAsia" w:cs="PingFang SC" w:asciiTheme="minorEastAsia" w:hAnsiTheme="minorEastAsia"/>
                <w:color w:val="auto"/>
                <w:sz w:val="22"/>
                <w:highlight w:val="none"/>
              </w:rPr>
              <w:t>⑶</w:t>
            </w:r>
            <w:r>
              <w:rPr>
                <w:rFonts w:hint="default" w:cs="宋体" w:asciiTheme="minorEastAsia" w:hAnsiTheme="minorEastAsia"/>
                <w:color w:val="auto"/>
                <w:sz w:val="22"/>
                <w:highlight w:val="none"/>
              </w:rPr>
              <w:t>、中央台</w:t>
            </w:r>
            <w:r>
              <w:rPr>
                <w:rFonts w:hint="eastAsia" w:cs="宋体" w:asciiTheme="minorEastAsia" w:hAnsiTheme="minorEastAsia"/>
                <w:color w:val="auto"/>
                <w:sz w:val="22"/>
                <w:highlight w:val="none"/>
              </w:rPr>
              <w:t>试剂架</w:t>
            </w:r>
            <w:r>
              <w:rPr>
                <w:rFonts w:hint="default" w:cs="宋体" w:asciiTheme="minorEastAsia" w:hAnsiTheme="minorEastAsia"/>
                <w:color w:val="auto"/>
                <w:sz w:val="22"/>
                <w:highlight w:val="none"/>
              </w:rPr>
              <w:t>配备，</w:t>
            </w:r>
            <w:r>
              <w:rPr>
                <w:rFonts w:hint="eastAsia" w:cs="宋体" w:asciiTheme="minorEastAsia" w:hAnsiTheme="minorEastAsia"/>
                <w:color w:val="auto"/>
                <w:sz w:val="22"/>
                <w:highlight w:val="none"/>
              </w:rPr>
              <w:t>包含功能柱</w:t>
            </w:r>
            <w:r>
              <w:rPr>
                <w:rFonts w:hint="default" w:cs="宋体" w:asciiTheme="minorEastAsia" w:hAnsiTheme="minorEastAsia"/>
                <w:color w:val="auto"/>
                <w:sz w:val="22"/>
                <w:highlight w:val="none"/>
              </w:rPr>
              <w:t>根据现场需要为了美观到通体顶方便智慧水电气管道隐藏。</w:t>
            </w:r>
          </w:p>
          <w:p w14:paraId="2519FC9C">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default" w:cs="宋体" w:asciiTheme="minorEastAsia" w:hAnsiTheme="minorEastAsia"/>
                <w:color w:val="auto"/>
                <w:sz w:val="22"/>
                <w:highlight w:val="none"/>
              </w:rPr>
              <w:t>①、立柱整体采用铝钢结构，试剂架立柱及挂板：立柱尺寸为346*140*750mm。立柱的顶部和底部带有厚度为2mm的钢制封板，封板上需预留4个φ6.5mm沉头孔，用于封板与铝合金立柱的连接；且需预留6个φ6.5mm过孔，用于功能柱与实验台的连接。两个方形走线孔，便于试剂架安装使用电路、水路、气路时候的线路通过。试剂架立柱由4条铝合金型材和4块方形金属板组成。铝合金型材厚度不低于0.8mm，经过酸洗、磷化后通过环氧树脂粉末高温喷涂固化处理，具有较强防酸碱、耐腐蚀性能，型材的外形上带有三重凹槽设计，其中两条凹槽外宽10.5mm内宽5.5mm，专用于安装10mm金属板；另一条凹槽正面宽度为8.5mm，通过M6的薄头内六角螺丝和M6弹片滑块螺母专用于安装立柱挂板。挂板和金属板应由优质钢板一体折弯而成，挂板厚度≥1.5mm，金属板厚度≥1.0mm，均使用优质环氧树脂粉末高温固化喷涂，具备较强耐酸碱防腐蚀性能。</w:t>
            </w:r>
            <w:r>
              <w:rPr>
                <w:rFonts w:hint="eastAsia" w:cs="宋体" w:asciiTheme="minorEastAsia" w:hAnsiTheme="minorEastAsia"/>
                <w:color w:val="auto"/>
                <w:sz w:val="22"/>
                <w:highlight w:val="none"/>
              </w:rPr>
              <w:t>提供照片完全符合以上得0.5分。</w:t>
            </w:r>
          </w:p>
          <w:p w14:paraId="2DBD974F">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2"/>
                <w:highlight w:val="none"/>
              </w:rPr>
            </w:pPr>
            <w:r>
              <w:rPr>
                <w:rFonts w:hint="default" w:cs="宋体" w:asciiTheme="minorEastAsia" w:hAnsiTheme="minorEastAsia"/>
                <w:color w:val="auto"/>
                <w:sz w:val="22"/>
                <w:highlight w:val="none"/>
              </w:rPr>
              <w:t>②、试剂架护栏铝材：试剂架铝材使用全新6063-T5的铝锭材料通过模具一体挤压成型，表面经酸洗、磷化后通过环氧树脂粉末静电喷涂处理，具备较强的防腐蚀耐酸碱性能。护栏铝材厚度≥1.0mm，横截面尺寸不应小于40*24mm，立式安装在立柱挂板上。护栏安装在玻璃两侧后，单侧护栏高度应≥40mm形成防护阻边，防止层板上的物品不慎滚落发生意外。护栏底部应带有一体化托槽用于承托新材料层板，既能加强对层板的承托性，也能在安装时通过硅酮胶密封胶让层板、护栏铝材、立柱挂板固定成为一个整体，增强整体试剂架的稳固性。试剂架铝材进行检测，外观质量中型材装饰面上的膜层应平滑、均匀，不准许有皱纹、流痕、鼓泡、裂纹等影响使用的缺陷；尺寸偏差中的角度、平面间隙、弯曲度、扭拧度、端头切斜度、壁厚尺寸六项的检测结果均应为合格；力学性能中的维氏硬度应≥84，韦氏硬度应≥13.0，抗拉强度应≥230N/mm²，规定非比例延伸强度应≥205N/mm²，断后伸长率应≥11.0%；化学成分检测不少于Mg、Si、Fe、Cu、Zn、Mn、Cr、Ti八项元素，检测结果均应为合格，且Fe的含量≤0.15%；膜层性能中的装饰面上膜层局部厚度应≥66μm，膜层的压痕硬度应≥100，膜层的耐磨性应≥0.8L/μm，膜层的干附着性、湿附着性、沸水附着性三项的检测结果均应达到0级，膜层耐溶剂性应达到4级，膜层的耐砂浆性、耐沸水性的检测结果均应为合格；试剂架铝材经耐盐酸性试验后，膜层表面应无气泡及其他明显变化。</w:t>
            </w:r>
          </w:p>
          <w:p w14:paraId="2FF244A9">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投标人应针对以上拉手铝材的技术参数要求，</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222C4DC3">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05ABFCC8">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9661A1E">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1-31</w:t>
            </w:r>
          </w:p>
        </w:tc>
        <w:tc>
          <w:tcPr>
            <w:tcW w:w="4237" w:type="pct"/>
            <w:tcBorders>
              <w:top w:val="single" w:color="auto" w:sz="4" w:space="0"/>
              <w:left w:val="single" w:color="auto" w:sz="4" w:space="0"/>
              <w:bottom w:val="single" w:color="auto" w:sz="4" w:space="0"/>
              <w:right w:val="single" w:color="auto" w:sz="4" w:space="0"/>
            </w:tcBorders>
            <w:noWrap/>
          </w:tcPr>
          <w:p w14:paraId="551DC883">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试剂架层板：</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3F9398E4">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▲Ⅰ、 化学性能要求：对硫酸（98%）、盐酸（37%）、氢氧化钠（40%）、四氯化碳、苯、苯酚饱和液、氯化镁(10%)、红茶、汽油、王水、二氯乙烷、对甲酚、草酸、亚甲基蓝（5%）、丙酮、乙醚、甲酸（88%）、无水甲醇、乙酸正戊酯、5%氯化钠溶液、三氯乙烯、异丙醇、异辛烷、3%双氧水、硫酸钠饱和液、石脑油等138 种化学试剂进行检测，板材检验结果无明显变化，分级结果为 5 级</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2755A8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16068939">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8CCC95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1-32</w:t>
            </w:r>
          </w:p>
        </w:tc>
        <w:tc>
          <w:tcPr>
            <w:tcW w:w="4237" w:type="pct"/>
            <w:tcBorders>
              <w:top w:val="single" w:color="auto" w:sz="4" w:space="0"/>
              <w:left w:val="single" w:color="auto" w:sz="4" w:space="0"/>
              <w:bottom w:val="single" w:color="auto" w:sz="4" w:space="0"/>
              <w:right w:val="single" w:color="auto" w:sz="4" w:space="0"/>
            </w:tcBorders>
            <w:noWrap/>
          </w:tcPr>
          <w:p w14:paraId="0FAE28BA">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试剂架层板：</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30133D54">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▲Ⅱ、满足包含以下三点ⅰ、总挥发性有机化合物TVOC释放量为未检出；ⅱ、甲醛性能：甲醛释放量≤0.005 mg/m³；ⅲ、提供甲醛去除率、甲苯去除率的检测报告,结果能达到甲醛去除率≥60%，甲苯去除率≥16%。</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9799B0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2A3AD5C7">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2585415">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1-33</w:t>
            </w:r>
          </w:p>
        </w:tc>
        <w:tc>
          <w:tcPr>
            <w:tcW w:w="4237" w:type="pct"/>
            <w:tcBorders>
              <w:top w:val="single" w:color="auto" w:sz="4" w:space="0"/>
              <w:left w:val="single" w:color="auto" w:sz="4" w:space="0"/>
              <w:bottom w:val="single" w:color="auto" w:sz="4" w:space="0"/>
              <w:right w:val="single" w:color="auto" w:sz="4" w:space="0"/>
            </w:tcBorders>
            <w:noWrap/>
          </w:tcPr>
          <w:p w14:paraId="59CE2474">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试剂架层板：</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570FB006">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▲Ⅲ、 台面物理性能：物理性能需提供检测报告，其中：静曲强度≥145Mpa；弹性模量≥10400Mpa；抗拉强度≥68Mpa；拉伸强度≥68Mpa；含水率：≤1.3%；24h吸水率≤0.2%；密度≥1.43g/cm</w:t>
            </w:r>
            <w:r>
              <w:rPr>
                <w:rFonts w:hint="default" w:cs="宋体" w:asciiTheme="minorEastAsia" w:hAnsiTheme="minorEastAsia"/>
                <w:color w:val="auto"/>
                <w:sz w:val="22"/>
                <w:highlight w:val="none"/>
                <w:vertAlign w:val="superscript"/>
              </w:rPr>
              <w:t>3</w:t>
            </w:r>
            <w:r>
              <w:rPr>
                <w:rFonts w:hint="default" w:cs="宋体" w:asciiTheme="minorEastAsia" w:hAnsiTheme="minorEastAsia"/>
                <w:color w:val="auto"/>
                <w:sz w:val="22"/>
                <w:highlight w:val="none"/>
              </w:rPr>
              <w:t>；表面耐龟裂性性能、表面耐湿热性能、表面耐干热性能等级均为5级，耐沸水性能：质量增加百分率≤0.01%、厚度增加百分率≤0.06%，表面质量等级：5级：无变化，边缘质量等级：5级：无明显变化，抗冲击性能（1m）表面压痕直径＜5.2mm，表面耐磨性能≥1120r，未出现磨损，耐臭氧（72h）外观无明显变化，尺寸稳定性纵向横向均不大于0.03%，漆膜附着力达六级：切割边缘完全平滑，网格内无脱落。</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06AAD293">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46D22A40">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0604AFC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1-34</w:t>
            </w:r>
          </w:p>
        </w:tc>
        <w:tc>
          <w:tcPr>
            <w:tcW w:w="4237" w:type="pct"/>
            <w:tcBorders>
              <w:top w:val="single" w:color="auto" w:sz="4" w:space="0"/>
              <w:left w:val="single" w:color="auto" w:sz="4" w:space="0"/>
              <w:bottom w:val="single" w:color="auto" w:sz="4" w:space="0"/>
              <w:right w:val="single" w:color="auto" w:sz="4" w:space="0"/>
            </w:tcBorders>
            <w:noWrap/>
          </w:tcPr>
          <w:p w14:paraId="24F0AF8F">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试剂架层板：</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51DF8A80">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Ⅳ、抗霉抗菌检测：黑曲霉、土曲霉、宛氏拟青霉、绳状青霉、出芽短梗霉、球毛壳霉、长枝木霉等7种霉菌检测抗霉菌等级为0级；甲型溶血性链球群、宋氏志贺氏菌、粪肠球菌、大肠埃希氏菌、金黄色葡萄球菌、白色念珠菌、铜绿假单胞菌、肺炎克雷伯氏菌、鼠伤寒沙门氏菌、枯草芽孢杆菌、肠沙门氏菌肠亚种、白色葡萄球菌、变异库克菌、表皮葡萄球菌、耐甲氧西林金黄色葡萄球菌等15种菌种抗菌率≥99.99%。</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4901D8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375E93D9">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16A1FC1E">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1-35</w:t>
            </w:r>
          </w:p>
        </w:tc>
        <w:tc>
          <w:tcPr>
            <w:tcW w:w="4237" w:type="pct"/>
            <w:tcBorders>
              <w:top w:val="single" w:color="auto" w:sz="4" w:space="0"/>
              <w:left w:val="single" w:color="auto" w:sz="4" w:space="0"/>
              <w:bottom w:val="single" w:color="auto" w:sz="4" w:space="0"/>
              <w:right w:val="single" w:color="auto" w:sz="4" w:space="0"/>
            </w:tcBorders>
            <w:noWrap/>
          </w:tcPr>
          <w:p w14:paraId="35979A47">
            <w:pPr>
              <w:keepNext w:val="0"/>
              <w:keepLines w:val="0"/>
              <w:suppressLineNumbers w:val="0"/>
              <w:spacing w:before="0" w:beforeAutospacing="0" w:after="0" w:afterAutospacing="0" w:line="360" w:lineRule="auto"/>
              <w:ind w:left="0" w:right="0"/>
              <w:rPr>
                <w:rFonts w:hint="default" w:asciiTheme="minorEastAsia" w:hAnsiTheme="minorEastAsia"/>
                <w:color w:val="auto"/>
                <w:spacing w:val="-1"/>
                <w:sz w:val="22"/>
                <w:highlight w:val="none"/>
              </w:rPr>
            </w:pPr>
            <w:r>
              <w:rPr>
                <w:rFonts w:hint="eastAsia" w:asciiTheme="minorEastAsia" w:hAnsiTheme="minorEastAsia"/>
                <w:color w:val="auto"/>
                <w:spacing w:val="9"/>
                <w:sz w:val="22"/>
                <w:highlight w:val="none"/>
              </w:rPr>
              <w:t>试剂架层板：</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asciiTheme="minorEastAsia" w:hAnsiTheme="minorEastAsia"/>
                <w:color w:val="auto"/>
                <w:spacing w:val="-1"/>
                <w:sz w:val="22"/>
                <w:highlight w:val="none"/>
              </w:rPr>
              <w:t>。</w:t>
            </w:r>
          </w:p>
          <w:p w14:paraId="7F90C6AB">
            <w:pPr>
              <w:keepNext w:val="0"/>
              <w:keepLines w:val="0"/>
              <w:suppressLineNumbers w:val="0"/>
              <w:spacing w:before="0" w:beforeAutospacing="0" w:after="0" w:afterAutospacing="0" w:line="360" w:lineRule="auto"/>
              <w:ind w:left="0" w:right="0"/>
              <w:rPr>
                <w:rFonts w:hint="default" w:cs="宋体" w:asciiTheme="minorEastAsia" w:hAnsiTheme="minorEastAsia"/>
                <w:b/>
                <w:bCs/>
                <w:color w:val="auto"/>
                <w:sz w:val="22"/>
                <w:highlight w:val="none"/>
              </w:rPr>
            </w:pPr>
            <w:r>
              <w:rPr>
                <w:rFonts w:hint="default" w:cs="宋体" w:asciiTheme="minorEastAsia" w:hAnsiTheme="minorEastAsia"/>
                <w:color w:val="auto"/>
                <w:sz w:val="22"/>
                <w:highlight w:val="none"/>
              </w:rPr>
              <w:t>Ⅵ、燃烧性能项目检测达到B1（C-s1,d0,t1）级，烟气毒性等级为ZA3级；水平燃烧符合HB级、垂直燃符合V-0级；</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040DDBD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36AEF4D0">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6C12C3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1-36</w:t>
            </w:r>
          </w:p>
        </w:tc>
        <w:tc>
          <w:tcPr>
            <w:tcW w:w="4237" w:type="pct"/>
            <w:tcBorders>
              <w:top w:val="single" w:color="auto" w:sz="4" w:space="0"/>
              <w:left w:val="single" w:color="auto" w:sz="4" w:space="0"/>
              <w:bottom w:val="single" w:color="auto" w:sz="4" w:space="0"/>
              <w:right w:val="single" w:color="auto" w:sz="4" w:space="0"/>
            </w:tcBorders>
            <w:noWrap/>
          </w:tcPr>
          <w:p w14:paraId="56FE7530">
            <w:pPr>
              <w:keepNext w:val="0"/>
              <w:keepLines w:val="0"/>
              <w:suppressLineNumbers w:val="0"/>
              <w:spacing w:before="0" w:beforeAutospacing="0" w:after="0" w:afterAutospacing="0" w:line="360" w:lineRule="auto"/>
              <w:ind w:left="0" w:right="0"/>
              <w:rPr>
                <w:rFonts w:hint="default" w:asciiTheme="minorEastAsia" w:hAnsiTheme="minorEastAsia"/>
                <w:color w:val="auto"/>
                <w:sz w:val="22"/>
                <w:highlight w:val="none"/>
              </w:rPr>
            </w:pPr>
            <w:r>
              <w:rPr>
                <w:rFonts w:hint="default" w:cs="宋体" w:asciiTheme="minorEastAsia" w:hAnsiTheme="minorEastAsia"/>
                <w:color w:val="auto"/>
                <w:sz w:val="22"/>
                <w:highlight w:val="none"/>
              </w:rPr>
              <w:t>危险品安全柜：</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cs="宋体" w:asciiTheme="minorEastAsia" w:hAnsiTheme="minorEastAsia"/>
                <w:color w:val="auto"/>
                <w:sz w:val="22"/>
                <w:highlight w:val="none"/>
              </w:rPr>
              <w:t>。采用氟纤板须满足以下性能要求满足以下</w:t>
            </w:r>
            <w:r>
              <w:rPr>
                <w:rFonts w:hint="eastAsia" w:cs="宋体" w:asciiTheme="minorEastAsia" w:hAnsiTheme="minorEastAsia"/>
                <w:color w:val="auto"/>
                <w:sz w:val="22"/>
                <w:highlight w:val="none"/>
              </w:rPr>
              <w:t>要求</w:t>
            </w:r>
            <w:r>
              <w:rPr>
                <w:rFonts w:hint="default" w:cs="宋体" w:asciiTheme="minorEastAsia" w:hAnsiTheme="minorEastAsia"/>
                <w:color w:val="auto"/>
                <w:sz w:val="22"/>
                <w:highlight w:val="none"/>
              </w:rPr>
              <w:t>：</w:t>
            </w:r>
          </w:p>
          <w:p w14:paraId="655EADD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▲①、表面耐污染性：至少耐10项常用实验室化学试剂，须包含：三氯甲烷99.5%、丙酮99.5%、硝酸65%、盐酸37%、乙腈99%、乙酸99%。检测结果为：5级；②、甲醛释放量：检测结果为：未检出；</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38C246E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5CAE47EC">
        <w:tblPrEx>
          <w:tblCellMar>
            <w:top w:w="0" w:type="dxa"/>
            <w:left w:w="108" w:type="dxa"/>
            <w:bottom w:w="0" w:type="dxa"/>
            <w:right w:w="108" w:type="dxa"/>
          </w:tblCellMar>
        </w:tblPrEx>
        <w:trPr>
          <w:trHeight w:val="90" w:hRule="atLeast"/>
        </w:trPr>
        <w:tc>
          <w:tcPr>
            <w:tcW w:w="390" w:type="pct"/>
            <w:tcBorders>
              <w:top w:val="single" w:color="auto" w:sz="4" w:space="0"/>
              <w:left w:val="single" w:color="auto" w:sz="4" w:space="0"/>
              <w:bottom w:val="single" w:color="auto" w:sz="4" w:space="0"/>
              <w:right w:val="single" w:color="auto" w:sz="4" w:space="0"/>
            </w:tcBorders>
            <w:noWrap/>
            <w:vAlign w:val="center"/>
          </w:tcPr>
          <w:p w14:paraId="5D83B59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1-37</w:t>
            </w:r>
          </w:p>
        </w:tc>
        <w:tc>
          <w:tcPr>
            <w:tcW w:w="4237" w:type="pct"/>
            <w:tcBorders>
              <w:top w:val="single" w:color="auto" w:sz="4" w:space="0"/>
              <w:left w:val="single" w:color="auto" w:sz="4" w:space="0"/>
              <w:bottom w:val="single" w:color="auto" w:sz="4" w:space="0"/>
              <w:right w:val="single" w:color="auto" w:sz="4" w:space="0"/>
            </w:tcBorders>
            <w:noWrap/>
          </w:tcPr>
          <w:p w14:paraId="613F8924">
            <w:pPr>
              <w:keepNext w:val="0"/>
              <w:keepLines w:val="0"/>
              <w:suppressLineNumbers w:val="0"/>
              <w:spacing w:before="0" w:beforeAutospacing="0" w:after="0" w:afterAutospacing="0" w:line="360" w:lineRule="auto"/>
              <w:ind w:left="0" w:right="0"/>
              <w:rPr>
                <w:rFonts w:hint="default" w:asciiTheme="minorEastAsia" w:hAnsiTheme="minorEastAsia"/>
                <w:color w:val="auto"/>
                <w:sz w:val="22"/>
                <w:highlight w:val="none"/>
              </w:rPr>
            </w:pPr>
            <w:r>
              <w:rPr>
                <w:rFonts w:hint="default" w:cs="宋体" w:asciiTheme="minorEastAsia" w:hAnsiTheme="minorEastAsia"/>
                <w:color w:val="auto"/>
                <w:sz w:val="22"/>
                <w:highlight w:val="none"/>
              </w:rPr>
              <w:t>危险品安全柜：</w:t>
            </w:r>
            <w:r>
              <w:rPr>
                <w:rFonts w:hint="default" w:asciiTheme="minorEastAsia" w:hAnsiTheme="minorEastAsia"/>
                <w:color w:val="auto"/>
                <w:spacing w:val="9"/>
                <w:sz w:val="22"/>
                <w:highlight w:val="none"/>
              </w:rPr>
              <w:t>投标人提供以下检验报告，并达到</w:t>
            </w:r>
            <w:r>
              <w:rPr>
                <w:rFonts w:hint="default" w:asciiTheme="minorEastAsia" w:hAnsiTheme="minorEastAsia"/>
                <w:color w:val="auto"/>
                <w:spacing w:val="8"/>
                <w:sz w:val="22"/>
                <w:highlight w:val="none"/>
              </w:rPr>
              <w:t>以下相应技术指标要求的，</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cs="宋体" w:asciiTheme="minorEastAsia" w:hAnsiTheme="minorEastAsia"/>
                <w:color w:val="auto"/>
                <w:sz w:val="22"/>
                <w:highlight w:val="none"/>
              </w:rPr>
              <w:t>。采用氟纤板须满足以下性能要求满足以下</w:t>
            </w:r>
            <w:r>
              <w:rPr>
                <w:rFonts w:hint="eastAsia" w:cs="宋体" w:asciiTheme="minorEastAsia" w:hAnsiTheme="minorEastAsia"/>
                <w:color w:val="auto"/>
                <w:sz w:val="22"/>
                <w:highlight w:val="none"/>
              </w:rPr>
              <w:t>要求</w:t>
            </w:r>
            <w:r>
              <w:rPr>
                <w:rFonts w:hint="default" w:cs="宋体" w:asciiTheme="minorEastAsia" w:hAnsiTheme="minorEastAsia"/>
                <w:color w:val="auto"/>
                <w:sz w:val="22"/>
                <w:highlight w:val="none"/>
              </w:rPr>
              <w:t>：</w:t>
            </w:r>
          </w:p>
          <w:p w14:paraId="41C3D2A4">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2"/>
                <w:highlight w:val="none"/>
              </w:rPr>
            </w:pPr>
            <w:r>
              <w:rPr>
                <w:rFonts w:hint="default" w:cs="宋体" w:asciiTheme="minorEastAsia" w:hAnsiTheme="minorEastAsia"/>
                <w:color w:val="auto"/>
                <w:sz w:val="22"/>
                <w:highlight w:val="none"/>
              </w:rPr>
              <w:t>▲③、燃烧性能：检测结果为：B1级。</w:t>
            </w:r>
            <w:r>
              <w:rPr>
                <w:rFonts w:hint="eastAsia" w:cs="宋体" w:asciiTheme="minorEastAsia" w:hAnsiTheme="minorEastAsia"/>
                <w:color w:val="auto"/>
                <w:sz w:val="22"/>
                <w:highlight w:val="none"/>
              </w:rPr>
              <w:t>（</w:t>
            </w:r>
            <w:r>
              <w:rPr>
                <w:rFonts w:hint="eastAsia"/>
                <w:color w:val="auto"/>
                <w:spacing w:val="10"/>
                <w:sz w:val="22"/>
                <w:highlight w:val="none"/>
              </w:rPr>
              <w:t>须</w:t>
            </w:r>
            <w:r>
              <w:rPr>
                <w:rFonts w:hint="default"/>
                <w:color w:val="auto"/>
                <w:spacing w:val="10"/>
                <w:sz w:val="22"/>
                <w:highlight w:val="none"/>
              </w:rPr>
              <w:t>提供</w:t>
            </w:r>
            <w:r>
              <w:rPr>
                <w:rFonts w:hint="eastAsia"/>
                <w:color w:val="auto"/>
                <w:spacing w:val="9"/>
                <w:sz w:val="22"/>
                <w:highlight w:val="none"/>
              </w:rPr>
              <w:t>具</w:t>
            </w:r>
            <w:r>
              <w:rPr>
                <w:rFonts w:hint="default"/>
                <w:color w:val="auto"/>
                <w:spacing w:val="9"/>
                <w:sz w:val="22"/>
                <w:highlight w:val="none"/>
              </w:rPr>
              <w:t>有“</w:t>
            </w:r>
            <w:r>
              <w:rPr>
                <w:rFonts w:hint="eastAsia"/>
                <w:color w:val="auto"/>
                <w:sz w:val="22"/>
                <w:highlight w:val="none"/>
              </w:rPr>
              <w:t>CMA”或“CN</w:t>
            </w:r>
            <w:r>
              <w:rPr>
                <w:rFonts w:hint="default"/>
                <w:color w:val="auto"/>
                <w:sz w:val="22"/>
                <w:highlight w:val="none"/>
              </w:rPr>
              <w:t>A</w:t>
            </w:r>
            <w:r>
              <w:rPr>
                <w:rFonts w:hint="eastAsia"/>
                <w:color w:val="auto"/>
                <w:sz w:val="22"/>
                <w:highlight w:val="none"/>
              </w:rPr>
              <w:t>S”</w:t>
            </w:r>
            <w:r>
              <w:rPr>
                <w:rFonts w:hint="default"/>
                <w:color w:val="auto"/>
                <w:spacing w:val="9"/>
                <w:sz w:val="22"/>
                <w:highlight w:val="none"/>
              </w:rPr>
              <w:t>标志</w:t>
            </w:r>
            <w:r>
              <w:rPr>
                <w:rFonts w:hint="eastAsia" w:ascii="宋体" w:hAnsi="宋体" w:cs="宋体"/>
                <w:color w:val="auto"/>
                <w:sz w:val="22"/>
                <w:highlight w:val="none"/>
              </w:rPr>
              <w:t>的</w:t>
            </w:r>
            <w:r>
              <w:rPr>
                <w:rFonts w:hint="eastAsia" w:cs="宋体" w:asciiTheme="minorEastAsia" w:hAnsiTheme="minorEastAsia"/>
                <w:color w:val="auto"/>
                <w:sz w:val="22"/>
                <w:highlight w:val="none"/>
              </w:rPr>
              <w:t>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7C6B48F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0</w:t>
            </w:r>
            <w:r>
              <w:rPr>
                <w:rFonts w:hint="eastAsia" w:cs="宋体" w:asciiTheme="minorEastAsia" w:hAnsiTheme="minorEastAsia"/>
                <w:bCs/>
                <w:color w:val="auto"/>
                <w:sz w:val="22"/>
                <w:highlight w:val="none"/>
              </w:rPr>
              <w:t>.5</w:t>
            </w:r>
          </w:p>
        </w:tc>
      </w:tr>
      <w:tr w14:paraId="0B28CA5E">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FB75CEC">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4"/>
                <w:szCs w:val="24"/>
                <w:highlight w:val="none"/>
              </w:rPr>
            </w:pPr>
            <w:r>
              <w:rPr>
                <w:rFonts w:hint="default" w:cs="宋体" w:asciiTheme="minorEastAsia" w:hAnsiTheme="minorEastAsia"/>
                <w:bCs/>
                <w:color w:val="auto"/>
                <w:sz w:val="24"/>
                <w:szCs w:val="24"/>
                <w:highlight w:val="none"/>
              </w:rPr>
              <w:t>1-38</w:t>
            </w:r>
          </w:p>
        </w:tc>
        <w:tc>
          <w:tcPr>
            <w:tcW w:w="4237" w:type="pct"/>
            <w:tcBorders>
              <w:top w:val="single" w:color="auto" w:sz="4" w:space="0"/>
              <w:left w:val="single" w:color="auto" w:sz="4" w:space="0"/>
              <w:bottom w:val="single" w:color="auto" w:sz="4" w:space="0"/>
              <w:right w:val="single" w:color="auto" w:sz="4" w:space="0"/>
            </w:tcBorders>
            <w:noWrap/>
          </w:tcPr>
          <w:p w14:paraId="59590043">
            <w:pPr>
              <w:keepNext w:val="0"/>
              <w:keepLines w:val="0"/>
              <w:suppressLineNumbers w:val="0"/>
              <w:spacing w:before="0" w:beforeAutospacing="0" w:after="0" w:afterAutospacing="0" w:line="360" w:lineRule="auto"/>
              <w:ind w:left="0" w:right="0"/>
              <w:jc w:val="left"/>
              <w:rPr>
                <w:rFonts w:hint="default" w:cs="宋体" w:asciiTheme="minorEastAsia" w:hAnsiTheme="minorEastAsia"/>
                <w:color w:val="auto"/>
                <w:sz w:val="24"/>
                <w:szCs w:val="24"/>
                <w:highlight w:val="none"/>
              </w:rPr>
            </w:pPr>
            <w:r>
              <w:rPr>
                <w:rFonts w:hint="eastAsia" w:cs="宋体" w:asciiTheme="minorEastAsia" w:hAnsiTheme="minorEastAsia"/>
                <w:b/>
                <w:color w:val="auto"/>
                <w:sz w:val="24"/>
                <w:szCs w:val="24"/>
                <w:highlight w:val="none"/>
              </w:rPr>
              <w:t>十、</w:t>
            </w:r>
            <w:r>
              <w:rPr>
                <w:rFonts w:hint="default" w:cs="宋体" w:asciiTheme="minorEastAsia" w:hAnsiTheme="minorEastAsia"/>
                <w:b/>
                <w:color w:val="auto"/>
                <w:sz w:val="24"/>
                <w:szCs w:val="24"/>
                <w:highlight w:val="none"/>
              </w:rPr>
              <w:t>中水槽+三联水龙头</w:t>
            </w:r>
            <w:r>
              <w:rPr>
                <w:rFonts w:hint="default" w:cs="宋体" w:asciiTheme="minorEastAsia" w:hAnsiTheme="minorEastAsia"/>
                <w:color w:val="auto"/>
                <w:sz w:val="24"/>
                <w:szCs w:val="24"/>
                <w:highlight w:val="none"/>
              </w:rPr>
              <w:t>提供以下证明文件</w:t>
            </w:r>
            <w:r>
              <w:rPr>
                <w:rFonts w:hint="eastAsia" w:cs="宋体" w:asciiTheme="minorEastAsia" w:hAnsiTheme="minorEastAsia"/>
                <w:color w:val="auto"/>
                <w:sz w:val="24"/>
                <w:szCs w:val="24"/>
                <w:highlight w:val="none"/>
              </w:rPr>
              <w:t>，</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cs="宋体" w:asciiTheme="minorEastAsia" w:hAnsiTheme="minorEastAsia"/>
                <w:color w:val="auto"/>
                <w:sz w:val="24"/>
                <w:szCs w:val="24"/>
                <w:highlight w:val="none"/>
              </w:rPr>
              <w:t>：</w:t>
            </w:r>
          </w:p>
          <w:p w14:paraId="5E9C3EE9">
            <w:pPr>
              <w:pStyle w:val="4"/>
              <w:keepNext w:val="0"/>
              <w:keepLines w:val="0"/>
              <w:suppressLineNumbers w:val="0"/>
              <w:spacing w:before="0" w:beforeAutospacing="0" w:after="0" w:afterAutospacing="0" w:line="360" w:lineRule="auto"/>
              <w:ind w:left="0" w:right="0" w:firstLine="954"/>
              <w:rPr>
                <w:rFonts w:hint="default" w:asciiTheme="minorEastAsia" w:hAnsiTheme="minorEastAsia" w:eastAsiaTheme="minorEastAsia"/>
                <w:color w:val="auto"/>
                <w:spacing w:val="-1"/>
                <w:highlight w:val="none"/>
              </w:rPr>
            </w:pPr>
            <w:r>
              <w:rPr>
                <w:rFonts w:hint="default" w:asciiTheme="minorEastAsia" w:hAnsiTheme="minorEastAsia" w:eastAsiaTheme="minorEastAsia"/>
                <w:color w:val="auto"/>
                <w:spacing w:val="-1"/>
                <w:highlight w:val="none"/>
              </w:rPr>
              <w:t>实验室PP水槽</w:t>
            </w:r>
          </w:p>
          <w:p w14:paraId="72EFF65F">
            <w:pPr>
              <w:pStyle w:val="4"/>
              <w:keepNext/>
              <w:keepLines/>
              <w:suppressLineNumbers w:val="0"/>
              <w:spacing w:before="260" w:beforeAutospacing="0" w:after="260" w:afterAutospacing="0" w:line="360" w:lineRule="auto"/>
              <w:ind w:left="0" w:right="0" w:firstLine="1"/>
              <w:jc w:val="left"/>
              <w:rPr>
                <w:rFonts w:hint="default" w:asciiTheme="minorEastAsia" w:hAnsiTheme="minorEastAsia" w:eastAsiaTheme="minorEastAsia"/>
                <w:b/>
                <w:color w:val="auto"/>
                <w:sz w:val="22"/>
                <w:highlight w:val="none"/>
              </w:rPr>
            </w:pPr>
            <w:r>
              <w:rPr>
                <w:rFonts w:hint="default" w:asciiTheme="minorEastAsia" w:hAnsiTheme="minorEastAsia" w:eastAsiaTheme="minorEastAsia"/>
                <w:color w:val="auto"/>
                <w:spacing w:val="-2"/>
                <w:highlight w:val="none"/>
              </w:rPr>
              <w:t>▲性能须满足以下技术要求（</w:t>
            </w:r>
            <w:r>
              <w:rPr>
                <w:rFonts w:hint="eastAsia" w:asciiTheme="minorEastAsia" w:hAnsiTheme="minorEastAsia" w:eastAsiaTheme="minorEastAsia"/>
                <w:color w:val="auto"/>
                <w:spacing w:val="-2"/>
                <w:highlight w:val="none"/>
              </w:rPr>
              <w:t>须</w:t>
            </w:r>
            <w:r>
              <w:rPr>
                <w:rFonts w:hint="default" w:asciiTheme="minorEastAsia" w:hAnsiTheme="minorEastAsia" w:eastAsiaTheme="minorEastAsia"/>
                <w:color w:val="auto"/>
                <w:spacing w:val="-2"/>
                <w:highlight w:val="none"/>
              </w:rPr>
              <w:t>提供</w:t>
            </w:r>
            <w:r>
              <w:rPr>
                <w:rFonts w:hint="eastAsia" w:asciiTheme="minorEastAsia" w:hAnsiTheme="minorEastAsia" w:eastAsiaTheme="minorEastAsia"/>
                <w:color w:val="auto"/>
                <w:spacing w:val="-2"/>
                <w:highlight w:val="none"/>
              </w:rPr>
              <w:t>具</w:t>
            </w:r>
            <w:r>
              <w:rPr>
                <w:rFonts w:hint="default" w:asciiTheme="minorEastAsia" w:hAnsiTheme="minorEastAsia" w:eastAsiaTheme="minorEastAsia"/>
                <w:color w:val="auto"/>
                <w:spacing w:val="-2"/>
                <w:highlight w:val="none"/>
              </w:rPr>
              <w:t>有“</w:t>
            </w:r>
            <w:r>
              <w:rPr>
                <w:rFonts w:hint="eastAsia" w:asciiTheme="minorEastAsia" w:hAnsiTheme="minorEastAsia" w:eastAsiaTheme="minorEastAsia"/>
                <w:color w:val="auto"/>
                <w:spacing w:val="-2"/>
                <w:highlight w:val="none"/>
              </w:rPr>
              <w:t>CMA”或CNAS</w:t>
            </w:r>
            <w:r>
              <w:rPr>
                <w:rFonts w:hint="default" w:asciiTheme="minorEastAsia" w:hAnsiTheme="minorEastAsia" w:eastAsiaTheme="minorEastAsia"/>
                <w:color w:val="auto"/>
                <w:spacing w:val="-2"/>
                <w:highlight w:val="none"/>
              </w:rPr>
              <w:t>标志</w:t>
            </w:r>
            <w:r>
              <w:rPr>
                <w:rFonts w:hint="eastAsia" w:asciiTheme="minorEastAsia" w:hAnsiTheme="minorEastAsia" w:eastAsiaTheme="minorEastAsia"/>
                <w:color w:val="auto"/>
                <w:spacing w:val="-2"/>
                <w:highlight w:val="none"/>
              </w:rPr>
              <w:t>的第三方检测机构出具的检测报告</w:t>
            </w:r>
            <w:r>
              <w:rPr>
                <w:rFonts w:hint="default" w:asciiTheme="minorEastAsia" w:hAnsiTheme="minorEastAsia" w:eastAsiaTheme="minorEastAsia"/>
                <w:color w:val="auto"/>
                <w:spacing w:val="-2"/>
                <w:highlight w:val="none"/>
              </w:rPr>
              <w:t>，否则不得分</w:t>
            </w:r>
            <w:r>
              <w:rPr>
                <w:rFonts w:hint="default" w:asciiTheme="minorEastAsia" w:hAnsiTheme="minorEastAsia" w:eastAsiaTheme="minorEastAsia"/>
                <w:color w:val="auto"/>
                <w:spacing w:val="-16"/>
                <w:highlight w:val="none"/>
              </w:rPr>
              <w:t>）：</w:t>
            </w:r>
            <w:r>
              <w:rPr>
                <w:rFonts w:hint="eastAsia" w:cs="PingFang SC" w:asciiTheme="minorEastAsia" w:hAnsiTheme="minorEastAsia" w:eastAsiaTheme="minorEastAsia"/>
                <w:color w:val="auto"/>
                <w:spacing w:val="-16"/>
                <w:highlight w:val="none"/>
              </w:rPr>
              <w:t>①</w:t>
            </w:r>
            <w:r>
              <w:rPr>
                <w:rFonts w:hint="default" w:asciiTheme="minorEastAsia" w:hAnsiTheme="minorEastAsia" w:eastAsiaTheme="minorEastAsia"/>
                <w:color w:val="auto"/>
                <w:spacing w:val="-1"/>
                <w:highlight w:val="none"/>
              </w:rPr>
              <w:t>腐蚀性试验：将切好的小样放到以下试剂中完全浸泡≥48小时，样品表面无腐蚀和变色：王水</w:t>
            </w:r>
            <w:r>
              <w:rPr>
                <w:rFonts w:hint="default" w:asciiTheme="minorEastAsia" w:hAnsiTheme="minorEastAsia" w:eastAsiaTheme="minorEastAsia"/>
                <w:color w:val="auto"/>
                <w:spacing w:val="-2"/>
                <w:highlight w:val="none"/>
              </w:rPr>
              <w:t>、硝</w:t>
            </w:r>
            <w:r>
              <w:rPr>
                <w:rFonts w:hint="default" w:asciiTheme="minorEastAsia" w:hAnsiTheme="minorEastAsia" w:eastAsiaTheme="minorEastAsia"/>
                <w:color w:val="auto"/>
                <w:spacing w:val="-6"/>
                <w:highlight w:val="none"/>
              </w:rPr>
              <w:t>酸（试剂浓度 70%）、甲苯（分析纯≥99.7%</w:t>
            </w:r>
            <w:r>
              <w:rPr>
                <w:rFonts w:hint="default" w:asciiTheme="minorEastAsia" w:hAnsiTheme="minorEastAsia" w:eastAsiaTheme="minorEastAsia"/>
                <w:color w:val="auto"/>
                <w:spacing w:val="-7"/>
                <w:highlight w:val="none"/>
              </w:rPr>
              <w:t>）、28%氨水、氢氧化钾（试剂浓度 40%）、酚酞（试</w:t>
            </w:r>
            <w:r>
              <w:rPr>
                <w:rFonts w:hint="default" w:asciiTheme="minorEastAsia" w:hAnsiTheme="minorEastAsia" w:eastAsiaTheme="minorEastAsia"/>
                <w:color w:val="auto"/>
                <w:highlight w:val="none"/>
              </w:rPr>
              <w:t xml:space="preserve"> 剂浓度 1%）、甲基橙（试剂浓度 1%）、硫酸铜（试剂浓度 10%）、盐酸（试剂浓度40%）、氢 </w:t>
            </w:r>
            <w:r>
              <w:rPr>
                <w:rFonts w:hint="default" w:asciiTheme="minorEastAsia" w:hAnsiTheme="minorEastAsia" w:eastAsiaTheme="minorEastAsia"/>
                <w:color w:val="auto"/>
                <w:spacing w:val="1"/>
                <w:highlight w:val="none"/>
              </w:rPr>
              <w:t>氧化钠（试剂浓度 40%）、硫酸（试剂</w:t>
            </w:r>
            <w:r>
              <w:rPr>
                <w:rFonts w:hint="default" w:asciiTheme="minorEastAsia" w:hAnsiTheme="minorEastAsia" w:eastAsiaTheme="minorEastAsia"/>
                <w:color w:val="auto"/>
                <w:highlight w:val="none"/>
              </w:rPr>
              <w:t>浓度 98%）、乙酸（试剂浓度 99.5%）。</w:t>
            </w:r>
            <w:r>
              <w:rPr>
                <w:rFonts w:hint="eastAsia" w:cs="PingFang SC" w:asciiTheme="minorEastAsia" w:hAnsiTheme="minorEastAsia" w:eastAsiaTheme="minorEastAsia"/>
                <w:color w:val="auto"/>
                <w:highlight w:val="none"/>
              </w:rPr>
              <w:t>②</w:t>
            </w:r>
            <w:r>
              <w:rPr>
                <w:rFonts w:hint="default" w:asciiTheme="minorEastAsia" w:hAnsiTheme="minorEastAsia" w:eastAsiaTheme="minorEastAsia"/>
                <w:color w:val="auto"/>
                <w:highlight w:val="none"/>
              </w:rPr>
              <w:t xml:space="preserve">容量承重 </w:t>
            </w:r>
            <w:r>
              <w:rPr>
                <w:rFonts w:hint="default" w:asciiTheme="minorEastAsia" w:hAnsiTheme="minorEastAsia" w:eastAsiaTheme="minorEastAsia"/>
                <w:color w:val="auto"/>
                <w:spacing w:val="-2"/>
                <w:highlight w:val="none"/>
              </w:rPr>
              <w:t>测试：在温度(20～25)℃和相对湿度(46～50）%RH环境中装≥56升水，静置≥ 48 小时后，样品</w:t>
            </w:r>
            <w:r>
              <w:rPr>
                <w:rFonts w:hint="default" w:asciiTheme="minorEastAsia" w:hAnsiTheme="minorEastAsia" w:eastAsiaTheme="minorEastAsia"/>
                <w:color w:val="auto"/>
                <w:spacing w:val="-7"/>
                <w:highlight w:val="none"/>
              </w:rPr>
              <w:t>未变形。</w:t>
            </w:r>
          </w:p>
        </w:tc>
        <w:tc>
          <w:tcPr>
            <w:tcW w:w="372" w:type="pct"/>
            <w:tcBorders>
              <w:top w:val="single" w:color="auto" w:sz="4" w:space="0"/>
              <w:left w:val="single" w:color="auto" w:sz="4" w:space="0"/>
              <w:bottom w:val="single" w:color="auto" w:sz="4" w:space="0"/>
              <w:right w:val="single" w:color="auto" w:sz="4" w:space="0"/>
            </w:tcBorders>
            <w:noWrap/>
            <w:vAlign w:val="center"/>
          </w:tcPr>
          <w:p w14:paraId="21499DB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262E64F0">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3954704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1-39</w:t>
            </w:r>
          </w:p>
        </w:tc>
        <w:tc>
          <w:tcPr>
            <w:tcW w:w="4237" w:type="pct"/>
            <w:tcBorders>
              <w:top w:val="single" w:color="auto" w:sz="4" w:space="0"/>
              <w:left w:val="single" w:color="auto" w:sz="4" w:space="0"/>
              <w:bottom w:val="single" w:color="auto" w:sz="4" w:space="0"/>
              <w:right w:val="single" w:color="auto" w:sz="4" w:space="0"/>
            </w:tcBorders>
            <w:noWrap/>
          </w:tcPr>
          <w:p w14:paraId="4CEBD8F9">
            <w:pPr>
              <w:pStyle w:val="4"/>
              <w:keepNext w:val="0"/>
              <w:keepLines w:val="0"/>
              <w:suppressLineNumbers w:val="0"/>
              <w:spacing w:before="0" w:beforeAutospacing="0" w:after="0" w:afterAutospacing="0" w:line="360" w:lineRule="auto"/>
              <w:ind w:left="0" w:right="0" w:firstLine="5"/>
              <w:rPr>
                <w:rFonts w:hint="default" w:asciiTheme="minorEastAsia" w:hAnsiTheme="minorEastAsia" w:eastAsiaTheme="minorEastAsia"/>
                <w:b/>
                <w:color w:val="auto"/>
                <w:highlight w:val="none"/>
              </w:rPr>
            </w:pPr>
            <w:r>
              <w:rPr>
                <w:rFonts w:hint="default" w:asciiTheme="minorEastAsia" w:hAnsiTheme="minorEastAsia" w:eastAsiaTheme="minorEastAsia"/>
                <w:b/>
                <w:color w:val="auto"/>
                <w:highlight w:val="none"/>
              </w:rPr>
              <w:t>水槽+三联水龙头-三联龙头</w:t>
            </w:r>
            <w:r>
              <w:rPr>
                <w:rFonts w:hint="eastAsia" w:asciiTheme="minorEastAsia" w:hAnsiTheme="minorEastAsia" w:eastAsiaTheme="minorEastAsia"/>
                <w:b/>
                <w:color w:val="auto"/>
                <w:highlight w:val="none"/>
              </w:rPr>
              <w:t>，</w:t>
            </w:r>
            <w:r>
              <w:rPr>
                <w:rFonts w:hint="eastAsia" w:asciiTheme="minorEastAsia" w:hAnsiTheme="minorEastAsia" w:eastAsiaTheme="minorEastAsia"/>
                <w:color w:val="auto"/>
                <w:spacing w:val="8"/>
                <w:sz w:val="22"/>
                <w:highlight w:val="none"/>
              </w:rPr>
              <w:t>完全满足要求的</w:t>
            </w:r>
            <w:r>
              <w:rPr>
                <w:rFonts w:hint="default" w:asciiTheme="minorEastAsia" w:hAnsiTheme="minorEastAsia" w:eastAsiaTheme="minorEastAsia"/>
                <w:color w:val="auto"/>
                <w:spacing w:val="8"/>
                <w:sz w:val="22"/>
                <w:highlight w:val="none"/>
              </w:rPr>
              <w:t>得</w:t>
            </w:r>
            <w:r>
              <w:rPr>
                <w:rFonts w:hint="eastAsia" w:asciiTheme="minorEastAsia" w:hAnsiTheme="minorEastAsia" w:eastAsiaTheme="minorEastAsia"/>
                <w:color w:val="auto"/>
                <w:spacing w:val="8"/>
                <w:sz w:val="22"/>
                <w:highlight w:val="none"/>
              </w:rPr>
              <w:t>满</w:t>
            </w:r>
            <w:r>
              <w:rPr>
                <w:rFonts w:hint="default" w:asciiTheme="minorEastAsia" w:hAnsiTheme="minorEastAsia" w:eastAsiaTheme="minorEastAsia"/>
                <w:color w:val="auto"/>
                <w:spacing w:val="8"/>
                <w:sz w:val="22"/>
                <w:highlight w:val="none"/>
              </w:rPr>
              <w:t>分，否则不得分</w:t>
            </w:r>
            <w:r>
              <w:rPr>
                <w:rFonts w:hint="default" w:asciiTheme="minorEastAsia" w:hAnsiTheme="minorEastAsia"/>
                <w:color w:val="auto"/>
                <w:sz w:val="22"/>
                <w:highlight w:val="none"/>
              </w:rPr>
              <w:t>。</w:t>
            </w:r>
          </w:p>
          <w:p w14:paraId="02F56BA5">
            <w:pPr>
              <w:pStyle w:val="4"/>
              <w:keepNext w:val="0"/>
              <w:keepLines w:val="0"/>
              <w:suppressLineNumbers w:val="0"/>
              <w:spacing w:before="0" w:beforeAutospacing="0" w:after="0" w:afterAutospacing="0" w:line="360" w:lineRule="auto"/>
              <w:ind w:left="0" w:right="0" w:firstLine="4"/>
              <w:rPr>
                <w:rFonts w:hint="default" w:asciiTheme="minorEastAsia" w:hAnsiTheme="minorEastAsia" w:eastAsiaTheme="minorEastAsia"/>
                <w:color w:val="auto"/>
                <w:highlight w:val="none"/>
              </w:rPr>
            </w:pPr>
            <w:r>
              <w:rPr>
                <w:rFonts w:hint="default" w:asciiTheme="minorEastAsia" w:hAnsiTheme="minorEastAsia" w:eastAsiaTheme="minorEastAsia"/>
                <w:color w:val="auto"/>
                <w:highlight w:val="none"/>
              </w:rPr>
              <w:t>▲ 性能须满足以下技术要求（</w:t>
            </w:r>
            <w:r>
              <w:rPr>
                <w:rFonts w:hint="eastAsia" w:asciiTheme="minorEastAsia" w:hAnsiTheme="minorEastAsia" w:eastAsiaTheme="minorEastAsia"/>
                <w:color w:val="auto"/>
                <w:spacing w:val="-2"/>
                <w:highlight w:val="none"/>
              </w:rPr>
              <w:t>须</w:t>
            </w:r>
            <w:r>
              <w:rPr>
                <w:rFonts w:hint="default" w:asciiTheme="minorEastAsia" w:hAnsiTheme="minorEastAsia" w:eastAsiaTheme="minorEastAsia"/>
                <w:color w:val="auto"/>
                <w:spacing w:val="-2"/>
                <w:highlight w:val="none"/>
              </w:rPr>
              <w:t>提供</w:t>
            </w:r>
            <w:r>
              <w:rPr>
                <w:rFonts w:hint="eastAsia" w:asciiTheme="minorEastAsia" w:hAnsiTheme="minorEastAsia" w:eastAsiaTheme="minorEastAsia"/>
                <w:color w:val="auto"/>
                <w:spacing w:val="-2"/>
                <w:highlight w:val="none"/>
              </w:rPr>
              <w:t>具</w:t>
            </w:r>
            <w:r>
              <w:rPr>
                <w:rFonts w:hint="default" w:asciiTheme="minorEastAsia" w:hAnsiTheme="minorEastAsia" w:eastAsiaTheme="minorEastAsia"/>
                <w:color w:val="auto"/>
                <w:spacing w:val="-2"/>
                <w:highlight w:val="none"/>
              </w:rPr>
              <w:t>有“</w:t>
            </w:r>
            <w:r>
              <w:rPr>
                <w:rFonts w:hint="eastAsia" w:asciiTheme="minorEastAsia" w:hAnsiTheme="minorEastAsia" w:eastAsiaTheme="minorEastAsia"/>
                <w:color w:val="auto"/>
                <w:spacing w:val="-2"/>
                <w:highlight w:val="none"/>
              </w:rPr>
              <w:t>CMA”或CNAS</w:t>
            </w:r>
            <w:r>
              <w:rPr>
                <w:rFonts w:hint="default" w:asciiTheme="minorEastAsia" w:hAnsiTheme="minorEastAsia" w:eastAsiaTheme="minorEastAsia"/>
                <w:color w:val="auto"/>
                <w:spacing w:val="-2"/>
                <w:highlight w:val="none"/>
              </w:rPr>
              <w:t>标志</w:t>
            </w:r>
            <w:r>
              <w:rPr>
                <w:rFonts w:hint="eastAsia" w:asciiTheme="minorEastAsia" w:hAnsiTheme="minorEastAsia" w:eastAsiaTheme="minorEastAsia"/>
                <w:color w:val="auto"/>
                <w:spacing w:val="-2"/>
                <w:highlight w:val="none"/>
              </w:rPr>
              <w:t>的第三方检测机构出具的检测报告</w:t>
            </w:r>
            <w:r>
              <w:rPr>
                <w:rFonts w:hint="default" w:asciiTheme="minorEastAsia" w:hAnsiTheme="minorEastAsia" w:eastAsiaTheme="minorEastAsia"/>
                <w:color w:val="auto"/>
                <w:spacing w:val="-2"/>
                <w:highlight w:val="none"/>
              </w:rPr>
              <w:t>，否则不得分</w:t>
            </w:r>
            <w:r>
              <w:rPr>
                <w:rFonts w:hint="default" w:asciiTheme="minorEastAsia" w:hAnsiTheme="minorEastAsia" w:eastAsiaTheme="minorEastAsia"/>
                <w:color w:val="auto"/>
                <w:spacing w:val="7"/>
                <w:highlight w:val="none"/>
              </w:rPr>
              <w:t>）：</w:t>
            </w:r>
            <w:r>
              <w:rPr>
                <w:rFonts w:hint="eastAsia" w:cs="PingFang SC" w:asciiTheme="minorEastAsia" w:hAnsiTheme="minorEastAsia" w:eastAsiaTheme="minorEastAsia"/>
                <w:color w:val="auto"/>
                <w:spacing w:val="7"/>
                <w:highlight w:val="none"/>
              </w:rPr>
              <w:t>①</w:t>
            </w:r>
            <w:r>
              <w:rPr>
                <w:rFonts w:hint="default" w:asciiTheme="minorEastAsia" w:hAnsiTheme="minorEastAsia" w:eastAsiaTheme="minorEastAsia"/>
                <w:color w:val="auto"/>
                <w:highlight w:val="none"/>
              </w:rPr>
              <w:t>重金属污染物析出试验：水龙头铅析出</w:t>
            </w:r>
            <w:r>
              <w:rPr>
                <w:rFonts w:hint="default" w:asciiTheme="minorEastAsia" w:hAnsiTheme="minorEastAsia" w:eastAsiaTheme="minorEastAsia"/>
                <w:color w:val="auto"/>
                <w:spacing w:val="-3"/>
                <w:highlight w:val="none"/>
              </w:rPr>
              <w:t>统计值≤2μg/L，非铅元素的析出量≤GB 18145-2014 中表1规定的限值</w:t>
            </w:r>
            <w:r>
              <w:rPr>
                <w:rFonts w:hint="eastAsia" w:asciiTheme="minorEastAsia" w:hAnsiTheme="minorEastAsia" w:eastAsiaTheme="minorEastAsia"/>
                <w:color w:val="auto"/>
                <w:spacing w:val="-3"/>
                <w:highlight w:val="none"/>
              </w:rPr>
              <w:t>；</w:t>
            </w:r>
            <w:r>
              <w:rPr>
                <w:rFonts w:hint="eastAsia" w:cs="PingFang SC" w:asciiTheme="minorEastAsia" w:hAnsiTheme="minorEastAsia" w:eastAsiaTheme="minorEastAsia"/>
                <w:color w:val="auto"/>
                <w:spacing w:val="-3"/>
                <w:highlight w:val="none"/>
              </w:rPr>
              <w:t>②</w:t>
            </w:r>
            <w:r>
              <w:rPr>
                <w:rFonts w:hint="default" w:asciiTheme="minorEastAsia" w:hAnsiTheme="minorEastAsia" w:eastAsiaTheme="minorEastAsia"/>
                <w:color w:val="auto"/>
                <w:spacing w:val="-3"/>
                <w:highlight w:val="none"/>
              </w:rPr>
              <w:t>高温试验：根据GB/T</w:t>
            </w:r>
            <w:r>
              <w:rPr>
                <w:rFonts w:hint="default" w:asciiTheme="minorEastAsia" w:hAnsiTheme="minorEastAsia" w:eastAsiaTheme="minorEastAsia"/>
                <w:color w:val="auto"/>
                <w:spacing w:val="-1"/>
                <w:highlight w:val="none"/>
              </w:rPr>
              <w:t xml:space="preserve">2423.2-2008《电工电子产品环境试验第2 </w:t>
            </w:r>
            <w:r>
              <w:rPr>
                <w:rFonts w:hint="default" w:asciiTheme="minorEastAsia" w:hAnsiTheme="minorEastAsia" w:eastAsiaTheme="minorEastAsia"/>
                <w:color w:val="auto"/>
                <w:spacing w:val="-2"/>
                <w:highlight w:val="none"/>
              </w:rPr>
              <w:t>部分：试验方法试验B：高温》进行测试，在100℃的</w:t>
            </w:r>
            <w:r>
              <w:rPr>
                <w:rFonts w:hint="default" w:asciiTheme="minorEastAsia" w:hAnsiTheme="minorEastAsia" w:eastAsiaTheme="minorEastAsia"/>
                <w:color w:val="auto"/>
                <w:spacing w:val="1"/>
                <w:highlight w:val="none"/>
              </w:rPr>
              <w:t>环境下放置≥24 小时，样品外观无明显变</w:t>
            </w:r>
            <w:r>
              <w:rPr>
                <w:rFonts w:hint="default" w:asciiTheme="minorEastAsia" w:hAnsiTheme="minorEastAsia" w:eastAsiaTheme="minorEastAsia"/>
                <w:color w:val="auto"/>
                <w:highlight w:val="none"/>
              </w:rPr>
              <w:t xml:space="preserve">化。水流量：普通洗涤水嘴动压（0.1±0.01）Mpa ， </w:t>
            </w:r>
            <w:r>
              <w:rPr>
                <w:rFonts w:hint="default" w:asciiTheme="minorEastAsia" w:hAnsiTheme="minorEastAsia" w:eastAsiaTheme="minorEastAsia"/>
                <w:color w:val="auto"/>
                <w:spacing w:val="-2"/>
                <w:highlight w:val="none"/>
              </w:rPr>
              <w:t>水流量符合3.0L/min≤Q≤9.0L/min要求</w:t>
            </w:r>
            <w:r>
              <w:rPr>
                <w:rFonts w:hint="eastAsia" w:asciiTheme="minorEastAsia" w:hAnsiTheme="minorEastAsia" w:eastAsiaTheme="minorEastAsia"/>
                <w:color w:val="auto"/>
                <w:spacing w:val="-2"/>
                <w:highlight w:val="none"/>
              </w:rPr>
              <w:t>；</w:t>
            </w:r>
          </w:p>
          <w:p w14:paraId="1B9CBF56">
            <w:pPr>
              <w:keepNext/>
              <w:keepLines/>
              <w:suppressLineNumbers w:val="0"/>
              <w:tabs>
                <w:tab w:val="left" w:pos="-1080"/>
                <w:tab w:val="left" w:pos="180"/>
                <w:tab w:val="left" w:pos="1080"/>
                <w:tab w:val="left" w:pos="2370"/>
              </w:tabs>
              <w:spacing w:before="260" w:beforeAutospacing="0" w:after="260" w:afterAutospacing="0" w:line="360" w:lineRule="auto"/>
              <w:ind w:left="0" w:right="0"/>
              <w:rPr>
                <w:rFonts w:hint="default" w:cs="宋体" w:asciiTheme="minorEastAsia" w:hAnsiTheme="minorEastAsia"/>
                <w:bCs/>
                <w:color w:val="auto"/>
                <w:sz w:val="24"/>
                <w:szCs w:val="24"/>
                <w:highlight w:val="none"/>
              </w:rPr>
            </w:pPr>
            <w:r>
              <w:rPr>
                <w:rFonts w:hint="eastAsia" w:cs="PingFang SC" w:asciiTheme="minorEastAsia" w:hAnsiTheme="minorEastAsia"/>
                <w:color w:val="auto"/>
                <w:spacing w:val="-2"/>
                <w:sz w:val="24"/>
                <w:szCs w:val="24"/>
                <w:highlight w:val="none"/>
              </w:rPr>
              <w:t>③</w:t>
            </w:r>
            <w:r>
              <w:rPr>
                <w:rFonts w:hint="default" w:cs="宋体" w:asciiTheme="minorEastAsia" w:hAnsiTheme="minorEastAsia"/>
                <w:color w:val="auto"/>
                <w:spacing w:val="-2"/>
                <w:sz w:val="24"/>
                <w:szCs w:val="24"/>
                <w:highlight w:val="none"/>
              </w:rPr>
              <w:t xml:space="preserve"> 须提供水龙头节水认证证书。</w:t>
            </w:r>
          </w:p>
        </w:tc>
        <w:tc>
          <w:tcPr>
            <w:tcW w:w="372" w:type="pct"/>
            <w:tcBorders>
              <w:top w:val="single" w:color="auto" w:sz="4" w:space="0"/>
              <w:left w:val="single" w:color="auto" w:sz="4" w:space="0"/>
              <w:bottom w:val="single" w:color="auto" w:sz="4" w:space="0"/>
              <w:right w:val="single" w:color="auto" w:sz="4" w:space="0"/>
            </w:tcBorders>
            <w:noWrap/>
            <w:vAlign w:val="center"/>
          </w:tcPr>
          <w:p w14:paraId="232B309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r>
      <w:tr w14:paraId="0A0A10D2">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46F27190">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1-40</w:t>
            </w:r>
          </w:p>
        </w:tc>
        <w:tc>
          <w:tcPr>
            <w:tcW w:w="4237" w:type="pct"/>
            <w:tcBorders>
              <w:top w:val="single" w:color="auto" w:sz="4" w:space="0"/>
              <w:left w:val="single" w:color="auto" w:sz="4" w:space="0"/>
              <w:bottom w:val="single" w:color="auto" w:sz="4" w:space="0"/>
              <w:right w:val="single" w:color="auto" w:sz="4" w:space="0"/>
            </w:tcBorders>
            <w:noWrap/>
          </w:tcPr>
          <w:p w14:paraId="36CA9105">
            <w:pPr>
              <w:keepNext w:val="0"/>
              <w:keepLines w:val="0"/>
              <w:suppressLineNumbers w:val="0"/>
              <w:spacing w:before="0" w:beforeAutospacing="0" w:after="0" w:afterAutospacing="0" w:line="360" w:lineRule="auto"/>
              <w:ind w:left="0" w:right="0"/>
              <w:rPr>
                <w:rFonts w:hint="default" w:asciiTheme="minorEastAsia" w:hAnsiTheme="minorEastAsia"/>
                <w:color w:val="auto"/>
                <w:sz w:val="24"/>
                <w:szCs w:val="24"/>
                <w:highlight w:val="none"/>
              </w:rPr>
            </w:pPr>
            <w:r>
              <w:rPr>
                <w:rFonts w:hint="default" w:cs="宋体" w:asciiTheme="minorEastAsia" w:hAnsiTheme="minorEastAsia"/>
                <w:color w:val="auto"/>
                <w:sz w:val="24"/>
                <w:szCs w:val="24"/>
                <w:highlight w:val="none"/>
              </w:rPr>
              <w:t>中水槽+三联水龙头-</w:t>
            </w:r>
            <w:r>
              <w:rPr>
                <w:rFonts w:hint="default" w:cs="Times New Roman" w:asciiTheme="minorEastAsia" w:hAnsiTheme="minorEastAsia"/>
                <w:b/>
                <w:bCs/>
                <w:color w:val="auto"/>
                <w:spacing w:val="-2"/>
                <w:sz w:val="24"/>
                <w:szCs w:val="24"/>
                <w:highlight w:val="none"/>
              </w:rPr>
              <w:t>台式洗眼器</w:t>
            </w:r>
            <w:r>
              <w:rPr>
                <w:rFonts w:hint="eastAsia" w:asciiTheme="minorEastAsia" w:hAnsiTheme="minorEastAsia"/>
                <w:b/>
                <w:bCs/>
                <w:color w:val="auto"/>
                <w:spacing w:val="-2"/>
                <w:sz w:val="24"/>
                <w:szCs w:val="24"/>
                <w:highlight w:val="none"/>
              </w:rPr>
              <w:t>。</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cs="宋体" w:asciiTheme="minorEastAsia" w:hAnsiTheme="minorEastAsia"/>
                <w:color w:val="auto"/>
                <w:sz w:val="22"/>
                <w:highlight w:val="none"/>
              </w:rPr>
              <w:t>。</w:t>
            </w:r>
          </w:p>
          <w:p w14:paraId="637FA576">
            <w:pPr>
              <w:pStyle w:val="4"/>
              <w:keepNext w:val="0"/>
              <w:keepLines w:val="0"/>
              <w:suppressLineNumbers w:val="0"/>
              <w:spacing w:before="0" w:beforeAutospacing="0" w:after="0" w:afterAutospacing="0" w:line="360" w:lineRule="auto"/>
              <w:ind w:left="0" w:right="0"/>
              <w:rPr>
                <w:rFonts w:hint="default" w:asciiTheme="minorEastAsia" w:hAnsiTheme="minorEastAsia" w:eastAsiaTheme="minorEastAsia"/>
                <w:color w:val="auto"/>
                <w:highlight w:val="none"/>
              </w:rPr>
            </w:pPr>
            <w:r>
              <w:rPr>
                <w:rFonts w:hint="default" w:asciiTheme="minorEastAsia" w:hAnsiTheme="minorEastAsia" w:eastAsiaTheme="minorEastAsia"/>
                <w:color w:val="auto"/>
                <w:spacing w:val="-1"/>
                <w:highlight w:val="none"/>
              </w:rPr>
              <w:t>▲</w:t>
            </w:r>
            <w:r>
              <w:rPr>
                <w:rFonts w:hint="default" w:asciiTheme="minorEastAsia" w:hAnsiTheme="minorEastAsia" w:eastAsiaTheme="minorEastAsia"/>
                <w:color w:val="auto"/>
                <w:spacing w:val="-2"/>
                <w:highlight w:val="none"/>
              </w:rPr>
              <w:t>性能须满足以下技术要求，应以至少 11.4L/min 的流量提供冲洗液，保持洗眼至少 15min。</w:t>
            </w:r>
            <w:r>
              <w:rPr>
                <w:rFonts w:hint="eastAsia" w:asciiTheme="minorEastAsia" w:hAnsiTheme="minorEastAsia" w:eastAsiaTheme="minorEastAsia"/>
                <w:color w:val="auto"/>
                <w:spacing w:val="-2"/>
                <w:highlight w:val="none"/>
              </w:rPr>
              <w:t>（须</w:t>
            </w:r>
            <w:r>
              <w:rPr>
                <w:rFonts w:hint="default" w:asciiTheme="minorEastAsia" w:hAnsiTheme="minorEastAsia" w:eastAsiaTheme="minorEastAsia"/>
                <w:color w:val="auto"/>
                <w:spacing w:val="-2"/>
                <w:highlight w:val="none"/>
              </w:rPr>
              <w:t>提供</w:t>
            </w:r>
            <w:r>
              <w:rPr>
                <w:rFonts w:hint="eastAsia" w:asciiTheme="minorEastAsia" w:hAnsiTheme="minorEastAsia" w:eastAsiaTheme="minorEastAsia"/>
                <w:color w:val="auto"/>
                <w:spacing w:val="-2"/>
                <w:highlight w:val="none"/>
              </w:rPr>
              <w:t>具</w:t>
            </w:r>
            <w:r>
              <w:rPr>
                <w:rFonts w:hint="default" w:asciiTheme="minorEastAsia" w:hAnsiTheme="minorEastAsia" w:eastAsiaTheme="minorEastAsia"/>
                <w:color w:val="auto"/>
                <w:spacing w:val="-2"/>
                <w:highlight w:val="none"/>
              </w:rPr>
              <w:t>有“</w:t>
            </w:r>
            <w:r>
              <w:rPr>
                <w:rFonts w:hint="eastAsia" w:asciiTheme="minorEastAsia" w:hAnsiTheme="minorEastAsia" w:eastAsiaTheme="minorEastAsia"/>
                <w:color w:val="auto"/>
                <w:spacing w:val="-2"/>
                <w:highlight w:val="none"/>
              </w:rPr>
              <w:t>CMA”或“CN</w:t>
            </w:r>
            <w:r>
              <w:rPr>
                <w:rFonts w:hint="default" w:asciiTheme="minorEastAsia" w:hAnsiTheme="minorEastAsia" w:eastAsiaTheme="minorEastAsia"/>
                <w:color w:val="auto"/>
                <w:spacing w:val="-2"/>
                <w:highlight w:val="none"/>
              </w:rPr>
              <w:t>A</w:t>
            </w:r>
            <w:r>
              <w:rPr>
                <w:rFonts w:hint="eastAsia" w:asciiTheme="minorEastAsia" w:hAnsiTheme="minorEastAsia" w:eastAsiaTheme="minorEastAsia"/>
                <w:color w:val="auto"/>
                <w:spacing w:val="-2"/>
                <w:highlight w:val="none"/>
              </w:rPr>
              <w:t>S”</w:t>
            </w:r>
            <w:r>
              <w:rPr>
                <w:rFonts w:hint="default" w:asciiTheme="minorEastAsia" w:hAnsiTheme="minorEastAsia" w:eastAsiaTheme="minorEastAsia"/>
                <w:color w:val="auto"/>
                <w:spacing w:val="-2"/>
                <w:highlight w:val="none"/>
              </w:rPr>
              <w:t>标志</w:t>
            </w:r>
            <w:r>
              <w:rPr>
                <w:rFonts w:hint="eastAsia" w:asciiTheme="minorEastAsia" w:hAnsiTheme="minorEastAsia" w:eastAsiaTheme="minorEastAsia"/>
                <w:color w:val="auto"/>
                <w:spacing w:val="-2"/>
                <w:highlight w:val="none"/>
              </w:rPr>
              <w:t>的第三方检测机构出具的检测报告复印件，原件备查）。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606042E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6CBC70E7">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011E6D9">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1-41</w:t>
            </w:r>
          </w:p>
        </w:tc>
        <w:tc>
          <w:tcPr>
            <w:tcW w:w="4237" w:type="pct"/>
            <w:tcBorders>
              <w:top w:val="single" w:color="auto" w:sz="4" w:space="0"/>
              <w:left w:val="single" w:color="auto" w:sz="4" w:space="0"/>
              <w:bottom w:val="single" w:color="auto" w:sz="4" w:space="0"/>
              <w:right w:val="single" w:color="auto" w:sz="4" w:space="0"/>
            </w:tcBorders>
            <w:noWrap/>
          </w:tcPr>
          <w:p w14:paraId="2D78BD22">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4"/>
                <w:szCs w:val="24"/>
                <w:highlight w:val="none"/>
              </w:rPr>
            </w:pPr>
            <w:r>
              <w:rPr>
                <w:rFonts w:hint="default" w:cs="宋体" w:asciiTheme="minorEastAsia" w:hAnsiTheme="minorEastAsia"/>
                <w:color w:val="auto"/>
                <w:sz w:val="24"/>
                <w:szCs w:val="24"/>
                <w:highlight w:val="none"/>
              </w:rPr>
              <w:t>中水槽+三联水龙头-滴水架</w:t>
            </w:r>
            <w:r>
              <w:rPr>
                <w:rFonts w:hint="eastAsia" w:cs="宋体" w:asciiTheme="minorEastAsia" w:hAnsiTheme="minorEastAsia"/>
                <w:color w:val="auto"/>
                <w:sz w:val="24"/>
                <w:szCs w:val="24"/>
                <w:highlight w:val="none"/>
              </w:rPr>
              <w:t>。</w:t>
            </w:r>
            <w:r>
              <w:rPr>
                <w:rFonts w:hint="eastAsia" w:asciiTheme="minorEastAsia" w:hAnsiTheme="minorEastAsia"/>
                <w:color w:val="auto"/>
                <w:spacing w:val="8"/>
                <w:sz w:val="22"/>
                <w:highlight w:val="none"/>
              </w:rPr>
              <w:t>完全满足要求的</w:t>
            </w:r>
            <w:r>
              <w:rPr>
                <w:rFonts w:hint="default" w:asciiTheme="minorEastAsia" w:hAnsiTheme="minorEastAsia"/>
                <w:color w:val="auto"/>
                <w:spacing w:val="8"/>
                <w:sz w:val="22"/>
                <w:highlight w:val="none"/>
              </w:rPr>
              <w:t>得</w:t>
            </w:r>
            <w:r>
              <w:rPr>
                <w:rFonts w:hint="eastAsia" w:asciiTheme="minorEastAsia" w:hAnsiTheme="minorEastAsia"/>
                <w:color w:val="auto"/>
                <w:spacing w:val="8"/>
                <w:sz w:val="22"/>
                <w:highlight w:val="none"/>
              </w:rPr>
              <w:t>满</w:t>
            </w:r>
            <w:r>
              <w:rPr>
                <w:rFonts w:hint="default" w:asciiTheme="minorEastAsia" w:hAnsiTheme="minorEastAsia"/>
                <w:color w:val="auto"/>
                <w:spacing w:val="8"/>
                <w:sz w:val="22"/>
                <w:highlight w:val="none"/>
              </w:rPr>
              <w:t>分，否则不得分</w:t>
            </w:r>
            <w:r>
              <w:rPr>
                <w:rFonts w:hint="default" w:cs="宋体" w:asciiTheme="minorEastAsia" w:hAnsiTheme="minorEastAsia"/>
                <w:color w:val="auto"/>
                <w:sz w:val="22"/>
                <w:highlight w:val="none"/>
              </w:rPr>
              <w:t>。</w:t>
            </w:r>
          </w:p>
          <w:p w14:paraId="205F4CEF">
            <w:pPr>
              <w:pStyle w:val="4"/>
              <w:keepNext w:val="0"/>
              <w:keepLines w:val="0"/>
              <w:suppressLineNumbers w:val="0"/>
              <w:spacing w:before="0" w:beforeAutospacing="0" w:after="0" w:afterAutospacing="0" w:line="360" w:lineRule="auto"/>
              <w:ind w:left="0" w:right="0" w:firstLine="15"/>
              <w:rPr>
                <w:rFonts w:hint="default" w:asciiTheme="minorEastAsia" w:hAnsiTheme="minorEastAsia" w:eastAsiaTheme="minorEastAsia"/>
                <w:color w:val="auto"/>
                <w:highlight w:val="none"/>
              </w:rPr>
            </w:pPr>
            <w:r>
              <w:rPr>
                <w:rFonts w:hint="default" w:asciiTheme="minorEastAsia" w:hAnsiTheme="minorEastAsia" w:eastAsiaTheme="minorEastAsia"/>
                <w:color w:val="auto"/>
                <w:spacing w:val="-1"/>
                <w:highlight w:val="none"/>
              </w:rPr>
              <w:t>材质：所有PP制品均采用新料，绝</w:t>
            </w:r>
            <w:r>
              <w:rPr>
                <w:rFonts w:hint="default" w:asciiTheme="minorEastAsia" w:hAnsiTheme="minorEastAsia" w:eastAsiaTheme="minorEastAsia"/>
                <w:color w:val="auto"/>
                <w:spacing w:val="-2"/>
                <w:highlight w:val="none"/>
              </w:rPr>
              <w:t>无回料，无有害物质挥发，抗紫外线辐射，不易老化、脆化，韧性强，弹性好。结构：滴水架主体与集水盘由模具注塑一体成型（非PP板焊接而成）。</w:t>
            </w:r>
            <w:r>
              <w:rPr>
                <w:rFonts w:hint="default" w:asciiTheme="minorEastAsia" w:hAnsiTheme="minorEastAsia" w:eastAsiaTheme="minorEastAsia"/>
                <w:color w:val="auto"/>
                <w:spacing w:val="-3"/>
                <w:highlight w:val="none"/>
              </w:rPr>
              <w:t>可拆卸式滴水棒，拆卸后可盖上孔塞。</w:t>
            </w:r>
            <w:r>
              <w:rPr>
                <w:rFonts w:hint="default" w:asciiTheme="minorEastAsia" w:hAnsiTheme="minorEastAsia" w:eastAsiaTheme="minorEastAsia"/>
                <w:color w:val="auto"/>
                <w:spacing w:val="-1"/>
                <w:highlight w:val="none"/>
              </w:rPr>
              <w:t>锁紧结构：滴水棒底部卡扣与滴水板卡槽既拆卸方便又紧密契</w:t>
            </w:r>
            <w:r>
              <w:rPr>
                <w:rFonts w:hint="default" w:asciiTheme="minorEastAsia" w:hAnsiTheme="minorEastAsia" w:eastAsiaTheme="minorEastAsia"/>
                <w:color w:val="auto"/>
                <w:spacing w:val="-2"/>
                <w:highlight w:val="none"/>
              </w:rPr>
              <w:t>合，保证每一根滴水棒不会松</w:t>
            </w:r>
            <w:r>
              <w:rPr>
                <w:rFonts w:hint="default" w:asciiTheme="minorEastAsia" w:hAnsiTheme="minorEastAsia" w:eastAsiaTheme="minorEastAsia"/>
                <w:color w:val="auto"/>
                <w:spacing w:val="-10"/>
                <w:highlight w:val="none"/>
              </w:rPr>
              <w:t>动。</w:t>
            </w:r>
          </w:p>
          <w:p w14:paraId="1679B970">
            <w:pPr>
              <w:pStyle w:val="4"/>
              <w:keepNext w:val="0"/>
              <w:keepLines w:val="0"/>
              <w:suppressLineNumbers w:val="0"/>
              <w:spacing w:before="0" w:beforeAutospacing="0" w:after="0" w:afterAutospacing="0" w:line="360" w:lineRule="auto"/>
              <w:ind w:left="0" w:right="0"/>
              <w:rPr>
                <w:rFonts w:hint="default" w:asciiTheme="minorEastAsia" w:hAnsiTheme="minorEastAsia" w:eastAsiaTheme="minorEastAsia"/>
                <w:color w:val="auto"/>
                <w:highlight w:val="none"/>
              </w:rPr>
            </w:pPr>
            <w:r>
              <w:rPr>
                <w:rFonts w:hint="eastAsia" w:cs="PingFang SC" w:asciiTheme="minorEastAsia" w:hAnsiTheme="minorEastAsia" w:eastAsiaTheme="minorEastAsia"/>
                <w:color w:val="auto"/>
                <w:spacing w:val="-1"/>
                <w:highlight w:val="none"/>
              </w:rPr>
              <w:t>①</w:t>
            </w:r>
            <w:r>
              <w:rPr>
                <w:rFonts w:hint="default" w:asciiTheme="minorEastAsia" w:hAnsiTheme="minorEastAsia" w:eastAsiaTheme="minorEastAsia"/>
                <w:color w:val="auto"/>
                <w:spacing w:val="-1"/>
                <w:highlight w:val="none"/>
              </w:rPr>
              <w:t>光老化试验：试验时间≥168</w:t>
            </w:r>
            <w:r>
              <w:rPr>
                <w:rFonts w:hint="default" w:asciiTheme="minorEastAsia" w:hAnsiTheme="minorEastAsia" w:eastAsiaTheme="minorEastAsia"/>
                <w:color w:val="auto"/>
                <w:spacing w:val="-2"/>
                <w:highlight w:val="none"/>
              </w:rPr>
              <w:t>h。试验后，样品外观无异常。</w:t>
            </w:r>
          </w:p>
          <w:p w14:paraId="234E70DA">
            <w:pPr>
              <w:pStyle w:val="4"/>
              <w:keepNext w:val="0"/>
              <w:keepLines w:val="0"/>
              <w:suppressLineNumbers w:val="0"/>
              <w:spacing w:before="0" w:beforeAutospacing="0" w:after="0" w:afterAutospacing="0" w:line="360" w:lineRule="auto"/>
              <w:ind w:left="0" w:right="0" w:firstLine="16"/>
              <w:rPr>
                <w:rFonts w:hint="default" w:asciiTheme="minorEastAsia" w:hAnsiTheme="minorEastAsia" w:eastAsiaTheme="minorEastAsia"/>
                <w:color w:val="auto"/>
                <w:highlight w:val="none"/>
              </w:rPr>
            </w:pPr>
            <w:r>
              <w:rPr>
                <w:rFonts w:hint="eastAsia" w:cs="PingFang SC" w:asciiTheme="minorEastAsia" w:hAnsiTheme="minorEastAsia" w:eastAsiaTheme="minorEastAsia"/>
                <w:color w:val="auto"/>
                <w:spacing w:val="-1"/>
                <w:highlight w:val="none"/>
              </w:rPr>
              <w:t>②</w:t>
            </w:r>
            <w:r>
              <w:rPr>
                <w:rFonts w:hint="default" w:asciiTheme="minorEastAsia" w:hAnsiTheme="minorEastAsia" w:eastAsiaTheme="minorEastAsia"/>
                <w:color w:val="auto"/>
                <w:spacing w:val="-1"/>
                <w:highlight w:val="none"/>
              </w:rPr>
              <w:t>本体挂拉强度：万能试验机数值≥30kgf时，产品测</w:t>
            </w:r>
            <w:r>
              <w:rPr>
                <w:rFonts w:hint="default" w:asciiTheme="minorEastAsia" w:hAnsiTheme="minorEastAsia" w:eastAsiaTheme="minorEastAsia"/>
                <w:color w:val="auto"/>
                <w:spacing w:val="-2"/>
                <w:highlight w:val="none"/>
              </w:rPr>
              <w:t>试合格。抗拉强度：</w:t>
            </w:r>
            <w:r>
              <w:rPr>
                <w:rFonts w:hint="default" w:asciiTheme="minorEastAsia" w:hAnsiTheme="minorEastAsia" w:eastAsiaTheme="minorEastAsia"/>
                <w:color w:val="auto"/>
                <w:highlight w:val="none"/>
              </w:rPr>
              <w:t>数值≥247kgf/cm</w:t>
            </w:r>
            <w:r>
              <w:rPr>
                <w:rFonts w:hint="default" w:asciiTheme="minorEastAsia" w:hAnsiTheme="minorEastAsia" w:eastAsiaTheme="minorEastAsia"/>
                <w:color w:val="auto"/>
                <w:position w:val="10"/>
                <w:highlight w:val="none"/>
                <w:vertAlign w:val="superscript"/>
              </w:rPr>
              <w:t>2</w:t>
            </w:r>
            <w:r>
              <w:rPr>
                <w:rFonts w:hint="default" w:asciiTheme="minorEastAsia" w:hAnsiTheme="minorEastAsia" w:eastAsiaTheme="minorEastAsia"/>
                <w:color w:val="auto"/>
                <w:highlight w:val="none"/>
              </w:rPr>
              <w:t>。抗弯强度：根</w:t>
            </w:r>
            <w:r>
              <w:rPr>
                <w:rFonts w:hint="default" w:asciiTheme="minorEastAsia" w:hAnsiTheme="minorEastAsia" w:eastAsiaTheme="minorEastAsia"/>
                <w:color w:val="auto"/>
                <w:spacing w:val="-1"/>
                <w:highlight w:val="none"/>
              </w:rPr>
              <w:t>据未增强和增强塑料</w:t>
            </w:r>
            <w:r>
              <w:rPr>
                <w:rFonts w:hint="default" w:asciiTheme="minorEastAsia" w:hAnsiTheme="minorEastAsia" w:eastAsiaTheme="minorEastAsia"/>
                <w:color w:val="auto"/>
                <w:highlight w:val="none"/>
              </w:rPr>
              <w:t xml:space="preserve"> 及电绝缘材料弯曲性的标准试验方法，数值≥200kg</w:t>
            </w:r>
            <w:r>
              <w:rPr>
                <w:rFonts w:hint="default" w:asciiTheme="minorEastAsia" w:hAnsiTheme="minorEastAsia" w:eastAsiaTheme="minorEastAsia"/>
                <w:color w:val="auto"/>
                <w:spacing w:val="-1"/>
                <w:highlight w:val="none"/>
              </w:rPr>
              <w:t>f/cm</w:t>
            </w:r>
            <w:r>
              <w:rPr>
                <w:rFonts w:hint="default" w:asciiTheme="minorEastAsia" w:hAnsiTheme="minorEastAsia" w:eastAsiaTheme="minorEastAsia"/>
                <w:color w:val="auto"/>
                <w:spacing w:val="-1"/>
                <w:position w:val="10"/>
                <w:highlight w:val="none"/>
                <w:vertAlign w:val="superscript"/>
              </w:rPr>
              <w:t>2</w:t>
            </w:r>
            <w:r>
              <w:rPr>
                <w:rFonts w:hint="default" w:asciiTheme="minorEastAsia" w:hAnsiTheme="minorEastAsia" w:eastAsiaTheme="minorEastAsia"/>
                <w:color w:val="auto"/>
                <w:spacing w:val="-1"/>
                <w:highlight w:val="none"/>
              </w:rPr>
              <w:t>。</w:t>
            </w:r>
          </w:p>
          <w:p w14:paraId="3D42AD14">
            <w:pPr>
              <w:pStyle w:val="4"/>
              <w:keepNext/>
              <w:keepLines/>
              <w:suppressLineNumbers w:val="0"/>
              <w:spacing w:before="260" w:beforeAutospacing="0" w:after="0" w:afterAutospacing="0" w:line="360" w:lineRule="auto"/>
              <w:ind w:left="0" w:right="0" w:firstLine="226"/>
              <w:rPr>
                <w:rFonts w:hint="default" w:asciiTheme="minorEastAsia" w:hAnsiTheme="minorEastAsia" w:eastAsiaTheme="minorEastAsia"/>
                <w:b/>
                <w:color w:val="auto"/>
                <w:sz w:val="22"/>
                <w:szCs w:val="22"/>
                <w:highlight w:val="none"/>
              </w:rPr>
            </w:pPr>
            <w:r>
              <w:rPr>
                <w:rFonts w:hint="eastAsia" w:cs="PingFang SC" w:asciiTheme="minorEastAsia" w:hAnsiTheme="minorEastAsia" w:eastAsiaTheme="minorEastAsia"/>
                <w:color w:val="auto"/>
                <w:spacing w:val="-7"/>
                <w:highlight w:val="none"/>
              </w:rPr>
              <w:t>③</w:t>
            </w:r>
            <w:r>
              <w:rPr>
                <w:rFonts w:hint="default" w:asciiTheme="minorEastAsia" w:hAnsiTheme="minorEastAsia" w:eastAsiaTheme="minorEastAsia"/>
                <w:color w:val="auto"/>
                <w:spacing w:val="-7"/>
                <w:highlight w:val="none"/>
              </w:rPr>
              <w:t>承重测试：在温度23℃和相对湿度58%RH环</w:t>
            </w:r>
            <w:r>
              <w:rPr>
                <w:rFonts w:hint="default" w:asciiTheme="minorEastAsia" w:hAnsiTheme="minorEastAsia" w:eastAsiaTheme="minorEastAsia"/>
                <w:color w:val="auto"/>
                <w:spacing w:val="-8"/>
                <w:highlight w:val="none"/>
              </w:rPr>
              <w:t>境下，将样品固定在试验台上，向下垂直压10mm，</w:t>
            </w:r>
            <w:r>
              <w:rPr>
                <w:rFonts w:hint="default" w:asciiTheme="minorEastAsia" w:hAnsiTheme="minorEastAsia" w:eastAsiaTheme="minorEastAsia"/>
                <w:color w:val="auto"/>
                <w:spacing w:val="-1"/>
                <w:highlight w:val="none"/>
              </w:rPr>
              <w:t>试验结果≥13N。</w:t>
            </w:r>
            <w:r>
              <w:rPr>
                <w:rFonts w:hint="eastAsia" w:asciiTheme="minorEastAsia" w:hAnsiTheme="minorEastAsia" w:eastAsiaTheme="minorEastAsia"/>
                <w:bCs w:val="0"/>
                <w:color w:val="auto"/>
                <w:spacing w:val="-1"/>
                <w:highlight w:val="none"/>
              </w:rPr>
              <w:t>（须</w:t>
            </w:r>
            <w:r>
              <w:rPr>
                <w:rFonts w:hint="default" w:asciiTheme="minorEastAsia" w:hAnsiTheme="minorEastAsia" w:eastAsiaTheme="minorEastAsia"/>
                <w:bCs w:val="0"/>
                <w:color w:val="auto"/>
                <w:spacing w:val="-1"/>
                <w:highlight w:val="none"/>
              </w:rPr>
              <w:t>提供</w:t>
            </w:r>
            <w:r>
              <w:rPr>
                <w:rFonts w:hint="eastAsia" w:asciiTheme="minorEastAsia" w:hAnsiTheme="minorEastAsia" w:eastAsiaTheme="minorEastAsia"/>
                <w:bCs w:val="0"/>
                <w:color w:val="auto"/>
                <w:spacing w:val="-1"/>
                <w:highlight w:val="none"/>
              </w:rPr>
              <w:t>具</w:t>
            </w:r>
            <w:r>
              <w:rPr>
                <w:rFonts w:hint="default" w:asciiTheme="minorEastAsia" w:hAnsiTheme="minorEastAsia" w:eastAsiaTheme="minorEastAsia"/>
                <w:bCs w:val="0"/>
                <w:color w:val="auto"/>
                <w:spacing w:val="-1"/>
                <w:highlight w:val="none"/>
              </w:rPr>
              <w:t>有“</w:t>
            </w:r>
            <w:r>
              <w:rPr>
                <w:rFonts w:hint="eastAsia" w:asciiTheme="minorEastAsia" w:hAnsiTheme="minorEastAsia" w:eastAsiaTheme="minorEastAsia"/>
                <w:bCs w:val="0"/>
                <w:color w:val="auto"/>
                <w:spacing w:val="-1"/>
                <w:highlight w:val="none"/>
              </w:rPr>
              <w:t>CMA”或“CN</w:t>
            </w:r>
            <w:r>
              <w:rPr>
                <w:rFonts w:hint="default" w:asciiTheme="minorEastAsia" w:hAnsiTheme="minorEastAsia" w:eastAsiaTheme="minorEastAsia"/>
                <w:bCs w:val="0"/>
                <w:color w:val="auto"/>
                <w:spacing w:val="-1"/>
                <w:highlight w:val="none"/>
              </w:rPr>
              <w:t>A</w:t>
            </w:r>
            <w:r>
              <w:rPr>
                <w:rFonts w:hint="eastAsia" w:asciiTheme="minorEastAsia" w:hAnsiTheme="minorEastAsia" w:eastAsiaTheme="minorEastAsia"/>
                <w:bCs w:val="0"/>
                <w:color w:val="auto"/>
                <w:spacing w:val="-1"/>
                <w:highlight w:val="none"/>
              </w:rPr>
              <w:t>S”</w:t>
            </w:r>
            <w:r>
              <w:rPr>
                <w:rFonts w:hint="default" w:asciiTheme="minorEastAsia" w:hAnsiTheme="minorEastAsia" w:eastAsiaTheme="minorEastAsia"/>
                <w:bCs w:val="0"/>
                <w:color w:val="auto"/>
                <w:spacing w:val="-1"/>
                <w:highlight w:val="none"/>
              </w:rPr>
              <w:t>标志</w:t>
            </w:r>
            <w:r>
              <w:rPr>
                <w:rFonts w:hint="eastAsia" w:asciiTheme="minorEastAsia" w:hAnsiTheme="minorEastAsia" w:eastAsiaTheme="minorEastAsia"/>
                <w:bCs w:val="0"/>
                <w:color w:val="auto"/>
                <w:spacing w:val="-1"/>
                <w:highlight w:val="none"/>
              </w:rPr>
              <w:t>的第三方检测机构出具的检测报告复印件，原件备查）。</w:t>
            </w:r>
          </w:p>
        </w:tc>
        <w:tc>
          <w:tcPr>
            <w:tcW w:w="372" w:type="pct"/>
            <w:tcBorders>
              <w:top w:val="single" w:color="auto" w:sz="4" w:space="0"/>
              <w:left w:val="single" w:color="auto" w:sz="4" w:space="0"/>
              <w:bottom w:val="single" w:color="auto" w:sz="4" w:space="0"/>
              <w:right w:val="single" w:color="auto" w:sz="4" w:space="0"/>
            </w:tcBorders>
            <w:noWrap/>
            <w:vAlign w:val="center"/>
          </w:tcPr>
          <w:p w14:paraId="2378FA6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0.5</w:t>
            </w:r>
          </w:p>
        </w:tc>
      </w:tr>
      <w:tr w14:paraId="42506DA6">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6F6EFFC8">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1-42</w:t>
            </w:r>
          </w:p>
        </w:tc>
        <w:tc>
          <w:tcPr>
            <w:tcW w:w="4237" w:type="pct"/>
            <w:tcBorders>
              <w:top w:val="single" w:color="auto" w:sz="4" w:space="0"/>
              <w:left w:val="single" w:color="auto" w:sz="4" w:space="0"/>
              <w:bottom w:val="single" w:color="auto" w:sz="4" w:space="0"/>
              <w:right w:val="single" w:color="auto" w:sz="4" w:space="0"/>
            </w:tcBorders>
            <w:noWrap/>
            <w:vAlign w:val="center"/>
          </w:tcPr>
          <w:p w14:paraId="1348DDD2">
            <w:pPr>
              <w:keepNext w:val="0"/>
              <w:keepLines w:val="0"/>
              <w:suppressLineNumbers w:val="0"/>
              <w:spacing w:before="0" w:beforeAutospacing="0" w:after="0" w:afterAutospacing="0" w:line="360" w:lineRule="auto"/>
              <w:ind w:left="0" w:right="0"/>
              <w:rPr>
                <w:rFonts w:hint="default" w:cs="宋体" w:asciiTheme="minorEastAsia" w:hAnsiTheme="minorEastAsia"/>
                <w:color w:val="auto"/>
                <w:sz w:val="24"/>
                <w:szCs w:val="24"/>
                <w:highlight w:val="none"/>
              </w:rPr>
            </w:pPr>
            <w:r>
              <w:rPr>
                <w:rFonts w:hint="default" w:cs="宋体" w:asciiTheme="minorEastAsia" w:hAnsiTheme="minorEastAsia"/>
                <w:color w:val="auto"/>
                <w:spacing w:val="-1"/>
                <w:sz w:val="24"/>
                <w:szCs w:val="24"/>
                <w:highlight w:val="none"/>
              </w:rPr>
              <w:t>投标人需针对本项目提供项目实施（安装调试）方案，</w:t>
            </w:r>
            <w:r>
              <w:rPr>
                <w:rFonts w:hint="eastAsia" w:cs="宋体" w:asciiTheme="minorEastAsia" w:hAnsiTheme="minorEastAsia"/>
                <w:color w:val="auto"/>
                <w:spacing w:val="-1"/>
                <w:sz w:val="24"/>
                <w:szCs w:val="24"/>
                <w:highlight w:val="none"/>
              </w:rPr>
              <w:t>,每项0.5分完全满足要求的</w:t>
            </w:r>
            <w:r>
              <w:rPr>
                <w:rFonts w:hint="default" w:cs="宋体" w:asciiTheme="minorEastAsia" w:hAnsiTheme="minorEastAsia"/>
                <w:color w:val="auto"/>
                <w:spacing w:val="-1"/>
                <w:sz w:val="24"/>
                <w:szCs w:val="24"/>
                <w:highlight w:val="none"/>
              </w:rPr>
              <w:t>得</w:t>
            </w:r>
            <w:r>
              <w:rPr>
                <w:rFonts w:hint="eastAsia" w:cs="宋体" w:asciiTheme="minorEastAsia" w:hAnsiTheme="minorEastAsia"/>
                <w:color w:val="auto"/>
                <w:spacing w:val="-1"/>
                <w:sz w:val="24"/>
                <w:szCs w:val="24"/>
                <w:highlight w:val="none"/>
              </w:rPr>
              <w:t>满</w:t>
            </w:r>
            <w:r>
              <w:rPr>
                <w:rFonts w:hint="default" w:cs="宋体" w:asciiTheme="minorEastAsia" w:hAnsiTheme="minorEastAsia"/>
                <w:color w:val="auto"/>
                <w:spacing w:val="-1"/>
                <w:sz w:val="24"/>
                <w:szCs w:val="24"/>
                <w:highlight w:val="none"/>
              </w:rPr>
              <w:t>分，否则不得分</w:t>
            </w:r>
            <w:r>
              <w:rPr>
                <w:rFonts w:hint="eastAsia" w:cs="宋体" w:asciiTheme="minorEastAsia" w:hAnsiTheme="minorEastAsia"/>
                <w:color w:val="auto"/>
                <w:spacing w:val="-1"/>
                <w:sz w:val="24"/>
                <w:szCs w:val="24"/>
                <w:highlight w:val="none"/>
              </w:rPr>
              <w:t>：</w:t>
            </w:r>
          </w:p>
          <w:p w14:paraId="451E4CF4">
            <w:pPr>
              <w:keepNext w:val="0"/>
              <w:keepLines w:val="0"/>
              <w:suppressLineNumbers w:val="0"/>
              <w:spacing w:before="0" w:beforeAutospacing="0" w:after="0" w:afterAutospacing="0" w:line="360" w:lineRule="auto"/>
              <w:ind w:left="0" w:right="0"/>
              <w:rPr>
                <w:rFonts w:hint="default" w:cs="宋体" w:asciiTheme="minorEastAsia" w:hAnsiTheme="minorEastAsia"/>
                <w:bCs/>
                <w:color w:val="auto"/>
                <w:sz w:val="24"/>
                <w:szCs w:val="24"/>
                <w:highlight w:val="none"/>
              </w:rPr>
            </w:pPr>
            <w:r>
              <w:rPr>
                <w:rFonts w:hint="default" w:cs="宋体" w:asciiTheme="minorEastAsia" w:hAnsiTheme="minorEastAsia"/>
                <w:color w:val="auto"/>
                <w:spacing w:val="-1"/>
                <w:sz w:val="24"/>
                <w:szCs w:val="24"/>
                <w:highlight w:val="none"/>
              </w:rPr>
              <w:t>①项目实施安排</w:t>
            </w:r>
            <w:r>
              <w:rPr>
                <w:rFonts w:hint="eastAsia" w:cs="宋体" w:asciiTheme="minorEastAsia" w:hAnsiTheme="minorEastAsia"/>
                <w:color w:val="auto"/>
                <w:spacing w:val="-1"/>
                <w:sz w:val="24"/>
                <w:szCs w:val="24"/>
                <w:highlight w:val="none"/>
              </w:rPr>
              <w:t>，</w:t>
            </w:r>
            <w:r>
              <w:rPr>
                <w:rFonts w:hint="default" w:cs="宋体" w:asciiTheme="minorEastAsia" w:hAnsiTheme="minorEastAsia"/>
                <w:color w:val="auto"/>
                <w:spacing w:val="-1"/>
                <w:sz w:val="24"/>
                <w:szCs w:val="24"/>
                <w:highlight w:val="none"/>
              </w:rPr>
              <w:t>供货保障措施（含进度安</w:t>
            </w:r>
            <w:r>
              <w:rPr>
                <w:rFonts w:hint="default" w:cs="宋体" w:asciiTheme="minorEastAsia" w:hAnsiTheme="minorEastAsia"/>
                <w:color w:val="auto"/>
                <w:spacing w:val="-14"/>
                <w:sz w:val="24"/>
                <w:szCs w:val="24"/>
                <w:highlight w:val="none"/>
              </w:rPr>
              <w:t>排表</w:t>
            </w:r>
            <w:r>
              <w:rPr>
                <w:rFonts w:hint="default" w:cs="宋体" w:asciiTheme="minorEastAsia" w:hAnsiTheme="minorEastAsia"/>
                <w:color w:val="auto"/>
                <w:spacing w:val="-7"/>
                <w:sz w:val="24"/>
                <w:szCs w:val="24"/>
                <w:highlight w:val="none"/>
              </w:rPr>
              <w:t>）；</w:t>
            </w:r>
            <w:r>
              <w:rPr>
                <w:rFonts w:hint="default" w:cs="宋体" w:asciiTheme="minorEastAsia" w:hAnsiTheme="minorEastAsia"/>
                <w:color w:val="auto"/>
                <w:spacing w:val="-3"/>
                <w:sz w:val="24"/>
                <w:szCs w:val="24"/>
                <w:highlight w:val="none"/>
              </w:rPr>
              <w:t>②安装过程的质量管理措施；③安装过程的环保保障措施；</w:t>
            </w:r>
            <w:r>
              <w:rPr>
                <w:rFonts w:hint="default" w:cs="宋体" w:asciiTheme="minorEastAsia" w:hAnsiTheme="minorEastAsia"/>
                <w:color w:val="auto"/>
                <w:spacing w:val="-1"/>
                <w:sz w:val="24"/>
                <w:szCs w:val="24"/>
                <w:highlight w:val="none"/>
              </w:rPr>
              <w:t>④关键安装技术、工艺实施的重点难点和解</w:t>
            </w:r>
            <w:r>
              <w:rPr>
                <w:rFonts w:hint="default" w:cs="宋体" w:asciiTheme="minorEastAsia" w:hAnsiTheme="minorEastAsia"/>
                <w:color w:val="auto"/>
                <w:spacing w:val="-2"/>
                <w:sz w:val="24"/>
                <w:szCs w:val="24"/>
                <w:highlight w:val="none"/>
              </w:rPr>
              <w:t>决方案措施；</w:t>
            </w:r>
            <w:r>
              <w:rPr>
                <w:rFonts w:hint="default" w:cs="宋体" w:asciiTheme="minorEastAsia" w:hAnsiTheme="minorEastAsia"/>
                <w:color w:val="auto"/>
                <w:spacing w:val="-1"/>
                <w:sz w:val="24"/>
                <w:szCs w:val="24"/>
                <w:highlight w:val="none"/>
              </w:rPr>
              <w:t>⑤调试、验收方案</w:t>
            </w:r>
            <w:r>
              <w:rPr>
                <w:rFonts w:hint="eastAsia" w:cs="宋体" w:asciiTheme="minorEastAsia" w:hAnsiTheme="minorEastAsia"/>
                <w:color w:val="auto"/>
                <w:spacing w:val="-1"/>
                <w:sz w:val="24"/>
                <w:szCs w:val="24"/>
                <w:highlight w:val="none"/>
              </w:rPr>
              <w:t>。</w:t>
            </w:r>
          </w:p>
        </w:tc>
        <w:tc>
          <w:tcPr>
            <w:tcW w:w="372" w:type="pct"/>
            <w:tcBorders>
              <w:top w:val="single" w:color="auto" w:sz="4" w:space="0"/>
              <w:left w:val="single" w:color="auto" w:sz="4" w:space="0"/>
              <w:bottom w:val="single" w:color="auto" w:sz="4" w:space="0"/>
              <w:right w:val="single" w:color="auto" w:sz="4" w:space="0"/>
            </w:tcBorders>
            <w:noWrap/>
            <w:vAlign w:val="center"/>
          </w:tcPr>
          <w:p w14:paraId="3C1E614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2.5</w:t>
            </w:r>
          </w:p>
        </w:tc>
      </w:tr>
      <w:tr w14:paraId="6A99FD8A">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453ACD78">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1-43</w:t>
            </w:r>
          </w:p>
        </w:tc>
        <w:tc>
          <w:tcPr>
            <w:tcW w:w="4237" w:type="pct"/>
            <w:tcBorders>
              <w:top w:val="single" w:color="auto" w:sz="4" w:space="0"/>
              <w:left w:val="single" w:color="auto" w:sz="4" w:space="0"/>
              <w:bottom w:val="single" w:color="auto" w:sz="4" w:space="0"/>
              <w:right w:val="single" w:color="auto" w:sz="4" w:space="0"/>
            </w:tcBorders>
            <w:noWrap/>
            <w:vAlign w:val="center"/>
          </w:tcPr>
          <w:p w14:paraId="30EFC34E">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color w:val="auto"/>
                <w:spacing w:val="-1"/>
                <w:sz w:val="24"/>
                <w:szCs w:val="24"/>
                <w:highlight w:val="none"/>
              </w:rPr>
            </w:pPr>
            <w:r>
              <w:rPr>
                <w:rFonts w:hint="eastAsia" w:ascii="宋体" w:hAnsi="宋体" w:eastAsia="宋体" w:cs="宋体"/>
                <w:color w:val="auto"/>
                <w:spacing w:val="-3"/>
                <w:kern w:val="2"/>
                <w:sz w:val="24"/>
                <w:szCs w:val="24"/>
                <w:highlight w:val="none"/>
                <w:lang w:val="en-US" w:eastAsia="zh-CN" w:bidi="ar"/>
              </w:rPr>
              <w:t>根据投标人提供的仪器台柜体进行评价：样品做工精细、烤漆色泽细腻饱满得1.5分；样品存在细微缺陷（存在但不限于：装嵌牢固性差、表面不够均匀平整、转角过渡不流畅、 存在异味等）得0.75分；样品款式、规格、质量存在较大偏差的不得分。</w:t>
            </w:r>
          </w:p>
        </w:tc>
        <w:tc>
          <w:tcPr>
            <w:tcW w:w="372" w:type="pct"/>
            <w:tcBorders>
              <w:top w:val="single" w:color="auto" w:sz="4" w:space="0"/>
              <w:left w:val="single" w:color="auto" w:sz="4" w:space="0"/>
              <w:bottom w:val="single" w:color="auto" w:sz="4" w:space="0"/>
              <w:right w:val="single" w:color="auto" w:sz="4" w:space="0"/>
            </w:tcBorders>
            <w:noWrap/>
            <w:vAlign w:val="center"/>
          </w:tcPr>
          <w:p w14:paraId="2D6B2BE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cs="宋体" w:asciiTheme="minorEastAsia" w:hAnsiTheme="minorEastAsia"/>
                <w:bCs/>
                <w:color w:val="auto"/>
                <w:sz w:val="22"/>
                <w:highlight w:val="none"/>
              </w:rPr>
            </w:pPr>
            <w:r>
              <w:rPr>
                <w:rFonts w:hint="eastAsia" w:ascii="宋体" w:hAnsi="宋体" w:eastAsia="宋体" w:cs="宋体"/>
                <w:bCs/>
                <w:color w:val="auto"/>
                <w:kern w:val="2"/>
                <w:sz w:val="22"/>
                <w:szCs w:val="22"/>
                <w:highlight w:val="none"/>
                <w:lang w:val="en-US" w:eastAsia="zh-CN" w:bidi="ar"/>
              </w:rPr>
              <w:t>1.5</w:t>
            </w:r>
          </w:p>
        </w:tc>
      </w:tr>
      <w:tr w14:paraId="24FCE936">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1C45B3F7">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1-44</w:t>
            </w:r>
          </w:p>
        </w:tc>
        <w:tc>
          <w:tcPr>
            <w:tcW w:w="4237" w:type="pct"/>
            <w:tcBorders>
              <w:top w:val="single" w:color="auto" w:sz="4" w:space="0"/>
              <w:left w:val="single" w:color="auto" w:sz="4" w:space="0"/>
              <w:bottom w:val="single" w:color="auto" w:sz="4" w:space="0"/>
              <w:right w:val="single" w:color="auto" w:sz="4" w:space="0"/>
            </w:tcBorders>
            <w:noWrap/>
            <w:vAlign w:val="center"/>
          </w:tcPr>
          <w:p w14:paraId="757B44AD">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color w:val="auto"/>
                <w:spacing w:val="-1"/>
                <w:sz w:val="24"/>
                <w:szCs w:val="24"/>
                <w:highlight w:val="none"/>
              </w:rPr>
            </w:pPr>
            <w:r>
              <w:rPr>
                <w:rFonts w:hint="eastAsia" w:ascii="宋体" w:hAnsi="宋体" w:eastAsia="宋体" w:cs="宋体"/>
                <w:color w:val="auto"/>
                <w:spacing w:val="-3"/>
                <w:kern w:val="2"/>
                <w:sz w:val="24"/>
                <w:szCs w:val="24"/>
                <w:highlight w:val="none"/>
                <w:lang w:val="en-US" w:eastAsia="zh-CN" w:bidi="ar"/>
              </w:rPr>
              <w:t>根据投标人提供的配套悬吊试剂架进行评价：样品做工精细、烤漆色泽细腻饱满得1.5分；样品存在细微缺陷（存在但不限于：装嵌牢固性差、表面不够均匀平整、转角过渡不流畅、 存在异味等）得0.75分；样品款式、规格、质量存在较大偏差的不得分。</w:t>
            </w:r>
          </w:p>
        </w:tc>
        <w:tc>
          <w:tcPr>
            <w:tcW w:w="372" w:type="pct"/>
            <w:tcBorders>
              <w:top w:val="single" w:color="auto" w:sz="4" w:space="0"/>
              <w:left w:val="single" w:color="auto" w:sz="4" w:space="0"/>
              <w:bottom w:val="single" w:color="auto" w:sz="4" w:space="0"/>
              <w:right w:val="single" w:color="auto" w:sz="4" w:space="0"/>
            </w:tcBorders>
            <w:noWrap/>
            <w:vAlign w:val="center"/>
          </w:tcPr>
          <w:p w14:paraId="6E634D7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cs="宋体" w:asciiTheme="minorEastAsia" w:hAnsiTheme="minorEastAsia"/>
                <w:bCs/>
                <w:color w:val="auto"/>
                <w:sz w:val="22"/>
                <w:highlight w:val="none"/>
              </w:rPr>
            </w:pPr>
            <w:r>
              <w:rPr>
                <w:rFonts w:hint="eastAsia" w:ascii="宋体" w:hAnsi="宋体" w:eastAsia="宋体" w:cs="宋体"/>
                <w:bCs/>
                <w:color w:val="auto"/>
                <w:kern w:val="2"/>
                <w:sz w:val="22"/>
                <w:szCs w:val="22"/>
                <w:highlight w:val="none"/>
                <w:lang w:val="en-US" w:eastAsia="zh-CN" w:bidi="ar"/>
              </w:rPr>
              <w:t>1.5</w:t>
            </w:r>
          </w:p>
        </w:tc>
      </w:tr>
      <w:tr w14:paraId="7ECD1C32">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1D1E6882">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1-45</w:t>
            </w:r>
          </w:p>
        </w:tc>
        <w:tc>
          <w:tcPr>
            <w:tcW w:w="4237" w:type="pct"/>
            <w:tcBorders>
              <w:top w:val="single" w:color="auto" w:sz="4" w:space="0"/>
              <w:left w:val="single" w:color="auto" w:sz="4" w:space="0"/>
              <w:bottom w:val="single" w:color="auto" w:sz="4" w:space="0"/>
              <w:right w:val="single" w:color="auto" w:sz="4" w:space="0"/>
            </w:tcBorders>
            <w:noWrap/>
            <w:vAlign w:val="center"/>
          </w:tcPr>
          <w:p w14:paraId="0090FC5C">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color w:val="auto"/>
                <w:spacing w:val="-1"/>
                <w:sz w:val="24"/>
                <w:szCs w:val="24"/>
                <w:highlight w:val="none"/>
              </w:rPr>
            </w:pPr>
            <w:r>
              <w:rPr>
                <w:rFonts w:hint="eastAsia" w:ascii="宋体" w:hAnsi="宋体" w:eastAsia="宋体" w:cs="宋体"/>
                <w:color w:val="auto"/>
                <w:spacing w:val="-3"/>
                <w:kern w:val="2"/>
                <w:sz w:val="24"/>
                <w:szCs w:val="24"/>
                <w:highlight w:val="none"/>
                <w:lang w:val="en-US" w:eastAsia="zh-CN" w:bidi="ar"/>
              </w:rPr>
              <w:t>根据投标人提供的中央台配套水槽柜进行评价：样品做工精细、烤漆色泽细腻饱满得1分；样品存在细微缺陷（存在但不限于：装嵌牢固性差、表面不够均匀平整、转角过渡不流畅、 存在异味等）得0.5分；样品款式、规格、质量存在较大偏差的不得分。</w:t>
            </w:r>
          </w:p>
        </w:tc>
        <w:tc>
          <w:tcPr>
            <w:tcW w:w="372" w:type="pct"/>
            <w:tcBorders>
              <w:top w:val="single" w:color="auto" w:sz="4" w:space="0"/>
              <w:left w:val="single" w:color="auto" w:sz="4" w:space="0"/>
              <w:bottom w:val="single" w:color="auto" w:sz="4" w:space="0"/>
              <w:right w:val="single" w:color="auto" w:sz="4" w:space="0"/>
            </w:tcBorders>
            <w:noWrap/>
            <w:vAlign w:val="center"/>
          </w:tcPr>
          <w:p w14:paraId="29D3B09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cs="宋体" w:asciiTheme="minorEastAsia" w:hAnsiTheme="minorEastAsia"/>
                <w:bCs/>
                <w:color w:val="auto"/>
                <w:sz w:val="22"/>
                <w:highlight w:val="none"/>
              </w:rPr>
            </w:pPr>
            <w:r>
              <w:rPr>
                <w:rFonts w:hint="eastAsia" w:ascii="宋体" w:hAnsi="宋体" w:eastAsia="宋体" w:cs="宋体"/>
                <w:bCs/>
                <w:color w:val="auto"/>
                <w:kern w:val="2"/>
                <w:sz w:val="22"/>
                <w:szCs w:val="22"/>
                <w:highlight w:val="none"/>
                <w:lang w:val="en-US" w:eastAsia="zh-CN" w:bidi="ar"/>
              </w:rPr>
              <w:t>1</w:t>
            </w:r>
          </w:p>
        </w:tc>
      </w:tr>
      <w:tr w14:paraId="20E92BC3">
        <w:tblPrEx>
          <w:tblCellMar>
            <w:top w:w="0" w:type="dxa"/>
            <w:left w:w="108" w:type="dxa"/>
            <w:bottom w:w="0" w:type="dxa"/>
            <w:right w:w="108" w:type="dxa"/>
          </w:tblCellMar>
        </w:tblPrEx>
        <w:tc>
          <w:tcPr>
            <w:tcW w:w="390" w:type="pct"/>
            <w:tcBorders>
              <w:top w:val="single" w:color="auto" w:sz="4" w:space="0"/>
              <w:left w:val="single" w:color="auto" w:sz="4" w:space="0"/>
              <w:bottom w:val="single" w:color="auto" w:sz="4" w:space="0"/>
              <w:right w:val="single" w:color="auto" w:sz="4" w:space="0"/>
            </w:tcBorders>
            <w:noWrap/>
            <w:vAlign w:val="center"/>
          </w:tcPr>
          <w:p w14:paraId="2DCC7585">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1-46</w:t>
            </w:r>
          </w:p>
        </w:tc>
        <w:tc>
          <w:tcPr>
            <w:tcW w:w="4237" w:type="pct"/>
            <w:tcBorders>
              <w:top w:val="single" w:color="auto" w:sz="4" w:space="0"/>
              <w:left w:val="single" w:color="auto" w:sz="4" w:space="0"/>
              <w:bottom w:val="single" w:color="auto" w:sz="4" w:space="0"/>
              <w:right w:val="single" w:color="auto" w:sz="4" w:space="0"/>
            </w:tcBorders>
            <w:noWrap/>
            <w:vAlign w:val="center"/>
          </w:tcPr>
          <w:p w14:paraId="55BF09C0">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cs="宋体" w:asciiTheme="minorEastAsia" w:hAnsiTheme="minorEastAsia"/>
                <w:color w:val="auto"/>
                <w:spacing w:val="-1"/>
                <w:sz w:val="24"/>
                <w:szCs w:val="24"/>
                <w:highlight w:val="none"/>
              </w:rPr>
            </w:pPr>
            <w:r>
              <w:rPr>
                <w:rFonts w:hint="eastAsia" w:ascii="宋体" w:hAnsi="宋体" w:eastAsia="宋体" w:cs="宋体"/>
                <w:color w:val="auto"/>
                <w:spacing w:val="-3"/>
                <w:kern w:val="2"/>
                <w:sz w:val="24"/>
                <w:szCs w:val="24"/>
                <w:highlight w:val="none"/>
                <w:lang w:val="en-US" w:eastAsia="zh-CN" w:bidi="ar"/>
              </w:rPr>
              <w:t>根据投标人提供的药品柜进行评价：样品做工精细、烤漆色泽细腻饱满得1.5分；样品存在细微缺陷（存在但不限于：装嵌牢固性差、表面不够均匀平整、转角过渡不流畅、 存在异味等）得0.5分；样品款式、规格、质量存在较大偏差的不得分。</w:t>
            </w:r>
          </w:p>
        </w:tc>
        <w:tc>
          <w:tcPr>
            <w:tcW w:w="372" w:type="pct"/>
            <w:tcBorders>
              <w:top w:val="single" w:color="auto" w:sz="4" w:space="0"/>
              <w:left w:val="single" w:color="auto" w:sz="4" w:space="0"/>
              <w:bottom w:val="single" w:color="auto" w:sz="4" w:space="0"/>
              <w:right w:val="single" w:color="auto" w:sz="4" w:space="0"/>
            </w:tcBorders>
            <w:noWrap/>
            <w:vAlign w:val="center"/>
          </w:tcPr>
          <w:p w14:paraId="37D817D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cs="宋体" w:asciiTheme="minorEastAsia" w:hAnsiTheme="minorEastAsia"/>
                <w:bCs/>
                <w:color w:val="auto"/>
                <w:sz w:val="22"/>
                <w:highlight w:val="none"/>
              </w:rPr>
            </w:pPr>
            <w:r>
              <w:rPr>
                <w:rFonts w:hint="eastAsia" w:ascii="宋体" w:hAnsi="宋体" w:eastAsia="宋体" w:cs="宋体"/>
                <w:bCs/>
                <w:color w:val="auto"/>
                <w:kern w:val="2"/>
                <w:sz w:val="22"/>
                <w:szCs w:val="22"/>
                <w:highlight w:val="none"/>
                <w:lang w:val="en-US" w:eastAsia="zh-CN" w:bidi="ar"/>
              </w:rPr>
              <w:t>1</w:t>
            </w:r>
          </w:p>
        </w:tc>
      </w:tr>
    </w:tbl>
    <w:p w14:paraId="6F04ABEF">
      <w:pPr>
        <w:tabs>
          <w:tab w:val="left" w:pos="-1080"/>
          <w:tab w:val="left" w:pos="180"/>
          <w:tab w:val="left" w:pos="1080"/>
        </w:tabs>
        <w:spacing w:line="360" w:lineRule="auto"/>
        <w:rPr>
          <w:rFonts w:ascii="宋体" w:hAnsi="宋体" w:cs="宋体"/>
          <w:color w:val="auto"/>
          <w:sz w:val="22"/>
          <w:highlight w:val="none"/>
        </w:rPr>
      </w:pPr>
    </w:p>
    <w:p w14:paraId="5D5D6213">
      <w:pPr>
        <w:tabs>
          <w:tab w:val="left" w:pos="-1080"/>
          <w:tab w:val="left" w:pos="180"/>
          <w:tab w:val="left" w:pos="1080"/>
        </w:tabs>
        <w:spacing w:line="360" w:lineRule="auto"/>
        <w:rPr>
          <w:rFonts w:ascii="宋体" w:hAnsi="宋体" w:cs="宋体"/>
          <w:color w:val="auto"/>
          <w:sz w:val="22"/>
          <w:highlight w:val="none"/>
        </w:rPr>
      </w:pPr>
      <w:r>
        <w:rPr>
          <w:rFonts w:hint="eastAsia" w:ascii="宋体" w:hAnsi="宋体" w:cs="宋体"/>
          <w:color w:val="auto"/>
          <w:sz w:val="22"/>
          <w:highlight w:val="none"/>
        </w:rPr>
        <w:t>（二）商务评分(F2)：按15分评分法，商务评分考虑下列因素：</w:t>
      </w:r>
    </w:p>
    <w:tbl>
      <w:tblPr>
        <w:tblStyle w:val="16"/>
        <w:tblW w:w="5157" w:type="pct"/>
        <w:tblInd w:w="0" w:type="dxa"/>
        <w:tblLayout w:type="fixed"/>
        <w:tblCellMar>
          <w:top w:w="0" w:type="dxa"/>
          <w:left w:w="108" w:type="dxa"/>
          <w:bottom w:w="0" w:type="dxa"/>
          <w:right w:w="108" w:type="dxa"/>
        </w:tblCellMar>
      </w:tblPr>
      <w:tblGrid>
        <w:gridCol w:w="636"/>
        <w:gridCol w:w="7658"/>
        <w:gridCol w:w="596"/>
      </w:tblGrid>
      <w:tr w14:paraId="52AF551C">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1730FCAD">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序号</w:t>
            </w:r>
          </w:p>
        </w:tc>
        <w:tc>
          <w:tcPr>
            <w:tcW w:w="4307" w:type="pct"/>
            <w:tcBorders>
              <w:top w:val="single" w:color="auto" w:sz="4" w:space="0"/>
              <w:left w:val="single" w:color="auto" w:sz="4" w:space="0"/>
              <w:bottom w:val="single" w:color="auto" w:sz="4" w:space="0"/>
              <w:right w:val="single" w:color="auto" w:sz="4" w:space="0"/>
            </w:tcBorders>
            <w:noWrap/>
          </w:tcPr>
          <w:p w14:paraId="5B3E520C">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细则内容</w:t>
            </w:r>
          </w:p>
        </w:tc>
        <w:tc>
          <w:tcPr>
            <w:tcW w:w="335" w:type="pct"/>
            <w:tcBorders>
              <w:top w:val="single" w:color="auto" w:sz="4" w:space="0"/>
              <w:left w:val="single" w:color="auto" w:sz="4" w:space="0"/>
              <w:bottom w:val="single" w:color="auto" w:sz="4" w:space="0"/>
              <w:right w:val="single" w:color="auto" w:sz="4" w:space="0"/>
            </w:tcBorders>
            <w:noWrap/>
            <w:vAlign w:val="center"/>
          </w:tcPr>
          <w:p w14:paraId="7D698EB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满分</w:t>
            </w:r>
          </w:p>
          <w:p w14:paraId="6053A76A">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分值</w:t>
            </w:r>
          </w:p>
        </w:tc>
      </w:tr>
      <w:tr w14:paraId="2278C4D4">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5BD14881">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1-1</w:t>
            </w:r>
          </w:p>
        </w:tc>
        <w:tc>
          <w:tcPr>
            <w:tcW w:w="4307" w:type="pct"/>
            <w:tcBorders>
              <w:top w:val="single" w:color="auto" w:sz="4" w:space="0"/>
              <w:left w:val="single" w:color="auto" w:sz="4" w:space="0"/>
              <w:bottom w:val="single" w:color="auto" w:sz="4" w:space="0"/>
              <w:right w:val="single" w:color="auto" w:sz="4" w:space="0"/>
            </w:tcBorders>
            <w:noWrap/>
          </w:tcPr>
          <w:p w14:paraId="56322543">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投标人</w:t>
            </w:r>
            <w:r>
              <w:rPr>
                <w:rFonts w:hint="default" w:cs="宋体" w:asciiTheme="minorEastAsia" w:hAnsiTheme="minorEastAsia"/>
                <w:bCs/>
                <w:color w:val="auto"/>
                <w:sz w:val="22"/>
                <w:highlight w:val="none"/>
              </w:rPr>
              <w:t>具有质量管理体系认证、环保体系认证、职业健康安全管理体系认证的，每提供1项认证的得1分，满分3分，</w:t>
            </w:r>
            <w:r>
              <w:rPr>
                <w:rFonts w:hint="eastAsia" w:cs="宋体" w:asciiTheme="minorEastAsia" w:hAnsiTheme="minorEastAsia"/>
                <w:bCs/>
                <w:color w:val="auto"/>
                <w:sz w:val="22"/>
                <w:highlight w:val="none"/>
              </w:rPr>
              <w:t>投标人</w:t>
            </w:r>
            <w:r>
              <w:rPr>
                <w:rFonts w:hint="default" w:cs="宋体" w:asciiTheme="minorEastAsia" w:hAnsiTheme="minorEastAsia"/>
                <w:bCs/>
                <w:color w:val="auto"/>
                <w:sz w:val="22"/>
                <w:highlight w:val="none"/>
              </w:rPr>
              <w:t>须提供认证证书复印件，否则不得分。（注：以上认证证书须在有效期内，否则不计分。）</w:t>
            </w:r>
          </w:p>
        </w:tc>
        <w:tc>
          <w:tcPr>
            <w:tcW w:w="335" w:type="pct"/>
            <w:tcBorders>
              <w:top w:val="single" w:color="auto" w:sz="4" w:space="0"/>
              <w:left w:val="single" w:color="auto" w:sz="4" w:space="0"/>
              <w:bottom w:val="single" w:color="auto" w:sz="4" w:space="0"/>
              <w:right w:val="single" w:color="auto" w:sz="4" w:space="0"/>
            </w:tcBorders>
            <w:noWrap/>
            <w:vAlign w:val="center"/>
          </w:tcPr>
          <w:p w14:paraId="58D313D2">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3</w:t>
            </w:r>
          </w:p>
        </w:tc>
      </w:tr>
      <w:tr w14:paraId="5CE99351">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4160A7D4">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1-2</w:t>
            </w:r>
          </w:p>
        </w:tc>
        <w:tc>
          <w:tcPr>
            <w:tcW w:w="4307" w:type="pct"/>
            <w:tcBorders>
              <w:top w:val="single" w:color="auto" w:sz="4" w:space="0"/>
              <w:left w:val="single" w:color="auto" w:sz="4" w:space="0"/>
              <w:bottom w:val="single" w:color="auto" w:sz="4" w:space="0"/>
              <w:right w:val="single" w:color="auto" w:sz="4" w:space="0"/>
            </w:tcBorders>
            <w:noWrap/>
          </w:tcPr>
          <w:p w14:paraId="72E7D3DA">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⑴</w:t>
            </w:r>
            <w:r>
              <w:rPr>
                <w:rFonts w:hint="default" w:cs="宋体" w:asciiTheme="minorEastAsia" w:hAnsiTheme="minorEastAsia"/>
                <w:bCs/>
                <w:color w:val="auto"/>
                <w:sz w:val="22"/>
                <w:highlight w:val="none"/>
              </w:rPr>
              <w:t>、</w:t>
            </w:r>
            <w:r>
              <w:rPr>
                <w:rFonts w:hint="eastAsia" w:asciiTheme="minorEastAsia" w:hAnsiTheme="minorEastAsia"/>
                <w:color w:val="auto"/>
                <w:sz w:val="22"/>
                <w:highlight w:val="none"/>
              </w:rPr>
              <w:t>根据投标人可提供本地化服务的得</w:t>
            </w:r>
            <w:r>
              <w:rPr>
                <w:rFonts w:hint="default" w:asciiTheme="minorEastAsia" w:hAnsiTheme="minorEastAsia"/>
                <w:color w:val="auto"/>
                <w:sz w:val="22"/>
                <w:highlight w:val="none"/>
              </w:rPr>
              <w:t>2分，投标人可提供合作单位协议或者自身机构的营业执照证明，也可以提供在本地设立的项目部、办公室、办事处等机构证明，或者承诺中标后提供本地化服务。</w:t>
            </w:r>
            <w:r>
              <w:rPr>
                <w:rFonts w:hint="eastAsia" w:cs="宋体" w:asciiTheme="minorEastAsia" w:hAnsiTheme="minorEastAsia"/>
                <w:bCs/>
                <w:color w:val="auto"/>
                <w:sz w:val="22"/>
                <w:highlight w:val="none"/>
              </w:rPr>
              <w:t>（2）</w:t>
            </w:r>
            <w:r>
              <w:rPr>
                <w:rFonts w:hint="default" w:cs="宋体" w:asciiTheme="minorEastAsia" w:hAnsiTheme="minorEastAsia"/>
                <w:bCs/>
                <w:color w:val="auto"/>
                <w:sz w:val="22"/>
                <w:highlight w:val="none"/>
              </w:rPr>
              <w:t>、提供</w:t>
            </w:r>
            <w:r>
              <w:rPr>
                <w:rFonts w:hint="eastAsia" w:cs="宋体" w:asciiTheme="minorEastAsia" w:hAnsiTheme="minorEastAsia"/>
                <w:bCs/>
                <w:color w:val="auto"/>
                <w:sz w:val="22"/>
                <w:highlight w:val="none"/>
              </w:rPr>
              <w:t>商品售后服务五星或以上评价认证证书</w:t>
            </w:r>
            <w:r>
              <w:rPr>
                <w:rFonts w:hint="default" w:cs="宋体" w:asciiTheme="minorEastAsia" w:hAnsiTheme="minorEastAsia"/>
                <w:bCs/>
                <w:color w:val="auto"/>
                <w:sz w:val="22"/>
                <w:highlight w:val="none"/>
              </w:rPr>
              <w:t>复印件</w:t>
            </w:r>
            <w:r>
              <w:rPr>
                <w:rFonts w:hint="eastAsia" w:cs="宋体" w:asciiTheme="minorEastAsia" w:hAnsiTheme="minorEastAsia"/>
                <w:bCs/>
                <w:color w:val="auto"/>
                <w:sz w:val="22"/>
                <w:highlight w:val="none"/>
              </w:rPr>
              <w:t>得</w:t>
            </w:r>
            <w:r>
              <w:rPr>
                <w:rFonts w:hint="default" w:cs="宋体" w:asciiTheme="minorEastAsia" w:hAnsiTheme="minorEastAsia"/>
                <w:bCs/>
                <w:color w:val="auto"/>
                <w:sz w:val="22"/>
                <w:highlight w:val="none"/>
              </w:rPr>
              <w:t>1分（有效期内），提供商品售后服务四星或以下评价认证证书复印件</w:t>
            </w:r>
            <w:r>
              <w:rPr>
                <w:rFonts w:hint="eastAsia" w:cs="宋体" w:asciiTheme="minorEastAsia" w:hAnsiTheme="minorEastAsia"/>
                <w:bCs/>
                <w:color w:val="auto"/>
                <w:sz w:val="22"/>
                <w:highlight w:val="none"/>
              </w:rPr>
              <w:t>得</w:t>
            </w:r>
            <w:r>
              <w:rPr>
                <w:rFonts w:hint="default" w:cs="宋体" w:asciiTheme="minorEastAsia" w:hAnsiTheme="minorEastAsia"/>
                <w:bCs/>
                <w:color w:val="auto"/>
                <w:sz w:val="22"/>
                <w:highlight w:val="none"/>
              </w:rPr>
              <w:t>0.5分</w:t>
            </w:r>
            <w:r>
              <w:rPr>
                <w:rFonts w:hint="eastAsia" w:cs="宋体" w:asciiTheme="minorEastAsia" w:hAnsiTheme="minorEastAsia"/>
                <w:bCs/>
                <w:color w:val="auto"/>
                <w:sz w:val="22"/>
                <w:highlight w:val="none"/>
              </w:rPr>
              <w:t>。满分2分。</w:t>
            </w:r>
          </w:p>
        </w:tc>
        <w:tc>
          <w:tcPr>
            <w:tcW w:w="335" w:type="pct"/>
            <w:tcBorders>
              <w:top w:val="single" w:color="auto" w:sz="4" w:space="0"/>
              <w:left w:val="single" w:color="auto" w:sz="4" w:space="0"/>
              <w:bottom w:val="single" w:color="auto" w:sz="4" w:space="0"/>
              <w:right w:val="single" w:color="auto" w:sz="4" w:space="0"/>
            </w:tcBorders>
            <w:noWrap/>
            <w:vAlign w:val="center"/>
          </w:tcPr>
          <w:p w14:paraId="0106461E">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default" w:cs="宋体" w:asciiTheme="minorEastAsia" w:hAnsiTheme="minorEastAsia"/>
                <w:bCs/>
                <w:color w:val="auto"/>
                <w:sz w:val="22"/>
                <w:highlight w:val="none"/>
              </w:rPr>
              <w:t>3</w:t>
            </w:r>
          </w:p>
        </w:tc>
      </w:tr>
      <w:tr w14:paraId="514E9EAE">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1B90E38F">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1-3</w:t>
            </w:r>
          </w:p>
        </w:tc>
        <w:tc>
          <w:tcPr>
            <w:tcW w:w="4307" w:type="pct"/>
            <w:tcBorders>
              <w:top w:val="single" w:color="auto" w:sz="4" w:space="0"/>
              <w:left w:val="single" w:color="auto" w:sz="4" w:space="0"/>
              <w:bottom w:val="single" w:color="auto" w:sz="4" w:space="0"/>
              <w:right w:val="single" w:color="auto" w:sz="4" w:space="0"/>
            </w:tcBorders>
            <w:noWrap/>
          </w:tcPr>
          <w:p w14:paraId="728C8A2C">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投标人提供书面承诺函：承诺此项目如果中标后购买施工人员安全保险120万或以上人身安全保险（AAA级以上资质信用保险公司）2个月以上得1分，中标人需在签订合同前提供相关保险单，格式自拟</w:t>
            </w:r>
          </w:p>
        </w:tc>
        <w:tc>
          <w:tcPr>
            <w:tcW w:w="335" w:type="pct"/>
            <w:tcBorders>
              <w:top w:val="single" w:color="auto" w:sz="4" w:space="0"/>
              <w:left w:val="single" w:color="auto" w:sz="4" w:space="0"/>
              <w:bottom w:val="single" w:color="auto" w:sz="4" w:space="0"/>
              <w:right w:val="single" w:color="auto" w:sz="4" w:space="0"/>
            </w:tcBorders>
            <w:noWrap/>
            <w:vAlign w:val="center"/>
          </w:tcPr>
          <w:p w14:paraId="2D1BC097">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w:t>
            </w:r>
          </w:p>
        </w:tc>
      </w:tr>
      <w:tr w14:paraId="5676B04D">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633AC856">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1-4</w:t>
            </w:r>
          </w:p>
        </w:tc>
        <w:tc>
          <w:tcPr>
            <w:tcW w:w="4307" w:type="pct"/>
            <w:tcBorders>
              <w:top w:val="single" w:color="auto" w:sz="4" w:space="0"/>
              <w:left w:val="single" w:color="auto" w:sz="4" w:space="0"/>
              <w:bottom w:val="single" w:color="auto" w:sz="4" w:space="0"/>
              <w:right w:val="single" w:color="auto" w:sz="4" w:space="0"/>
            </w:tcBorders>
            <w:noWrap/>
          </w:tcPr>
          <w:p w14:paraId="40B4B8B1">
            <w:pPr>
              <w:keepNext w:val="0"/>
              <w:keepLines w:val="0"/>
              <w:suppressLineNumbers w:val="0"/>
              <w:spacing w:before="0" w:beforeAutospacing="0" w:after="0" w:afterAutospacing="0" w:line="360" w:lineRule="auto"/>
              <w:ind w:left="0" w:right="0"/>
              <w:jc w:val="left"/>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投标人具备政府部门颁发的《安全生产许可证》得1分。提供有效证书复印件，否则不得分。</w:t>
            </w:r>
          </w:p>
        </w:tc>
        <w:tc>
          <w:tcPr>
            <w:tcW w:w="335" w:type="pct"/>
            <w:tcBorders>
              <w:top w:val="single" w:color="auto" w:sz="4" w:space="0"/>
              <w:left w:val="single" w:color="auto" w:sz="4" w:space="0"/>
              <w:bottom w:val="single" w:color="auto" w:sz="4" w:space="0"/>
              <w:right w:val="single" w:color="auto" w:sz="4" w:space="0"/>
            </w:tcBorders>
            <w:noWrap/>
            <w:vAlign w:val="center"/>
          </w:tcPr>
          <w:p w14:paraId="1CE31346">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w:t>
            </w:r>
          </w:p>
        </w:tc>
      </w:tr>
      <w:tr w14:paraId="2299FB48">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2B58A31C">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1-5</w:t>
            </w:r>
          </w:p>
        </w:tc>
        <w:tc>
          <w:tcPr>
            <w:tcW w:w="4307" w:type="pct"/>
            <w:tcBorders>
              <w:top w:val="single" w:color="auto" w:sz="4" w:space="0"/>
              <w:left w:val="single" w:color="auto" w:sz="4" w:space="0"/>
              <w:bottom w:val="single" w:color="auto" w:sz="4" w:space="0"/>
              <w:right w:val="single" w:color="auto" w:sz="4" w:space="0"/>
            </w:tcBorders>
            <w:noWrap/>
          </w:tcPr>
          <w:p w14:paraId="651353FB">
            <w:pPr>
              <w:keepNext w:val="0"/>
              <w:keepLines w:val="0"/>
              <w:suppressLineNumbers w:val="0"/>
              <w:spacing w:before="148" w:beforeAutospacing="0" w:after="0" w:afterAutospacing="0" w:line="221" w:lineRule="auto"/>
              <w:ind w:left="0" w:right="0"/>
              <w:rPr>
                <w:rFonts w:hint="default" w:ascii="宋体" w:hAnsi="宋体" w:cs="宋体"/>
                <w:color w:val="auto"/>
                <w:sz w:val="22"/>
                <w:highlight w:val="none"/>
              </w:rPr>
            </w:pPr>
            <w:r>
              <w:rPr>
                <w:rFonts w:hint="eastAsia" w:ascii="宋体" w:hAnsi="宋体" w:cs="宋体"/>
                <w:color w:val="auto"/>
                <w:spacing w:val="-2"/>
                <w:sz w:val="22"/>
                <w:highlight w:val="none"/>
              </w:rPr>
              <w:t>投标人提供书面承诺函：主材</w:t>
            </w:r>
            <w:r>
              <w:rPr>
                <w:rFonts w:hint="default" w:ascii="宋体" w:hAnsi="宋体" w:cs="宋体"/>
                <w:color w:val="auto"/>
                <w:spacing w:val="-2"/>
                <w:sz w:val="22"/>
                <w:highlight w:val="none"/>
              </w:rPr>
              <w:t>承诺免费售后服务年限要求如下：</w:t>
            </w:r>
          </w:p>
          <w:p w14:paraId="46DEBAB8">
            <w:pPr>
              <w:keepNext w:val="0"/>
              <w:keepLines w:val="0"/>
              <w:suppressLineNumbers w:val="0"/>
              <w:spacing w:before="62" w:beforeAutospacing="0" w:after="0" w:afterAutospacing="0" w:line="265" w:lineRule="auto"/>
              <w:ind w:left="0" w:right="224"/>
              <w:rPr>
                <w:rFonts w:hint="default" w:ascii="宋体" w:hAnsi="宋体" w:cs="宋体"/>
                <w:color w:val="auto"/>
                <w:spacing w:val="-2"/>
                <w:sz w:val="22"/>
                <w:highlight w:val="none"/>
              </w:rPr>
            </w:pPr>
            <w:r>
              <w:rPr>
                <w:rFonts w:hint="eastAsia" w:ascii="PingFang SC" w:hAnsi="PingFang SC" w:eastAsia="PingFang SC" w:cs="PingFang SC"/>
                <w:color w:val="auto"/>
                <w:spacing w:val="-3"/>
                <w:sz w:val="22"/>
                <w:highlight w:val="none"/>
              </w:rPr>
              <w:t>①，</w:t>
            </w:r>
            <w:r>
              <w:rPr>
                <w:rFonts w:hint="default" w:ascii="宋体" w:hAnsi="宋体" w:cs="宋体"/>
                <w:color w:val="auto"/>
                <w:spacing w:val="-3"/>
                <w:sz w:val="22"/>
                <w:highlight w:val="none"/>
              </w:rPr>
              <w:t>中央台</w:t>
            </w:r>
            <w:r>
              <w:rPr>
                <w:rFonts w:hint="eastAsia" w:ascii="宋体" w:hAnsi="宋体" w:cs="宋体"/>
                <w:color w:val="auto"/>
                <w:spacing w:val="-3"/>
                <w:sz w:val="22"/>
                <w:highlight w:val="none"/>
              </w:rPr>
              <w:t>/边台/仪器主材</w:t>
            </w:r>
            <w:r>
              <w:rPr>
                <w:rFonts w:hint="default" w:ascii="宋体" w:hAnsi="宋体" w:cs="宋体"/>
                <w:color w:val="auto"/>
                <w:spacing w:val="-3"/>
                <w:sz w:val="22"/>
                <w:highlight w:val="none"/>
              </w:rPr>
              <w:t>台面≥10年</w:t>
            </w:r>
            <w:r>
              <w:rPr>
                <w:rFonts w:hint="eastAsia" w:ascii="宋体" w:hAnsi="宋体" w:cs="宋体"/>
                <w:color w:val="auto"/>
                <w:spacing w:val="-3"/>
                <w:sz w:val="22"/>
                <w:highlight w:val="none"/>
              </w:rPr>
              <w:t>得1分</w:t>
            </w:r>
            <w:r>
              <w:rPr>
                <w:rFonts w:hint="default" w:ascii="宋体" w:hAnsi="宋体" w:cs="宋体"/>
                <w:color w:val="auto"/>
                <w:spacing w:val="-3"/>
                <w:sz w:val="22"/>
                <w:highlight w:val="none"/>
              </w:rPr>
              <w:t>；</w:t>
            </w:r>
            <w:r>
              <w:rPr>
                <w:rFonts w:hint="eastAsia" w:ascii="PingFang SC" w:hAnsi="PingFang SC" w:eastAsia="PingFang SC" w:cs="PingFang SC"/>
                <w:color w:val="auto"/>
                <w:spacing w:val="-3"/>
                <w:sz w:val="22"/>
                <w:highlight w:val="none"/>
              </w:rPr>
              <w:t>②，25</w:t>
            </w:r>
            <w:r>
              <w:rPr>
                <w:rFonts w:hint="default" w:ascii="PingFang SC" w:hAnsi="PingFang SC" w:eastAsia="PingFang SC" w:cs="PingFang SC"/>
                <w:color w:val="auto"/>
                <w:spacing w:val="-3"/>
                <w:sz w:val="22"/>
                <w:highlight w:val="none"/>
              </w:rPr>
              <w:t>mm</w:t>
            </w:r>
            <w:r>
              <w:rPr>
                <w:rFonts w:hint="eastAsia" w:ascii="PingFang SC" w:hAnsi="PingFang SC" w:eastAsia="PingFang SC" w:cs="PingFang SC"/>
                <w:color w:val="auto"/>
                <w:spacing w:val="-3"/>
                <w:sz w:val="22"/>
                <w:highlight w:val="none"/>
              </w:rPr>
              <w:t>厚蝶形</w:t>
            </w:r>
            <w:r>
              <w:rPr>
                <w:rFonts w:hint="eastAsia" w:ascii="宋体" w:hAnsi="宋体" w:cs="宋体"/>
                <w:color w:val="auto"/>
                <w:spacing w:val="-3"/>
                <w:sz w:val="22"/>
                <w:highlight w:val="none"/>
              </w:rPr>
              <w:t>陶瓷水槽台</w:t>
            </w:r>
            <w:r>
              <w:rPr>
                <w:rFonts w:hint="default" w:ascii="宋体" w:hAnsi="宋体" w:cs="宋体"/>
                <w:color w:val="auto"/>
                <w:spacing w:val="-3"/>
                <w:sz w:val="22"/>
                <w:highlight w:val="none"/>
              </w:rPr>
              <w:t>台面≥15年</w:t>
            </w:r>
            <w:r>
              <w:rPr>
                <w:rFonts w:hint="eastAsia" w:ascii="宋体" w:hAnsi="宋体" w:cs="宋体"/>
                <w:color w:val="auto"/>
                <w:spacing w:val="-3"/>
                <w:sz w:val="22"/>
                <w:highlight w:val="none"/>
              </w:rPr>
              <w:t>得1分</w:t>
            </w:r>
            <w:r>
              <w:rPr>
                <w:rFonts w:hint="default" w:ascii="宋体" w:hAnsi="宋体" w:cs="宋体"/>
                <w:color w:val="auto"/>
                <w:spacing w:val="-3"/>
                <w:sz w:val="22"/>
                <w:highlight w:val="none"/>
              </w:rPr>
              <w:t>；</w:t>
            </w:r>
            <w:r>
              <w:rPr>
                <w:rFonts w:hint="eastAsia" w:ascii="PingFang SC" w:hAnsi="PingFang SC" w:eastAsia="PingFang SC" w:cs="PingFang SC"/>
                <w:color w:val="auto"/>
                <w:sz w:val="22"/>
                <w:highlight w:val="none"/>
              </w:rPr>
              <w:t>③，</w:t>
            </w:r>
            <w:r>
              <w:rPr>
                <w:rFonts w:hint="default" w:ascii="宋体" w:hAnsi="宋体" w:cs="宋体"/>
                <w:color w:val="auto"/>
                <w:sz w:val="22"/>
                <w:highlight w:val="none"/>
              </w:rPr>
              <w:t>pp</w:t>
            </w:r>
            <w:r>
              <w:rPr>
                <w:rFonts w:hint="eastAsia" w:ascii="宋体" w:hAnsi="宋体" w:cs="宋体"/>
                <w:color w:val="auto"/>
                <w:sz w:val="22"/>
                <w:highlight w:val="none"/>
              </w:rPr>
              <w:t>水槽/三联</w:t>
            </w:r>
            <w:r>
              <w:rPr>
                <w:rFonts w:hint="default" w:ascii="宋体" w:hAnsi="宋体" w:cs="宋体"/>
                <w:color w:val="auto"/>
                <w:spacing w:val="-2"/>
                <w:sz w:val="22"/>
                <w:highlight w:val="none"/>
              </w:rPr>
              <w:t>水龙头</w:t>
            </w:r>
            <w:r>
              <w:rPr>
                <w:rFonts w:hint="eastAsia" w:ascii="宋体" w:hAnsi="宋体" w:cs="宋体"/>
                <w:color w:val="auto"/>
                <w:spacing w:val="-2"/>
                <w:sz w:val="22"/>
                <w:highlight w:val="none"/>
              </w:rPr>
              <w:t>/洗眼器/滴水架配件</w:t>
            </w:r>
            <w:r>
              <w:rPr>
                <w:rFonts w:hint="default" w:ascii="宋体" w:hAnsi="宋体" w:cs="宋体"/>
                <w:color w:val="auto"/>
                <w:spacing w:val="-2"/>
                <w:sz w:val="22"/>
                <w:highlight w:val="none"/>
              </w:rPr>
              <w:t>≥5年</w:t>
            </w:r>
            <w:r>
              <w:rPr>
                <w:rFonts w:hint="eastAsia" w:ascii="宋体" w:hAnsi="宋体" w:cs="宋体"/>
                <w:color w:val="auto"/>
                <w:spacing w:val="-2"/>
                <w:sz w:val="22"/>
                <w:highlight w:val="none"/>
              </w:rPr>
              <w:t>得1分。</w:t>
            </w:r>
          </w:p>
          <w:p w14:paraId="25F1BDE5">
            <w:pPr>
              <w:keepNext w:val="0"/>
              <w:keepLines w:val="0"/>
              <w:suppressLineNumbers w:val="0"/>
              <w:spacing w:before="62" w:beforeAutospacing="0" w:after="0" w:afterAutospacing="0" w:line="265" w:lineRule="auto"/>
              <w:ind w:left="0" w:right="224"/>
              <w:rPr>
                <w:rFonts w:hint="default" w:cs="宋体" w:asciiTheme="minorEastAsia" w:hAnsiTheme="minorEastAsia"/>
                <w:bCs/>
                <w:color w:val="auto"/>
                <w:sz w:val="22"/>
                <w:highlight w:val="none"/>
              </w:rPr>
            </w:pPr>
            <w:r>
              <w:rPr>
                <w:rFonts w:hint="default" w:ascii="宋体" w:hAnsi="宋体" w:cs="宋体"/>
                <w:color w:val="auto"/>
                <w:spacing w:val="-2"/>
                <w:sz w:val="22"/>
                <w:highlight w:val="none"/>
              </w:rPr>
              <w:t>未按要求提供承诺</w:t>
            </w:r>
            <w:r>
              <w:rPr>
                <w:rFonts w:hint="default" w:ascii="宋体" w:hAnsi="宋体" w:cs="宋体"/>
                <w:color w:val="auto"/>
                <w:spacing w:val="-1"/>
                <w:sz w:val="22"/>
                <w:highlight w:val="none"/>
              </w:rPr>
              <w:t>书的不计分。</w:t>
            </w:r>
          </w:p>
        </w:tc>
        <w:tc>
          <w:tcPr>
            <w:tcW w:w="335" w:type="pct"/>
            <w:tcBorders>
              <w:top w:val="single" w:color="auto" w:sz="4" w:space="0"/>
              <w:left w:val="single" w:color="auto" w:sz="4" w:space="0"/>
              <w:bottom w:val="single" w:color="auto" w:sz="4" w:space="0"/>
              <w:right w:val="single" w:color="auto" w:sz="4" w:space="0"/>
            </w:tcBorders>
            <w:noWrap/>
            <w:vAlign w:val="center"/>
          </w:tcPr>
          <w:p w14:paraId="548F4EC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3</w:t>
            </w:r>
          </w:p>
        </w:tc>
      </w:tr>
      <w:tr w14:paraId="0FD30429">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4725907B">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1-6</w:t>
            </w:r>
          </w:p>
        </w:tc>
        <w:tc>
          <w:tcPr>
            <w:tcW w:w="4307" w:type="pct"/>
            <w:tcBorders>
              <w:top w:val="single" w:color="auto" w:sz="4" w:space="0"/>
              <w:left w:val="single" w:color="auto" w:sz="4" w:space="0"/>
              <w:bottom w:val="single" w:color="auto" w:sz="4" w:space="0"/>
              <w:right w:val="single" w:color="auto" w:sz="4" w:space="0"/>
            </w:tcBorders>
            <w:noWrap/>
            <w:vAlign w:val="top"/>
          </w:tcPr>
          <w:p w14:paraId="092F86A7">
            <w:pPr>
              <w:keepNext w:val="0"/>
              <w:keepLines w:val="0"/>
              <w:suppressLineNumbers w:val="0"/>
              <w:spacing w:before="148" w:beforeAutospacing="0" w:after="0" w:afterAutospacing="0" w:line="220" w:lineRule="auto"/>
              <w:ind w:left="0" w:right="0"/>
              <w:rPr>
                <w:rFonts w:hint="default" w:cs="宋体" w:asciiTheme="minorEastAsia" w:hAnsiTheme="minorEastAsia"/>
                <w:bCs/>
                <w:color w:val="auto"/>
                <w:sz w:val="22"/>
                <w:highlight w:val="none"/>
              </w:rPr>
            </w:pPr>
            <w:r>
              <w:rPr>
                <w:rFonts w:hint="eastAsia" w:ascii="宋体" w:hAnsi="宋体" w:eastAsia="宋体" w:cs="宋体"/>
                <w:color w:val="auto"/>
                <w:kern w:val="0"/>
                <w:sz w:val="24"/>
                <w:szCs w:val="24"/>
                <w:highlight w:val="none"/>
                <w:lang w:val="en-US" w:eastAsia="zh-CN" w:bidi="ar"/>
              </w:rPr>
              <w:t>根据投标人提供的售后服务方案进行评价，方案包含维修响应时间的得0.5分、包含维修方式的得0.5分、包含质保期后维修服务的得1分，其它不得分。</w:t>
            </w:r>
          </w:p>
        </w:tc>
        <w:tc>
          <w:tcPr>
            <w:tcW w:w="335" w:type="pct"/>
            <w:tcBorders>
              <w:top w:val="single" w:color="auto" w:sz="4" w:space="0"/>
              <w:left w:val="single" w:color="auto" w:sz="4" w:space="0"/>
              <w:bottom w:val="single" w:color="auto" w:sz="4" w:space="0"/>
              <w:right w:val="single" w:color="auto" w:sz="4" w:space="0"/>
            </w:tcBorders>
            <w:noWrap/>
            <w:vAlign w:val="center"/>
          </w:tcPr>
          <w:p w14:paraId="24A14D63">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ascii="宋体" w:hAnsi="宋体" w:eastAsia="宋体" w:cs="宋体"/>
                <w:bCs/>
                <w:color w:val="auto"/>
                <w:kern w:val="2"/>
                <w:sz w:val="22"/>
                <w:szCs w:val="22"/>
                <w:highlight w:val="none"/>
                <w:lang w:val="en-US" w:eastAsia="zh-CN" w:bidi="ar"/>
              </w:rPr>
              <w:t>2</w:t>
            </w:r>
          </w:p>
        </w:tc>
      </w:tr>
      <w:tr w14:paraId="40CF79A3">
        <w:tblPrEx>
          <w:tblCellMar>
            <w:top w:w="0" w:type="dxa"/>
            <w:left w:w="108" w:type="dxa"/>
            <w:bottom w:w="0" w:type="dxa"/>
            <w:right w:w="108" w:type="dxa"/>
          </w:tblCellMar>
        </w:tblPrEx>
        <w:tc>
          <w:tcPr>
            <w:tcW w:w="357" w:type="pct"/>
            <w:tcBorders>
              <w:top w:val="single" w:color="auto" w:sz="4" w:space="0"/>
              <w:left w:val="single" w:color="auto" w:sz="4" w:space="0"/>
              <w:bottom w:val="single" w:color="auto" w:sz="4" w:space="0"/>
              <w:right w:val="single" w:color="auto" w:sz="4" w:space="0"/>
            </w:tcBorders>
            <w:noWrap/>
            <w:vAlign w:val="center"/>
          </w:tcPr>
          <w:p w14:paraId="24B4E69C">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cs="宋体" w:asciiTheme="minorEastAsia" w:hAnsiTheme="minorEastAsia"/>
                <w:bCs/>
                <w:color w:val="auto"/>
                <w:sz w:val="22"/>
                <w:highlight w:val="none"/>
              </w:rPr>
              <w:t>1-7</w:t>
            </w:r>
          </w:p>
        </w:tc>
        <w:tc>
          <w:tcPr>
            <w:tcW w:w="4307" w:type="pct"/>
            <w:tcBorders>
              <w:top w:val="single" w:color="auto" w:sz="4" w:space="0"/>
              <w:left w:val="single" w:color="auto" w:sz="4" w:space="0"/>
              <w:bottom w:val="single" w:color="auto" w:sz="4" w:space="0"/>
              <w:right w:val="single" w:color="auto" w:sz="4" w:space="0"/>
            </w:tcBorders>
            <w:noWrap/>
            <w:vAlign w:val="top"/>
          </w:tcPr>
          <w:p w14:paraId="50A4B123">
            <w:pPr>
              <w:keepNext w:val="0"/>
              <w:keepLines w:val="0"/>
              <w:suppressLineNumbers w:val="0"/>
              <w:spacing w:before="148" w:beforeAutospacing="0" w:after="0" w:afterAutospacing="0" w:line="220" w:lineRule="auto"/>
              <w:ind w:left="0" w:right="0"/>
              <w:rPr>
                <w:rFonts w:hint="default" w:asciiTheme="minorEastAsia" w:hAnsiTheme="minorEastAsia"/>
                <w:color w:val="auto"/>
                <w:sz w:val="22"/>
                <w:highlight w:val="none"/>
              </w:rPr>
            </w:pPr>
            <w:r>
              <w:rPr>
                <w:rFonts w:hint="eastAsia" w:ascii="宋体" w:hAnsi="宋体" w:eastAsia="宋体" w:cs="宋体"/>
                <w:color w:val="auto"/>
                <w:kern w:val="0"/>
                <w:sz w:val="24"/>
                <w:szCs w:val="24"/>
                <w:highlight w:val="none"/>
                <w:lang w:val="en-US" w:eastAsia="zh-CN" w:bidi="ar"/>
              </w:rPr>
              <w:t>根据投标人自2021年1月1日至开标当日（日期以验收报告为准）所完成同类项目的经营业绩的有效证明文件进行评价，每提供一个有效业绩得1分，满分2分。业绩证明资料包含该项目的中标（成交）公告（提供相关网站中标（成交）公告的下载网页的复印件及其网址）、中标（成交）通知书复印件、采购合同文本复印件，以及能够证明该项目已经采购单位验收合格的相关证明文件扫描件；如未提供该项业绩完整资料的，评标委员会对该项业绩将不予采信。</w:t>
            </w:r>
          </w:p>
        </w:tc>
        <w:tc>
          <w:tcPr>
            <w:tcW w:w="335" w:type="pct"/>
            <w:tcBorders>
              <w:top w:val="single" w:color="auto" w:sz="4" w:space="0"/>
              <w:left w:val="single" w:color="auto" w:sz="4" w:space="0"/>
              <w:bottom w:val="single" w:color="auto" w:sz="4" w:space="0"/>
              <w:right w:val="single" w:color="auto" w:sz="4" w:space="0"/>
            </w:tcBorders>
            <w:noWrap/>
            <w:vAlign w:val="center"/>
          </w:tcPr>
          <w:p w14:paraId="4074E704">
            <w:pPr>
              <w:keepNext w:val="0"/>
              <w:keepLines w:val="0"/>
              <w:suppressLineNumbers w:val="0"/>
              <w:spacing w:before="0" w:beforeAutospacing="0" w:after="0" w:afterAutospacing="0" w:line="360" w:lineRule="auto"/>
              <w:ind w:left="0" w:right="0"/>
              <w:jc w:val="center"/>
              <w:rPr>
                <w:rFonts w:hint="default" w:cs="宋体" w:asciiTheme="minorEastAsia" w:hAnsiTheme="minorEastAsia"/>
                <w:bCs/>
                <w:color w:val="auto"/>
                <w:sz w:val="22"/>
                <w:highlight w:val="none"/>
              </w:rPr>
            </w:pPr>
            <w:r>
              <w:rPr>
                <w:rFonts w:hint="eastAsia" w:ascii="宋体" w:hAnsi="宋体" w:eastAsia="宋体" w:cs="宋体"/>
                <w:color w:val="auto"/>
                <w:kern w:val="0"/>
                <w:sz w:val="24"/>
                <w:szCs w:val="24"/>
                <w:highlight w:val="none"/>
                <w:lang w:val="en-US" w:eastAsia="zh-CN" w:bidi="ar"/>
              </w:rPr>
              <w:t>2</w:t>
            </w:r>
          </w:p>
        </w:tc>
      </w:tr>
    </w:tbl>
    <w:p w14:paraId="7DD8AEB6">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（三）价格评分(F3)：按30分评分法，评标委员会对各有效标投标报价进行审核确定评标价，并将最低有效标的评标价设为基准价，定其价格得分为30分。按公式：价格得分＝30</w:t>
      </w:r>
      <w:r>
        <w:rPr>
          <w:rFonts w:hint="eastAsia" w:ascii="宋体" w:hAnsi="宋体" w:cs="宋体"/>
          <w:color w:val="auto"/>
          <w:sz w:val="24"/>
          <w:szCs w:val="24"/>
          <w:highlight w:val="none"/>
        </w:rPr>
        <w:sym w:font="Symbol" w:char="00B4"/>
      </w:r>
      <w:r>
        <w:rPr>
          <w:rFonts w:hint="eastAsia" w:ascii="宋体" w:hAnsi="宋体" w:cs="宋体"/>
          <w:color w:val="auto"/>
          <w:sz w:val="24"/>
          <w:szCs w:val="24"/>
          <w:highlight w:val="none"/>
        </w:rPr>
        <w:t xml:space="preserve"> （基准价/各个通过审核的有效投标人的评标价）计算，由此算出各个通过审核的有效投标人的价格得分。</w:t>
      </w:r>
    </w:p>
    <w:p w14:paraId="48B4F67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1、“小型和微型企业产品”的评分政策：</w:t>
      </w:r>
    </w:p>
    <w:p w14:paraId="351E2F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03B9FC48">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2、节能、环境标志产品价格扣除：</w:t>
      </w:r>
    </w:p>
    <w:p w14:paraId="796FE6C0">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6458FFDB">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具体要求如下：</w:t>
      </w:r>
    </w:p>
    <w:p w14:paraId="6ED4E001">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72AC33B7">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应分别明确节能或环境标志产品的名称、数量、分项报价、总报价，并提供认证证书复印件，否则不予价格扣除。若节能产品、环境标志产品认证证书不能反映产品具体信息的，须提供认证证书附件。此外，若投标人对节能或环境标志产品的报价明显高于其他同类产品的报价，投标人应按评标委员会要求作出说明并提供相关证明材料，不能合理说明或不能提供相关证明材料的，不予价格扣除。</w:t>
      </w:r>
    </w:p>
    <w:p w14:paraId="39437722">
      <w:pPr>
        <w:widowControl/>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若节能、环境标志产品仅是构成投标产品的部件、组件或零件，则该投标产品不享受鼓励优惠政策。属于政府强制采购的节能产品不享受价格扣除优惠。若投标产品既属于节能产品又属于环境标志产品，分别计算价格扣除优惠。</w:t>
      </w:r>
    </w:p>
    <w:p w14:paraId="6315AC99">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（四）综合得分= F1+ F2 + F3 。</w:t>
      </w:r>
    </w:p>
    <w:p w14:paraId="3D6648F3">
      <w:pPr>
        <w:pStyle w:val="6"/>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备注：1、技术商务评分中涉及排名情况的评分由评标委员会根据各投标人投标文件的响应情况进行综合评议得出排名。</w:t>
      </w:r>
    </w:p>
    <w:p w14:paraId="27BC3836">
      <w:pPr>
        <w:pStyle w:val="6"/>
        <w:numPr>
          <w:ilvl w:val="0"/>
          <w:numId w:val="2"/>
        </w:numPr>
        <w:spacing w:line="360" w:lineRule="auto"/>
        <w:ind w:firstLine="720" w:firstLineChars="300"/>
        <w:rPr>
          <w:rFonts w:hAnsi="宋体" w:cs="宋体"/>
          <w:color w:val="auto"/>
          <w:sz w:val="24"/>
          <w:szCs w:val="24"/>
          <w:highlight w:val="none"/>
        </w:rPr>
      </w:pPr>
      <w:r>
        <w:rPr>
          <w:rFonts w:hint="eastAsia" w:hAnsi="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采购单位验收合格的相关证明文件复印件，原件备查；如未按招标文件要求提供该项业绩完整资料的，评标委员会对该项业绩将不予采信。</w:t>
      </w:r>
    </w:p>
    <w:p w14:paraId="638383EC">
      <w:pPr>
        <w:pStyle w:val="6"/>
        <w:spacing w:line="360" w:lineRule="auto"/>
        <w:ind w:firstLine="720" w:firstLineChars="300"/>
        <w:rPr>
          <w:rFonts w:hAnsi="宋体" w:cs="宋体"/>
          <w:color w:val="auto"/>
          <w:sz w:val="24"/>
          <w:szCs w:val="24"/>
          <w:highlight w:val="none"/>
        </w:rPr>
      </w:pPr>
    </w:p>
    <w:p w14:paraId="3EA0868A">
      <w:pPr>
        <w:spacing w:line="360" w:lineRule="auto"/>
        <w:ind w:firstLine="1280" w:firstLineChars="400"/>
        <w:rPr>
          <w:rFonts w:ascii="宋体" w:hAnsi="宋体" w:cs="宋体"/>
          <w:color w:val="auto"/>
          <w:sz w:val="32"/>
          <w:szCs w:val="32"/>
          <w:highlight w:val="none"/>
        </w:rPr>
      </w:pPr>
    </w:p>
    <w:p w14:paraId="117F0DBA">
      <w:pPr>
        <w:spacing w:line="360" w:lineRule="auto"/>
        <w:ind w:firstLine="1280" w:firstLineChars="400"/>
        <w:rPr>
          <w:rFonts w:ascii="宋体" w:hAnsi="宋体" w:cs="宋体"/>
          <w:color w:val="auto"/>
          <w:sz w:val="32"/>
          <w:szCs w:val="32"/>
          <w:highlight w:val="none"/>
        </w:rPr>
      </w:pPr>
    </w:p>
    <w:p w14:paraId="2AF70EB4">
      <w:pPr>
        <w:spacing w:line="360" w:lineRule="auto"/>
        <w:ind w:firstLine="1280" w:firstLineChars="400"/>
        <w:rPr>
          <w:rFonts w:ascii="宋体" w:hAnsi="宋体" w:cs="宋体"/>
          <w:color w:val="auto"/>
          <w:sz w:val="32"/>
          <w:szCs w:val="32"/>
          <w:highlight w:val="none"/>
        </w:rPr>
      </w:pPr>
    </w:p>
    <w:p w14:paraId="1197F44B">
      <w:pPr>
        <w:spacing w:line="360" w:lineRule="auto"/>
        <w:ind w:firstLine="1280" w:firstLineChars="400"/>
        <w:rPr>
          <w:rFonts w:ascii="宋体" w:hAnsi="宋体" w:cs="宋体"/>
          <w:color w:val="auto"/>
          <w:sz w:val="32"/>
          <w:szCs w:val="32"/>
          <w:highlight w:val="none"/>
        </w:rPr>
      </w:pPr>
    </w:p>
    <w:p w14:paraId="34652B2C">
      <w:pPr>
        <w:spacing w:line="360" w:lineRule="auto"/>
        <w:ind w:firstLine="1280" w:firstLineChars="400"/>
        <w:rPr>
          <w:rFonts w:ascii="宋体" w:hAnsi="宋体" w:cs="宋体"/>
          <w:color w:val="auto"/>
          <w:sz w:val="32"/>
          <w:szCs w:val="32"/>
          <w:highlight w:val="none"/>
        </w:rPr>
      </w:pPr>
    </w:p>
    <w:p w14:paraId="2ED7415D">
      <w:pPr>
        <w:spacing w:line="360" w:lineRule="auto"/>
        <w:ind w:firstLine="1280" w:firstLineChars="400"/>
        <w:rPr>
          <w:rFonts w:ascii="宋体" w:hAnsi="宋体" w:cs="宋体"/>
          <w:color w:val="auto"/>
          <w:sz w:val="32"/>
          <w:szCs w:val="32"/>
          <w:highlight w:val="none"/>
        </w:rPr>
      </w:pPr>
    </w:p>
    <w:p w14:paraId="5162AB0C">
      <w:pPr>
        <w:spacing w:line="360" w:lineRule="auto"/>
        <w:ind w:firstLine="1280" w:firstLineChars="400"/>
        <w:rPr>
          <w:rFonts w:ascii="宋体" w:hAnsi="宋体" w:cs="宋体"/>
          <w:color w:val="auto"/>
          <w:sz w:val="32"/>
          <w:szCs w:val="32"/>
          <w:highlight w:val="none"/>
        </w:rPr>
      </w:pPr>
    </w:p>
    <w:p w14:paraId="238545D1">
      <w:pPr>
        <w:spacing w:line="360" w:lineRule="auto"/>
        <w:ind w:firstLine="1280" w:firstLineChars="400"/>
        <w:rPr>
          <w:rFonts w:ascii="宋体" w:hAnsi="宋体" w:cs="宋体"/>
          <w:color w:val="auto"/>
          <w:sz w:val="32"/>
          <w:szCs w:val="32"/>
          <w:highlight w:val="none"/>
        </w:rPr>
      </w:pPr>
    </w:p>
    <w:p w14:paraId="7847420C">
      <w:pPr>
        <w:spacing w:line="360" w:lineRule="auto"/>
        <w:ind w:firstLine="1280" w:firstLineChars="400"/>
        <w:rPr>
          <w:rFonts w:ascii="宋体" w:hAnsi="宋体" w:cs="宋体"/>
          <w:color w:val="auto"/>
          <w:sz w:val="32"/>
          <w:szCs w:val="32"/>
          <w:highlight w:val="none"/>
        </w:rPr>
      </w:pPr>
    </w:p>
    <w:p w14:paraId="628EB5BC">
      <w:pPr>
        <w:spacing w:line="360" w:lineRule="auto"/>
        <w:ind w:firstLine="1280" w:firstLineChars="400"/>
        <w:rPr>
          <w:rFonts w:ascii="宋体" w:hAnsi="宋体" w:cs="宋体"/>
          <w:color w:val="auto"/>
          <w:sz w:val="32"/>
          <w:szCs w:val="32"/>
          <w:highlight w:val="none"/>
        </w:rPr>
      </w:pPr>
    </w:p>
    <w:p w14:paraId="29BA7EF0">
      <w:pPr>
        <w:spacing w:line="360" w:lineRule="auto"/>
        <w:ind w:firstLine="1280" w:firstLineChars="400"/>
        <w:rPr>
          <w:rFonts w:ascii="宋体" w:hAnsi="宋体" w:cs="宋体"/>
          <w:color w:val="auto"/>
          <w:sz w:val="32"/>
          <w:szCs w:val="32"/>
          <w:highlight w:val="none"/>
        </w:rPr>
      </w:pPr>
    </w:p>
    <w:p w14:paraId="4E3F8025">
      <w:pPr>
        <w:spacing w:line="360" w:lineRule="auto"/>
        <w:ind w:firstLine="1280" w:firstLineChars="400"/>
        <w:rPr>
          <w:rFonts w:ascii="宋体" w:hAnsi="宋体" w:cs="宋体"/>
          <w:color w:val="auto"/>
          <w:sz w:val="32"/>
          <w:szCs w:val="32"/>
          <w:highlight w:val="none"/>
        </w:rPr>
      </w:pPr>
    </w:p>
    <w:p w14:paraId="57E16E24">
      <w:pPr>
        <w:spacing w:line="360" w:lineRule="auto"/>
        <w:ind w:firstLine="1280" w:firstLineChars="400"/>
        <w:rPr>
          <w:rFonts w:ascii="宋体" w:hAnsi="宋体" w:cs="宋体"/>
          <w:color w:val="auto"/>
          <w:sz w:val="32"/>
          <w:szCs w:val="32"/>
          <w:highlight w:val="none"/>
        </w:rPr>
      </w:pPr>
    </w:p>
    <w:p w14:paraId="5226C799">
      <w:pPr>
        <w:spacing w:line="360" w:lineRule="auto"/>
        <w:ind w:firstLine="1280" w:firstLineChars="400"/>
        <w:rPr>
          <w:rFonts w:ascii="宋体" w:hAnsi="宋体" w:cs="宋体"/>
          <w:color w:val="auto"/>
          <w:sz w:val="32"/>
          <w:szCs w:val="32"/>
          <w:highlight w:val="none"/>
        </w:rPr>
      </w:pPr>
    </w:p>
    <w:p w14:paraId="3A8510E7">
      <w:pPr>
        <w:rPr>
          <w:rFonts w:hint="eastAsia" w:ascii="宋体" w:hAnsi="宋体" w:cs="宋体"/>
          <w:color w:val="auto"/>
          <w:sz w:val="32"/>
          <w:szCs w:val="32"/>
          <w:highlight w:val="none"/>
        </w:rPr>
      </w:pPr>
      <w:r>
        <w:rPr>
          <w:rFonts w:hint="eastAsia" w:ascii="宋体" w:hAnsi="宋体" w:cs="宋体"/>
          <w:color w:val="auto"/>
          <w:sz w:val="32"/>
          <w:szCs w:val="32"/>
          <w:highlight w:val="none"/>
        </w:rPr>
        <w:br w:type="page"/>
      </w:r>
    </w:p>
    <w:p w14:paraId="3A7C6AC2">
      <w:pPr>
        <w:spacing w:line="360" w:lineRule="auto"/>
        <w:ind w:firstLine="1280" w:firstLineChars="400"/>
        <w:rPr>
          <w:rFonts w:ascii="宋体" w:hAnsi="宋体" w:cs="宋体"/>
          <w:color w:val="auto"/>
          <w:sz w:val="32"/>
          <w:szCs w:val="32"/>
          <w:highlight w:val="none"/>
        </w:rPr>
      </w:pPr>
      <w:r>
        <w:rPr>
          <w:rFonts w:hint="eastAsia" w:ascii="宋体" w:hAnsi="宋体" w:cs="宋体"/>
          <w:color w:val="auto"/>
          <w:sz w:val="32"/>
          <w:szCs w:val="32"/>
          <w:highlight w:val="none"/>
        </w:rPr>
        <w:t>投标人须知前附表4：中小企业优惠办法</w:t>
      </w:r>
    </w:p>
    <w:tbl>
      <w:tblPr>
        <w:tblStyle w:val="16"/>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42CB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2264F7C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序号</w:t>
            </w:r>
          </w:p>
        </w:tc>
        <w:tc>
          <w:tcPr>
            <w:tcW w:w="1677" w:type="dxa"/>
            <w:noWrap/>
            <w:vAlign w:val="center"/>
          </w:tcPr>
          <w:p w14:paraId="5CE901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项目</w:t>
            </w:r>
          </w:p>
        </w:tc>
        <w:tc>
          <w:tcPr>
            <w:tcW w:w="6063" w:type="dxa"/>
            <w:noWrap/>
            <w:vAlign w:val="center"/>
          </w:tcPr>
          <w:p w14:paraId="0BA2FDE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2F4A1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ign w:val="center"/>
          </w:tcPr>
          <w:p w14:paraId="4C3C19CC">
            <w:pPr>
              <w:keepNext w:val="0"/>
              <w:keepLines w:val="0"/>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1</w:t>
            </w:r>
          </w:p>
        </w:tc>
        <w:tc>
          <w:tcPr>
            <w:tcW w:w="1677" w:type="dxa"/>
            <w:noWrap/>
            <w:vAlign w:val="center"/>
          </w:tcPr>
          <w:p w14:paraId="2E9C9C03">
            <w:pPr>
              <w:keepNext w:val="0"/>
              <w:keepLines w:val="0"/>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本项目是否属于预留份额专门面向中小企业采购活动：</w:t>
            </w:r>
          </w:p>
        </w:tc>
        <w:tc>
          <w:tcPr>
            <w:tcW w:w="6063" w:type="dxa"/>
            <w:noWrap/>
            <w:vAlign w:val="center"/>
          </w:tcPr>
          <w:p w14:paraId="7CBBD202">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default"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default"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是</w:t>
            </w:r>
            <w:r>
              <w:rPr>
                <w:rFonts w:hint="default" w:ascii="宋体" w:hAnsi="宋体" w:cs="宋体"/>
                <w:color w:val="auto"/>
                <w:sz w:val="24"/>
                <w:szCs w:val="24"/>
                <w:highlight w:val="none"/>
              </w:rPr>
              <w:t xml:space="preserve">/ </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否</w:t>
            </w:r>
          </w:p>
        </w:tc>
      </w:tr>
      <w:tr w14:paraId="7472A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30DDC605">
            <w:pPr>
              <w:keepNext w:val="0"/>
              <w:keepLines w:val="0"/>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2</w:t>
            </w:r>
          </w:p>
        </w:tc>
        <w:tc>
          <w:tcPr>
            <w:tcW w:w="1677" w:type="dxa"/>
            <w:noWrap/>
            <w:vAlign w:val="center"/>
          </w:tcPr>
          <w:p w14:paraId="11622AC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b/>
                <w:color w:val="auto"/>
                <w:sz w:val="24"/>
                <w:szCs w:val="24"/>
                <w:highlight w:val="none"/>
              </w:rPr>
              <w:t>中小企业的认定标准</w:t>
            </w:r>
          </w:p>
        </w:tc>
        <w:tc>
          <w:tcPr>
            <w:tcW w:w="6063" w:type="dxa"/>
            <w:noWrap/>
          </w:tcPr>
          <w:p w14:paraId="5ADF9B41">
            <w:pPr>
              <w:keepNext w:val="0"/>
              <w:keepLines w:val="0"/>
              <w:suppressLineNumbers w:val="0"/>
              <w:spacing w:before="0" w:beforeAutospacing="0" w:after="0" w:afterAutospacing="0" w:line="360" w:lineRule="auto"/>
              <w:ind w:left="0" w:right="0" w:firstLine="480" w:firstLineChars="200"/>
              <w:rPr>
                <w:rFonts w:hint="default" w:ascii="宋体" w:hAnsi="宋体" w:cs="宋体"/>
                <w:color w:val="auto"/>
                <w:sz w:val="24"/>
                <w:szCs w:val="24"/>
                <w:highlight w:val="none"/>
              </w:rPr>
            </w:pPr>
            <w:r>
              <w:rPr>
                <w:rFonts w:hint="eastAsia" w:ascii="宋体" w:hAnsi="宋体" w:cs="宋体"/>
                <w:color w:val="auto"/>
                <w:sz w:val="24"/>
                <w:szCs w:val="24"/>
                <w:highlight w:val="none"/>
              </w:rPr>
              <w:t>中小企业参加政府采购活动，应当出具《中小企业声明函》，否则不得享受相关中小企业扶持政策。</w:t>
            </w:r>
          </w:p>
          <w:p w14:paraId="6B3B1D5E">
            <w:pPr>
              <w:keepNext w:val="0"/>
              <w:keepLines w:val="0"/>
              <w:suppressLineNumbers w:val="0"/>
              <w:spacing w:before="0" w:beforeAutospacing="0" w:after="0" w:afterAutospacing="0" w:line="360" w:lineRule="auto"/>
              <w:ind w:left="0" w:right="0" w:firstLine="480" w:firstLineChars="200"/>
              <w:rPr>
                <w:rFonts w:hint="default" w:ascii="宋体" w:hAnsi="宋体" w:cs="宋体"/>
                <w:color w:val="auto"/>
                <w:sz w:val="24"/>
                <w:szCs w:val="24"/>
                <w:highlight w:val="none"/>
              </w:rPr>
            </w:pPr>
            <w:r>
              <w:rPr>
                <w:rFonts w:hint="eastAsia" w:ascii="宋体" w:hAnsi="宋体" w:cs="宋体"/>
                <w:color w:val="auto"/>
                <w:sz w:val="24"/>
                <w:szCs w:val="24"/>
                <w:highlight w:val="none"/>
              </w:rPr>
              <w:t>须满足以下条件，才能认定为中小企业</w:t>
            </w:r>
            <w:r>
              <w:rPr>
                <w:rFonts w:hint="eastAsia" w:ascii="宋体" w:hAnsi="宋体" w:cs="宋体"/>
                <w:b/>
                <w:color w:val="auto"/>
                <w:sz w:val="24"/>
                <w:szCs w:val="24"/>
                <w:highlight w:val="none"/>
              </w:rPr>
              <w:t>（含中型、小型、微型企业，下同）</w:t>
            </w:r>
            <w:r>
              <w:rPr>
                <w:rFonts w:hint="eastAsia" w:ascii="宋体" w:hAnsi="宋体" w:cs="宋体"/>
                <w:color w:val="auto"/>
                <w:sz w:val="24"/>
                <w:szCs w:val="24"/>
                <w:highlight w:val="none"/>
              </w:rPr>
              <w:t>：</w:t>
            </w:r>
          </w:p>
          <w:p w14:paraId="2B4F2856">
            <w:pPr>
              <w:keepNext w:val="0"/>
              <w:keepLines w:val="0"/>
              <w:suppressLineNumbers w:val="0"/>
              <w:spacing w:before="0" w:beforeAutospacing="0" w:after="0" w:afterAutospacing="0" w:line="360" w:lineRule="auto"/>
              <w:ind w:left="0" w:right="0" w:firstLine="480" w:firstLineChars="200"/>
              <w:rPr>
                <w:rFonts w:hint="default" w:ascii="宋体" w:hAnsi="宋体" w:cs="宋体"/>
                <w:color w:val="auto"/>
                <w:sz w:val="24"/>
                <w:szCs w:val="24"/>
                <w:highlight w:val="none"/>
              </w:rPr>
            </w:pPr>
            <w:r>
              <w:rPr>
                <w:rFonts w:hint="eastAsia" w:ascii="宋体" w:hAnsi="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707CC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ign w:val="center"/>
          </w:tcPr>
          <w:p w14:paraId="3328B286">
            <w:pPr>
              <w:keepNext w:val="0"/>
              <w:keepLines w:val="0"/>
              <w:widowControl/>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3</w:t>
            </w:r>
          </w:p>
        </w:tc>
        <w:tc>
          <w:tcPr>
            <w:tcW w:w="1677" w:type="dxa"/>
            <w:noWrap/>
            <w:vAlign w:val="center"/>
          </w:tcPr>
          <w:p w14:paraId="5CCA1E90">
            <w:pPr>
              <w:keepNext w:val="0"/>
              <w:keepLines w:val="0"/>
              <w:widowControl/>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优惠办法：</w:t>
            </w:r>
          </w:p>
        </w:tc>
        <w:tc>
          <w:tcPr>
            <w:tcW w:w="6063" w:type="dxa"/>
            <w:tcBorders>
              <w:bottom w:val="single" w:color="auto" w:sz="4" w:space="0"/>
            </w:tcBorders>
            <w:noWrap/>
          </w:tcPr>
          <w:p w14:paraId="4A903888">
            <w:pPr>
              <w:keepNext w:val="0"/>
              <w:keepLines w:val="0"/>
              <w:suppressLineNumbers w:val="0"/>
              <w:spacing w:before="0" w:beforeAutospacing="0" w:after="0" w:afterAutospacing="0" w:line="360" w:lineRule="auto"/>
              <w:ind w:left="-65" w:leftChars="-31" w:right="0" w:firstLine="12" w:firstLineChars="5"/>
              <w:rPr>
                <w:rFonts w:hint="default" w:ascii="宋体" w:hAnsi="宋体" w:cs="宋体"/>
                <w:b/>
                <w:color w:val="auto"/>
                <w:sz w:val="24"/>
                <w:szCs w:val="24"/>
                <w:highlight w:val="none"/>
              </w:rPr>
            </w:pPr>
            <w:r>
              <w:rPr>
                <w:rFonts w:hint="eastAsia" w:ascii="宋体" w:hAnsi="宋体" w:cs="宋体"/>
                <w:b/>
                <w:color w:val="auto"/>
                <w:sz w:val="24"/>
                <w:szCs w:val="24"/>
                <w:highlight w:val="none"/>
              </w:rPr>
              <w:t>投标人为中小企业（含中型、小型、微型企业，下同）：</w:t>
            </w:r>
          </w:p>
          <w:p w14:paraId="03C777FE">
            <w:pPr>
              <w:keepNext w:val="0"/>
              <w:keepLines w:val="0"/>
              <w:suppressLineNumbers w:val="0"/>
              <w:spacing w:before="0" w:beforeAutospacing="0" w:after="0" w:afterAutospacing="0" w:line="360" w:lineRule="auto"/>
              <w:ind w:left="411" w:right="0"/>
              <w:rPr>
                <w:rFonts w:hint="default" w:ascii="宋体" w:hAnsi="宋体" w:cs="宋体"/>
                <w:color w:val="auto"/>
                <w:spacing w:val="-4"/>
                <w:sz w:val="24"/>
                <w:szCs w:val="24"/>
                <w:highlight w:val="none"/>
              </w:rPr>
            </w:pPr>
            <w:r>
              <w:rPr>
                <w:rFonts w:hint="eastAsia" w:ascii="宋体" w:hAnsi="宋体" w:cs="宋体"/>
                <w:color w:val="auto"/>
                <w:spacing w:val="-4"/>
                <w:sz w:val="24"/>
                <w:szCs w:val="24"/>
                <w:highlight w:val="none"/>
              </w:rPr>
              <w:t>①投标保证金：按招标文件约定数额的50%交纳</w:t>
            </w:r>
          </w:p>
          <w:p w14:paraId="7360F0F8">
            <w:pPr>
              <w:keepNext w:val="0"/>
              <w:keepLines w:val="0"/>
              <w:suppressLineNumbers w:val="0"/>
              <w:spacing w:before="0" w:beforeAutospacing="0" w:after="0" w:afterAutospacing="0" w:line="360" w:lineRule="auto"/>
              <w:ind w:left="-65" w:leftChars="-31" w:right="0" w:firstLine="475" w:firstLineChars="205"/>
              <w:rPr>
                <w:rFonts w:hint="default" w:ascii="宋体" w:hAnsi="宋体" w:cs="宋体"/>
                <w:color w:val="auto"/>
                <w:spacing w:val="-4"/>
                <w:sz w:val="24"/>
                <w:szCs w:val="24"/>
                <w:highlight w:val="none"/>
              </w:rPr>
            </w:pPr>
            <w:r>
              <w:rPr>
                <w:rFonts w:hint="eastAsia" w:ascii="宋体" w:hAnsi="宋体" w:cs="宋体"/>
                <w:color w:val="auto"/>
                <w:spacing w:val="-4"/>
                <w:sz w:val="24"/>
                <w:szCs w:val="24"/>
                <w:highlight w:val="none"/>
              </w:rPr>
              <w:t>②履约保证金：按约定比例的50%支付（如果有的话）</w:t>
            </w:r>
          </w:p>
          <w:p w14:paraId="45E5E0D8">
            <w:pPr>
              <w:keepNext w:val="0"/>
              <w:keepLines w:val="0"/>
              <w:suppressLineNumbers w:val="0"/>
              <w:spacing w:before="0" w:beforeAutospacing="0" w:after="0" w:afterAutospacing="0" w:line="360" w:lineRule="auto"/>
              <w:ind w:left="-65" w:leftChars="-31" w:right="0" w:firstLine="475" w:firstLineChars="205"/>
              <w:rPr>
                <w:rFonts w:hint="default" w:ascii="宋体" w:hAnsi="宋体" w:cs="宋体"/>
                <w:color w:val="auto"/>
                <w:spacing w:val="-4"/>
                <w:sz w:val="24"/>
                <w:szCs w:val="24"/>
                <w:highlight w:val="none"/>
              </w:rPr>
            </w:pPr>
            <w:r>
              <w:rPr>
                <w:rFonts w:hint="eastAsia" w:ascii="宋体" w:hAnsi="宋体" w:cs="宋体"/>
                <w:color w:val="auto"/>
                <w:spacing w:val="-4"/>
                <w:sz w:val="24"/>
                <w:szCs w:val="24"/>
                <w:highlight w:val="none"/>
              </w:rPr>
              <w:t>③</w:t>
            </w:r>
            <w:r>
              <w:rPr>
                <w:rStyle w:val="19"/>
                <w:rFonts w:hint="eastAsia" w:ascii="宋体" w:hAnsi="宋体" w:cs="宋体"/>
                <w:color w:val="auto"/>
                <w:kern w:val="0"/>
                <w:sz w:val="24"/>
                <w:szCs w:val="24"/>
                <w:highlight w:val="none"/>
              </w:rPr>
              <w:t>代理服务费</w:t>
            </w:r>
            <w:r>
              <w:rPr>
                <w:rFonts w:hint="eastAsia" w:ascii="宋体" w:hAnsi="宋体" w:cs="宋体"/>
                <w:color w:val="auto"/>
                <w:spacing w:val="-4"/>
                <w:sz w:val="24"/>
                <w:szCs w:val="24"/>
                <w:highlight w:val="none"/>
              </w:rPr>
              <w:t>：按招标文件规定的收费标准下调10%</w:t>
            </w:r>
          </w:p>
          <w:p w14:paraId="0CCE982A">
            <w:pPr>
              <w:keepNext w:val="0"/>
              <w:keepLines w:val="0"/>
              <w:suppressLineNumbers w:val="0"/>
              <w:spacing w:before="0" w:beforeAutospacing="0" w:after="0" w:afterAutospacing="0" w:line="360" w:lineRule="auto"/>
              <w:ind w:left="-65" w:leftChars="-31" w:right="0" w:firstLine="12" w:firstLineChars="5"/>
              <w:rPr>
                <w:rFonts w:hint="default" w:ascii="宋体" w:hAnsi="宋体" w:cs="宋体"/>
                <w:b/>
                <w:color w:val="auto"/>
                <w:spacing w:val="-4"/>
                <w:sz w:val="24"/>
                <w:szCs w:val="24"/>
                <w:highlight w:val="none"/>
              </w:rPr>
            </w:pPr>
          </w:p>
          <w:p w14:paraId="1B1D2F11">
            <w:pPr>
              <w:keepNext w:val="0"/>
              <w:keepLines w:val="0"/>
              <w:suppressLineNumbers w:val="0"/>
              <w:spacing w:before="0" w:beforeAutospacing="0" w:after="0" w:afterAutospacing="0" w:line="360" w:lineRule="auto"/>
              <w:ind w:left="-65" w:leftChars="-31" w:right="0" w:firstLine="12" w:firstLineChars="5"/>
              <w:rPr>
                <w:rFonts w:hint="default" w:ascii="宋体" w:hAnsi="宋体" w:cs="宋体"/>
                <w:b/>
                <w:color w:val="auto"/>
                <w:spacing w:val="-4"/>
                <w:sz w:val="24"/>
                <w:szCs w:val="24"/>
                <w:highlight w:val="none"/>
              </w:rPr>
            </w:pPr>
            <w:r>
              <w:rPr>
                <w:rFonts w:hint="eastAsia" w:ascii="宋体" w:hAnsi="宋体" w:cs="宋体"/>
                <w:b/>
                <w:color w:val="auto"/>
                <w:spacing w:val="-4"/>
                <w:sz w:val="24"/>
                <w:szCs w:val="24"/>
                <w:highlight w:val="none"/>
              </w:rPr>
              <w:t>投标产品为</w:t>
            </w:r>
            <w:r>
              <w:rPr>
                <w:rFonts w:hint="eastAsia" w:ascii="宋体" w:hAnsi="宋体" w:cs="宋体"/>
                <w:b/>
                <w:color w:val="auto"/>
                <w:sz w:val="24"/>
                <w:szCs w:val="24"/>
                <w:highlight w:val="none"/>
              </w:rPr>
              <w:t>小型企业或微型企业生产</w:t>
            </w:r>
            <w:r>
              <w:rPr>
                <w:rFonts w:hint="eastAsia" w:ascii="宋体" w:hAnsi="宋体" w:cs="宋体"/>
                <w:b/>
                <w:color w:val="auto"/>
                <w:spacing w:val="-4"/>
                <w:sz w:val="24"/>
                <w:szCs w:val="24"/>
                <w:highlight w:val="none"/>
              </w:rPr>
              <w:t>：</w:t>
            </w:r>
          </w:p>
          <w:p w14:paraId="2B85892E">
            <w:pPr>
              <w:pStyle w:val="15"/>
              <w:keepNext w:val="0"/>
              <w:keepLines w:val="0"/>
              <w:numPr>
                <w:ilvl w:val="255"/>
                <w:numId w:val="0"/>
              </w:numPr>
              <w:suppressLineNumbers w:val="0"/>
              <w:spacing w:before="0" w:beforeAutospacing="0" w:after="0" w:afterAutospacing="0" w:line="360" w:lineRule="auto"/>
              <w:ind w:right="0" w:firstLine="480" w:firstLineChars="200"/>
              <w:rPr>
                <w:rFonts w:hint="default" w:ascii="宋体" w:hAnsi="宋体" w:cs="宋体"/>
                <w:color w:val="auto"/>
                <w:sz w:val="24"/>
                <w:szCs w:val="24"/>
                <w:highlight w:val="none"/>
              </w:rPr>
            </w:pPr>
            <w:r>
              <w:rPr>
                <w:rFonts w:hint="eastAsia" w:ascii="宋体" w:hAnsi="宋体" w:cs="宋体"/>
                <w:color w:val="auto"/>
                <w:sz w:val="24"/>
                <w:szCs w:val="24"/>
                <w:highlight w:val="none"/>
              </w:rPr>
              <w:t>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7FAE0FE9">
            <w:pPr>
              <w:pStyle w:val="6"/>
              <w:keepNext w:val="0"/>
              <w:keepLines w:val="0"/>
              <w:suppressLineNumbers w:val="0"/>
              <w:spacing w:before="0" w:beforeAutospacing="0" w:after="0" w:afterAutospacing="0" w:line="360" w:lineRule="auto"/>
              <w:ind w:left="0" w:right="0" w:firstLine="482" w:firstLineChars="200"/>
              <w:rPr>
                <w:rFonts w:hint="default" w:hAnsi="宋体" w:cs="宋体"/>
                <w:color w:val="auto"/>
                <w:sz w:val="24"/>
                <w:szCs w:val="24"/>
                <w:highlight w:val="none"/>
              </w:rPr>
            </w:pPr>
            <w:r>
              <w:rPr>
                <w:rFonts w:hint="eastAsia" w:hAnsi="宋体" w:cs="宋体"/>
                <w:b/>
                <w:color w:val="auto"/>
                <w:sz w:val="24"/>
                <w:szCs w:val="24"/>
                <w:highlight w:val="none"/>
              </w:rPr>
              <w:t>若本项目属于预留份额专门面向中小企业采购活动，不再执行价格评审优惠的扶持政策</w:t>
            </w:r>
            <w:r>
              <w:rPr>
                <w:rFonts w:hint="eastAsia" w:hAnsi="宋体" w:cs="宋体"/>
                <w:color w:val="auto"/>
                <w:sz w:val="24"/>
                <w:szCs w:val="24"/>
                <w:highlight w:val="none"/>
              </w:rPr>
              <w:t>。</w:t>
            </w:r>
          </w:p>
        </w:tc>
      </w:tr>
      <w:tr w14:paraId="0293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0E53E086">
            <w:pPr>
              <w:keepNext w:val="0"/>
              <w:keepLines w:val="0"/>
              <w:widowControl/>
              <w:suppressLineNumbers w:val="0"/>
              <w:spacing w:before="0" w:beforeAutospacing="0" w:after="0" w:afterAutospacing="0" w:line="360" w:lineRule="auto"/>
              <w:ind w:left="0" w:right="0"/>
              <w:jc w:val="center"/>
              <w:rPr>
                <w:rFonts w:hint="default" w:ascii="宋体" w:hAnsi="宋体" w:cs="宋体"/>
                <w:b/>
                <w:dstrike/>
                <w:color w:val="auto"/>
                <w:sz w:val="24"/>
                <w:szCs w:val="24"/>
                <w:highlight w:val="none"/>
              </w:rPr>
            </w:pPr>
            <w:r>
              <w:rPr>
                <w:rFonts w:hint="eastAsia" w:ascii="宋体" w:hAnsi="宋体" w:cs="宋体"/>
                <w:b/>
                <w:color w:val="auto"/>
                <w:sz w:val="24"/>
                <w:szCs w:val="24"/>
                <w:highlight w:val="none"/>
              </w:rPr>
              <w:t>4</w:t>
            </w:r>
          </w:p>
        </w:tc>
        <w:tc>
          <w:tcPr>
            <w:tcW w:w="1677" w:type="dxa"/>
            <w:noWrap/>
            <w:vAlign w:val="center"/>
          </w:tcPr>
          <w:p w14:paraId="6C5EDC06">
            <w:pPr>
              <w:pStyle w:val="12"/>
              <w:keepNext w:val="0"/>
              <w:keepLines w:val="0"/>
              <w:suppressLineNumbers w:val="0"/>
              <w:spacing w:before="0" w:beforeAutospacing="0" w:after="0" w:afterAutospacing="0" w:line="360" w:lineRule="auto"/>
              <w:ind w:left="0" w:right="0"/>
              <w:rPr>
                <w:rFonts w:hint="default"/>
                <w:color w:val="auto"/>
                <w:highlight w:val="none"/>
              </w:rPr>
            </w:pPr>
            <w:r>
              <w:rPr>
                <w:rFonts w:hint="eastAsia"/>
                <w:color w:val="auto"/>
                <w:highlight w:val="none"/>
              </w:rPr>
              <w:t>本项目对应的中小企业划分标准所属工业行业。</w:t>
            </w:r>
          </w:p>
        </w:tc>
        <w:tc>
          <w:tcPr>
            <w:tcW w:w="6063" w:type="dxa"/>
            <w:tcBorders>
              <w:bottom w:val="single" w:color="auto" w:sz="4" w:space="0"/>
            </w:tcBorders>
            <w:noWrap/>
          </w:tcPr>
          <w:p w14:paraId="32ED43A4">
            <w:pPr>
              <w:keepNext w:val="0"/>
              <w:keepLines w:val="0"/>
              <w:suppressLineNumbers w:val="0"/>
              <w:spacing w:before="0" w:beforeAutospacing="0" w:after="0" w:afterAutospacing="0" w:line="360" w:lineRule="auto"/>
              <w:ind w:left="0" w:right="0"/>
              <w:rPr>
                <w:rFonts w:hint="default" w:ascii="宋体" w:hAnsi="宋体" w:cs="宋体"/>
                <w:dstrike/>
                <w:color w:val="auto"/>
                <w:sz w:val="24"/>
                <w:szCs w:val="24"/>
                <w:highlight w:val="none"/>
                <w:u w:val="single"/>
              </w:rPr>
            </w:pPr>
            <w:r>
              <w:rPr>
                <w:rFonts w:hint="eastAsia" w:ascii="宋体" w:hAnsi="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49E7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01E70521">
            <w:pPr>
              <w:keepNext w:val="0"/>
              <w:keepLines w:val="0"/>
              <w:widowControl/>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5</w:t>
            </w:r>
          </w:p>
        </w:tc>
        <w:tc>
          <w:tcPr>
            <w:tcW w:w="1677" w:type="dxa"/>
            <w:noWrap/>
            <w:vAlign w:val="center"/>
          </w:tcPr>
          <w:p w14:paraId="77BBFB19">
            <w:pPr>
              <w:keepNext w:val="0"/>
              <w:keepLines w:val="0"/>
              <w:widowControl/>
              <w:suppressLineNumbers w:val="0"/>
              <w:spacing w:before="0" w:beforeAutospacing="0" w:after="0" w:afterAutospacing="0" w:line="360" w:lineRule="auto"/>
              <w:ind w:left="0" w:right="0"/>
              <w:jc w:val="center"/>
              <w:rPr>
                <w:rFonts w:hint="default" w:ascii="宋体" w:hAnsi="宋体" w:cs="宋体"/>
                <w:b/>
                <w:color w:val="auto"/>
                <w:sz w:val="24"/>
                <w:szCs w:val="24"/>
                <w:highlight w:val="none"/>
              </w:rPr>
            </w:pPr>
            <w:r>
              <w:rPr>
                <w:rFonts w:hint="eastAsia" w:ascii="宋体" w:hAnsi="宋体" w:cs="宋体"/>
                <w:b/>
                <w:color w:val="auto"/>
                <w:sz w:val="24"/>
                <w:szCs w:val="24"/>
                <w:highlight w:val="none"/>
              </w:rPr>
              <w:t>相关风险</w:t>
            </w:r>
          </w:p>
        </w:tc>
        <w:tc>
          <w:tcPr>
            <w:tcW w:w="6063" w:type="dxa"/>
            <w:tcBorders>
              <w:bottom w:val="single" w:color="auto" w:sz="4" w:space="0"/>
            </w:tcBorders>
            <w:noWrap/>
          </w:tcPr>
          <w:p w14:paraId="01A677AF">
            <w:pPr>
              <w:keepNext w:val="0"/>
              <w:keepLines w:val="0"/>
              <w:suppressLineNumbers w:val="0"/>
              <w:spacing w:before="0" w:beforeAutospacing="0" w:after="0" w:afterAutospacing="0" w:line="360" w:lineRule="auto"/>
              <w:ind w:left="0" w:right="0" w:firstLine="482" w:firstLineChars="200"/>
              <w:rPr>
                <w:rFonts w:hint="default" w:ascii="宋体" w:hAnsi="宋体" w:cs="宋体"/>
                <w:b/>
                <w:color w:val="auto"/>
                <w:sz w:val="24"/>
                <w:szCs w:val="24"/>
                <w:highlight w:val="none"/>
              </w:rPr>
            </w:pPr>
            <w:r>
              <w:rPr>
                <w:rFonts w:hint="eastAsia" w:ascii="宋体" w:hAnsi="宋体" w:cs="宋体"/>
                <w:b/>
                <w:color w:val="auto"/>
                <w:sz w:val="24"/>
                <w:szCs w:val="24"/>
                <w:highlight w:val="none"/>
              </w:rPr>
              <w:t>一、经评标委员会评审，存在下列任一情况的，投标人将不被视为中小企业：</w:t>
            </w:r>
          </w:p>
          <w:p w14:paraId="52996B04">
            <w:pPr>
              <w:keepNext w:val="0"/>
              <w:keepLines w:val="0"/>
              <w:suppressLineNumbers w:val="0"/>
              <w:spacing w:before="0" w:beforeAutospacing="0" w:after="0" w:afterAutospacing="0" w:line="360" w:lineRule="auto"/>
              <w:ind w:left="0" w:right="0" w:firstLine="480" w:firstLineChars="200"/>
              <w:rPr>
                <w:rFonts w:hint="default" w:ascii="宋体" w:hAnsi="宋体" w:cs="宋体"/>
                <w:color w:val="auto"/>
                <w:sz w:val="24"/>
                <w:szCs w:val="24"/>
                <w:highlight w:val="none"/>
              </w:rPr>
            </w:pPr>
            <w:r>
              <w:rPr>
                <w:rFonts w:hint="eastAsia" w:ascii="宋体" w:hAnsi="宋体" w:cs="宋体"/>
                <w:color w:val="auto"/>
                <w:sz w:val="24"/>
                <w:szCs w:val="24"/>
                <w:highlight w:val="none"/>
              </w:rPr>
              <w:t>1.投标人不符合“工信部联企业[2011]300号”规定的中小企业标准的；</w:t>
            </w:r>
          </w:p>
          <w:p w14:paraId="6153F26C">
            <w:pPr>
              <w:keepNext w:val="0"/>
              <w:keepLines w:val="0"/>
              <w:suppressLineNumbers w:val="0"/>
              <w:spacing w:before="0" w:beforeAutospacing="0" w:after="0" w:afterAutospacing="0" w:line="360" w:lineRule="auto"/>
              <w:ind w:left="0" w:right="0" w:firstLine="480" w:firstLineChars="200"/>
              <w:rPr>
                <w:rFonts w:hint="default" w:ascii="宋体" w:hAnsi="宋体" w:cs="宋体"/>
                <w:color w:val="auto"/>
                <w:sz w:val="24"/>
                <w:szCs w:val="24"/>
                <w:highlight w:val="none"/>
              </w:rPr>
            </w:pPr>
            <w:r>
              <w:rPr>
                <w:rFonts w:hint="eastAsia" w:ascii="宋体" w:hAnsi="宋体" w:cs="宋体"/>
                <w:color w:val="auto"/>
                <w:sz w:val="24"/>
                <w:szCs w:val="24"/>
                <w:highlight w:val="none"/>
              </w:rPr>
              <w:t>2.投标货物全部或部分为使用大型企业注册商标的货物的；</w:t>
            </w:r>
          </w:p>
          <w:p w14:paraId="3A83FD12">
            <w:pPr>
              <w:keepNext w:val="0"/>
              <w:keepLines w:val="0"/>
              <w:suppressLineNumbers w:val="0"/>
              <w:spacing w:before="0" w:beforeAutospacing="0" w:after="0" w:afterAutospacing="0" w:line="360" w:lineRule="auto"/>
              <w:ind w:left="0" w:right="0" w:firstLine="480" w:firstLineChars="200"/>
              <w:rPr>
                <w:rFonts w:hint="default" w:ascii="宋体" w:hAnsi="宋体" w:cs="宋体"/>
                <w:color w:val="auto"/>
                <w:sz w:val="24"/>
                <w:szCs w:val="24"/>
                <w:highlight w:val="none"/>
              </w:rPr>
            </w:pPr>
            <w:r>
              <w:rPr>
                <w:rFonts w:hint="eastAsia" w:ascii="宋体" w:hAnsi="宋体" w:cs="宋体"/>
                <w:color w:val="auto"/>
                <w:sz w:val="24"/>
                <w:szCs w:val="24"/>
                <w:highlight w:val="none"/>
              </w:rPr>
              <w:t>3.投标文件中标明的中小企业产品的制造商不符合“工信部联企业[2011]300号”规定的中小企业标准的；</w:t>
            </w:r>
          </w:p>
          <w:p w14:paraId="2FF1976E">
            <w:pPr>
              <w:keepNext w:val="0"/>
              <w:keepLines w:val="0"/>
              <w:suppressLineNumbers w:val="0"/>
              <w:spacing w:before="0" w:beforeAutospacing="0" w:after="0" w:afterAutospacing="0" w:line="360" w:lineRule="auto"/>
              <w:ind w:left="0" w:right="0" w:firstLine="482" w:firstLineChars="200"/>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二、提供虚假声明后果：</w:t>
            </w:r>
          </w:p>
          <w:p w14:paraId="64B37027">
            <w:pPr>
              <w:keepNext w:val="0"/>
              <w:keepLines w:val="0"/>
              <w:widowControl/>
              <w:suppressLineNumbers w:val="0"/>
              <w:spacing w:before="0" w:beforeAutospacing="0" w:after="0" w:afterAutospacing="0" w:line="360" w:lineRule="auto"/>
              <w:ind w:left="0" w:right="0"/>
              <w:rPr>
                <w:rFonts w:hint="default" w:ascii="宋体" w:hAnsi="宋体" w:cs="宋体"/>
                <w:b/>
                <w:i/>
                <w:color w:val="auto"/>
                <w:kern w:val="0"/>
                <w:sz w:val="24"/>
                <w:szCs w:val="24"/>
                <w:highlight w:val="none"/>
                <w:u w:val="single"/>
              </w:rPr>
            </w:pPr>
            <w:r>
              <w:rPr>
                <w:rFonts w:hint="eastAsia" w:ascii="宋体" w:hAnsi="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单位、招标代理机构将有关情况上报政府采购监管部门，由监管部门按有关规定对其进行相应处罚。采购单位、招标代理机构</w:t>
            </w:r>
            <w:r>
              <w:rPr>
                <w:rFonts w:hint="eastAsia" w:ascii="宋体" w:hAnsi="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3ADCD573">
      <w:pPr>
        <w:spacing w:line="360" w:lineRule="auto"/>
        <w:rPr>
          <w:rFonts w:ascii="宋体" w:hAnsi="宋体" w:cs="宋体"/>
          <w:b/>
          <w:bCs/>
          <w:color w:val="auto"/>
          <w:sz w:val="24"/>
          <w:szCs w:val="24"/>
          <w:highlight w:val="none"/>
        </w:rPr>
        <w:sectPr>
          <w:footerReference r:id="rId6" w:type="default"/>
          <w:pgSz w:w="11907" w:h="16840"/>
          <w:pgMar w:top="1440" w:right="1752" w:bottom="1290" w:left="1752" w:header="851" w:footer="992" w:gutter="0"/>
          <w:pgNumType w:start="1"/>
          <w:cols w:space="720" w:num="1"/>
          <w:docGrid w:linePitch="323" w:charSpace="-2"/>
        </w:sectPr>
      </w:pPr>
    </w:p>
    <w:p w14:paraId="4F2C490F">
      <w:pPr>
        <w:pStyle w:val="2"/>
        <w:snapToGrid w:val="0"/>
        <w:spacing w:line="360" w:lineRule="auto"/>
        <w:ind w:firstLine="0"/>
        <w:jc w:val="center"/>
        <w:rPr>
          <w:rFonts w:ascii="宋体" w:hAnsi="宋体" w:cs="宋体"/>
          <w:b/>
          <w:bCs/>
          <w:color w:val="auto"/>
          <w:sz w:val="32"/>
          <w:szCs w:val="32"/>
          <w:highlight w:val="none"/>
        </w:rPr>
      </w:pPr>
      <w:r>
        <w:rPr>
          <w:rFonts w:hint="eastAsia" w:ascii="宋体" w:hAnsi="宋体" w:cs="宋体"/>
          <w:b/>
          <w:color w:val="auto"/>
          <w:sz w:val="32"/>
          <w:szCs w:val="32"/>
          <w:highlight w:val="none"/>
        </w:rPr>
        <w:t xml:space="preserve">第三章  </w:t>
      </w:r>
      <w:r>
        <w:rPr>
          <w:rFonts w:hint="eastAsia" w:ascii="宋体" w:hAnsi="宋体" w:cs="宋体"/>
          <w:b/>
          <w:bCs/>
          <w:color w:val="auto"/>
          <w:sz w:val="32"/>
          <w:szCs w:val="32"/>
          <w:highlight w:val="none"/>
        </w:rPr>
        <w:t>招标内容及要求</w:t>
      </w:r>
    </w:p>
    <w:p w14:paraId="0A81DDB8">
      <w:pPr>
        <w:pStyle w:val="7"/>
        <w:spacing w:after="0" w:line="360" w:lineRule="auto"/>
        <w:ind w:left="181" w:leftChars="86"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提示说明：</w:t>
      </w:r>
    </w:p>
    <w:p w14:paraId="2AC7B6B5">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（1）全文中带有“</w:t>
      </w:r>
      <w:r>
        <w:rPr>
          <w:rFonts w:hint="eastAsia" w:cs="宋体" w:asciiTheme="minorEastAsia" w:hAnsiTheme="minorEastAsia" w:eastAsiaTheme="minorEastAsia"/>
          <w:color w:val="auto"/>
          <w:sz w:val="24"/>
          <w:szCs w:val="24"/>
          <w:highlight w:val="none"/>
        </w:rPr>
        <w:t>★</w:t>
      </w:r>
      <w:r>
        <w:rPr>
          <w:rFonts w:hint="eastAsia" w:ascii="宋体" w:hAnsi="宋体" w:cs="宋体"/>
          <w:b/>
          <w:bCs/>
          <w:color w:val="auto"/>
          <w:sz w:val="24"/>
          <w:szCs w:val="24"/>
          <w:highlight w:val="none"/>
        </w:rPr>
        <w:t>”的条款为关键性条款，对这些关键性条款的任何负偏离或不满足将导致该投标作无效投标处理。</w:t>
      </w:r>
      <w:r>
        <w:rPr>
          <w:rFonts w:hint="eastAsia" w:ascii="宋体" w:hAnsi="宋体" w:cs="宋体"/>
          <w:b/>
          <w:color w:val="auto"/>
          <w:sz w:val="24"/>
          <w:szCs w:val="24"/>
          <w:highlight w:val="none"/>
        </w:rPr>
        <w:t>投标人应对招标文件中的“</w:t>
      </w:r>
      <w:r>
        <w:rPr>
          <w:rFonts w:hint="eastAsia" w:cs="宋体" w:asciiTheme="minorEastAsia" w:hAnsiTheme="minorEastAsia" w:eastAsiaTheme="minorEastAsia"/>
          <w:color w:val="auto"/>
          <w:sz w:val="24"/>
          <w:szCs w:val="24"/>
          <w:highlight w:val="none"/>
        </w:rPr>
        <w:t>★</w:t>
      </w:r>
      <w:r>
        <w:rPr>
          <w:rFonts w:hint="eastAsia" w:ascii="宋体" w:hAnsi="宋体" w:cs="宋体"/>
          <w:b/>
          <w:color w:val="auto"/>
          <w:sz w:val="24"/>
          <w:szCs w:val="24"/>
          <w:highlight w:val="none"/>
        </w:rPr>
        <w:t>”号条款进行逐条响应，否则评标委员会对其投标做出不利评审，投标人必须自行承担责任。</w:t>
      </w:r>
    </w:p>
    <w:p w14:paraId="565CDD56">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6B7379BB">
      <w:pPr>
        <w:pStyle w:val="7"/>
        <w:spacing w:after="0" w:line="360" w:lineRule="auto"/>
        <w:ind w:left="0"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7A62E0DF">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（4）经评标委员会认定要求澄清的证明文件必须在规定的时间内提供，否则其将不具有中标供应商的资格。</w:t>
      </w:r>
    </w:p>
    <w:p w14:paraId="236B48D2">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（5）资格性证明文件请单独成册。</w:t>
      </w:r>
    </w:p>
    <w:p w14:paraId="1C0C0D1C">
      <w:pPr>
        <w:pStyle w:val="7"/>
        <w:spacing w:after="0" w:line="360" w:lineRule="auto"/>
        <w:ind w:left="0"/>
        <w:rPr>
          <w:rFonts w:ascii="宋体" w:hAnsi="宋体" w:cs="宋体"/>
          <w:b/>
          <w:bCs/>
          <w:color w:val="auto"/>
          <w:sz w:val="24"/>
          <w:szCs w:val="24"/>
          <w:highlight w:val="none"/>
        </w:rPr>
      </w:pPr>
    </w:p>
    <w:p w14:paraId="339DE24B">
      <w:pPr>
        <w:tabs>
          <w:tab w:val="left" w:pos="5130"/>
        </w:tabs>
        <w:spacing w:line="360" w:lineRule="auto"/>
        <w:ind w:firstLine="480" w:firstLineChars="200"/>
        <w:rPr>
          <w:rFonts w:ascii="宋体" w:hAnsi="宋体" w:cs="宋体"/>
          <w:color w:val="auto"/>
          <w:sz w:val="24"/>
          <w:szCs w:val="24"/>
          <w:highlight w:val="none"/>
        </w:rPr>
      </w:pPr>
    </w:p>
    <w:p w14:paraId="39E47154">
      <w:pPr>
        <w:tabs>
          <w:tab w:val="left" w:pos="5130"/>
        </w:tabs>
        <w:spacing w:line="360" w:lineRule="auto"/>
        <w:ind w:firstLine="480" w:firstLineChars="200"/>
        <w:rPr>
          <w:rFonts w:ascii="宋体" w:hAnsi="宋体" w:cs="宋体"/>
          <w:color w:val="auto"/>
          <w:sz w:val="24"/>
          <w:szCs w:val="24"/>
          <w:highlight w:val="none"/>
        </w:rPr>
      </w:pPr>
    </w:p>
    <w:p w14:paraId="02BE5E0E">
      <w:pPr>
        <w:tabs>
          <w:tab w:val="left" w:pos="5130"/>
        </w:tabs>
        <w:spacing w:line="360" w:lineRule="auto"/>
        <w:ind w:firstLine="480" w:firstLineChars="200"/>
        <w:rPr>
          <w:rFonts w:ascii="宋体" w:hAnsi="宋体" w:cs="宋体"/>
          <w:color w:val="auto"/>
          <w:sz w:val="24"/>
          <w:szCs w:val="24"/>
          <w:highlight w:val="none"/>
        </w:rPr>
      </w:pPr>
    </w:p>
    <w:p w14:paraId="330EE426">
      <w:pPr>
        <w:tabs>
          <w:tab w:val="left" w:pos="5130"/>
        </w:tabs>
        <w:spacing w:line="360" w:lineRule="auto"/>
        <w:ind w:firstLine="480" w:firstLineChars="200"/>
        <w:rPr>
          <w:rFonts w:ascii="宋体" w:hAnsi="宋体" w:cs="宋体"/>
          <w:color w:val="auto"/>
          <w:sz w:val="24"/>
          <w:szCs w:val="24"/>
          <w:highlight w:val="none"/>
        </w:rPr>
      </w:pPr>
    </w:p>
    <w:p w14:paraId="2583BB2A">
      <w:pPr>
        <w:tabs>
          <w:tab w:val="left" w:pos="5130"/>
        </w:tabs>
        <w:spacing w:line="360" w:lineRule="auto"/>
        <w:ind w:firstLine="480" w:firstLineChars="200"/>
        <w:rPr>
          <w:rFonts w:ascii="宋体" w:hAnsi="宋体" w:cs="宋体"/>
          <w:color w:val="auto"/>
          <w:sz w:val="24"/>
          <w:szCs w:val="24"/>
          <w:highlight w:val="none"/>
        </w:rPr>
      </w:pPr>
    </w:p>
    <w:p w14:paraId="314FE616">
      <w:pPr>
        <w:tabs>
          <w:tab w:val="left" w:pos="5130"/>
        </w:tabs>
        <w:spacing w:line="360" w:lineRule="auto"/>
        <w:ind w:firstLine="480" w:firstLineChars="200"/>
        <w:rPr>
          <w:rFonts w:ascii="宋体" w:hAnsi="宋体" w:cs="宋体"/>
          <w:color w:val="auto"/>
          <w:sz w:val="24"/>
          <w:szCs w:val="24"/>
          <w:highlight w:val="none"/>
        </w:rPr>
      </w:pPr>
    </w:p>
    <w:p w14:paraId="6118DD0D">
      <w:pPr>
        <w:tabs>
          <w:tab w:val="left" w:pos="5130"/>
        </w:tabs>
        <w:spacing w:line="360" w:lineRule="auto"/>
        <w:ind w:firstLine="480" w:firstLineChars="200"/>
        <w:rPr>
          <w:rFonts w:ascii="宋体" w:hAnsi="宋体" w:cs="宋体"/>
          <w:color w:val="auto"/>
          <w:sz w:val="24"/>
          <w:szCs w:val="24"/>
          <w:highlight w:val="none"/>
        </w:rPr>
      </w:pPr>
    </w:p>
    <w:p w14:paraId="414A4ED4">
      <w:pPr>
        <w:tabs>
          <w:tab w:val="left" w:pos="5130"/>
        </w:tabs>
        <w:spacing w:line="360" w:lineRule="auto"/>
        <w:ind w:firstLine="480" w:firstLineChars="200"/>
        <w:rPr>
          <w:rFonts w:ascii="宋体" w:hAnsi="宋体" w:cs="宋体"/>
          <w:color w:val="auto"/>
          <w:sz w:val="24"/>
          <w:szCs w:val="24"/>
          <w:highlight w:val="none"/>
        </w:rPr>
      </w:pPr>
    </w:p>
    <w:p w14:paraId="4FC4F845">
      <w:pPr>
        <w:tabs>
          <w:tab w:val="left" w:pos="5130"/>
        </w:tabs>
        <w:spacing w:line="360" w:lineRule="auto"/>
        <w:ind w:firstLine="480" w:firstLineChars="200"/>
        <w:rPr>
          <w:rFonts w:ascii="宋体" w:hAnsi="宋体" w:cs="宋体"/>
          <w:color w:val="auto"/>
          <w:sz w:val="24"/>
          <w:szCs w:val="24"/>
          <w:highlight w:val="none"/>
        </w:rPr>
      </w:pPr>
    </w:p>
    <w:p w14:paraId="7BD445C8">
      <w:pPr>
        <w:tabs>
          <w:tab w:val="left" w:pos="5130"/>
        </w:tabs>
        <w:spacing w:line="360" w:lineRule="auto"/>
        <w:ind w:firstLine="480" w:firstLineChars="200"/>
        <w:rPr>
          <w:rFonts w:ascii="宋体" w:hAnsi="宋体" w:cs="宋体"/>
          <w:color w:val="auto"/>
          <w:sz w:val="24"/>
          <w:szCs w:val="24"/>
          <w:highlight w:val="none"/>
        </w:rPr>
      </w:pPr>
    </w:p>
    <w:p w14:paraId="7047451A">
      <w:pPr>
        <w:tabs>
          <w:tab w:val="left" w:pos="5130"/>
        </w:tabs>
        <w:spacing w:line="360" w:lineRule="auto"/>
        <w:ind w:firstLine="480" w:firstLineChars="200"/>
        <w:rPr>
          <w:rFonts w:ascii="宋体" w:hAnsi="宋体" w:cs="宋体"/>
          <w:color w:val="auto"/>
          <w:sz w:val="24"/>
          <w:szCs w:val="24"/>
          <w:highlight w:val="none"/>
        </w:rPr>
      </w:pPr>
    </w:p>
    <w:p w14:paraId="5B4E8D87">
      <w:pPr>
        <w:tabs>
          <w:tab w:val="left" w:pos="5130"/>
        </w:tabs>
        <w:spacing w:line="360" w:lineRule="auto"/>
        <w:ind w:firstLine="480" w:firstLineChars="200"/>
        <w:rPr>
          <w:rFonts w:ascii="宋体" w:hAnsi="宋体" w:cs="宋体"/>
          <w:color w:val="auto"/>
          <w:sz w:val="24"/>
          <w:szCs w:val="24"/>
          <w:highlight w:val="none"/>
        </w:rPr>
      </w:pPr>
    </w:p>
    <w:p w14:paraId="0F291917">
      <w:pPr>
        <w:tabs>
          <w:tab w:val="left" w:pos="5130"/>
        </w:tabs>
        <w:spacing w:line="360" w:lineRule="auto"/>
        <w:ind w:firstLine="480" w:firstLineChars="200"/>
        <w:rPr>
          <w:rFonts w:ascii="宋体" w:hAnsi="宋体" w:cs="宋体"/>
          <w:color w:val="auto"/>
          <w:sz w:val="24"/>
          <w:szCs w:val="24"/>
          <w:highlight w:val="none"/>
        </w:rPr>
      </w:pPr>
    </w:p>
    <w:p w14:paraId="56823863">
      <w:pPr>
        <w:tabs>
          <w:tab w:val="left" w:pos="5130"/>
        </w:tabs>
        <w:spacing w:line="360" w:lineRule="auto"/>
        <w:ind w:firstLine="480" w:firstLineChars="200"/>
        <w:rPr>
          <w:rFonts w:ascii="宋体" w:hAnsi="宋体" w:cs="宋体"/>
          <w:color w:val="auto"/>
          <w:sz w:val="24"/>
          <w:szCs w:val="24"/>
          <w:highlight w:val="none"/>
        </w:rPr>
      </w:pPr>
    </w:p>
    <w:p w14:paraId="73567276">
      <w:pPr>
        <w:tabs>
          <w:tab w:val="left" w:pos="5130"/>
        </w:tabs>
        <w:spacing w:line="360" w:lineRule="auto"/>
        <w:ind w:firstLine="480" w:firstLineChars="200"/>
        <w:rPr>
          <w:rFonts w:ascii="宋体" w:hAnsi="宋体" w:cs="宋体"/>
          <w:color w:val="auto"/>
          <w:sz w:val="24"/>
          <w:szCs w:val="24"/>
          <w:highlight w:val="none"/>
        </w:rPr>
      </w:pPr>
    </w:p>
    <w:p w14:paraId="36E77848">
      <w:pPr>
        <w:tabs>
          <w:tab w:val="left" w:pos="5130"/>
        </w:tabs>
        <w:spacing w:line="360" w:lineRule="auto"/>
        <w:rPr>
          <w:rFonts w:ascii="宋体" w:hAnsi="宋体" w:cs="宋体"/>
          <w:color w:val="auto"/>
          <w:sz w:val="24"/>
          <w:szCs w:val="24"/>
          <w:highlight w:val="none"/>
        </w:rPr>
      </w:pPr>
    </w:p>
    <w:p w14:paraId="29B5E7A2">
      <w:pPr>
        <w:tabs>
          <w:tab w:val="left" w:pos="5130"/>
        </w:tabs>
        <w:spacing w:line="360" w:lineRule="auto"/>
        <w:rPr>
          <w:rFonts w:ascii="宋体" w:hAnsi="宋体" w:cs="宋体"/>
          <w:color w:val="auto"/>
          <w:sz w:val="24"/>
          <w:szCs w:val="24"/>
          <w:highlight w:val="none"/>
        </w:rPr>
      </w:pPr>
    </w:p>
    <w:p w14:paraId="28602519">
      <w:pPr>
        <w:tabs>
          <w:tab w:val="left" w:pos="5130"/>
        </w:tabs>
        <w:spacing w:line="360" w:lineRule="auto"/>
        <w:rPr>
          <w:rFonts w:ascii="宋体" w:hAnsi="宋体" w:cs="宋体"/>
          <w:color w:val="auto"/>
          <w:sz w:val="24"/>
          <w:szCs w:val="24"/>
          <w:highlight w:val="none"/>
        </w:rPr>
      </w:pPr>
    </w:p>
    <w:p w14:paraId="03FF19C7">
      <w:pPr>
        <w:tabs>
          <w:tab w:val="left" w:pos="5130"/>
        </w:tabs>
        <w:spacing w:line="360" w:lineRule="auto"/>
        <w:rPr>
          <w:rFonts w:ascii="宋体" w:hAnsi="宋体" w:cs="宋体"/>
          <w:color w:val="auto"/>
          <w:sz w:val="24"/>
          <w:szCs w:val="24"/>
          <w:highlight w:val="none"/>
        </w:rPr>
      </w:pPr>
    </w:p>
    <w:p w14:paraId="581B6455">
      <w:pPr>
        <w:pStyle w:val="54"/>
        <w:spacing w:line="360" w:lineRule="auto"/>
        <w:jc w:val="both"/>
        <w:outlineLvl w:val="2"/>
        <w:rPr>
          <w:rFonts w:hint="default" w:ascii="宋体" w:hAnsi="宋体" w:cs="宋体"/>
          <w:color w:val="auto"/>
          <w:sz w:val="24"/>
          <w:szCs w:val="24"/>
          <w:highlight w:val="none"/>
        </w:rPr>
      </w:pPr>
      <w:r>
        <w:rPr>
          <w:rFonts w:ascii="宋体" w:hAnsi="宋体" w:cs="宋体"/>
          <w:b/>
          <w:color w:val="auto"/>
          <w:sz w:val="24"/>
          <w:szCs w:val="24"/>
          <w:highlight w:val="none"/>
        </w:rPr>
        <w:t>一、项目概况（采购标的）</w:t>
      </w:r>
    </w:p>
    <w:p w14:paraId="18980B36">
      <w:pPr>
        <w:pStyle w:val="4"/>
        <w:spacing w:line="360" w:lineRule="auto"/>
        <w:ind w:right="30"/>
        <w:rPr>
          <w:b/>
          <w:color w:val="auto"/>
          <w:highlight w:val="none"/>
        </w:rPr>
      </w:pPr>
      <w:r>
        <w:rPr>
          <w:rFonts w:eastAsia="宋体"/>
          <w:b/>
          <w:color w:val="auto"/>
          <w:highlight w:val="none"/>
        </w:rPr>
        <w:t>1.采购内容</w:t>
      </w:r>
    </w:p>
    <w:tbl>
      <w:tblPr>
        <w:tblStyle w:val="16"/>
        <w:tblW w:w="10128" w:type="dxa"/>
        <w:tblInd w:w="88" w:type="dxa"/>
        <w:tblLayout w:type="autofit"/>
        <w:tblCellMar>
          <w:top w:w="0" w:type="dxa"/>
          <w:left w:w="108" w:type="dxa"/>
          <w:bottom w:w="0" w:type="dxa"/>
          <w:right w:w="108" w:type="dxa"/>
        </w:tblCellMar>
      </w:tblPr>
      <w:tblGrid>
        <w:gridCol w:w="542"/>
        <w:gridCol w:w="1416"/>
        <w:gridCol w:w="2242"/>
        <w:gridCol w:w="708"/>
        <w:gridCol w:w="898"/>
        <w:gridCol w:w="4322"/>
      </w:tblGrid>
      <w:tr w14:paraId="52A92721">
        <w:tblPrEx>
          <w:tblCellMar>
            <w:top w:w="0" w:type="dxa"/>
            <w:left w:w="108" w:type="dxa"/>
            <w:bottom w:w="0" w:type="dxa"/>
            <w:right w:w="108" w:type="dxa"/>
          </w:tblCellMar>
        </w:tblPrEx>
        <w:trPr>
          <w:trHeight w:val="680" w:hRule="atLeast"/>
        </w:trPr>
        <w:tc>
          <w:tcPr>
            <w:tcW w:w="542" w:type="dxa"/>
            <w:tcBorders>
              <w:top w:val="single" w:color="000000" w:sz="4" w:space="0"/>
              <w:left w:val="single" w:color="000000" w:sz="4" w:space="0"/>
              <w:bottom w:val="nil"/>
              <w:right w:val="single" w:color="000000" w:sz="4" w:space="0"/>
            </w:tcBorders>
            <w:vAlign w:val="center"/>
          </w:tcPr>
          <w:p w14:paraId="2DE189EE">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auto"/>
                <w:sz w:val="22"/>
                <w:highlight w:val="none"/>
              </w:rPr>
            </w:pPr>
            <w:r>
              <w:rPr>
                <w:rFonts w:hint="eastAsia" w:ascii="宋体" w:hAnsi="宋体" w:cs="宋体"/>
                <w:b/>
                <w:bCs/>
                <w:color w:val="auto"/>
                <w:kern w:val="0"/>
                <w:sz w:val="22"/>
                <w:highlight w:val="none"/>
              </w:rPr>
              <w:t xml:space="preserve">序号 </w:t>
            </w:r>
          </w:p>
        </w:tc>
        <w:tc>
          <w:tcPr>
            <w:tcW w:w="1416" w:type="dxa"/>
            <w:tcBorders>
              <w:top w:val="single" w:color="000000" w:sz="4" w:space="0"/>
              <w:left w:val="single" w:color="000000" w:sz="4" w:space="0"/>
              <w:bottom w:val="nil"/>
              <w:right w:val="single" w:color="000000" w:sz="4" w:space="0"/>
            </w:tcBorders>
            <w:vAlign w:val="center"/>
          </w:tcPr>
          <w:p w14:paraId="022FB9C7">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auto"/>
                <w:sz w:val="22"/>
                <w:highlight w:val="none"/>
              </w:rPr>
            </w:pPr>
            <w:r>
              <w:rPr>
                <w:rFonts w:hint="eastAsia" w:ascii="宋体" w:hAnsi="宋体" w:cs="宋体"/>
                <w:b/>
                <w:bCs/>
                <w:color w:val="auto"/>
                <w:kern w:val="0"/>
                <w:sz w:val="22"/>
                <w:highlight w:val="none"/>
              </w:rPr>
              <w:t>产品名称</w:t>
            </w:r>
          </w:p>
        </w:tc>
        <w:tc>
          <w:tcPr>
            <w:tcW w:w="2242" w:type="dxa"/>
            <w:tcBorders>
              <w:top w:val="single" w:color="000000" w:sz="4" w:space="0"/>
              <w:left w:val="single" w:color="000000" w:sz="4" w:space="0"/>
              <w:bottom w:val="nil"/>
              <w:right w:val="single" w:color="000000" w:sz="4" w:space="0"/>
            </w:tcBorders>
            <w:vAlign w:val="center"/>
          </w:tcPr>
          <w:p w14:paraId="361A9CBD">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auto"/>
                <w:sz w:val="22"/>
                <w:highlight w:val="none"/>
              </w:rPr>
            </w:pPr>
            <w:r>
              <w:rPr>
                <w:rFonts w:hint="eastAsia" w:ascii="宋体" w:hAnsi="宋体" w:cs="宋体"/>
                <w:b/>
                <w:bCs/>
                <w:color w:val="auto"/>
                <w:kern w:val="0"/>
                <w:sz w:val="22"/>
                <w:highlight w:val="none"/>
              </w:rPr>
              <w:t>规格（mm）/型号</w:t>
            </w:r>
          </w:p>
        </w:tc>
        <w:tc>
          <w:tcPr>
            <w:tcW w:w="708" w:type="dxa"/>
            <w:tcBorders>
              <w:top w:val="single" w:color="000000" w:sz="4" w:space="0"/>
              <w:left w:val="single" w:color="000000" w:sz="4" w:space="0"/>
              <w:bottom w:val="nil"/>
              <w:right w:val="single" w:color="000000" w:sz="4" w:space="0"/>
            </w:tcBorders>
            <w:vAlign w:val="center"/>
          </w:tcPr>
          <w:p w14:paraId="1CB56649">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auto"/>
                <w:sz w:val="22"/>
                <w:highlight w:val="none"/>
              </w:rPr>
            </w:pPr>
            <w:r>
              <w:rPr>
                <w:rFonts w:hint="eastAsia" w:ascii="宋体" w:hAnsi="宋体" w:cs="宋体"/>
                <w:b/>
                <w:bCs/>
                <w:color w:val="auto"/>
                <w:kern w:val="0"/>
                <w:sz w:val="22"/>
                <w:highlight w:val="none"/>
              </w:rPr>
              <w:t xml:space="preserve">单位   </w:t>
            </w:r>
          </w:p>
        </w:tc>
        <w:tc>
          <w:tcPr>
            <w:tcW w:w="898" w:type="dxa"/>
            <w:tcBorders>
              <w:top w:val="single" w:color="000000" w:sz="4" w:space="0"/>
              <w:left w:val="single" w:color="000000" w:sz="4" w:space="0"/>
              <w:bottom w:val="nil"/>
              <w:right w:val="single" w:color="000000" w:sz="4" w:space="0"/>
            </w:tcBorders>
            <w:vAlign w:val="center"/>
          </w:tcPr>
          <w:p w14:paraId="3C52C329">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auto"/>
                <w:sz w:val="22"/>
                <w:highlight w:val="none"/>
              </w:rPr>
            </w:pPr>
            <w:r>
              <w:rPr>
                <w:rFonts w:hint="eastAsia" w:ascii="宋体" w:hAnsi="宋体" w:cs="宋体"/>
                <w:b/>
                <w:bCs/>
                <w:color w:val="auto"/>
                <w:kern w:val="0"/>
                <w:sz w:val="22"/>
                <w:highlight w:val="none"/>
              </w:rPr>
              <w:t xml:space="preserve">数量 </w:t>
            </w:r>
          </w:p>
        </w:tc>
        <w:tc>
          <w:tcPr>
            <w:tcW w:w="4322" w:type="dxa"/>
            <w:tcBorders>
              <w:top w:val="single" w:color="000000" w:sz="4" w:space="0"/>
              <w:left w:val="single" w:color="000000" w:sz="4" w:space="0"/>
              <w:bottom w:val="nil"/>
              <w:right w:val="single" w:color="000000" w:sz="4" w:space="0"/>
            </w:tcBorders>
            <w:vAlign w:val="center"/>
          </w:tcPr>
          <w:p w14:paraId="63863030">
            <w:pPr>
              <w:keepNext w:val="0"/>
              <w:keepLines w:val="0"/>
              <w:widowControl/>
              <w:suppressLineNumbers w:val="0"/>
              <w:spacing w:before="0" w:beforeAutospacing="0" w:after="0" w:afterAutospacing="0"/>
              <w:ind w:left="0" w:right="0"/>
              <w:jc w:val="left"/>
              <w:textAlignment w:val="center"/>
              <w:rPr>
                <w:rFonts w:hint="default" w:ascii="宋体" w:hAnsi="宋体" w:cs="宋体"/>
                <w:b/>
                <w:bCs/>
                <w:color w:val="auto"/>
                <w:sz w:val="22"/>
                <w:highlight w:val="none"/>
              </w:rPr>
            </w:pPr>
            <w:r>
              <w:rPr>
                <w:rFonts w:hint="eastAsia" w:ascii="宋体" w:hAnsi="宋体" w:cs="宋体"/>
                <w:b/>
                <w:bCs/>
                <w:color w:val="auto"/>
                <w:kern w:val="0"/>
                <w:sz w:val="22"/>
                <w:highlight w:val="none"/>
              </w:rPr>
              <w:t>备注</w:t>
            </w:r>
          </w:p>
        </w:tc>
      </w:tr>
      <w:tr w14:paraId="2A77579E">
        <w:tblPrEx>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E09F2E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5957CD2">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仪器柜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23D63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900*500*2100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46B64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859216">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126</w:t>
            </w:r>
          </w:p>
        </w:tc>
        <w:tc>
          <w:tcPr>
            <w:tcW w:w="4322" w:type="dxa"/>
            <w:tcBorders>
              <w:top w:val="single" w:color="000000" w:sz="4" w:space="0"/>
              <w:left w:val="single" w:color="000000" w:sz="4" w:space="0"/>
              <w:bottom w:val="single" w:color="000000" w:sz="4" w:space="0"/>
              <w:right w:val="single" w:color="000000" w:sz="4" w:space="0"/>
            </w:tcBorders>
            <w:vAlign w:val="center"/>
          </w:tcPr>
          <w:p w14:paraId="03D11C96">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详见招标参数。包含安装到位。</w:t>
            </w:r>
          </w:p>
        </w:tc>
      </w:tr>
      <w:tr w14:paraId="45E3F6FD">
        <w:tblPrEx>
          <w:tblCellMar>
            <w:top w:w="0" w:type="dxa"/>
            <w:left w:w="108" w:type="dxa"/>
            <w:bottom w:w="0" w:type="dxa"/>
            <w:right w:w="108" w:type="dxa"/>
          </w:tblCellMar>
        </w:tblPrEx>
        <w:trPr>
          <w:trHeight w:val="13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9ED11F0">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B486439">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边台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659694">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L*750*850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03CA9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延米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541464E">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241</w:t>
            </w:r>
          </w:p>
        </w:tc>
        <w:tc>
          <w:tcPr>
            <w:tcW w:w="4322" w:type="dxa"/>
            <w:tcBorders>
              <w:top w:val="single" w:color="000000" w:sz="4" w:space="0"/>
              <w:left w:val="single" w:color="000000" w:sz="4" w:space="0"/>
              <w:bottom w:val="single" w:color="000000" w:sz="4" w:space="0"/>
              <w:right w:val="single" w:color="000000" w:sz="4" w:space="0"/>
            </w:tcBorders>
            <w:vAlign w:val="center"/>
          </w:tcPr>
          <w:p w14:paraId="097E3D65">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详见招标参数，包含招标参数的插座，包含水槽台面采用蝶形陶瓷台面并做8mm以上厚*高400mm以上亚克力或PC挡水四周磨圆并防止水溅到仪器设备。包含水电敷设及设备安装到位，满足后续实验需要。</w:t>
            </w:r>
          </w:p>
        </w:tc>
      </w:tr>
      <w:tr w14:paraId="5A53FD83">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0562B41">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99E68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仪器台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3378E5E">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L*600/800*850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8E66F0">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延米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6FBA82">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396</w:t>
            </w:r>
          </w:p>
        </w:tc>
        <w:tc>
          <w:tcPr>
            <w:tcW w:w="4322" w:type="dxa"/>
            <w:tcBorders>
              <w:top w:val="single" w:color="000000" w:sz="4" w:space="0"/>
              <w:left w:val="single" w:color="000000" w:sz="4" w:space="0"/>
              <w:bottom w:val="single" w:color="000000" w:sz="4" w:space="0"/>
              <w:right w:val="single" w:color="000000" w:sz="4" w:space="0"/>
            </w:tcBorders>
            <w:vAlign w:val="center"/>
          </w:tcPr>
          <w:p w14:paraId="0C507DE8">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具体详见招标参数，包含精密仪器平台设备智慧安全控制系统。包含强弱电敷设及设备安装到位。满足后续实验需要。</w:t>
            </w:r>
          </w:p>
        </w:tc>
      </w:tr>
      <w:tr w14:paraId="0F324D53">
        <w:tblPrEx>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DAB852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90A1B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全钢气瓶柜</w:t>
            </w:r>
          </w:p>
        </w:tc>
        <w:tc>
          <w:tcPr>
            <w:tcW w:w="2242" w:type="dxa"/>
            <w:tcBorders>
              <w:top w:val="single" w:color="000000" w:sz="4" w:space="0"/>
              <w:left w:val="single" w:color="000000" w:sz="4" w:space="0"/>
              <w:bottom w:val="single" w:color="000000" w:sz="4" w:space="0"/>
              <w:right w:val="single" w:color="000000" w:sz="4" w:space="0"/>
            </w:tcBorders>
            <w:vAlign w:val="center"/>
          </w:tcPr>
          <w:p w14:paraId="7DA1A2DA">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900*450*1800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144A5B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1F9AD3">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1</w:t>
            </w:r>
          </w:p>
        </w:tc>
        <w:tc>
          <w:tcPr>
            <w:tcW w:w="4322" w:type="dxa"/>
            <w:tcBorders>
              <w:top w:val="single" w:color="000000" w:sz="4" w:space="0"/>
              <w:left w:val="single" w:color="000000" w:sz="4" w:space="0"/>
              <w:bottom w:val="single" w:color="000000" w:sz="4" w:space="0"/>
              <w:right w:val="single" w:color="000000" w:sz="4" w:space="0"/>
            </w:tcBorders>
            <w:vAlign w:val="center"/>
          </w:tcPr>
          <w:p w14:paraId="390A4D05">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详见招标参数。包含强电敷设及设备安装到位。</w:t>
            </w:r>
          </w:p>
        </w:tc>
      </w:tr>
      <w:tr w14:paraId="31F38E07">
        <w:tblPrEx>
          <w:tblCellMar>
            <w:top w:w="0" w:type="dxa"/>
            <w:left w:w="108" w:type="dxa"/>
            <w:bottom w:w="0" w:type="dxa"/>
            <w:right w:w="108"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14:paraId="2437D6F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5</w:t>
            </w:r>
          </w:p>
        </w:tc>
        <w:tc>
          <w:tcPr>
            <w:tcW w:w="1416" w:type="dxa"/>
            <w:tcBorders>
              <w:top w:val="single" w:color="000000" w:sz="4" w:space="0"/>
              <w:left w:val="single" w:color="000000" w:sz="4" w:space="0"/>
              <w:bottom w:val="single" w:color="000000" w:sz="4" w:space="0"/>
              <w:right w:val="single" w:color="000000" w:sz="4" w:space="0"/>
            </w:tcBorders>
            <w:vAlign w:val="center"/>
          </w:tcPr>
          <w:p w14:paraId="3336371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全钢药品柜</w:t>
            </w:r>
          </w:p>
        </w:tc>
        <w:tc>
          <w:tcPr>
            <w:tcW w:w="2242" w:type="dxa"/>
            <w:tcBorders>
              <w:top w:val="single" w:color="000000" w:sz="4" w:space="0"/>
              <w:left w:val="single" w:color="000000" w:sz="4" w:space="0"/>
              <w:bottom w:val="single" w:color="000000" w:sz="4" w:space="0"/>
              <w:right w:val="single" w:color="000000" w:sz="4" w:space="0"/>
            </w:tcBorders>
            <w:vAlign w:val="center"/>
          </w:tcPr>
          <w:p w14:paraId="78F6D2D9">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900*450*1800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B1A311">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0BE481">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15</w:t>
            </w:r>
          </w:p>
        </w:tc>
        <w:tc>
          <w:tcPr>
            <w:tcW w:w="4322" w:type="dxa"/>
            <w:tcBorders>
              <w:top w:val="single" w:color="000000" w:sz="4" w:space="0"/>
              <w:left w:val="single" w:color="000000" w:sz="4" w:space="0"/>
              <w:bottom w:val="single" w:color="000000" w:sz="4" w:space="0"/>
              <w:right w:val="single" w:color="000000" w:sz="4" w:space="0"/>
            </w:tcBorders>
            <w:vAlign w:val="center"/>
          </w:tcPr>
          <w:p w14:paraId="31FEDA2E">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详见招标参数。包含设备安装到位。</w:t>
            </w:r>
          </w:p>
        </w:tc>
      </w:tr>
      <w:tr w14:paraId="50C0D5E7">
        <w:tblPrEx>
          <w:tblCellMar>
            <w:top w:w="0" w:type="dxa"/>
            <w:left w:w="108" w:type="dxa"/>
            <w:bottom w:w="0" w:type="dxa"/>
            <w:right w:w="108"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747593FA">
            <w:pPr>
              <w:keepNext w:val="0"/>
              <w:keepLines w:val="0"/>
              <w:suppressLineNumbers w:val="0"/>
              <w:spacing w:before="0" w:beforeAutospacing="0" w:after="0" w:afterAutospacing="0"/>
              <w:ind w:left="0" w:right="0"/>
              <w:jc w:val="center"/>
              <w:rPr>
                <w:rFonts w:hint="default" w:ascii="宋体" w:hAnsi="宋体" w:cs="宋体"/>
                <w:color w:val="auto"/>
                <w:sz w:val="22"/>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3F90FF7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自净化试剂柜</w:t>
            </w:r>
          </w:p>
        </w:tc>
        <w:tc>
          <w:tcPr>
            <w:tcW w:w="2242" w:type="dxa"/>
            <w:tcBorders>
              <w:top w:val="single" w:color="000000" w:sz="4" w:space="0"/>
              <w:left w:val="single" w:color="000000" w:sz="4" w:space="0"/>
              <w:bottom w:val="single" w:color="000000" w:sz="4" w:space="0"/>
              <w:right w:val="single" w:color="000000" w:sz="4" w:space="0"/>
            </w:tcBorders>
            <w:vAlign w:val="center"/>
          </w:tcPr>
          <w:p w14:paraId="559F5A3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900×460×1800mm</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0BDA0C2">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A1FDF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1</w:t>
            </w:r>
          </w:p>
        </w:tc>
        <w:tc>
          <w:tcPr>
            <w:tcW w:w="4322" w:type="dxa"/>
            <w:tcBorders>
              <w:top w:val="single" w:color="000000" w:sz="4" w:space="0"/>
              <w:left w:val="single" w:color="000000" w:sz="4" w:space="0"/>
              <w:bottom w:val="single" w:color="000000" w:sz="4" w:space="0"/>
              <w:right w:val="single" w:color="000000" w:sz="4" w:space="0"/>
            </w:tcBorders>
            <w:vAlign w:val="center"/>
          </w:tcPr>
          <w:p w14:paraId="675F5CBB">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详见招标参数.包含强弱电敷设及设备安装到位。</w:t>
            </w:r>
          </w:p>
        </w:tc>
      </w:tr>
      <w:tr w14:paraId="1BBF6894">
        <w:tblPrEx>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D3429A0">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680BE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矮台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EE58296">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L*750*550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90B81E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延米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D88BC70">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3.6</w:t>
            </w:r>
          </w:p>
        </w:tc>
        <w:tc>
          <w:tcPr>
            <w:tcW w:w="4322" w:type="dxa"/>
            <w:tcBorders>
              <w:top w:val="single" w:color="000000" w:sz="4" w:space="0"/>
              <w:left w:val="single" w:color="000000" w:sz="4" w:space="0"/>
              <w:bottom w:val="single" w:color="auto" w:sz="4" w:space="0"/>
              <w:right w:val="single" w:color="000000" w:sz="4" w:space="0"/>
            </w:tcBorders>
            <w:vAlign w:val="center"/>
          </w:tcPr>
          <w:p w14:paraId="1D1BABC6">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详见招标参数，矮台采用高温台面包含防水插座，包含强电敷设及设备安装到位。</w:t>
            </w:r>
          </w:p>
        </w:tc>
      </w:tr>
      <w:tr w14:paraId="1DC5A183">
        <w:tblPrEx>
          <w:tblCellMar>
            <w:top w:w="0" w:type="dxa"/>
            <w:left w:w="108" w:type="dxa"/>
            <w:bottom w:w="0" w:type="dxa"/>
            <w:right w:w="108" w:type="dxa"/>
          </w:tblCellMar>
        </w:tblPrEx>
        <w:trPr>
          <w:trHeight w:val="13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31DB43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FE9E6A">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中央台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D0961A">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L*1500*850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9CCC532">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米</w:t>
            </w:r>
          </w:p>
        </w:tc>
        <w:tc>
          <w:tcPr>
            <w:tcW w:w="0" w:type="auto"/>
            <w:tcBorders>
              <w:top w:val="single" w:color="000000" w:sz="4" w:space="0"/>
              <w:left w:val="single" w:color="000000" w:sz="4" w:space="0"/>
              <w:bottom w:val="single" w:color="000000" w:sz="4" w:space="0"/>
              <w:right w:val="single" w:color="auto" w:sz="4" w:space="0"/>
            </w:tcBorders>
            <w:noWrap/>
            <w:vAlign w:val="center"/>
          </w:tcPr>
          <w:p w14:paraId="084B5C2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432</w:t>
            </w:r>
          </w:p>
        </w:tc>
        <w:tc>
          <w:tcPr>
            <w:tcW w:w="4322" w:type="dxa"/>
            <w:tcBorders>
              <w:top w:val="single" w:color="auto" w:sz="4" w:space="0"/>
              <w:left w:val="single" w:color="auto" w:sz="4" w:space="0"/>
              <w:bottom w:val="single" w:color="auto" w:sz="4" w:space="0"/>
              <w:right w:val="single" w:color="auto" w:sz="4" w:space="0"/>
            </w:tcBorders>
            <w:vAlign w:val="center"/>
          </w:tcPr>
          <w:p w14:paraId="12C35F52">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模块化任意组合凸版钢铝结构功能柱式满足水电气美观钢铝试剂架含防水插座。包含水槽台面采用蝶形陶瓷台面并做8mm以上厚*高400mm以上亚克力或PC挡水四周磨圆并防止水溅到仪器设备。包含水源强弱电电敷设及设备安装到位。</w:t>
            </w:r>
          </w:p>
        </w:tc>
      </w:tr>
      <w:tr w14:paraId="42582B04">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50982C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8</w:t>
            </w:r>
          </w:p>
        </w:tc>
        <w:tc>
          <w:tcPr>
            <w:tcW w:w="1416" w:type="dxa"/>
            <w:tcBorders>
              <w:top w:val="single" w:color="000000" w:sz="4" w:space="0"/>
              <w:left w:val="single" w:color="000000" w:sz="4" w:space="0"/>
              <w:bottom w:val="single" w:color="000000" w:sz="4" w:space="0"/>
              <w:right w:val="single" w:color="000000" w:sz="4" w:space="0"/>
            </w:tcBorders>
            <w:vAlign w:val="center"/>
          </w:tcPr>
          <w:p w14:paraId="06BE9214">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易燃易爆品防火安全柜</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B6679F8">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1100*468*1680</w:t>
            </w:r>
          </w:p>
        </w:tc>
        <w:tc>
          <w:tcPr>
            <w:tcW w:w="708" w:type="dxa"/>
            <w:tcBorders>
              <w:top w:val="single" w:color="000000" w:sz="4" w:space="0"/>
              <w:left w:val="single" w:color="000000" w:sz="4" w:space="0"/>
              <w:bottom w:val="single" w:color="000000" w:sz="4" w:space="0"/>
              <w:right w:val="single" w:color="000000" w:sz="4" w:space="0"/>
            </w:tcBorders>
            <w:vAlign w:val="center"/>
          </w:tcPr>
          <w:p w14:paraId="0003283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台</w:t>
            </w:r>
          </w:p>
        </w:tc>
        <w:tc>
          <w:tcPr>
            <w:tcW w:w="898" w:type="dxa"/>
            <w:tcBorders>
              <w:top w:val="single" w:color="000000" w:sz="4" w:space="0"/>
              <w:left w:val="single" w:color="000000" w:sz="4" w:space="0"/>
              <w:bottom w:val="single" w:color="000000" w:sz="4" w:space="0"/>
              <w:right w:val="single" w:color="auto" w:sz="4" w:space="0"/>
            </w:tcBorders>
            <w:vAlign w:val="center"/>
          </w:tcPr>
          <w:p w14:paraId="14D5222A">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14</w:t>
            </w:r>
          </w:p>
        </w:tc>
        <w:tc>
          <w:tcPr>
            <w:tcW w:w="4322" w:type="dxa"/>
            <w:tcBorders>
              <w:top w:val="single" w:color="auto" w:sz="4" w:space="0"/>
              <w:left w:val="single" w:color="auto" w:sz="4" w:space="0"/>
              <w:bottom w:val="single" w:color="auto" w:sz="4" w:space="0"/>
              <w:right w:val="single" w:color="auto" w:sz="4" w:space="0"/>
            </w:tcBorders>
            <w:vAlign w:val="center"/>
          </w:tcPr>
          <w:p w14:paraId="1F760847">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详见招标参数。含耐酸碱腐蚀阻燃抗爆内胆和智能时控开关（排风扇可自动排风，联动排风，强制排风，时控排风，温湿度计）。包含防爆电源敷设及设备安装到位。</w:t>
            </w:r>
          </w:p>
        </w:tc>
      </w:tr>
      <w:tr w14:paraId="23C7B6FC">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B9F5574">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ascii="宋体" w:hAnsi="宋体" w:cs="宋体"/>
                <w:color w:val="auto"/>
                <w:kern w:val="0"/>
                <w:sz w:val="22"/>
                <w:highlight w:val="none"/>
              </w:rPr>
              <w:t>9</w:t>
            </w:r>
          </w:p>
        </w:tc>
        <w:tc>
          <w:tcPr>
            <w:tcW w:w="1416" w:type="dxa"/>
            <w:tcBorders>
              <w:top w:val="single" w:color="000000" w:sz="4" w:space="0"/>
              <w:left w:val="single" w:color="000000" w:sz="4" w:space="0"/>
              <w:bottom w:val="single" w:color="000000" w:sz="4" w:space="0"/>
              <w:right w:val="single" w:color="000000" w:sz="4" w:space="0"/>
            </w:tcBorders>
            <w:vAlign w:val="center"/>
          </w:tcPr>
          <w:p w14:paraId="07848B4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中水槽+三联水龙头</w:t>
            </w:r>
          </w:p>
        </w:tc>
        <w:tc>
          <w:tcPr>
            <w:tcW w:w="2242" w:type="dxa"/>
            <w:tcBorders>
              <w:top w:val="single" w:color="000000" w:sz="4" w:space="0"/>
              <w:left w:val="single" w:color="000000" w:sz="4" w:space="0"/>
              <w:bottom w:val="single" w:color="000000" w:sz="4" w:space="0"/>
              <w:right w:val="single" w:color="000000" w:sz="4" w:space="0"/>
            </w:tcBorders>
            <w:vAlign w:val="center"/>
          </w:tcPr>
          <w:p w14:paraId="60FBA22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550*450*310</w:t>
            </w:r>
          </w:p>
        </w:tc>
        <w:tc>
          <w:tcPr>
            <w:tcW w:w="0" w:type="auto"/>
            <w:tcBorders>
              <w:top w:val="single" w:color="000000" w:sz="4" w:space="0"/>
              <w:left w:val="nil"/>
              <w:bottom w:val="single" w:color="000000" w:sz="4" w:space="0"/>
              <w:right w:val="single" w:color="000000" w:sz="4" w:space="0"/>
            </w:tcBorders>
            <w:noWrap/>
            <w:vAlign w:val="center"/>
          </w:tcPr>
          <w:p w14:paraId="601B021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62A0C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60</w:t>
            </w:r>
          </w:p>
        </w:tc>
        <w:tc>
          <w:tcPr>
            <w:tcW w:w="4322" w:type="dxa"/>
            <w:tcBorders>
              <w:top w:val="single" w:color="auto" w:sz="4" w:space="0"/>
              <w:left w:val="single" w:color="000000" w:sz="4" w:space="0"/>
              <w:bottom w:val="single" w:color="000000" w:sz="4" w:space="0"/>
              <w:right w:val="single" w:color="000000" w:sz="4" w:space="0"/>
            </w:tcBorders>
            <w:vAlign w:val="center"/>
          </w:tcPr>
          <w:p w14:paraId="6B5B21A4">
            <w:pPr>
              <w:keepNext w:val="0"/>
              <w:keepLines w:val="0"/>
              <w:widowControl/>
              <w:suppressLineNumbers w:val="0"/>
              <w:spacing w:before="0" w:beforeAutospacing="0" w:after="0" w:afterAutospacing="0"/>
              <w:ind w:left="0" w:right="0"/>
              <w:jc w:val="left"/>
              <w:textAlignment w:val="center"/>
              <w:rPr>
                <w:rFonts w:hint="default" w:ascii="宋体" w:hAnsi="宋体" w:cs="宋体"/>
                <w:color w:val="auto"/>
                <w:sz w:val="22"/>
                <w:highlight w:val="none"/>
              </w:rPr>
            </w:pPr>
            <w:r>
              <w:rPr>
                <w:rFonts w:hint="eastAsia" w:cs="宋体" w:asciiTheme="minorEastAsia" w:hAnsiTheme="minorEastAsia"/>
                <w:color w:val="auto"/>
                <w:kern w:val="0"/>
                <w:sz w:val="24"/>
                <w:szCs w:val="24"/>
                <w:highlight w:val="none"/>
              </w:rPr>
              <w:t>详见招标参数，包含滴水架和实验人员防护洗眼器。包含水电敷设及设备安装到位。</w:t>
            </w:r>
          </w:p>
        </w:tc>
      </w:tr>
    </w:tbl>
    <w:p w14:paraId="428291F4">
      <w:pPr>
        <w:tabs>
          <w:tab w:val="left" w:pos="5130"/>
        </w:tabs>
        <w:spacing w:line="360" w:lineRule="auto"/>
        <w:rPr>
          <w:rFonts w:ascii="宋体" w:hAnsi="宋体" w:cs="宋体"/>
          <w:b/>
          <w:color w:val="auto"/>
          <w:sz w:val="24"/>
          <w:szCs w:val="24"/>
          <w:highlight w:val="none"/>
        </w:rPr>
      </w:pPr>
      <w:r>
        <w:rPr>
          <w:rFonts w:ascii="宋体" w:hAnsi="宋体" w:cs="宋体"/>
          <w:b/>
          <w:color w:val="auto"/>
          <w:sz w:val="24"/>
          <w:szCs w:val="24"/>
          <w:highlight w:val="none"/>
        </w:rPr>
        <w:t>采购清单详见附件一。</w:t>
      </w:r>
    </w:p>
    <w:p w14:paraId="0AC10ACD">
      <w:pPr>
        <w:pStyle w:val="14"/>
        <w:spacing w:line="360" w:lineRule="auto"/>
        <w:ind w:firstLine="0" w:firstLineChars="0"/>
        <w:rPr>
          <w:rFonts w:ascii="宋体" w:hAnsi="宋体"/>
          <w:color w:val="auto"/>
          <w:sz w:val="24"/>
          <w:highlight w:val="none"/>
        </w:rPr>
      </w:pPr>
      <w:r>
        <w:rPr>
          <w:rFonts w:hint="eastAsia" w:ascii="宋体" w:hAnsi="宋体"/>
          <w:bCs/>
          <w:color w:val="auto"/>
          <w:sz w:val="24"/>
          <w:highlight w:val="none"/>
        </w:rPr>
        <w:t>注：1.</w:t>
      </w:r>
      <w:r>
        <w:rPr>
          <w:rFonts w:ascii="宋体" w:hAnsi="宋体"/>
          <w:bCs/>
          <w:color w:val="auto"/>
          <w:sz w:val="24"/>
          <w:highlight w:val="none"/>
        </w:rPr>
        <w:t>采购清单</w:t>
      </w:r>
      <w:r>
        <w:rPr>
          <w:rFonts w:hint="eastAsia" w:ascii="宋体" w:hAnsi="宋体"/>
          <w:bCs/>
          <w:color w:val="auto"/>
          <w:sz w:val="24"/>
          <w:highlight w:val="none"/>
        </w:rPr>
        <w:t>中所描述产品的规格尺寸，没有幅度要求的，允许正负偏离</w:t>
      </w:r>
      <w:r>
        <w:rPr>
          <w:rFonts w:ascii="宋体" w:hAnsi="宋体"/>
          <w:bCs/>
          <w:color w:val="auto"/>
          <w:sz w:val="24"/>
          <w:highlight w:val="none"/>
        </w:rPr>
        <w:t>2%以内。</w:t>
      </w:r>
    </w:p>
    <w:p w14:paraId="3A6E405C">
      <w:pPr>
        <w:tabs>
          <w:tab w:val="left" w:pos="5130"/>
        </w:tabs>
        <w:spacing w:line="360" w:lineRule="auto"/>
        <w:rPr>
          <w:rFonts w:ascii="宋体" w:hAnsi="宋体" w:cs="宋体"/>
          <w:b/>
          <w:color w:val="auto"/>
          <w:sz w:val="24"/>
          <w:szCs w:val="24"/>
          <w:highlight w:val="none"/>
        </w:rPr>
      </w:pPr>
      <w:r>
        <w:rPr>
          <w:rFonts w:ascii="宋体" w:hAnsi="宋体" w:cs="宋体"/>
          <w:b/>
          <w:color w:val="auto"/>
          <w:sz w:val="24"/>
          <w:szCs w:val="24"/>
          <w:highlight w:val="none"/>
        </w:rPr>
        <w:t>★2.为确保投标人提供的货物质量和工艺制作满足本项目要求，投标人须针对货物技术参数要求及检测报告等逐条如实列明偏离情况，如采购清单中有要求提供必要的佐证材料，包括检测报告或样品等，投标人须按要求提供。</w:t>
      </w:r>
    </w:p>
    <w:p w14:paraId="07E9D4D5">
      <w:pPr>
        <w:spacing w:line="360" w:lineRule="auto"/>
        <w:rPr>
          <w:rFonts w:ascii="宋体" w:hAnsi="宋体" w:cs="宋体"/>
          <w:b/>
          <w:bCs/>
          <w:color w:val="auto"/>
          <w:sz w:val="24"/>
          <w:szCs w:val="24"/>
          <w:highlight w:val="none"/>
        </w:rPr>
      </w:pPr>
      <w:r>
        <w:rPr>
          <w:rFonts w:hint="eastAsia" w:cs="宋体" w:asciiTheme="minorEastAsia" w:hAnsiTheme="minorEastAsia"/>
          <w:color w:val="auto"/>
          <w:sz w:val="24"/>
          <w:szCs w:val="24"/>
          <w:highlight w:val="none"/>
        </w:rPr>
        <w:t>★</w:t>
      </w:r>
      <w:r>
        <w:rPr>
          <w:rFonts w:cs="宋体" w:asciiTheme="minorEastAsia" w:hAnsiTheme="minorEastAsia"/>
          <w:b/>
          <w:color w:val="auto"/>
          <w:sz w:val="24"/>
          <w:szCs w:val="24"/>
          <w:highlight w:val="none"/>
        </w:rPr>
        <w:t>3.</w:t>
      </w:r>
      <w:r>
        <w:rPr>
          <w:rFonts w:hint="eastAsia" w:ascii="宋体" w:hAnsi="宋体" w:cs="宋体"/>
          <w:b/>
          <w:bCs/>
          <w:color w:val="auto"/>
          <w:sz w:val="24"/>
          <w:szCs w:val="24"/>
          <w:highlight w:val="none"/>
        </w:rPr>
        <w:t>若检测报告同时要求提供官方网站查询截图</w:t>
      </w:r>
      <w:r>
        <w:rPr>
          <w:rFonts w:ascii="宋体" w:hAnsi="宋体" w:cs="宋体"/>
          <w:b/>
          <w:bCs/>
          <w:color w:val="auto"/>
          <w:sz w:val="24"/>
          <w:szCs w:val="24"/>
          <w:highlight w:val="none"/>
        </w:rPr>
        <w:t>，而未提供官方网站查询截图的应书面承诺检验报告可在官方网站查询</w:t>
      </w:r>
      <w:r>
        <w:rPr>
          <w:rFonts w:hint="eastAsia" w:ascii="宋体" w:hAnsi="宋体" w:cs="宋体"/>
          <w:b/>
          <w:bCs/>
          <w:color w:val="auto"/>
          <w:sz w:val="24"/>
          <w:szCs w:val="24"/>
          <w:highlight w:val="none"/>
        </w:rPr>
        <w:t>。（格式自拟）</w:t>
      </w:r>
    </w:p>
    <w:p w14:paraId="7E8C09F5">
      <w:pPr>
        <w:tabs>
          <w:tab w:val="left" w:pos="5130"/>
        </w:tabs>
        <w:spacing w:line="360" w:lineRule="auto"/>
        <w:rPr>
          <w:rFonts w:ascii="宋体" w:hAnsi="宋体" w:cs="宋体"/>
          <w:color w:val="auto"/>
          <w:sz w:val="24"/>
          <w:szCs w:val="24"/>
          <w:highlight w:val="none"/>
        </w:rPr>
      </w:pPr>
    </w:p>
    <w:p w14:paraId="7D4BE479">
      <w:pPr>
        <w:pStyle w:val="54"/>
        <w:spacing w:line="360" w:lineRule="auto"/>
        <w:jc w:val="both"/>
        <w:outlineLvl w:val="2"/>
        <w:rPr>
          <w:rFonts w:hint="default" w:ascii="宋体" w:hAnsi="宋体" w:cs="宋体"/>
          <w:color w:val="auto"/>
          <w:sz w:val="24"/>
          <w:szCs w:val="24"/>
          <w:highlight w:val="none"/>
        </w:rPr>
      </w:pPr>
      <w:r>
        <w:rPr>
          <w:rFonts w:ascii="宋体" w:hAnsi="宋体" w:cs="宋体"/>
          <w:b/>
          <w:color w:val="auto"/>
          <w:sz w:val="24"/>
          <w:szCs w:val="24"/>
          <w:highlight w:val="none"/>
        </w:rPr>
        <w:t>二、技术和服务要求（以“★”标示的内容为不允许负偏离的实质性要求）</w:t>
      </w:r>
    </w:p>
    <w:p w14:paraId="3D5BCE14">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1．中标供应商生产前提供具体图纸供采购人确认方可生产，价格不得调整。</w:t>
      </w:r>
    </w:p>
    <w:p w14:paraId="2FA7E01F">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2．投标人应严格按照采购文件的规格、数量、技术及材质等要求进行报价。</w:t>
      </w:r>
    </w:p>
    <w:p w14:paraId="2D8E344A">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3．投标人应在投标文件中提供主要生产设备清单（需提供主要生产加工设备、产地、数量、价值）。</w:t>
      </w:r>
    </w:p>
    <w:p w14:paraId="344F4516">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4．投标人应在投标文件中提供质量管理、技术力量说明（主要生产技术骨干、质管人员的数量和职称）。</w:t>
      </w:r>
    </w:p>
    <w:p w14:paraId="7184F558">
      <w:pPr>
        <w:widowControl/>
        <w:spacing w:line="360" w:lineRule="auto"/>
        <w:ind w:firstLine="480"/>
        <w:rPr>
          <w:rFonts w:ascii="宋体" w:hAnsi="宋体" w:cs="宋体"/>
          <w:bCs/>
          <w:color w:val="auto"/>
          <w:sz w:val="24"/>
          <w:szCs w:val="24"/>
          <w:highlight w:val="none"/>
        </w:rPr>
      </w:pPr>
      <w:r>
        <w:rPr>
          <w:rFonts w:ascii="宋体" w:hAnsi="宋体" w:cs="宋体"/>
          <w:bCs/>
          <w:color w:val="auto"/>
          <w:sz w:val="24"/>
          <w:szCs w:val="24"/>
          <w:highlight w:val="none"/>
        </w:rPr>
        <w:t>5．投标人应根据国家标准(</w:t>
      </w:r>
      <w:r>
        <w:rPr>
          <w:rFonts w:ascii="宋体" w:hAnsi="宋体" w:cs="宋体"/>
          <w:bCs/>
          <w:color w:val="auto"/>
          <w:kern w:val="0"/>
          <w:sz w:val="24"/>
          <w:szCs w:val="24"/>
          <w:highlight w:val="none"/>
        </w:rPr>
        <w:t xml:space="preserve">QB/T </w:t>
      </w:r>
      <w:r>
        <w:rPr>
          <w:rFonts w:hint="eastAsia" w:ascii="宋体" w:hAnsi="宋体" w:cs="宋体"/>
          <w:bCs/>
          <w:color w:val="auto"/>
          <w:kern w:val="0"/>
          <w:sz w:val="24"/>
          <w:szCs w:val="24"/>
          <w:highlight w:val="none"/>
        </w:rPr>
        <w:t>1951.1-2010《木家具质量检验及质量评定》、</w:t>
      </w:r>
      <w:r>
        <w:rPr>
          <w:rFonts w:ascii="宋体" w:hAnsi="宋体" w:eastAsia="宋体" w:cs="宋体"/>
          <w:bCs/>
          <w:color w:val="auto"/>
          <w:spacing w:val="-1"/>
          <w:kern w:val="0"/>
          <w:sz w:val="24"/>
          <w:szCs w:val="24"/>
          <w:highlight w:val="none"/>
        </w:rPr>
        <w:t>QB/T 1951.2-2013《金属家具质量检验及质量评定》、</w:t>
      </w:r>
      <w:r>
        <w:rPr>
          <w:rFonts w:ascii="宋体" w:hAnsi="宋体" w:eastAsia="宋体" w:cs="宋体"/>
          <w:bCs/>
          <w:color w:val="auto"/>
          <w:spacing w:val="-1"/>
          <w:sz w:val="24"/>
          <w:szCs w:val="24"/>
          <w:highlight w:val="none"/>
        </w:rPr>
        <w:t>GB/T 3324-2017《木家具通用技术条件》、</w:t>
      </w:r>
      <w:r>
        <w:rPr>
          <w:rFonts w:ascii="宋体" w:hAnsi="宋体" w:eastAsia="宋体" w:cs="宋体"/>
          <w:bCs/>
          <w:color w:val="auto"/>
          <w:sz w:val="24"/>
          <w:szCs w:val="24"/>
          <w:highlight w:val="none"/>
        </w:rPr>
        <w:t>GB/T 3325-2017《金属家具通用技术条件》</w:t>
      </w:r>
      <w:r>
        <w:rPr>
          <w:rFonts w:ascii="宋体" w:hAnsi="宋体" w:eastAsia="宋体" w:cs="宋体"/>
          <w:bCs/>
          <w:color w:val="auto"/>
          <w:spacing w:val="-1"/>
          <w:sz w:val="24"/>
          <w:szCs w:val="24"/>
          <w:highlight w:val="none"/>
        </w:rPr>
        <w:t>、</w:t>
      </w:r>
      <w:r>
        <w:rPr>
          <w:rFonts w:ascii="宋体" w:hAnsi="宋体" w:eastAsia="宋体" w:cs="宋体"/>
          <w:bCs/>
          <w:color w:val="auto"/>
          <w:sz w:val="24"/>
          <w:szCs w:val="24"/>
          <w:highlight w:val="none"/>
        </w:rPr>
        <w:t>GB 18580-2017《室内装饰装修材料 人造板及其制品中甲醛释放限量》</w:t>
      </w:r>
      <w:r>
        <w:rPr>
          <w:rFonts w:ascii="宋体" w:hAnsi="宋体" w:eastAsia="宋体" w:cs="宋体"/>
          <w:bCs/>
          <w:color w:val="auto"/>
          <w:spacing w:val="-1"/>
          <w:sz w:val="24"/>
          <w:szCs w:val="24"/>
          <w:highlight w:val="none"/>
        </w:rPr>
        <w:t>、</w:t>
      </w:r>
      <w:r>
        <w:rPr>
          <w:rFonts w:ascii="宋体" w:hAnsi="宋体" w:eastAsia="宋体" w:cs="宋体"/>
          <w:bCs/>
          <w:color w:val="auto"/>
          <w:sz w:val="24"/>
          <w:szCs w:val="24"/>
          <w:highlight w:val="none"/>
        </w:rPr>
        <w:t>GB 18584-2012《家具中有害物质限量》、</w:t>
      </w:r>
      <w:r>
        <w:rPr>
          <w:rFonts w:ascii="宋体" w:hAnsi="宋体" w:eastAsia="宋体" w:cs="宋体"/>
          <w:bCs/>
          <w:color w:val="auto"/>
          <w:spacing w:val="-1"/>
          <w:sz w:val="24"/>
          <w:szCs w:val="24"/>
          <w:highlight w:val="none"/>
        </w:rPr>
        <w:t>GB 24820-2009《实验室家具通用技术条件》、</w:t>
      </w:r>
      <w:r>
        <w:rPr>
          <w:rFonts w:ascii="宋体" w:hAnsi="宋体" w:eastAsia="宋体" w:cs="宋体"/>
          <w:bCs/>
          <w:color w:val="auto"/>
          <w:sz w:val="24"/>
          <w:szCs w:val="24"/>
          <w:highlight w:val="none"/>
        </w:rPr>
        <w:t>GB/T 17657-2022《人造板及饰面人造板理化性能试验方法》</w:t>
      </w:r>
      <w:r>
        <w:rPr>
          <w:rFonts w:ascii="宋体" w:hAnsi="宋体" w:eastAsia="宋体" w:cs="宋体"/>
          <w:bCs/>
          <w:color w:val="auto"/>
          <w:spacing w:val="-1"/>
          <w:sz w:val="24"/>
          <w:szCs w:val="24"/>
          <w:highlight w:val="none"/>
        </w:rPr>
        <w:t>、</w:t>
      </w:r>
      <w:r>
        <w:rPr>
          <w:rFonts w:ascii="宋体" w:hAnsi="宋体" w:cs="宋体"/>
          <w:bCs/>
          <w:color w:val="auto"/>
          <w:spacing w:val="-1"/>
          <w:sz w:val="24"/>
          <w:szCs w:val="24"/>
          <w:highlight w:val="none"/>
        </w:rPr>
        <w:t xml:space="preserve">GB/T </w:t>
      </w:r>
      <w:r>
        <w:rPr>
          <w:rFonts w:hint="eastAsia" w:ascii="宋体" w:hAnsi="宋体" w:cs="宋体"/>
          <w:bCs/>
          <w:color w:val="auto"/>
          <w:spacing w:val="-1"/>
          <w:sz w:val="24"/>
          <w:szCs w:val="24"/>
          <w:highlight w:val="none"/>
        </w:rPr>
        <w:t>21747-2008《教学实验室设备实验台（桌）的安全要求及试验方法》</w:t>
      </w:r>
      <w:r>
        <w:rPr>
          <w:rFonts w:ascii="宋体" w:hAnsi="宋体" w:cs="宋体"/>
          <w:bCs/>
          <w:color w:val="auto"/>
          <w:sz w:val="24"/>
          <w:szCs w:val="24"/>
          <w:highlight w:val="none"/>
        </w:rPr>
        <w:t>等)制作，并在设计方案中详细说明家具的材料构成及辅材、配件(如材质、质量标准、厚度、产地、品牌、型号等)。</w:t>
      </w:r>
    </w:p>
    <w:p w14:paraId="510C9300">
      <w:pPr>
        <w:widowControl/>
        <w:spacing w:line="360" w:lineRule="auto"/>
        <w:ind w:firstLine="480"/>
        <w:rPr>
          <w:rFonts w:ascii="宋体" w:hAnsi="宋体" w:cs="宋体"/>
          <w:bCs/>
          <w:color w:val="auto"/>
          <w:sz w:val="24"/>
          <w:szCs w:val="24"/>
          <w:highlight w:val="none"/>
        </w:rPr>
      </w:pPr>
      <w:r>
        <w:rPr>
          <w:rFonts w:ascii="宋体" w:hAnsi="宋体" w:cs="宋体"/>
          <w:bCs/>
          <w:color w:val="auto"/>
          <w:sz w:val="24"/>
          <w:szCs w:val="24"/>
          <w:highlight w:val="none"/>
        </w:rPr>
        <w:t>6．投标人需在投标文件中提供上述货物的实物图、效果图、生产分解图、货物选用材料的说明文件。图号所指货物详见采购文件所附图纸，投标人应自行到现场进行测量。</w:t>
      </w:r>
    </w:p>
    <w:p w14:paraId="17C70344">
      <w:pPr>
        <w:spacing w:line="360" w:lineRule="auto"/>
        <w:ind w:firstLine="480" w:firstLineChars="200"/>
        <w:rPr>
          <w:rFonts w:ascii="宋体" w:hAnsi="宋体" w:cs="宋体"/>
          <w:bCs/>
          <w:color w:val="auto"/>
          <w:sz w:val="24"/>
          <w:szCs w:val="24"/>
          <w:highlight w:val="none"/>
        </w:rPr>
      </w:pPr>
      <w:r>
        <w:rPr>
          <w:rFonts w:ascii="宋体" w:hAnsi="宋体" w:cs="宋体"/>
          <w:bCs/>
          <w:color w:val="auto"/>
          <w:sz w:val="24"/>
          <w:szCs w:val="24"/>
          <w:highlight w:val="none"/>
        </w:rPr>
        <w:t>7．投标人需将以上货物的参考指标与所报货物的技术指标、参数，在投标文件中分别列出，一一对应。</w:t>
      </w:r>
    </w:p>
    <w:p w14:paraId="08C8A0EB">
      <w:pPr>
        <w:pStyle w:val="54"/>
        <w:spacing w:line="360" w:lineRule="auto"/>
        <w:ind w:firstLine="482"/>
        <w:jc w:val="both"/>
        <w:rPr>
          <w:rFonts w:hint="default" w:ascii="宋体" w:hAnsi="宋体" w:cs="宋体"/>
          <w:b/>
          <w:color w:val="auto"/>
          <w:sz w:val="24"/>
          <w:szCs w:val="24"/>
          <w:highlight w:val="none"/>
        </w:rPr>
      </w:pPr>
      <w:r>
        <w:rPr>
          <w:rFonts w:ascii="宋体" w:hAnsi="宋体" w:cs="宋体"/>
          <w:b/>
          <w:color w:val="auto"/>
          <w:sz w:val="24"/>
          <w:szCs w:val="24"/>
          <w:highlight w:val="none"/>
        </w:rPr>
        <w:t>★8.投标人在递交投标文件时应提供以下样品：</w:t>
      </w:r>
    </w:p>
    <w:p w14:paraId="5015D4D1">
      <w:pPr>
        <w:spacing w:line="360" w:lineRule="auto"/>
        <w:ind w:left="210" w:leftChars="100" w:firstLine="236" w:firstLineChars="98"/>
        <w:rPr>
          <w:rFonts w:ascii="宋体" w:hAnsi="宋体" w:cs="宋体"/>
          <w:b/>
          <w:color w:val="auto"/>
          <w:kern w:val="0"/>
          <w:sz w:val="24"/>
          <w:szCs w:val="24"/>
          <w:highlight w:val="none"/>
        </w:rPr>
      </w:pPr>
      <w:r>
        <w:rPr>
          <w:rFonts w:ascii="宋体" w:hAnsi="宋体" w:cs="宋体"/>
          <w:b/>
          <w:color w:val="auto"/>
          <w:kern w:val="0"/>
          <w:sz w:val="24"/>
          <w:szCs w:val="24"/>
          <w:highlight w:val="none"/>
        </w:rPr>
        <w:fldChar w:fldCharType="begin"/>
      </w:r>
      <w:r>
        <w:rPr>
          <w:rFonts w:ascii="宋体" w:hAnsi="宋体" w:cs="宋体"/>
          <w:b/>
          <w:color w:val="auto"/>
          <w:kern w:val="0"/>
          <w:sz w:val="24"/>
          <w:szCs w:val="24"/>
          <w:highlight w:val="none"/>
        </w:rPr>
        <w:instrText xml:space="preserve"> = 1 \* GB3 </w:instrText>
      </w:r>
      <w:r>
        <w:rPr>
          <w:rFonts w:ascii="宋体" w:hAnsi="宋体" w:cs="宋体"/>
          <w:b/>
          <w:color w:val="auto"/>
          <w:kern w:val="0"/>
          <w:sz w:val="24"/>
          <w:szCs w:val="24"/>
          <w:highlight w:val="none"/>
        </w:rPr>
        <w:fldChar w:fldCharType="separate"/>
      </w:r>
      <w:r>
        <w:rPr>
          <w:rFonts w:hint="eastAsia" w:ascii="宋体" w:hAnsi="宋体" w:cs="宋体"/>
          <w:b/>
          <w:color w:val="auto"/>
          <w:kern w:val="0"/>
          <w:sz w:val="24"/>
          <w:szCs w:val="24"/>
          <w:highlight w:val="none"/>
        </w:rPr>
        <w:t>①</w:t>
      </w:r>
      <w:r>
        <w:rPr>
          <w:rFonts w:ascii="宋体" w:hAnsi="宋体" w:cs="宋体"/>
          <w:b/>
          <w:color w:val="auto"/>
          <w:kern w:val="0"/>
          <w:sz w:val="24"/>
          <w:szCs w:val="24"/>
          <w:highlight w:val="none"/>
        </w:rPr>
        <w:fldChar w:fldCharType="end"/>
      </w:r>
      <w:r>
        <w:rPr>
          <w:rFonts w:ascii="宋体" w:hAnsi="宋体" w:cs="宋体"/>
          <w:b/>
          <w:color w:val="auto"/>
          <w:kern w:val="0"/>
          <w:sz w:val="24"/>
          <w:szCs w:val="24"/>
          <w:highlight w:val="none"/>
        </w:rPr>
        <w:t>、</w:t>
      </w:r>
      <w:r>
        <w:rPr>
          <w:rFonts w:hint="eastAsia" w:ascii="宋体" w:hAnsi="宋体" w:cs="宋体"/>
          <w:b/>
          <w:color w:val="auto"/>
          <w:kern w:val="0"/>
          <w:sz w:val="24"/>
          <w:szCs w:val="24"/>
          <w:highlight w:val="none"/>
        </w:rPr>
        <w:t>提供同仪器台（不含台面）包含活动柜</w:t>
      </w:r>
      <w:r>
        <w:rPr>
          <w:rFonts w:hint="eastAsia" w:ascii="宋体" w:hAnsi="宋体" w:eastAsia="宋体" w:cs="宋体"/>
          <w:b/>
          <w:bCs w:val="0"/>
          <w:color w:val="auto"/>
          <w:sz w:val="24"/>
          <w:szCs w:val="24"/>
          <w:highlight w:val="none"/>
          <w:lang w:val="en-US" w:eastAsia="zh-CN" w:bidi="ar"/>
        </w:rPr>
        <w:t>（框体外径）</w:t>
      </w:r>
      <w:r>
        <w:rPr>
          <w:rFonts w:ascii="宋体" w:hAnsi="宋体" w:eastAsia="宋体" w:cs="宋体"/>
          <w:color w:val="auto"/>
          <w:sz w:val="24"/>
          <w:szCs w:val="24"/>
          <w:highlight w:val="none"/>
          <w:lang w:eastAsia="zh-CN"/>
        </w:rPr>
        <w:t xml:space="preserve"> </w:t>
      </w:r>
      <w:r>
        <w:rPr>
          <w:rFonts w:hint="eastAsia" w:ascii="宋体" w:hAnsi="宋体" w:cs="宋体"/>
          <w:b/>
          <w:color w:val="auto"/>
          <w:kern w:val="0"/>
          <w:sz w:val="24"/>
          <w:szCs w:val="24"/>
          <w:highlight w:val="none"/>
        </w:rPr>
        <w:t>144</w:t>
      </w: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5mm*705</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5mm *8</w:t>
      </w:r>
      <w:r>
        <w:rPr>
          <w:rFonts w:hint="eastAsia" w:ascii="宋体" w:hAnsi="宋体" w:cs="宋体"/>
          <w:b/>
          <w:color w:val="auto"/>
          <w:kern w:val="0"/>
          <w:sz w:val="24"/>
          <w:szCs w:val="24"/>
          <w:highlight w:val="none"/>
        </w:rPr>
        <w:t>2</w:t>
      </w:r>
      <w:r>
        <w:rPr>
          <w:rFonts w:ascii="宋体" w:hAnsi="宋体" w:cs="宋体"/>
          <w:b/>
          <w:color w:val="auto"/>
          <w:kern w:val="0"/>
          <w:sz w:val="24"/>
          <w:szCs w:val="24"/>
          <w:highlight w:val="none"/>
        </w:rPr>
        <w:t>0mm</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5mm一</w:t>
      </w:r>
      <w:r>
        <w:rPr>
          <w:rFonts w:hint="eastAsia" w:ascii="宋体" w:hAnsi="宋体" w:cs="宋体"/>
          <w:b/>
          <w:color w:val="auto"/>
          <w:kern w:val="0"/>
          <w:sz w:val="24"/>
          <w:szCs w:val="24"/>
          <w:highlight w:val="none"/>
        </w:rPr>
        <w:t>套</w:t>
      </w:r>
      <w:r>
        <w:rPr>
          <w:rFonts w:hint="eastAsia" w:ascii="宋体" w:hAnsi="宋体" w:eastAsia="宋体" w:cs="宋体"/>
          <w:b/>
          <w:bCs w:val="0"/>
          <w:color w:val="auto"/>
          <w:sz w:val="24"/>
          <w:szCs w:val="24"/>
          <w:highlight w:val="none"/>
          <w:lang w:val="en-US" w:eastAsia="zh-CN" w:bidi="ar"/>
        </w:rPr>
        <w:t>（颜色不限）</w:t>
      </w:r>
      <w:r>
        <w:rPr>
          <w:rFonts w:ascii="宋体" w:hAnsi="宋体" w:eastAsia="宋体" w:cs="宋体"/>
          <w:color w:val="auto"/>
          <w:sz w:val="24"/>
          <w:szCs w:val="24"/>
          <w:highlight w:val="none"/>
          <w:lang w:eastAsia="zh-CN"/>
        </w:rPr>
        <w:t xml:space="preserve"> </w:t>
      </w:r>
      <w:r>
        <w:rPr>
          <w:rFonts w:hint="eastAsia" w:ascii="宋体" w:hAnsi="宋体" w:cs="宋体"/>
          <w:b/>
          <w:color w:val="auto"/>
          <w:kern w:val="0"/>
          <w:sz w:val="24"/>
          <w:szCs w:val="24"/>
          <w:highlight w:val="none"/>
        </w:rPr>
        <w:t>；</w:t>
      </w:r>
    </w:p>
    <w:p w14:paraId="6858B8A8">
      <w:pPr>
        <w:spacing w:line="360" w:lineRule="auto"/>
        <w:ind w:firstLine="472" w:firstLineChars="196"/>
        <w:rPr>
          <w:rFonts w:ascii="宋体" w:hAnsi="宋体" w:cs="宋体"/>
          <w:b/>
          <w:color w:val="auto"/>
          <w:kern w:val="0"/>
          <w:sz w:val="24"/>
          <w:szCs w:val="24"/>
          <w:highlight w:val="none"/>
        </w:rPr>
      </w:pPr>
      <w:r>
        <w:rPr>
          <w:rFonts w:ascii="宋体" w:hAnsi="宋体" w:cs="宋体"/>
          <w:b/>
          <w:color w:val="auto"/>
          <w:kern w:val="0"/>
          <w:sz w:val="24"/>
          <w:szCs w:val="24"/>
          <w:highlight w:val="none"/>
        </w:rPr>
        <w:drawing>
          <wp:inline distT="0" distB="0" distL="0" distR="0">
            <wp:extent cx="2924175" cy="21907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3" cstate="print"/>
                    <a:srcRect/>
                    <a:stretch>
                      <a:fillRect/>
                    </a:stretch>
                  </pic:blipFill>
                  <pic:spPr>
                    <a:xfrm>
                      <a:off x="0" y="0"/>
                      <a:ext cx="2924175" cy="2190750"/>
                    </a:xfrm>
                    <a:prstGeom prst="rect">
                      <a:avLst/>
                    </a:prstGeom>
                    <a:noFill/>
                    <a:ln w="9525">
                      <a:noFill/>
                      <a:miter lim="800000"/>
                      <a:headEnd/>
                      <a:tailEnd/>
                    </a:ln>
                  </pic:spPr>
                </pic:pic>
              </a:graphicData>
            </a:graphic>
          </wp:inline>
        </w:drawing>
      </w:r>
    </w:p>
    <w:p w14:paraId="414263CE">
      <w:pPr>
        <w:spacing w:line="360" w:lineRule="auto"/>
        <w:ind w:firstLine="472" w:firstLineChars="196"/>
        <w:rPr>
          <w:rFonts w:ascii="宋体" w:hAnsi="宋体" w:cs="宋体"/>
          <w:b/>
          <w:color w:val="auto"/>
          <w:kern w:val="0"/>
          <w:sz w:val="24"/>
          <w:szCs w:val="24"/>
          <w:highlight w:val="none"/>
        </w:rPr>
      </w:pPr>
    </w:p>
    <w:p w14:paraId="5AA711F6">
      <w:pPr>
        <w:spacing w:line="360" w:lineRule="auto"/>
        <w:ind w:firstLine="472" w:firstLineChars="196"/>
        <w:rPr>
          <w:rFonts w:ascii="宋体" w:hAnsi="宋体" w:cs="宋体"/>
          <w:b/>
          <w:color w:val="auto"/>
          <w:kern w:val="0"/>
          <w:sz w:val="24"/>
          <w:szCs w:val="24"/>
          <w:highlight w:val="none"/>
        </w:rPr>
      </w:pPr>
      <w:r>
        <w:rPr>
          <w:rFonts w:ascii="宋体" w:hAnsi="宋体" w:cs="宋体"/>
          <w:b/>
          <w:color w:val="auto"/>
          <w:kern w:val="0"/>
          <w:sz w:val="24"/>
          <w:szCs w:val="24"/>
          <w:highlight w:val="none"/>
        </w:rPr>
        <w:fldChar w:fldCharType="begin"/>
      </w:r>
      <w:r>
        <w:rPr>
          <w:rFonts w:ascii="宋体" w:hAnsi="宋体" w:cs="宋体"/>
          <w:b/>
          <w:color w:val="auto"/>
          <w:kern w:val="0"/>
          <w:sz w:val="24"/>
          <w:szCs w:val="24"/>
          <w:highlight w:val="none"/>
        </w:rPr>
        <w:instrText xml:space="preserve"> = 2 \* GB3 </w:instrText>
      </w:r>
      <w:r>
        <w:rPr>
          <w:rFonts w:ascii="宋体" w:hAnsi="宋体" w:cs="宋体"/>
          <w:b/>
          <w:color w:val="auto"/>
          <w:kern w:val="0"/>
          <w:sz w:val="24"/>
          <w:szCs w:val="24"/>
          <w:highlight w:val="none"/>
        </w:rPr>
        <w:fldChar w:fldCharType="separate"/>
      </w:r>
      <w:r>
        <w:rPr>
          <w:rFonts w:hint="eastAsia" w:ascii="宋体" w:hAnsi="宋体" w:cs="宋体"/>
          <w:b/>
          <w:color w:val="auto"/>
          <w:kern w:val="0"/>
          <w:sz w:val="24"/>
          <w:szCs w:val="24"/>
          <w:highlight w:val="none"/>
        </w:rPr>
        <w:t>②</w:t>
      </w:r>
      <w:r>
        <w:rPr>
          <w:rFonts w:ascii="宋体" w:hAnsi="宋体" w:cs="宋体"/>
          <w:b/>
          <w:color w:val="auto"/>
          <w:kern w:val="0"/>
          <w:sz w:val="24"/>
          <w:szCs w:val="24"/>
          <w:highlight w:val="none"/>
        </w:rPr>
        <w:fldChar w:fldCharType="end"/>
      </w:r>
      <w:r>
        <w:rPr>
          <w:rFonts w:ascii="宋体" w:hAnsi="宋体" w:cs="宋体"/>
          <w:b/>
          <w:color w:val="auto"/>
          <w:kern w:val="0"/>
          <w:sz w:val="24"/>
          <w:szCs w:val="24"/>
          <w:highlight w:val="none"/>
        </w:rPr>
        <w:t>、</w:t>
      </w:r>
      <w:r>
        <w:rPr>
          <w:rFonts w:hint="eastAsia" w:ascii="宋体" w:hAnsi="宋体" w:cs="宋体"/>
          <w:b/>
          <w:color w:val="auto"/>
          <w:kern w:val="0"/>
          <w:sz w:val="24"/>
          <w:szCs w:val="24"/>
          <w:highlight w:val="none"/>
        </w:rPr>
        <w:t>提供1500</w:t>
      </w:r>
      <w:r>
        <w:rPr>
          <w:rFonts w:ascii="宋体" w:hAnsi="宋体" w:cs="宋体"/>
          <w:b/>
          <w:color w:val="auto"/>
          <w:kern w:val="0"/>
          <w:sz w:val="24"/>
          <w:szCs w:val="24"/>
          <w:highlight w:val="none"/>
        </w:rPr>
        <w:t>±5mm</w:t>
      </w:r>
      <w:r>
        <w:rPr>
          <w:rFonts w:hint="eastAsia" w:ascii="宋体" w:hAnsi="宋体" w:cs="宋体"/>
          <w:b/>
          <w:color w:val="auto"/>
          <w:kern w:val="0"/>
          <w:sz w:val="24"/>
          <w:szCs w:val="24"/>
          <w:highlight w:val="none"/>
        </w:rPr>
        <w:t>*750</w:t>
      </w:r>
      <w:r>
        <w:rPr>
          <w:rFonts w:ascii="宋体" w:hAnsi="宋体" w:cs="宋体"/>
          <w:b/>
          <w:color w:val="auto"/>
          <w:kern w:val="0"/>
          <w:sz w:val="24"/>
          <w:szCs w:val="24"/>
          <w:highlight w:val="none"/>
        </w:rPr>
        <w:t>±5mm</w:t>
      </w:r>
      <w:r>
        <w:rPr>
          <w:rFonts w:hint="eastAsia" w:ascii="宋体" w:hAnsi="宋体" w:cs="宋体"/>
          <w:b/>
          <w:color w:val="auto"/>
          <w:kern w:val="0"/>
          <w:sz w:val="24"/>
          <w:szCs w:val="24"/>
          <w:highlight w:val="none"/>
        </w:rPr>
        <w:t>*13</w:t>
      </w:r>
      <w:r>
        <w:rPr>
          <w:rFonts w:ascii="宋体" w:hAnsi="宋体" w:cs="宋体"/>
          <w:b/>
          <w:color w:val="auto"/>
          <w:kern w:val="0"/>
          <w:sz w:val="24"/>
          <w:szCs w:val="24"/>
          <w:highlight w:val="none"/>
        </w:rPr>
        <w:t>mm</w:t>
      </w:r>
      <w:r>
        <w:rPr>
          <w:rFonts w:hint="eastAsia" w:ascii="宋体" w:hAnsi="宋体" w:cs="宋体"/>
          <w:b/>
          <w:color w:val="auto"/>
          <w:kern w:val="0"/>
          <w:sz w:val="24"/>
          <w:szCs w:val="24"/>
          <w:highlight w:val="none"/>
        </w:rPr>
        <w:t>优抗板台面一片</w:t>
      </w:r>
      <w:r>
        <w:rPr>
          <w:rFonts w:hint="eastAsia" w:ascii="宋体" w:hAnsi="宋体" w:eastAsia="宋体" w:cs="宋体"/>
          <w:b/>
          <w:bCs w:val="0"/>
          <w:color w:val="auto"/>
          <w:sz w:val="24"/>
          <w:szCs w:val="24"/>
          <w:highlight w:val="none"/>
          <w:lang w:val="en-US" w:eastAsia="zh-CN" w:bidi="ar"/>
        </w:rPr>
        <w:t>（有无防伪标志均可，颜色不限）</w:t>
      </w:r>
      <w:r>
        <w:rPr>
          <w:rFonts w:ascii="宋体" w:hAnsi="宋体" w:eastAsia="宋体" w:cs="宋体"/>
          <w:color w:val="auto"/>
          <w:sz w:val="24"/>
          <w:szCs w:val="24"/>
          <w:highlight w:val="none"/>
          <w:lang w:eastAsia="zh-CN"/>
        </w:rPr>
        <w:t xml:space="preserve"> </w:t>
      </w:r>
      <w:r>
        <w:rPr>
          <w:rFonts w:hint="eastAsia" w:ascii="宋体" w:hAnsi="宋体" w:cs="宋体"/>
          <w:b/>
          <w:color w:val="auto"/>
          <w:kern w:val="0"/>
          <w:sz w:val="24"/>
          <w:szCs w:val="24"/>
          <w:highlight w:val="none"/>
        </w:rPr>
        <w:t>。</w:t>
      </w:r>
    </w:p>
    <w:p w14:paraId="712B91CD">
      <w:pPr>
        <w:spacing w:line="360" w:lineRule="auto"/>
        <w:ind w:firstLine="480"/>
        <w:rPr>
          <w:rFonts w:ascii="宋体" w:hAnsi="宋体" w:cs="宋体"/>
          <w:b/>
          <w:color w:val="auto"/>
          <w:kern w:val="0"/>
          <w:sz w:val="24"/>
          <w:szCs w:val="24"/>
          <w:highlight w:val="none"/>
        </w:rPr>
      </w:pPr>
      <w:r>
        <w:rPr>
          <w:rFonts w:ascii="宋体" w:hAnsi="宋体" w:cs="宋体"/>
          <w:b/>
          <w:color w:val="auto"/>
          <w:kern w:val="0"/>
          <w:sz w:val="24"/>
          <w:szCs w:val="24"/>
          <w:highlight w:val="none"/>
        </w:rPr>
        <w:drawing>
          <wp:inline distT="0" distB="0" distL="0" distR="0">
            <wp:extent cx="1933575" cy="5905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4"/>
                    <a:srcRect/>
                    <a:stretch>
                      <a:fillRect/>
                    </a:stretch>
                  </pic:blipFill>
                  <pic:spPr>
                    <a:xfrm>
                      <a:off x="0" y="0"/>
                      <a:ext cx="1933575" cy="590550"/>
                    </a:xfrm>
                    <a:prstGeom prst="rect">
                      <a:avLst/>
                    </a:prstGeom>
                    <a:noFill/>
                    <a:ln w="9525">
                      <a:noFill/>
                      <a:miter lim="800000"/>
                      <a:headEnd/>
                      <a:tailEnd/>
                    </a:ln>
                  </pic:spPr>
                </pic:pic>
              </a:graphicData>
            </a:graphic>
          </wp:inline>
        </w:drawing>
      </w:r>
    </w:p>
    <w:p w14:paraId="6AC77696">
      <w:pPr>
        <w:spacing w:line="360" w:lineRule="auto"/>
        <w:ind w:firstLine="480"/>
        <w:rPr>
          <w:rFonts w:ascii="宋体" w:hAnsi="宋体" w:cs="宋体"/>
          <w:b/>
          <w:color w:val="auto"/>
          <w:kern w:val="0"/>
          <w:sz w:val="24"/>
          <w:szCs w:val="24"/>
          <w:highlight w:val="none"/>
        </w:rPr>
      </w:pPr>
      <w:r>
        <w:rPr>
          <w:rFonts w:hint="eastAsia" w:ascii="宋体" w:hAnsi="宋体" w:eastAsia="宋体" w:cs="宋体"/>
          <w:b/>
          <w:color w:val="auto"/>
          <w:kern w:val="0"/>
          <w:sz w:val="24"/>
          <w:szCs w:val="24"/>
          <w:highlight w:val="none"/>
        </w:rPr>
        <w:t>③</w:t>
      </w:r>
      <w:r>
        <w:rPr>
          <w:rFonts w:hint="eastAsia" w:ascii="宋体" w:hAnsi="宋体" w:cs="宋体"/>
          <w:b/>
          <w:color w:val="auto"/>
          <w:kern w:val="0"/>
          <w:sz w:val="24"/>
          <w:szCs w:val="24"/>
          <w:highlight w:val="none"/>
        </w:rPr>
        <w:t>、提供药品柜规格：</w:t>
      </w:r>
      <w:r>
        <w:rPr>
          <w:rFonts w:ascii="宋体" w:hAnsi="宋体" w:cs="宋体"/>
          <w:b/>
          <w:color w:val="auto"/>
          <w:kern w:val="0"/>
          <w:sz w:val="24"/>
          <w:szCs w:val="24"/>
          <w:highlight w:val="none"/>
        </w:rPr>
        <w:t>900±5mm*450±5mm*1800mm</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5mm一台</w:t>
      </w:r>
      <w:r>
        <w:rPr>
          <w:rFonts w:hint="eastAsia" w:ascii="宋体" w:hAnsi="宋体" w:eastAsia="宋体" w:cs="宋体"/>
          <w:b/>
          <w:bCs w:val="0"/>
          <w:color w:val="auto"/>
          <w:sz w:val="24"/>
          <w:szCs w:val="24"/>
          <w:highlight w:val="none"/>
          <w:lang w:val="en-US" w:eastAsia="zh-CN" w:bidi="ar"/>
        </w:rPr>
        <w:t>（颜色不限）</w:t>
      </w:r>
      <w:r>
        <w:rPr>
          <w:rFonts w:ascii="宋体" w:hAnsi="宋体" w:eastAsia="宋体" w:cs="宋体"/>
          <w:color w:val="auto"/>
          <w:sz w:val="24"/>
          <w:szCs w:val="24"/>
          <w:highlight w:val="none"/>
          <w:lang w:eastAsia="zh-CN"/>
        </w:rPr>
        <w:t xml:space="preserve"> </w:t>
      </w:r>
      <w:r>
        <w:rPr>
          <w:rFonts w:ascii="宋体" w:hAnsi="宋体" w:cs="宋体"/>
          <w:b/>
          <w:color w:val="auto"/>
          <w:kern w:val="0"/>
          <w:sz w:val="24"/>
          <w:szCs w:val="24"/>
          <w:highlight w:val="none"/>
        </w:rPr>
        <w:t>；</w:t>
      </w:r>
    </w:p>
    <w:p w14:paraId="5FEA794E">
      <w:pPr>
        <w:pStyle w:val="54"/>
        <w:spacing w:line="360" w:lineRule="auto"/>
        <w:ind w:firstLine="480"/>
        <w:jc w:val="both"/>
        <w:rPr>
          <w:rFonts w:hint="default" w:ascii="宋体" w:hAnsi="宋体" w:cs="宋体"/>
          <w:b/>
          <w:color w:val="auto"/>
          <w:sz w:val="24"/>
          <w:szCs w:val="24"/>
          <w:highlight w:val="none"/>
        </w:rPr>
      </w:pPr>
      <w:r>
        <w:rPr>
          <w:rFonts w:ascii="宋体" w:hAnsi="宋体" w:cs="宋体"/>
          <w:b/>
          <w:color w:val="auto"/>
          <w:sz w:val="24"/>
          <w:szCs w:val="24"/>
          <w:highlight w:val="none"/>
        </w:rPr>
        <w:drawing>
          <wp:inline distT="0" distB="0" distL="0" distR="0">
            <wp:extent cx="1133475" cy="20383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5"/>
                    <a:srcRect/>
                    <a:stretch>
                      <a:fillRect/>
                    </a:stretch>
                  </pic:blipFill>
                  <pic:spPr>
                    <a:xfrm>
                      <a:off x="0" y="0"/>
                      <a:ext cx="1133475" cy="2038350"/>
                    </a:xfrm>
                    <a:prstGeom prst="rect">
                      <a:avLst/>
                    </a:prstGeom>
                    <a:noFill/>
                    <a:ln w="9525">
                      <a:noFill/>
                      <a:miter lim="800000"/>
                      <a:headEnd/>
                      <a:tailEnd/>
                    </a:ln>
                  </pic:spPr>
                </pic:pic>
              </a:graphicData>
            </a:graphic>
          </wp:inline>
        </w:drawing>
      </w:r>
    </w:p>
    <w:p w14:paraId="326D468D">
      <w:pPr>
        <w:pStyle w:val="54"/>
        <w:spacing w:line="360" w:lineRule="auto"/>
        <w:ind w:firstLine="480"/>
        <w:jc w:val="both"/>
        <w:rPr>
          <w:rFonts w:hint="default" w:ascii="宋体" w:hAnsi="宋体" w:cs="宋体"/>
          <w:b/>
          <w:color w:val="auto"/>
          <w:sz w:val="24"/>
          <w:szCs w:val="24"/>
          <w:highlight w:val="none"/>
        </w:rPr>
      </w:pPr>
      <w:r>
        <w:rPr>
          <w:rFonts w:hint="default" w:ascii="宋体" w:hAnsi="宋体" w:cs="宋体"/>
          <w:b/>
          <w:color w:val="auto"/>
          <w:sz w:val="24"/>
          <w:szCs w:val="24"/>
          <w:highlight w:val="none"/>
        </w:rPr>
        <w:t>④、提供使用于中央台的水槽台</w:t>
      </w:r>
      <w:r>
        <w:rPr>
          <w:rFonts w:ascii="宋体" w:hAnsi="宋体" w:cs="宋体"/>
          <w:b/>
          <w:color w:val="auto"/>
          <w:sz w:val="24"/>
          <w:szCs w:val="24"/>
          <w:highlight w:val="none"/>
        </w:rPr>
        <w:t>柜体</w:t>
      </w:r>
      <w:r>
        <w:rPr>
          <w:rFonts w:hint="eastAsia" w:ascii="宋体" w:hAnsi="宋体" w:eastAsia="宋体" w:cs="宋体"/>
          <w:b/>
          <w:bCs w:val="0"/>
          <w:color w:val="auto"/>
          <w:kern w:val="2"/>
          <w:sz w:val="24"/>
          <w:szCs w:val="24"/>
          <w:highlight w:val="none"/>
          <w:lang w:val="en-US" w:eastAsia="zh-CN" w:bidi="ar"/>
        </w:rPr>
        <w:t>外径1440±5mm*700±5mm*800mm±5mm一台（颜色不限）</w:t>
      </w:r>
      <w:r>
        <w:rPr>
          <w:rFonts w:ascii="宋体" w:hAnsi="宋体" w:eastAsia="宋体" w:cs="宋体"/>
          <w:color w:val="auto"/>
          <w:sz w:val="24"/>
          <w:szCs w:val="24"/>
          <w:highlight w:val="none"/>
          <w:lang w:eastAsia="zh-CN"/>
        </w:rPr>
        <w:t xml:space="preserve"> </w:t>
      </w:r>
      <w:r>
        <w:rPr>
          <w:rFonts w:hint="default" w:ascii="宋体" w:hAnsi="宋体" w:cs="宋体"/>
          <w:b/>
          <w:color w:val="auto"/>
          <w:sz w:val="24"/>
          <w:szCs w:val="24"/>
          <w:highlight w:val="none"/>
        </w:rPr>
        <w:t>。</w:t>
      </w:r>
    </w:p>
    <w:p w14:paraId="42F0B704">
      <w:pPr>
        <w:pStyle w:val="54"/>
        <w:spacing w:line="360" w:lineRule="auto"/>
        <w:ind w:firstLine="480"/>
        <w:jc w:val="both"/>
        <w:rPr>
          <w:rFonts w:hint="default" w:ascii="宋体" w:hAnsi="宋体" w:cs="宋体"/>
          <w:b/>
          <w:color w:val="auto"/>
          <w:sz w:val="24"/>
          <w:szCs w:val="24"/>
          <w:highlight w:val="none"/>
        </w:rPr>
      </w:pPr>
      <w:r>
        <w:rPr>
          <w:rFonts w:ascii="宋体" w:hAnsi="宋体" w:cs="宋体"/>
          <w:b/>
          <w:color w:val="auto"/>
          <w:sz w:val="24"/>
          <w:szCs w:val="24"/>
          <w:highlight w:val="none"/>
        </w:rPr>
        <w:drawing>
          <wp:inline distT="0" distB="0" distL="0" distR="0">
            <wp:extent cx="3352800" cy="25146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6" cstate="print"/>
                    <a:srcRect/>
                    <a:stretch>
                      <a:fillRect/>
                    </a:stretch>
                  </pic:blipFill>
                  <pic:spPr>
                    <a:xfrm>
                      <a:off x="0" y="0"/>
                      <a:ext cx="3352800" cy="2514600"/>
                    </a:xfrm>
                    <a:prstGeom prst="rect">
                      <a:avLst/>
                    </a:prstGeom>
                    <a:noFill/>
                    <a:ln w="9525">
                      <a:noFill/>
                      <a:miter lim="800000"/>
                      <a:headEnd/>
                      <a:tailEnd/>
                    </a:ln>
                  </pic:spPr>
                </pic:pic>
              </a:graphicData>
            </a:graphic>
          </wp:inline>
        </w:drawing>
      </w:r>
    </w:p>
    <w:p w14:paraId="41C2BBA5">
      <w:pPr>
        <w:pStyle w:val="54"/>
        <w:spacing w:line="360" w:lineRule="auto"/>
        <w:ind w:firstLine="480"/>
        <w:jc w:val="both"/>
        <w:rPr>
          <w:rFonts w:hint="default" w:ascii="宋体" w:hAnsi="宋体" w:cs="宋体"/>
          <w:b/>
          <w:color w:val="auto"/>
          <w:sz w:val="24"/>
          <w:szCs w:val="24"/>
          <w:highlight w:val="none"/>
        </w:rPr>
      </w:pPr>
      <w:r>
        <w:rPr>
          <w:rFonts w:hint="default" w:ascii="宋体" w:hAnsi="宋体" w:cs="宋体"/>
          <w:b/>
          <w:color w:val="auto"/>
          <w:sz w:val="24"/>
          <w:szCs w:val="24"/>
          <w:highlight w:val="none"/>
        </w:rPr>
        <w:t>⑤、提供550±5mm*450±5mm*310mm±5mm水槽和三联精铜龙头一套</w:t>
      </w:r>
    </w:p>
    <w:p w14:paraId="1E665B9E">
      <w:pPr>
        <w:spacing w:line="360" w:lineRule="auto"/>
        <w:ind w:firstLine="482" w:firstLineChars="200"/>
        <w:rPr>
          <w:rFonts w:ascii="宋体" w:hAnsi="宋体" w:cs="宋体"/>
          <w:b/>
          <w:color w:val="auto"/>
          <w:kern w:val="0"/>
          <w:sz w:val="24"/>
          <w:szCs w:val="24"/>
          <w:highlight w:val="none"/>
        </w:rPr>
      </w:pPr>
      <w:r>
        <w:rPr>
          <w:rFonts w:ascii="宋体" w:hAnsi="宋体" w:cs="宋体"/>
          <w:b/>
          <w:color w:val="auto"/>
          <w:kern w:val="0"/>
          <w:sz w:val="24"/>
          <w:szCs w:val="24"/>
          <w:highlight w:val="none"/>
        </w:rPr>
        <w:drawing>
          <wp:inline distT="0" distB="0" distL="0" distR="0">
            <wp:extent cx="1419225" cy="9048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7"/>
                    <a:srcRect/>
                    <a:stretch>
                      <a:fillRect/>
                    </a:stretch>
                  </pic:blipFill>
                  <pic:spPr>
                    <a:xfrm>
                      <a:off x="0" y="0"/>
                      <a:ext cx="1419225" cy="904875"/>
                    </a:xfrm>
                    <a:prstGeom prst="rect">
                      <a:avLst/>
                    </a:prstGeom>
                    <a:noFill/>
                    <a:ln w="9525">
                      <a:noFill/>
                      <a:miter lim="800000"/>
                      <a:headEnd/>
                      <a:tailEnd/>
                    </a:ln>
                  </pic:spPr>
                </pic:pic>
              </a:graphicData>
            </a:graphic>
          </wp:inline>
        </w:drawing>
      </w:r>
    </w:p>
    <w:p w14:paraId="51A6E06E">
      <w:pPr>
        <w:spacing w:line="360" w:lineRule="auto"/>
        <w:ind w:firstLine="482" w:firstLineChars="200"/>
        <w:rPr>
          <w:rFonts w:ascii="宋体" w:hAnsi="宋体" w:cs="宋体"/>
          <w:b/>
          <w:color w:val="auto"/>
          <w:kern w:val="0"/>
          <w:sz w:val="24"/>
          <w:szCs w:val="24"/>
          <w:highlight w:val="none"/>
        </w:rPr>
      </w:pPr>
      <w:r>
        <w:rPr>
          <w:rFonts w:hint="eastAsia" w:ascii="宋体" w:hAnsi="宋体" w:eastAsia="宋体" w:cs="宋体"/>
          <w:b/>
          <w:color w:val="auto"/>
          <w:kern w:val="0"/>
          <w:sz w:val="24"/>
          <w:szCs w:val="24"/>
          <w:highlight w:val="none"/>
        </w:rPr>
        <w:t>⑥提供多功能组合试剂架；立柱采用</w:t>
      </w:r>
      <w:r>
        <w:rPr>
          <w:rFonts w:ascii="宋体" w:hAnsi="宋体" w:eastAsia="宋体" w:cs="宋体"/>
          <w:b/>
          <w:color w:val="auto"/>
          <w:kern w:val="0"/>
          <w:sz w:val="24"/>
          <w:szCs w:val="24"/>
          <w:highlight w:val="none"/>
        </w:rPr>
        <w:t>50mm×150mm×1.5mm一体成型钢管</w:t>
      </w:r>
      <w:r>
        <w:rPr>
          <w:rFonts w:asciiTheme="minorEastAsia" w:hAnsiTheme="minorEastAsia"/>
          <w:b/>
          <w:color w:val="auto"/>
          <w:sz w:val="24"/>
          <w:szCs w:val="24"/>
          <w:highlight w:val="none"/>
        </w:rPr>
        <w:t>1200mm</w:t>
      </w:r>
      <w:r>
        <w:rPr>
          <w:rFonts w:hint="eastAsia" w:asciiTheme="minorEastAsia" w:hAnsiTheme="minorEastAsia"/>
          <w:b/>
          <w:color w:val="auto"/>
          <w:sz w:val="24"/>
          <w:szCs w:val="24"/>
          <w:highlight w:val="none"/>
        </w:rPr>
        <w:t>长</w:t>
      </w:r>
      <w:r>
        <w:rPr>
          <w:rFonts w:ascii="宋体" w:hAnsi="宋体" w:cs="宋体"/>
          <w:b/>
          <w:bCs/>
          <w:color w:val="auto"/>
          <w:kern w:val="0"/>
          <w:sz w:val="24"/>
          <w:szCs w:val="24"/>
          <w:highlight w:val="none"/>
        </w:rPr>
        <w:t>±5mm</w:t>
      </w:r>
      <w:r>
        <w:rPr>
          <w:rFonts w:hint="eastAsia" w:ascii="宋体" w:hAnsi="宋体" w:eastAsia="宋体" w:cs="宋体"/>
          <w:b/>
          <w:bCs/>
          <w:color w:val="auto"/>
          <w:sz w:val="24"/>
          <w:szCs w:val="24"/>
          <w:highlight w:val="none"/>
          <w:lang w:val="en-US" w:eastAsia="zh-CN" w:bidi="ar"/>
        </w:rPr>
        <w:t>（颜色不限）</w:t>
      </w:r>
      <w:r>
        <w:rPr>
          <w:rFonts w:ascii="宋体" w:hAnsi="宋体" w:eastAsia="宋体" w:cs="宋体"/>
          <w:color w:val="auto"/>
          <w:sz w:val="24"/>
          <w:szCs w:val="24"/>
          <w:highlight w:val="none"/>
          <w:lang w:eastAsia="zh-CN"/>
        </w:rPr>
        <w:t xml:space="preserve"> </w:t>
      </w:r>
      <w:r>
        <w:rPr>
          <w:rFonts w:ascii="宋体" w:hAnsi="宋体" w:eastAsia="宋体" w:cs="宋体"/>
          <w:b/>
          <w:color w:val="auto"/>
          <w:kern w:val="0"/>
          <w:sz w:val="24"/>
          <w:szCs w:val="24"/>
          <w:highlight w:val="none"/>
        </w:rPr>
        <w:t>。</w:t>
      </w:r>
    </w:p>
    <w:p w14:paraId="32970B2F">
      <w:pPr>
        <w:pStyle w:val="54"/>
        <w:spacing w:line="360" w:lineRule="auto"/>
        <w:ind w:firstLine="470"/>
        <w:rPr>
          <w:rFonts w:hint="default" w:ascii="宋体" w:hAnsi="宋体" w:cs="宋体"/>
          <w:b/>
          <w:color w:val="auto"/>
          <w:sz w:val="24"/>
          <w:szCs w:val="24"/>
          <w:highlight w:val="none"/>
        </w:rPr>
      </w:pPr>
      <w:r>
        <w:rPr>
          <w:rFonts w:ascii="宋体" w:hAnsi="宋体" w:cs="宋体"/>
          <w:b/>
          <w:color w:val="auto"/>
          <w:sz w:val="24"/>
          <w:szCs w:val="24"/>
          <w:highlight w:val="none"/>
        </w:rPr>
        <w:drawing>
          <wp:inline distT="0" distB="0" distL="0" distR="0">
            <wp:extent cx="1485900" cy="5715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18"/>
                    <a:srcRect/>
                    <a:stretch>
                      <a:fillRect/>
                    </a:stretch>
                  </pic:blipFill>
                  <pic:spPr>
                    <a:xfrm>
                      <a:off x="0" y="0"/>
                      <a:ext cx="1485900" cy="571500"/>
                    </a:xfrm>
                    <a:prstGeom prst="rect">
                      <a:avLst/>
                    </a:prstGeom>
                    <a:noFill/>
                    <a:ln w="9525">
                      <a:noFill/>
                      <a:miter lim="800000"/>
                      <a:headEnd/>
                      <a:tailEnd/>
                    </a:ln>
                  </pic:spPr>
                </pic:pic>
              </a:graphicData>
            </a:graphic>
          </wp:inline>
        </w:drawing>
      </w:r>
    </w:p>
    <w:p w14:paraId="3E241FAB">
      <w:pPr>
        <w:pStyle w:val="54"/>
        <w:spacing w:line="360" w:lineRule="auto"/>
        <w:ind w:firstLine="470"/>
        <w:rPr>
          <w:rFonts w:hint="default" w:ascii="宋体" w:hAnsi="宋体" w:cs="宋体"/>
          <w:color w:val="auto"/>
          <w:sz w:val="24"/>
          <w:szCs w:val="24"/>
          <w:highlight w:val="none"/>
        </w:rPr>
      </w:pPr>
      <w:r>
        <w:rPr>
          <w:rFonts w:ascii="宋体" w:hAnsi="宋体" w:cs="宋体"/>
          <w:b/>
          <w:color w:val="auto"/>
          <w:sz w:val="24"/>
          <w:szCs w:val="24"/>
          <w:highlight w:val="none"/>
        </w:rPr>
        <w:t>★9.投标人提供的样品及投标现场对样品的盛装物</w:t>
      </w:r>
      <w:r>
        <w:rPr>
          <w:rFonts w:hint="eastAsia" w:ascii="宋体" w:hAnsi="宋体" w:eastAsia="宋体" w:cs="宋体"/>
          <w:b/>
          <w:bCs w:val="0"/>
          <w:color w:val="auto"/>
          <w:kern w:val="2"/>
          <w:sz w:val="24"/>
          <w:szCs w:val="24"/>
          <w:highlight w:val="none"/>
          <w:lang w:val="en-US" w:eastAsia="zh-CN" w:bidi="ar"/>
        </w:rPr>
        <w:t>（部分原配件标识除外）</w:t>
      </w:r>
      <w:r>
        <w:rPr>
          <w:rFonts w:ascii="宋体" w:hAnsi="宋体" w:eastAsia="宋体" w:cs="宋体"/>
          <w:color w:val="auto"/>
          <w:sz w:val="24"/>
          <w:szCs w:val="24"/>
          <w:highlight w:val="none"/>
          <w:lang w:eastAsia="zh-CN"/>
        </w:rPr>
        <w:t xml:space="preserve"> </w:t>
      </w:r>
      <w:r>
        <w:rPr>
          <w:rFonts w:ascii="宋体" w:hAnsi="宋体" w:cs="宋体"/>
          <w:b/>
          <w:color w:val="auto"/>
          <w:sz w:val="24"/>
          <w:szCs w:val="24"/>
          <w:highlight w:val="none"/>
        </w:rPr>
        <w:t>均不得出现投标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ascii="宋体" w:hAnsi="宋体" w:cs="宋体"/>
          <w:b/>
          <w:color w:val="auto"/>
          <w:sz w:val="24"/>
          <w:szCs w:val="24"/>
          <w:highlight w:val="none"/>
          <w:u w:val="single"/>
        </w:rPr>
        <w:t>厦门市湖里区云顶北路842号厦门市政务服务中心</w:t>
      </w:r>
      <w:r>
        <w:rPr>
          <w:rFonts w:hint="default" w:ascii="宋体" w:hAnsi="宋体" w:cs="宋体"/>
          <w:b/>
          <w:color w:val="auto"/>
          <w:sz w:val="24"/>
          <w:szCs w:val="24"/>
          <w:highlight w:val="none"/>
          <w:u w:val="single"/>
        </w:rPr>
        <w:t>负一楼样品间</w:t>
      </w:r>
      <w:r>
        <w:rPr>
          <w:rFonts w:ascii="宋体" w:hAnsi="宋体" w:cs="宋体"/>
          <w:b/>
          <w:color w:val="auto"/>
          <w:sz w:val="24"/>
          <w:szCs w:val="24"/>
          <w:highlight w:val="none"/>
        </w:rPr>
        <w:t>。</w:t>
      </w:r>
    </w:p>
    <w:p w14:paraId="23D3D55D">
      <w:pPr>
        <w:pStyle w:val="54"/>
        <w:spacing w:line="360" w:lineRule="auto"/>
        <w:ind w:firstLine="470"/>
        <w:rPr>
          <w:rFonts w:hint="default" w:ascii="宋体" w:hAnsi="宋体" w:cs="宋体"/>
          <w:b/>
          <w:color w:val="auto"/>
          <w:sz w:val="24"/>
          <w:szCs w:val="24"/>
          <w:highlight w:val="none"/>
        </w:rPr>
      </w:pPr>
      <w:r>
        <w:rPr>
          <w:rFonts w:ascii="宋体" w:hAnsi="宋体" w:cs="宋体"/>
          <w:b/>
          <w:color w:val="auto"/>
          <w:sz w:val="24"/>
          <w:szCs w:val="24"/>
          <w:highlight w:val="none"/>
        </w:rPr>
        <w:t>注：</w:t>
      </w:r>
    </w:p>
    <w:p w14:paraId="73969FDE">
      <w:pPr>
        <w:pStyle w:val="54"/>
        <w:spacing w:line="360" w:lineRule="auto"/>
        <w:ind w:firstLine="470"/>
        <w:rPr>
          <w:rFonts w:hint="default" w:ascii="宋体" w:hAnsi="宋体" w:cs="宋体"/>
          <w:b/>
          <w:color w:val="auto"/>
          <w:sz w:val="24"/>
          <w:szCs w:val="24"/>
          <w:highlight w:val="none"/>
        </w:rPr>
      </w:pPr>
      <w:r>
        <w:rPr>
          <w:rFonts w:ascii="宋体" w:hAnsi="宋体" w:cs="宋体"/>
          <w:b/>
          <w:color w:val="auto"/>
          <w:sz w:val="24"/>
          <w:szCs w:val="24"/>
          <w:highlight w:val="none"/>
        </w:rPr>
        <w:t>投标人提供的成品样需在投标截止时间前，在样品室摆放到位。</w:t>
      </w:r>
    </w:p>
    <w:p w14:paraId="5A623E90">
      <w:pPr>
        <w:pStyle w:val="54"/>
        <w:spacing w:line="360" w:lineRule="auto"/>
        <w:ind w:firstLine="470"/>
        <w:rPr>
          <w:rFonts w:hint="default" w:ascii="宋体" w:hAnsi="宋体" w:cs="宋体"/>
          <w:b/>
          <w:color w:val="auto"/>
          <w:sz w:val="24"/>
          <w:szCs w:val="24"/>
          <w:highlight w:val="none"/>
        </w:rPr>
      </w:pPr>
      <w:r>
        <w:rPr>
          <w:rFonts w:hint="default" w:ascii="宋体" w:hAnsi="宋体" w:cs="宋体"/>
          <w:b/>
          <w:color w:val="auto"/>
          <w:sz w:val="24"/>
          <w:szCs w:val="24"/>
          <w:highlight w:val="none"/>
        </w:rPr>
        <w:t>由于市行政服务中心地下停车库不让限高&gt;2米车辆进入，因此送样品的车辆限高≦2米。不遵守此规定，后果自负。</w:t>
      </w:r>
    </w:p>
    <w:p w14:paraId="2830FA72">
      <w:pPr>
        <w:pStyle w:val="54"/>
        <w:spacing w:line="360" w:lineRule="auto"/>
        <w:ind w:firstLine="470"/>
        <w:rPr>
          <w:rFonts w:hint="default" w:ascii="宋体" w:hAnsi="宋体" w:cs="宋体"/>
          <w:bCs/>
          <w:color w:val="auto"/>
          <w:sz w:val="24"/>
          <w:szCs w:val="24"/>
          <w:highlight w:val="none"/>
        </w:rPr>
      </w:pPr>
      <w:r>
        <w:rPr>
          <w:rFonts w:hint="default" w:ascii="宋体" w:hAnsi="宋体" w:cs="宋体"/>
          <w:bCs/>
          <w:color w:val="auto"/>
          <w:sz w:val="24"/>
          <w:szCs w:val="24"/>
          <w:highlight w:val="none"/>
        </w:rPr>
        <w:t>10.现场踏勘</w:t>
      </w:r>
    </w:p>
    <w:p w14:paraId="411C3540">
      <w:pPr>
        <w:pStyle w:val="54"/>
        <w:spacing w:line="360" w:lineRule="auto"/>
        <w:ind w:firstLine="480"/>
        <w:jc w:val="both"/>
        <w:rPr>
          <w:rFonts w:hint="default" w:ascii="宋体" w:hAnsi="宋体" w:cs="宋体"/>
          <w:bCs/>
          <w:color w:val="auto"/>
          <w:sz w:val="24"/>
          <w:szCs w:val="24"/>
          <w:highlight w:val="none"/>
        </w:rPr>
      </w:pPr>
      <w:r>
        <w:rPr>
          <w:rFonts w:hint="default" w:ascii="宋体" w:hAnsi="宋体" w:cs="宋体"/>
          <w:bCs/>
          <w:color w:val="auto"/>
          <w:sz w:val="24"/>
          <w:szCs w:val="24"/>
          <w:highlight w:val="none"/>
        </w:rPr>
        <w:t>10.1本项目组织统一现场踏勘，供应商可对项目现场及周围环境进</w:t>
      </w:r>
      <w:r>
        <w:rPr>
          <w:rFonts w:ascii="宋体" w:hAnsi="宋体" w:cs="宋体"/>
          <w:bCs/>
          <w:color w:val="auto"/>
          <w:sz w:val="24"/>
          <w:szCs w:val="24"/>
          <w:highlight w:val="none"/>
        </w:rPr>
        <w:t>行踏勘，以便获取有关编制响应文件和签署合同所涉及现场的资料。供应商应自行承担踏勘现场所发生的所有费用。供应商没有对现场进行踏勘的，视同对项目现场已经了解。</w:t>
      </w:r>
    </w:p>
    <w:p w14:paraId="17AEAFEB">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10.2统一踏勘时间：</w:t>
      </w:r>
      <w:r>
        <w:rPr>
          <w:rFonts w:ascii="宋体" w:hAnsi="宋体" w:cs="宋体"/>
          <w:color w:val="auto"/>
          <w:sz w:val="24"/>
          <w:szCs w:val="24"/>
          <w:highlight w:val="none"/>
        </w:rPr>
        <w:t>招标文件获取截止后的第一个工作日</w:t>
      </w:r>
      <w:r>
        <w:rPr>
          <w:rFonts w:ascii="宋体" w:hAnsi="宋体" w:cs="宋体"/>
          <w:bCs/>
          <w:color w:val="auto"/>
          <w:sz w:val="24"/>
          <w:szCs w:val="24"/>
          <w:highlight w:val="none"/>
        </w:rPr>
        <w:t>上午九点至十二点，逾期不候。</w:t>
      </w:r>
    </w:p>
    <w:p w14:paraId="4C4F78CB">
      <w:pPr>
        <w:pStyle w:val="54"/>
        <w:spacing w:line="360" w:lineRule="auto"/>
        <w:ind w:firstLine="480"/>
        <w:jc w:val="both"/>
        <w:rPr>
          <w:rFonts w:hint="default" w:ascii="宋体" w:hAnsi="宋体" w:cs="宋体"/>
          <w:bCs/>
          <w:color w:val="auto"/>
          <w:sz w:val="24"/>
          <w:szCs w:val="24"/>
          <w:highlight w:val="none"/>
        </w:rPr>
      </w:pPr>
      <w:r>
        <w:rPr>
          <w:rFonts w:hint="default" w:ascii="宋体" w:hAnsi="宋体" w:cs="宋体"/>
          <w:bCs/>
          <w:color w:val="auto"/>
          <w:sz w:val="24"/>
          <w:szCs w:val="24"/>
          <w:highlight w:val="none"/>
        </w:rPr>
        <w:t>10.3踏勘联系人：</w:t>
      </w:r>
      <w:r>
        <w:rPr>
          <w:rFonts w:ascii="宋体" w:hAnsi="宋体" w:cs="宋体"/>
          <w:bCs/>
          <w:color w:val="auto"/>
          <w:sz w:val="24"/>
          <w:szCs w:val="24"/>
          <w:highlight w:val="none"/>
        </w:rPr>
        <w:t>谢老师，18260032279。</w:t>
      </w:r>
    </w:p>
    <w:p w14:paraId="62743B2D">
      <w:pPr>
        <w:pStyle w:val="54"/>
        <w:spacing w:line="360" w:lineRule="auto"/>
        <w:ind w:firstLine="480"/>
        <w:jc w:val="both"/>
        <w:rPr>
          <w:rFonts w:hint="default" w:ascii="宋体" w:hAnsi="宋体" w:cs="宋体"/>
          <w:bCs/>
          <w:color w:val="auto"/>
          <w:sz w:val="24"/>
          <w:szCs w:val="24"/>
          <w:highlight w:val="none"/>
        </w:rPr>
      </w:pPr>
      <w:r>
        <w:rPr>
          <w:rFonts w:hint="default" w:ascii="宋体" w:hAnsi="宋体" w:cs="宋体"/>
          <w:bCs/>
          <w:color w:val="auto"/>
          <w:sz w:val="24"/>
          <w:szCs w:val="24"/>
          <w:highlight w:val="none"/>
        </w:rPr>
        <w:t>10.4踏勘集合地点：</w:t>
      </w:r>
      <w:r>
        <w:rPr>
          <w:rFonts w:ascii="宋体" w:hAnsi="宋体" w:cs="宋体"/>
          <w:bCs/>
          <w:color w:val="auto"/>
          <w:sz w:val="24"/>
          <w:szCs w:val="24"/>
          <w:highlight w:val="none"/>
        </w:rPr>
        <w:t>翔安区翔安南路厦门大学新工科大楼。</w:t>
      </w:r>
    </w:p>
    <w:p w14:paraId="3C73EC3C">
      <w:pPr>
        <w:pStyle w:val="54"/>
        <w:spacing w:line="360" w:lineRule="auto"/>
        <w:ind w:firstLine="480" w:firstLineChars="200"/>
        <w:jc w:val="both"/>
        <w:rPr>
          <w:rFonts w:hint="default" w:ascii="宋体" w:hAnsi="宋体" w:cs="宋体"/>
          <w:bCs/>
          <w:color w:val="auto"/>
          <w:sz w:val="24"/>
          <w:szCs w:val="24"/>
          <w:highlight w:val="none"/>
        </w:rPr>
      </w:pPr>
      <w:r>
        <w:rPr>
          <w:rFonts w:ascii="宋体" w:hAnsi="宋体" w:cs="宋体"/>
          <w:bCs/>
          <w:color w:val="auto"/>
          <w:sz w:val="24"/>
          <w:szCs w:val="24"/>
          <w:highlight w:val="none"/>
        </w:rPr>
        <w:t>10.5供应商及其人员经过采购人允许，可以踏勘为目的进入项目现场，但供应商及其人员不得因此使使用单位及其人员承担有关的责任和蒙受损失。供应商并应对由此次踏勘现场而造成的任何损失、损害和引起的费用和开支承担责任。</w:t>
      </w:r>
    </w:p>
    <w:p w14:paraId="244B10DD">
      <w:pPr>
        <w:pStyle w:val="54"/>
        <w:spacing w:line="360" w:lineRule="auto"/>
        <w:ind w:firstLine="600" w:firstLineChars="250"/>
        <w:jc w:val="both"/>
        <w:rPr>
          <w:rFonts w:hint="default" w:ascii="宋体" w:hAnsi="宋体" w:cs="宋体"/>
          <w:bCs/>
          <w:color w:val="auto"/>
          <w:sz w:val="24"/>
          <w:szCs w:val="24"/>
          <w:highlight w:val="none"/>
        </w:rPr>
      </w:pPr>
      <w:r>
        <w:rPr>
          <w:rFonts w:ascii="宋体" w:hAnsi="宋体" w:cs="宋体"/>
          <w:bCs/>
          <w:color w:val="auto"/>
          <w:sz w:val="24"/>
          <w:szCs w:val="24"/>
          <w:highlight w:val="none"/>
        </w:rPr>
        <w:t>10.6使用单位向供应商提供的有关现场的资料和数据，是使用单位现有的能被供应商利用的资料。使用单位对供应商做出的理解、推论和结论均不负责任。</w:t>
      </w:r>
    </w:p>
    <w:p w14:paraId="1FB3948C">
      <w:pPr>
        <w:pStyle w:val="54"/>
        <w:spacing w:line="360" w:lineRule="auto"/>
        <w:jc w:val="both"/>
        <w:rPr>
          <w:rFonts w:hint="default" w:ascii="宋体" w:hAnsi="宋体" w:cs="宋体"/>
          <w:color w:val="auto"/>
          <w:sz w:val="24"/>
          <w:szCs w:val="24"/>
          <w:highlight w:val="none"/>
        </w:rPr>
      </w:pPr>
      <w:r>
        <w:rPr>
          <w:rFonts w:ascii="宋体" w:hAnsi="宋体" w:cs="宋体"/>
          <w:b/>
          <w:color w:val="auto"/>
          <w:sz w:val="24"/>
          <w:szCs w:val="24"/>
          <w:highlight w:val="none"/>
          <w:shd w:val="clear" w:color="auto" w:fill="FFFFFF"/>
        </w:rPr>
        <w:t>三、商务响应要求</w:t>
      </w:r>
    </w:p>
    <w:p w14:paraId="13E1FD7A">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1.投标人应在投标文件中提供最近三年来在中国，类似项目的合同业绩证明材料（提供项目中标公告或中标通知书及合同复印件等，加盖单位公章，原件备查），需提供项目名称、合同金额、中标日期、联系人、用户反馈意见。</w:t>
      </w:r>
    </w:p>
    <w:p w14:paraId="726D1067">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2.投标人应在投标文件中书面承诺自身已经具备自行生产所报价的全系列产品的能力。</w:t>
      </w:r>
    </w:p>
    <w:p w14:paraId="5555CD10">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3.投标人应在投标文件中提供近三年以来地级市以上质量检测单位出具的成品抽样检测报告。</w:t>
      </w:r>
    </w:p>
    <w:p w14:paraId="502DA420">
      <w:pPr>
        <w:pStyle w:val="54"/>
        <w:spacing w:line="360" w:lineRule="auto"/>
        <w:ind w:firstLine="480"/>
        <w:jc w:val="both"/>
        <w:rPr>
          <w:rFonts w:hint="default" w:ascii="宋体" w:hAnsi="宋体" w:cs="宋体"/>
          <w:bCs/>
          <w:color w:val="auto"/>
          <w:sz w:val="24"/>
          <w:szCs w:val="24"/>
          <w:highlight w:val="none"/>
        </w:rPr>
      </w:pPr>
      <w:r>
        <w:rPr>
          <w:rFonts w:ascii="宋体" w:hAnsi="宋体" w:cs="宋体"/>
          <w:bCs/>
          <w:color w:val="auto"/>
          <w:sz w:val="24"/>
          <w:szCs w:val="24"/>
          <w:highlight w:val="none"/>
        </w:rPr>
        <w:t>4.投标人应在投标文件中提供生产合同管理计划保证书一份。</w:t>
      </w:r>
    </w:p>
    <w:p w14:paraId="723F6EF5">
      <w:pPr>
        <w:pStyle w:val="54"/>
        <w:spacing w:line="360" w:lineRule="auto"/>
        <w:ind w:left="-180" w:right="360" w:firstLine="361"/>
        <w:jc w:val="both"/>
        <w:rPr>
          <w:rFonts w:hint="default" w:ascii="宋体" w:hAnsi="宋体" w:cs="宋体"/>
          <w:color w:val="auto"/>
          <w:sz w:val="24"/>
          <w:szCs w:val="24"/>
          <w:highlight w:val="none"/>
        </w:rPr>
      </w:pPr>
      <w:r>
        <w:rPr>
          <w:rFonts w:ascii="宋体" w:hAnsi="宋体" w:cs="宋体"/>
          <w:b/>
          <w:color w:val="auto"/>
          <w:sz w:val="24"/>
          <w:szCs w:val="24"/>
          <w:highlight w:val="none"/>
        </w:rPr>
        <w:t>四、货物质量标准、验收标准</w:t>
      </w:r>
    </w:p>
    <w:p w14:paraId="6379C0CB">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1．投标人提供货物的制造标准、安装标准、验收标准及技术规范等有关资料应符合国家规定的有关标准、规范要求。</w:t>
      </w:r>
    </w:p>
    <w:p w14:paraId="52BE5CD5">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2．投标人应保证提供原产、正宗品牌货物，不得用伪劣货物替代；如出现上述质量问题采购人有权退货并解除合同。</w:t>
      </w:r>
    </w:p>
    <w:p w14:paraId="1D73C168">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3．在生产过程或验收过程中发现中标供应商对中标货物进行分包、转包（除预留份额专门面向中小企业采购部分外），采购人有权单方解除合同并有权拒付全部货款。</w:t>
      </w:r>
    </w:p>
    <w:p w14:paraId="4DF9E8FF">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4．货物安装所需的配件或附加件，在合同签订前由中标供应商提交具体清单给采购人确认。</w:t>
      </w:r>
    </w:p>
    <w:p w14:paraId="37AD6504">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5.中标后生产前，向采购人确定所供货物的相关事项，经采购人书面确认是否增减后方可投入生产。否则，由此产生的一切后果由投标人负责。</w:t>
      </w:r>
    </w:p>
    <w:p w14:paraId="68BEEE09">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6.货物初验：货物运抵采购人指定地点后由采购人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166D56B1">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7.采购人在验收阶段均有权委托第三方权威检测机构对供应商提供的样品及供应商提供货物的精度、性能及有害气体含量是否达到招标文件及合同的技术要求进行检验。其检验结果将做为验收标准的组成部分之一。如果检测结果不符合要求将视为供应商违约，采购人有权取消其中标资格，供应商应退回采购人所有已收款项，并赔偿采购人的所有损失。</w:t>
      </w:r>
    </w:p>
    <w:p w14:paraId="17DDF6FE">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8.最终验收：中标供应商负责现场安装、调试，待性能指标经验收合格后（附验收报告），中标供应商应与采购人共同签署《厦门市政府采购验收报告》。</w:t>
      </w:r>
    </w:p>
    <w:p w14:paraId="4E56CF86">
      <w:pPr>
        <w:pStyle w:val="54"/>
        <w:spacing w:line="360" w:lineRule="auto"/>
        <w:ind w:firstLine="482"/>
        <w:jc w:val="both"/>
        <w:rPr>
          <w:rFonts w:hint="default" w:ascii="宋体" w:hAnsi="宋体" w:cs="宋体"/>
          <w:color w:val="auto"/>
          <w:sz w:val="24"/>
          <w:szCs w:val="24"/>
          <w:highlight w:val="none"/>
        </w:rPr>
      </w:pPr>
      <w:r>
        <w:rPr>
          <w:rFonts w:ascii="宋体" w:hAnsi="宋体" w:cs="宋体"/>
          <w:b/>
          <w:color w:val="auto"/>
          <w:sz w:val="24"/>
          <w:szCs w:val="24"/>
          <w:highlight w:val="none"/>
        </w:rPr>
        <w:t>★9.投标人必须在投标文件中书面承诺（格式自拟）：一旦中标，在生产本次采购家具的过程中，邀请采购人代表到工厂对产品从切料、钣金冲压、焊接，打磨，酸洗钝化、烤漆，检验等一系列生产程序进行检查、监督；采购人根据合同进度可以采用书面函件形式要求投标人对生产情况合理改进，投标人应予书面答复，并制定完整的整改措施。</w:t>
      </w:r>
    </w:p>
    <w:p w14:paraId="1832AC09">
      <w:pPr>
        <w:pStyle w:val="54"/>
        <w:spacing w:line="360" w:lineRule="auto"/>
        <w:ind w:firstLine="480"/>
        <w:jc w:val="both"/>
        <w:rPr>
          <w:rFonts w:hint="default" w:ascii="宋体" w:hAnsi="宋体" w:cs="宋体"/>
          <w:color w:val="auto"/>
          <w:sz w:val="24"/>
          <w:szCs w:val="24"/>
          <w:highlight w:val="none"/>
        </w:rPr>
      </w:pPr>
      <w:r>
        <w:rPr>
          <w:rFonts w:hint="default" w:ascii="宋体" w:hAnsi="宋体" w:cs="宋体"/>
          <w:color w:val="auto"/>
          <w:sz w:val="24"/>
          <w:szCs w:val="24"/>
          <w:highlight w:val="none"/>
        </w:rPr>
        <w:t>10.投标人不得虚报各项技术指标，中标产品若不能符合技术要求、采购文件及合同约定的，采购人有权退货并单方解除合同，中标供应商除退还所有的货款外，还应向支付合同总价50%的违约金。</w:t>
      </w:r>
    </w:p>
    <w:p w14:paraId="0EB71412">
      <w:pPr>
        <w:pStyle w:val="54"/>
        <w:spacing w:line="360" w:lineRule="auto"/>
        <w:ind w:firstLine="482"/>
        <w:jc w:val="both"/>
        <w:rPr>
          <w:rFonts w:hint="default" w:ascii="宋体" w:hAnsi="宋体" w:cs="宋体"/>
          <w:color w:val="auto"/>
          <w:sz w:val="24"/>
          <w:szCs w:val="24"/>
          <w:highlight w:val="none"/>
        </w:rPr>
      </w:pPr>
      <w:r>
        <w:rPr>
          <w:rFonts w:ascii="宋体" w:hAnsi="宋体" w:cs="宋体"/>
          <w:b/>
          <w:color w:val="auto"/>
          <w:sz w:val="24"/>
          <w:szCs w:val="24"/>
          <w:highlight w:val="none"/>
        </w:rPr>
        <w:t>★11.投标人必须在投标文件中书面承诺（格式自拟）：一旦中标，在保证按招标文件中要求提供的产品数量进行供货外，还应保证能够免费提供足够的样品供采购人邀请相关部门对其在封闭式的环境中进行开放性的检测；如经检测家具环保等指标达不到国家以及招标文件中的要求，投标人应按成交价的2倍金额赔偿给采购人，并要求更换符合要求的产品。</w:t>
      </w:r>
    </w:p>
    <w:p w14:paraId="34AA22D8">
      <w:pPr>
        <w:pStyle w:val="54"/>
        <w:spacing w:line="360" w:lineRule="auto"/>
        <w:ind w:left="-180" w:right="360" w:firstLine="361"/>
        <w:rPr>
          <w:rFonts w:hint="default" w:ascii="宋体" w:hAnsi="宋体" w:cs="宋体"/>
          <w:color w:val="auto"/>
          <w:sz w:val="24"/>
          <w:szCs w:val="24"/>
          <w:highlight w:val="none"/>
        </w:rPr>
      </w:pPr>
      <w:r>
        <w:rPr>
          <w:rFonts w:ascii="宋体" w:hAnsi="宋体" w:cs="宋体"/>
          <w:b/>
          <w:color w:val="auto"/>
          <w:sz w:val="24"/>
          <w:szCs w:val="24"/>
          <w:highlight w:val="none"/>
        </w:rPr>
        <w:t>五、货物技术服务要求</w:t>
      </w:r>
    </w:p>
    <w:p w14:paraId="708EB9F8">
      <w:pPr>
        <w:pStyle w:val="54"/>
        <w:spacing w:line="360" w:lineRule="auto"/>
        <w:ind w:firstLine="482"/>
        <w:jc w:val="both"/>
        <w:rPr>
          <w:rFonts w:hint="default" w:ascii="宋体" w:hAnsi="宋体" w:cs="宋体"/>
          <w:color w:val="auto"/>
          <w:sz w:val="24"/>
          <w:szCs w:val="24"/>
          <w:highlight w:val="none"/>
        </w:rPr>
      </w:pPr>
      <w:r>
        <w:rPr>
          <w:rFonts w:ascii="宋体" w:hAnsi="宋体" w:cs="宋体"/>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一名专人与采购人建立服务联系。</w:t>
      </w:r>
    </w:p>
    <w:p w14:paraId="1AB56036">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采购人确认后结算（结算金额不超过此项报价）。投标人应提供免费技术支持力度等情况。</w:t>
      </w:r>
    </w:p>
    <w:p w14:paraId="5762CFBB">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3.投标人能长期提供良好的技术支持及备品备件的优惠供应。</w:t>
      </w:r>
    </w:p>
    <w:p w14:paraId="0346B5FB">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4.投标人如有其它更好的售后服务应在方案中书面声明。</w:t>
      </w:r>
    </w:p>
    <w:p w14:paraId="3BCB228D">
      <w:pPr>
        <w:pStyle w:val="54"/>
        <w:spacing w:line="360" w:lineRule="auto"/>
        <w:ind w:right="360"/>
        <w:jc w:val="both"/>
        <w:rPr>
          <w:rFonts w:hint="default" w:ascii="宋体" w:hAnsi="宋体" w:cs="宋体"/>
          <w:color w:val="auto"/>
          <w:sz w:val="24"/>
          <w:szCs w:val="24"/>
          <w:highlight w:val="none"/>
        </w:rPr>
      </w:pPr>
      <w:r>
        <w:rPr>
          <w:rFonts w:ascii="宋体" w:hAnsi="宋体" w:cs="宋体"/>
          <w:b/>
          <w:color w:val="auto"/>
          <w:sz w:val="24"/>
          <w:szCs w:val="24"/>
          <w:highlight w:val="none"/>
        </w:rPr>
        <w:t>六、货物投标报价</w:t>
      </w:r>
    </w:p>
    <w:p w14:paraId="658A87B9">
      <w:pPr>
        <w:pStyle w:val="54"/>
        <w:spacing w:line="360" w:lineRule="auto"/>
        <w:ind w:firstLine="482"/>
        <w:jc w:val="both"/>
        <w:rPr>
          <w:rFonts w:hint="default" w:ascii="宋体" w:hAnsi="宋体" w:cs="宋体"/>
          <w:color w:val="auto"/>
          <w:sz w:val="24"/>
          <w:szCs w:val="24"/>
          <w:highlight w:val="none"/>
        </w:rPr>
      </w:pPr>
      <w:r>
        <w:rPr>
          <w:rFonts w:ascii="宋体" w:hAnsi="宋体" w:cs="宋体"/>
          <w:b/>
          <w:color w:val="auto"/>
          <w:sz w:val="24"/>
          <w:szCs w:val="24"/>
          <w:highlight w:val="none"/>
        </w:rPr>
        <w:t>★1.投标人须以人民币报价且报价总价应含货物费、运至采购人指定地点的运输费、保险费和伴随服务费（包括产品检验检测）、安装调试（包括安装采购人能使用的水电敷设到位所需的辅材、配件等）费用、税收及售后服务等一切与完成本项目相关的费用，报价方式为指定目的地价。采购人无需再向中标人支付其他任何费用。一旦中标，合同价款将不予调整。采购人不接受有选择的报价。</w:t>
      </w:r>
    </w:p>
    <w:p w14:paraId="6F8EC14E">
      <w:pPr>
        <w:pStyle w:val="54"/>
        <w:spacing w:line="360" w:lineRule="auto"/>
        <w:ind w:right="360"/>
        <w:jc w:val="both"/>
        <w:rPr>
          <w:rFonts w:hint="default" w:ascii="宋体" w:hAnsi="宋体" w:cs="宋体"/>
          <w:color w:val="auto"/>
          <w:sz w:val="24"/>
          <w:szCs w:val="24"/>
          <w:highlight w:val="none"/>
        </w:rPr>
      </w:pPr>
      <w:r>
        <w:rPr>
          <w:rFonts w:ascii="宋体" w:hAnsi="宋体" w:cs="宋体"/>
          <w:b/>
          <w:color w:val="auto"/>
          <w:sz w:val="24"/>
          <w:szCs w:val="24"/>
          <w:highlight w:val="none"/>
        </w:rPr>
        <w:t>七、付款方式</w:t>
      </w:r>
    </w:p>
    <w:p w14:paraId="1A7CCFB9">
      <w:pPr>
        <w:pStyle w:val="54"/>
        <w:spacing w:line="360" w:lineRule="auto"/>
        <w:ind w:firstLine="378"/>
        <w:jc w:val="both"/>
        <w:rPr>
          <w:rFonts w:hint="default" w:ascii="宋体" w:hAnsi="宋体" w:cs="宋体"/>
          <w:color w:val="auto"/>
          <w:sz w:val="24"/>
          <w:szCs w:val="24"/>
          <w:highlight w:val="none"/>
        </w:rPr>
      </w:pPr>
      <w:r>
        <w:rPr>
          <w:rFonts w:ascii="宋体" w:hAnsi="宋体" w:cs="宋体"/>
          <w:color w:val="auto"/>
          <w:sz w:val="24"/>
          <w:szCs w:val="24"/>
          <w:highlight w:val="none"/>
        </w:rPr>
        <w:t>1、合同签订之后，支付合同总价款的30%预付款，全部货物安装调试完毕并经采购人及相关部门最终验收合格并交付使用后，支付至合同总价的100%。</w:t>
      </w:r>
    </w:p>
    <w:p w14:paraId="72749875">
      <w:pPr>
        <w:pStyle w:val="54"/>
        <w:spacing w:line="360" w:lineRule="auto"/>
        <w:jc w:val="both"/>
        <w:rPr>
          <w:rFonts w:hint="default" w:ascii="宋体" w:hAnsi="宋体" w:cs="宋体"/>
          <w:color w:val="auto"/>
          <w:sz w:val="24"/>
          <w:szCs w:val="24"/>
          <w:highlight w:val="none"/>
        </w:rPr>
      </w:pPr>
      <w:r>
        <w:rPr>
          <w:rFonts w:ascii="宋体" w:hAnsi="宋体" w:cs="宋体"/>
          <w:b/>
          <w:color w:val="auto"/>
          <w:sz w:val="24"/>
          <w:szCs w:val="24"/>
          <w:highlight w:val="none"/>
        </w:rPr>
        <w:t>八、合同签订</w:t>
      </w:r>
    </w:p>
    <w:p w14:paraId="171C0364">
      <w:pPr>
        <w:pStyle w:val="54"/>
        <w:spacing w:line="360" w:lineRule="auto"/>
        <w:ind w:firstLine="470"/>
        <w:jc w:val="both"/>
        <w:rPr>
          <w:rFonts w:hint="default" w:ascii="宋体" w:hAnsi="宋体" w:cs="宋体"/>
          <w:color w:val="auto"/>
          <w:sz w:val="24"/>
          <w:szCs w:val="24"/>
          <w:highlight w:val="none"/>
        </w:rPr>
      </w:pPr>
      <w:r>
        <w:rPr>
          <w:rFonts w:ascii="宋体" w:hAnsi="宋体" w:cs="宋体"/>
          <w:color w:val="auto"/>
          <w:sz w:val="24"/>
          <w:szCs w:val="24"/>
          <w:highlight w:val="none"/>
        </w:rPr>
        <w:t>1.中标供应商接到中标通知书后</w:t>
      </w:r>
      <w:r>
        <w:rPr>
          <w:rFonts w:hint="default" w:ascii="宋体" w:hAnsi="宋体" w:cs="宋体"/>
          <w:color w:val="auto"/>
          <w:sz w:val="24"/>
          <w:szCs w:val="24"/>
          <w:highlight w:val="none"/>
        </w:rPr>
        <w:t>20个日历日内</w:t>
      </w:r>
      <w:r>
        <w:rPr>
          <w:rFonts w:ascii="宋体" w:hAnsi="宋体" w:cs="宋体"/>
          <w:color w:val="auto"/>
          <w:sz w:val="24"/>
          <w:szCs w:val="24"/>
          <w:highlight w:val="none"/>
        </w:rPr>
        <w:t>，持中标通知书与采购人签订合同。</w:t>
      </w:r>
    </w:p>
    <w:p w14:paraId="54996FFB">
      <w:pPr>
        <w:pStyle w:val="54"/>
        <w:spacing w:line="360" w:lineRule="auto"/>
        <w:ind w:firstLine="494" w:firstLineChars="206"/>
        <w:jc w:val="both"/>
        <w:rPr>
          <w:rFonts w:hint="default" w:ascii="宋体" w:hAnsi="宋体" w:cs="宋体"/>
          <w:color w:val="auto"/>
          <w:sz w:val="24"/>
          <w:szCs w:val="24"/>
          <w:highlight w:val="none"/>
        </w:rPr>
      </w:pPr>
      <w:r>
        <w:rPr>
          <w:rFonts w:ascii="宋体" w:hAnsi="宋体" w:cs="宋体"/>
          <w:color w:val="auto"/>
          <w:sz w:val="24"/>
          <w:szCs w:val="24"/>
          <w:highlight w:val="none"/>
        </w:rPr>
        <w:t>2.招标文件、投标文件均作为合同订立的基础，为合同组成部分。</w:t>
      </w:r>
    </w:p>
    <w:p w14:paraId="59E146BF">
      <w:pPr>
        <w:pStyle w:val="54"/>
        <w:spacing w:line="360" w:lineRule="auto"/>
        <w:ind w:right="-60"/>
        <w:jc w:val="both"/>
        <w:rPr>
          <w:rFonts w:hint="default" w:ascii="宋体" w:hAnsi="宋体" w:cs="宋体"/>
          <w:color w:val="auto"/>
          <w:sz w:val="24"/>
          <w:szCs w:val="24"/>
          <w:highlight w:val="none"/>
        </w:rPr>
      </w:pPr>
      <w:r>
        <w:rPr>
          <w:rFonts w:ascii="宋体" w:hAnsi="宋体" w:cs="宋体"/>
          <w:b/>
          <w:color w:val="auto"/>
          <w:sz w:val="24"/>
          <w:szCs w:val="24"/>
          <w:highlight w:val="none"/>
        </w:rPr>
        <w:t>九、其他事项</w:t>
      </w:r>
    </w:p>
    <w:p w14:paraId="39E53056">
      <w:pPr>
        <w:pStyle w:val="54"/>
        <w:spacing w:line="360" w:lineRule="auto"/>
        <w:ind w:firstLine="482"/>
        <w:rPr>
          <w:rFonts w:hint="default" w:ascii="宋体" w:hAnsi="宋体" w:cs="宋体"/>
          <w:color w:val="auto"/>
          <w:sz w:val="24"/>
          <w:szCs w:val="24"/>
          <w:highlight w:val="none"/>
        </w:rPr>
      </w:pPr>
      <w:r>
        <w:rPr>
          <w:rFonts w:ascii="宋体" w:hAnsi="宋体" w:cs="宋体"/>
          <w:b/>
          <w:color w:val="auto"/>
          <w:sz w:val="24"/>
          <w:szCs w:val="24"/>
          <w:highlight w:val="none"/>
        </w:rPr>
        <w:t>★1.</w:t>
      </w:r>
      <w:r>
        <w:rPr>
          <w:rFonts w:hint="default" w:ascii="宋体" w:hAnsi="宋体" w:cs="宋体"/>
          <w:b/>
          <w:color w:val="auto"/>
          <w:sz w:val="24"/>
          <w:szCs w:val="24"/>
          <w:highlight w:val="none"/>
        </w:rPr>
        <w:t>本项目采购预算为人民币930万元，</w:t>
      </w:r>
      <w:r>
        <w:rPr>
          <w:rFonts w:hint="default" w:ascii="宋体" w:hAnsi="宋体" w:cs="宋体"/>
          <w:b/>
          <w:bCs/>
          <w:color w:val="auto"/>
          <w:kern w:val="2"/>
          <w:sz w:val="24"/>
          <w:szCs w:val="24"/>
          <w:highlight w:val="none"/>
        </w:rPr>
        <w:t>最高控制价为920.467997万元</w:t>
      </w:r>
      <w:r>
        <w:rPr>
          <w:rFonts w:ascii="宋体" w:hAnsi="宋体" w:cs="宋体"/>
          <w:b/>
          <w:bCs/>
          <w:color w:val="auto"/>
          <w:kern w:val="2"/>
          <w:sz w:val="24"/>
          <w:szCs w:val="24"/>
          <w:highlight w:val="none"/>
        </w:rPr>
        <w:t>，投标人的投标总价不得超过最高控制价，否则其投标作无效投标处理。</w:t>
      </w:r>
    </w:p>
    <w:p w14:paraId="37249AB3">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2．投标人在投标文件中详细说明所投货物的技术水平、性能等(材质构成、油漆、内外部结构、五金配件、制造工艺、生产流程、加工设备及其它)。</w:t>
      </w:r>
    </w:p>
    <w:p w14:paraId="0584CC9C">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3．附件及零配件：投标人应列出备品/备件及附件的清单及价格。</w:t>
      </w:r>
    </w:p>
    <w:p w14:paraId="2771D28B">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4．投标人认为有必要提供的其它技术资料。</w:t>
      </w:r>
    </w:p>
    <w:p w14:paraId="6BA31B87">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5．投标人若有其它方面的特殊功能及优惠条件，可在投标文件中注明。</w:t>
      </w:r>
    </w:p>
    <w:p w14:paraId="697DD4CD">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6．如采购人对采购数量有所调整，将按中标单价调整合同总价，中标供应商不得有异议。如款式及型号有所变动必须经采购人书面确认，涉及单价变动的以中标单价为基准，由采购人和中标供应商协商确定。</w:t>
      </w:r>
    </w:p>
    <w:p w14:paraId="6943FF02">
      <w:pPr>
        <w:pStyle w:val="54"/>
        <w:spacing w:line="360" w:lineRule="auto"/>
        <w:ind w:firstLine="482"/>
        <w:jc w:val="both"/>
        <w:rPr>
          <w:rFonts w:hint="default" w:ascii="宋体" w:hAnsi="宋体" w:cs="宋体"/>
          <w:color w:val="auto"/>
          <w:sz w:val="24"/>
          <w:szCs w:val="24"/>
          <w:highlight w:val="none"/>
        </w:rPr>
      </w:pPr>
      <w:r>
        <w:rPr>
          <w:rFonts w:ascii="宋体" w:hAnsi="宋体" w:cs="宋体"/>
          <w:b/>
          <w:color w:val="auto"/>
          <w:sz w:val="24"/>
          <w:szCs w:val="24"/>
          <w:highlight w:val="none"/>
        </w:rPr>
        <w:t>★7.交货期：合同签订之日起60个日历日内（含交货及安装）。</w:t>
      </w:r>
    </w:p>
    <w:p w14:paraId="7127259A">
      <w:pPr>
        <w:pStyle w:val="54"/>
        <w:spacing w:line="360" w:lineRule="auto"/>
        <w:ind w:right="30" w:firstLine="590"/>
        <w:rPr>
          <w:rFonts w:hint="default" w:ascii="宋体" w:hAnsi="宋体" w:cs="宋体"/>
          <w:color w:val="auto"/>
          <w:sz w:val="24"/>
          <w:szCs w:val="24"/>
          <w:highlight w:val="none"/>
        </w:rPr>
      </w:pPr>
      <w:r>
        <w:rPr>
          <w:rFonts w:ascii="宋体" w:hAnsi="宋体" w:cs="宋体"/>
          <w:color w:val="auto"/>
          <w:sz w:val="24"/>
          <w:szCs w:val="24"/>
          <w:highlight w:val="none"/>
        </w:rPr>
        <w:t>8.原件备查指：评审结束后，有质疑投诉或是采购人或是使用单位发现虚假应标等情况，投标人需在3个工作日内提交原件核查，否则被视为放弃中标资格或做虚假应标处理。投标人提供书面承诺函（格式自拟）。</w:t>
      </w:r>
    </w:p>
    <w:p w14:paraId="62BC22FC">
      <w:pPr>
        <w:pStyle w:val="54"/>
        <w:spacing w:line="360" w:lineRule="auto"/>
        <w:ind w:firstLine="472"/>
        <w:jc w:val="both"/>
        <w:rPr>
          <w:rFonts w:hint="default" w:ascii="宋体" w:hAnsi="宋体" w:cs="宋体"/>
          <w:color w:val="auto"/>
          <w:sz w:val="24"/>
          <w:szCs w:val="24"/>
          <w:highlight w:val="none"/>
        </w:rPr>
      </w:pPr>
      <w:r>
        <w:rPr>
          <w:rFonts w:ascii="宋体" w:hAnsi="宋体" w:cs="宋体"/>
          <w:b/>
          <w:color w:val="auto"/>
          <w:sz w:val="24"/>
          <w:szCs w:val="24"/>
          <w:highlight w:val="none"/>
        </w:rPr>
        <w:t>★9.投标人须在投标文件中作出响应：投标人若中标，未按工期内完成交付使用并最终验收合格，每逾期一天，罚款为合同总额的千分之一。</w:t>
      </w:r>
    </w:p>
    <w:p w14:paraId="772D65FF">
      <w:pPr>
        <w:pStyle w:val="54"/>
        <w:spacing w:line="360" w:lineRule="auto"/>
        <w:ind w:firstLine="480"/>
        <w:jc w:val="both"/>
        <w:rPr>
          <w:rFonts w:hint="default" w:ascii="宋体" w:hAnsi="宋体" w:cs="宋体"/>
          <w:color w:val="auto"/>
          <w:sz w:val="24"/>
          <w:szCs w:val="24"/>
          <w:highlight w:val="none"/>
        </w:rPr>
      </w:pPr>
      <w:r>
        <w:rPr>
          <w:rFonts w:ascii="宋体" w:hAnsi="宋体" w:cs="宋体"/>
          <w:color w:val="auto"/>
          <w:sz w:val="24"/>
          <w:szCs w:val="24"/>
          <w:highlight w:val="none"/>
        </w:rPr>
        <w:t>10.本项目施工地点因单位日常办公，中标供应商须采取必要的措施，避免影响其单位正常上班秩序，确保工期如期完成，供应商报价时须提供该措施，包括安全、保洁、噪声等防患以及施工计划安排措施。如有损坏现场，需恢复原样。</w:t>
      </w:r>
    </w:p>
    <w:p w14:paraId="014AA26D">
      <w:pPr>
        <w:pStyle w:val="54"/>
        <w:spacing w:line="360" w:lineRule="auto"/>
        <w:jc w:val="both"/>
        <w:rPr>
          <w:rFonts w:hint="default" w:ascii="宋体" w:hAnsi="宋体" w:cs="宋体"/>
          <w:color w:val="auto"/>
          <w:sz w:val="24"/>
          <w:szCs w:val="24"/>
          <w:highlight w:val="none"/>
        </w:rPr>
      </w:pPr>
      <w:r>
        <w:rPr>
          <w:rFonts w:ascii="宋体" w:hAnsi="宋体" w:cs="宋体"/>
          <w:color w:val="auto"/>
          <w:sz w:val="24"/>
          <w:szCs w:val="24"/>
          <w:highlight w:val="none"/>
        </w:rPr>
        <w:t xml:space="preserve">    11.中标供应商负责提供的货物由采购人指定的摆放位置，如果指定摆放位置被占用，由中标供应商负责搬运,搬运至采购人指定位置。</w:t>
      </w:r>
    </w:p>
    <w:p w14:paraId="179C985E">
      <w:pPr>
        <w:pStyle w:val="54"/>
        <w:spacing w:line="360" w:lineRule="auto"/>
        <w:jc w:val="both"/>
        <w:outlineLvl w:val="2"/>
        <w:rPr>
          <w:rFonts w:hint="default" w:ascii="宋体" w:hAnsi="宋体" w:cs="宋体"/>
          <w:color w:val="auto"/>
          <w:sz w:val="24"/>
          <w:szCs w:val="24"/>
          <w:highlight w:val="none"/>
        </w:rPr>
      </w:pPr>
      <w:r>
        <w:rPr>
          <w:rFonts w:ascii="宋体" w:hAnsi="宋体" w:cs="宋体"/>
          <w:b/>
          <w:color w:val="auto"/>
          <w:sz w:val="24"/>
          <w:szCs w:val="24"/>
          <w:highlight w:val="none"/>
        </w:rPr>
        <w:t>十、商务要求（以“★”标示的内容为不允许负偏离的实质性要求）</w:t>
      </w:r>
    </w:p>
    <w:tbl>
      <w:tblPr>
        <w:tblStyle w:val="1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6"/>
        <w:gridCol w:w="1176"/>
        <w:gridCol w:w="1264"/>
        <w:gridCol w:w="6166"/>
      </w:tblGrid>
      <w:tr w14:paraId="7B4EF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noWrap/>
          </w:tcPr>
          <w:p w14:paraId="6D6A9971">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序号</w:t>
            </w:r>
          </w:p>
        </w:tc>
        <w:tc>
          <w:tcPr>
            <w:tcW w:w="0" w:type="auto"/>
            <w:noWrap/>
          </w:tcPr>
          <w:p w14:paraId="50381567">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参数性质</w:t>
            </w:r>
          </w:p>
        </w:tc>
        <w:tc>
          <w:tcPr>
            <w:tcW w:w="1264" w:type="dxa"/>
            <w:noWrap/>
          </w:tcPr>
          <w:p w14:paraId="58FEC286">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类型</w:t>
            </w:r>
          </w:p>
        </w:tc>
        <w:tc>
          <w:tcPr>
            <w:tcW w:w="6166" w:type="dxa"/>
            <w:noWrap/>
          </w:tcPr>
          <w:p w14:paraId="6A1612D2">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要求</w:t>
            </w:r>
          </w:p>
        </w:tc>
      </w:tr>
      <w:tr w14:paraId="56902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noWrap/>
          </w:tcPr>
          <w:p w14:paraId="0E0D22AB">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2</w:t>
            </w:r>
          </w:p>
        </w:tc>
        <w:tc>
          <w:tcPr>
            <w:tcW w:w="0" w:type="auto"/>
            <w:noWrap/>
          </w:tcPr>
          <w:p w14:paraId="1FE2A62E">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1264" w:type="dxa"/>
            <w:noWrap/>
          </w:tcPr>
          <w:p w14:paraId="0FCC0425">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交货地点</w:t>
            </w:r>
          </w:p>
        </w:tc>
        <w:tc>
          <w:tcPr>
            <w:tcW w:w="6166" w:type="dxa"/>
            <w:noWrap/>
          </w:tcPr>
          <w:p w14:paraId="2F9A0975">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采购人指定地点。</w:t>
            </w:r>
          </w:p>
        </w:tc>
      </w:tr>
      <w:tr w14:paraId="2E984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noWrap/>
          </w:tcPr>
          <w:p w14:paraId="0D9A7A7E">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3</w:t>
            </w:r>
          </w:p>
        </w:tc>
        <w:tc>
          <w:tcPr>
            <w:tcW w:w="0" w:type="auto"/>
            <w:noWrap/>
          </w:tcPr>
          <w:p w14:paraId="0AF0606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1264" w:type="dxa"/>
            <w:noWrap/>
          </w:tcPr>
          <w:p w14:paraId="68CC3139">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交货条件</w:t>
            </w:r>
          </w:p>
        </w:tc>
        <w:tc>
          <w:tcPr>
            <w:tcW w:w="6166" w:type="dxa"/>
            <w:noWrap/>
          </w:tcPr>
          <w:p w14:paraId="0B92DBD8">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按招标文件及合同约定执行。</w:t>
            </w:r>
          </w:p>
        </w:tc>
      </w:tr>
      <w:tr w14:paraId="0A8CB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noWrap/>
          </w:tcPr>
          <w:p w14:paraId="5E75372B">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4</w:t>
            </w:r>
          </w:p>
        </w:tc>
        <w:tc>
          <w:tcPr>
            <w:tcW w:w="0" w:type="auto"/>
            <w:noWrap/>
          </w:tcPr>
          <w:p w14:paraId="2A184F56">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1264" w:type="dxa"/>
            <w:noWrap/>
          </w:tcPr>
          <w:p w14:paraId="29B465E6">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是否邀请投标人验收</w:t>
            </w:r>
          </w:p>
        </w:tc>
        <w:tc>
          <w:tcPr>
            <w:tcW w:w="6166" w:type="dxa"/>
            <w:noWrap/>
          </w:tcPr>
          <w:p w14:paraId="4B240774">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不邀请投标人验收</w:t>
            </w:r>
          </w:p>
        </w:tc>
      </w:tr>
      <w:tr w14:paraId="7150C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noWrap/>
          </w:tcPr>
          <w:p w14:paraId="5F79030A">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5</w:t>
            </w:r>
          </w:p>
        </w:tc>
        <w:tc>
          <w:tcPr>
            <w:tcW w:w="0" w:type="auto"/>
            <w:noWrap/>
          </w:tcPr>
          <w:p w14:paraId="4AE2E92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1264" w:type="dxa"/>
            <w:noWrap/>
          </w:tcPr>
          <w:p w14:paraId="6383D54E">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履约验收方式</w:t>
            </w:r>
          </w:p>
        </w:tc>
        <w:tc>
          <w:tcPr>
            <w:tcW w:w="6166" w:type="dxa"/>
            <w:noWrap/>
          </w:tcPr>
          <w:p w14:paraId="10E5DC55">
            <w:pPr>
              <w:pStyle w:val="54"/>
              <w:keepNext w:val="0"/>
              <w:keepLines w:val="0"/>
              <w:widowControl/>
              <w:suppressLineNumbers w:val="0"/>
              <w:spacing w:before="0" w:beforeAutospacing="0" w:after="0" w:afterAutospacing="0" w:line="360" w:lineRule="auto"/>
              <w:ind w:left="0" w:right="0"/>
              <w:jc w:val="both"/>
              <w:rPr>
                <w:rFonts w:hint="default" w:ascii="宋体" w:hAnsi="宋体" w:cs="宋体"/>
                <w:color w:val="auto"/>
                <w:kern w:val="2"/>
                <w:sz w:val="24"/>
                <w:szCs w:val="24"/>
                <w:highlight w:val="none"/>
              </w:rPr>
            </w:pPr>
            <w:r>
              <w:rPr>
                <w:rFonts w:ascii="宋体" w:hAnsi="宋体" w:cs="宋体"/>
                <w:color w:val="auto"/>
                <w:kern w:val="2"/>
                <w:sz w:val="24"/>
                <w:szCs w:val="24"/>
                <w:highlight w:val="none"/>
              </w:rPr>
              <w:t>1、期次1，说明：1．投标人提供货物的制造标准、安装标准、验收标准及技术规范等有关资料应符合国家规定的有关标准、规范要求。 2．投标人应保证提供原产、正宗品牌货物，不得用伪劣货物替代；如出现上述质量问题采购人有权退货并解除合同。 3．在生产过程或验收过程中发现中标供应商对中标货物进行分包、转包（除</w:t>
            </w:r>
            <w:r>
              <w:rPr>
                <w:rFonts w:ascii="宋体" w:hAnsi="宋体" w:cs="宋体"/>
                <w:bCs/>
                <w:color w:val="auto"/>
                <w:kern w:val="2"/>
                <w:sz w:val="24"/>
                <w:szCs w:val="24"/>
                <w:highlight w:val="none"/>
              </w:rPr>
              <w:t>预留份额专门面向中小企业采购部分外</w:t>
            </w:r>
            <w:r>
              <w:rPr>
                <w:rFonts w:ascii="宋体" w:hAnsi="宋体" w:cs="宋体"/>
                <w:color w:val="auto"/>
                <w:kern w:val="2"/>
                <w:sz w:val="24"/>
                <w:szCs w:val="24"/>
                <w:highlight w:val="none"/>
              </w:rPr>
              <w:t>），采购人有权单方解除合同并有权拒付全部货款。 4．货物安装所需的配件或附加件，在合同签订前由中标供应商提交具体清单给采购人确认。 5.中标后生产前，向采购人确定所供货物的相关事项，经采购人书面确认是否增减后方可投入生产。否则，由此产生的一切后果由投标人负责。 6.货物初验：货物运抵采购人指定地点后由采购人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 7.最终验收：中标供应商负责现场安装、调试，待性能指标经验收合格后（附验收报告），中标供应商应与采购人共同签署《厦门市政府采购验收报告》。</w:t>
            </w:r>
          </w:p>
        </w:tc>
      </w:tr>
    </w:tbl>
    <w:p w14:paraId="69616B0F">
      <w:pPr>
        <w:tabs>
          <w:tab w:val="left" w:pos="5130"/>
        </w:tabs>
        <w:spacing w:line="360" w:lineRule="auto"/>
        <w:ind w:firstLine="480" w:firstLineChars="200"/>
        <w:rPr>
          <w:rFonts w:ascii="宋体" w:hAnsi="宋体" w:cs="宋体"/>
          <w:color w:val="auto"/>
          <w:sz w:val="24"/>
          <w:szCs w:val="24"/>
          <w:highlight w:val="none"/>
        </w:rPr>
      </w:pPr>
    </w:p>
    <w:p w14:paraId="522E4EDA">
      <w:pPr>
        <w:tabs>
          <w:tab w:val="left" w:pos="5130"/>
        </w:tabs>
        <w:spacing w:line="360" w:lineRule="auto"/>
        <w:ind w:firstLine="480" w:firstLineChars="200"/>
        <w:rPr>
          <w:rFonts w:ascii="宋体" w:hAnsi="宋体" w:cs="宋体"/>
          <w:color w:val="auto"/>
          <w:sz w:val="24"/>
          <w:szCs w:val="24"/>
          <w:highlight w:val="none"/>
        </w:rPr>
      </w:pPr>
    </w:p>
    <w:p w14:paraId="37B001B6">
      <w:pPr>
        <w:tabs>
          <w:tab w:val="left" w:pos="5130"/>
        </w:tabs>
        <w:spacing w:line="360" w:lineRule="auto"/>
        <w:ind w:firstLine="480" w:firstLineChars="200"/>
        <w:rPr>
          <w:rFonts w:ascii="宋体" w:hAnsi="宋体" w:cs="宋体"/>
          <w:color w:val="auto"/>
          <w:sz w:val="24"/>
          <w:szCs w:val="24"/>
          <w:highlight w:val="none"/>
        </w:rPr>
      </w:pPr>
    </w:p>
    <w:p w14:paraId="610D8BF5">
      <w:pPr>
        <w:pStyle w:val="14"/>
        <w:spacing w:line="360" w:lineRule="auto"/>
        <w:ind w:firstLineChars="200"/>
        <w:rPr>
          <w:color w:val="auto"/>
          <w:highlight w:val="none"/>
        </w:rPr>
      </w:pPr>
    </w:p>
    <w:p w14:paraId="40F0C879">
      <w:pPr>
        <w:pStyle w:val="14"/>
        <w:spacing w:line="360" w:lineRule="auto"/>
        <w:ind w:firstLineChars="200"/>
        <w:rPr>
          <w:color w:val="auto"/>
          <w:highlight w:val="none"/>
        </w:rPr>
      </w:pPr>
    </w:p>
    <w:p w14:paraId="41838CF9">
      <w:pPr>
        <w:pStyle w:val="14"/>
        <w:spacing w:line="360" w:lineRule="auto"/>
        <w:ind w:firstLineChars="200"/>
        <w:rPr>
          <w:color w:val="auto"/>
          <w:highlight w:val="none"/>
        </w:rPr>
      </w:pPr>
    </w:p>
    <w:p w14:paraId="33E8B229">
      <w:pPr>
        <w:pStyle w:val="14"/>
        <w:spacing w:line="360" w:lineRule="auto"/>
        <w:ind w:firstLineChars="200"/>
        <w:rPr>
          <w:color w:val="auto"/>
          <w:highlight w:val="none"/>
        </w:rPr>
      </w:pPr>
    </w:p>
    <w:p w14:paraId="002F2CBA">
      <w:pPr>
        <w:pStyle w:val="14"/>
        <w:spacing w:line="360" w:lineRule="auto"/>
        <w:ind w:firstLineChars="200"/>
        <w:rPr>
          <w:color w:val="auto"/>
          <w:highlight w:val="none"/>
        </w:rPr>
      </w:pPr>
    </w:p>
    <w:p w14:paraId="44F5F254">
      <w:pPr>
        <w:pStyle w:val="14"/>
        <w:spacing w:line="360" w:lineRule="auto"/>
        <w:ind w:firstLineChars="200"/>
        <w:rPr>
          <w:color w:val="auto"/>
          <w:highlight w:val="none"/>
        </w:rPr>
      </w:pPr>
    </w:p>
    <w:p w14:paraId="574699B2">
      <w:pPr>
        <w:pStyle w:val="14"/>
        <w:spacing w:line="360" w:lineRule="auto"/>
        <w:ind w:firstLineChars="200"/>
        <w:rPr>
          <w:color w:val="auto"/>
          <w:highlight w:val="none"/>
        </w:rPr>
      </w:pPr>
    </w:p>
    <w:p w14:paraId="61C7C400">
      <w:pPr>
        <w:pStyle w:val="14"/>
        <w:spacing w:line="360" w:lineRule="auto"/>
        <w:ind w:firstLineChars="200"/>
        <w:rPr>
          <w:color w:val="auto"/>
          <w:highlight w:val="none"/>
        </w:rPr>
      </w:pPr>
    </w:p>
    <w:p w14:paraId="5F348A30">
      <w:pPr>
        <w:pStyle w:val="14"/>
        <w:spacing w:line="360" w:lineRule="auto"/>
        <w:ind w:firstLineChars="200"/>
        <w:rPr>
          <w:color w:val="auto"/>
          <w:highlight w:val="none"/>
        </w:rPr>
      </w:pPr>
    </w:p>
    <w:p w14:paraId="15932BB8">
      <w:pPr>
        <w:pStyle w:val="14"/>
        <w:spacing w:line="360" w:lineRule="auto"/>
        <w:ind w:firstLine="480" w:firstLineChars="200"/>
        <w:rPr>
          <w:rFonts w:ascii="宋体" w:hAnsi="宋体"/>
          <w:color w:val="auto"/>
          <w:sz w:val="24"/>
          <w:highlight w:val="none"/>
        </w:rPr>
      </w:pPr>
    </w:p>
    <w:p w14:paraId="18FD7DE1">
      <w:pPr>
        <w:tabs>
          <w:tab w:val="left" w:pos="5130"/>
        </w:tabs>
        <w:spacing w:line="360" w:lineRule="auto"/>
        <w:ind w:firstLine="480" w:firstLineChars="200"/>
        <w:rPr>
          <w:rFonts w:ascii="宋体" w:hAnsi="宋体" w:cs="宋体"/>
          <w:color w:val="auto"/>
          <w:sz w:val="24"/>
          <w:szCs w:val="24"/>
          <w:highlight w:val="none"/>
        </w:rPr>
      </w:pPr>
    </w:p>
    <w:p w14:paraId="11482197">
      <w:pPr>
        <w:tabs>
          <w:tab w:val="left" w:pos="5130"/>
        </w:tabs>
        <w:spacing w:line="360" w:lineRule="auto"/>
        <w:ind w:firstLine="480" w:firstLineChars="200"/>
        <w:rPr>
          <w:rFonts w:ascii="宋体" w:hAnsi="宋体" w:cs="宋体"/>
          <w:color w:val="auto"/>
          <w:sz w:val="24"/>
          <w:szCs w:val="24"/>
          <w:highlight w:val="none"/>
        </w:rPr>
      </w:pPr>
    </w:p>
    <w:p w14:paraId="723BEE8A">
      <w:pPr>
        <w:tabs>
          <w:tab w:val="left" w:pos="5130"/>
        </w:tabs>
        <w:spacing w:line="360" w:lineRule="auto"/>
        <w:ind w:firstLine="480" w:firstLineChars="200"/>
        <w:rPr>
          <w:rFonts w:ascii="宋体" w:hAnsi="宋体" w:cs="宋体"/>
          <w:color w:val="auto"/>
          <w:sz w:val="24"/>
          <w:szCs w:val="24"/>
          <w:highlight w:val="none"/>
        </w:rPr>
      </w:pPr>
    </w:p>
    <w:p w14:paraId="568D4B80">
      <w:pPr>
        <w:tabs>
          <w:tab w:val="left" w:pos="5130"/>
        </w:tabs>
        <w:spacing w:line="360" w:lineRule="auto"/>
        <w:ind w:firstLine="480" w:firstLineChars="200"/>
        <w:rPr>
          <w:rFonts w:ascii="宋体" w:hAnsi="宋体" w:cs="宋体"/>
          <w:color w:val="auto"/>
          <w:sz w:val="24"/>
          <w:szCs w:val="24"/>
          <w:highlight w:val="none"/>
        </w:rPr>
      </w:pPr>
    </w:p>
    <w:p w14:paraId="376F2106">
      <w:pPr>
        <w:tabs>
          <w:tab w:val="left" w:pos="5130"/>
        </w:tabs>
        <w:spacing w:line="360" w:lineRule="auto"/>
        <w:ind w:firstLine="480" w:firstLineChars="200"/>
        <w:rPr>
          <w:rFonts w:ascii="宋体" w:hAnsi="宋体" w:cs="宋体"/>
          <w:color w:val="auto"/>
          <w:sz w:val="24"/>
          <w:szCs w:val="24"/>
          <w:highlight w:val="none"/>
        </w:rPr>
      </w:pPr>
    </w:p>
    <w:p w14:paraId="1A5C5AF6">
      <w:pPr>
        <w:tabs>
          <w:tab w:val="left" w:pos="5130"/>
        </w:tabs>
        <w:spacing w:line="360" w:lineRule="auto"/>
        <w:ind w:firstLine="480" w:firstLineChars="200"/>
        <w:rPr>
          <w:rFonts w:ascii="宋体" w:hAnsi="宋体" w:cs="宋体"/>
          <w:color w:val="auto"/>
          <w:sz w:val="24"/>
          <w:szCs w:val="24"/>
          <w:highlight w:val="none"/>
        </w:rPr>
      </w:pPr>
    </w:p>
    <w:p w14:paraId="4A6DFDB2">
      <w:pPr>
        <w:tabs>
          <w:tab w:val="left" w:pos="5130"/>
        </w:tabs>
        <w:spacing w:line="360" w:lineRule="auto"/>
        <w:ind w:firstLine="480" w:firstLineChars="200"/>
        <w:rPr>
          <w:rFonts w:ascii="宋体" w:hAnsi="宋体" w:cs="宋体"/>
          <w:color w:val="auto"/>
          <w:sz w:val="24"/>
          <w:szCs w:val="24"/>
          <w:highlight w:val="none"/>
        </w:rPr>
      </w:pPr>
    </w:p>
    <w:p w14:paraId="0B1850BA">
      <w:pPr>
        <w:tabs>
          <w:tab w:val="left" w:pos="5130"/>
        </w:tabs>
        <w:spacing w:line="360" w:lineRule="auto"/>
        <w:ind w:firstLine="480" w:firstLineChars="200"/>
        <w:rPr>
          <w:rFonts w:ascii="宋体" w:hAnsi="宋体" w:cs="宋体"/>
          <w:color w:val="auto"/>
          <w:sz w:val="24"/>
          <w:szCs w:val="24"/>
          <w:highlight w:val="none"/>
        </w:rPr>
      </w:pPr>
    </w:p>
    <w:p w14:paraId="6D488152">
      <w:pPr>
        <w:spacing w:line="360" w:lineRule="auto"/>
        <w:rPr>
          <w:rFonts w:ascii="宋体" w:hAnsi="宋体" w:cs="宋体"/>
          <w:color w:val="auto"/>
          <w:sz w:val="32"/>
          <w:szCs w:val="32"/>
          <w:highlight w:val="none"/>
        </w:rPr>
      </w:pPr>
      <w:r>
        <w:rPr>
          <w:rFonts w:hint="eastAsia" w:ascii="宋体" w:hAnsi="宋体" w:cs="宋体"/>
          <w:b/>
          <w:color w:val="auto"/>
          <w:sz w:val="32"/>
          <w:szCs w:val="32"/>
          <w:highlight w:val="none"/>
        </w:rPr>
        <w:t>附表：</w:t>
      </w:r>
    </w:p>
    <w:p w14:paraId="4AD9A66A">
      <w:pPr>
        <w:spacing w:line="360" w:lineRule="auto"/>
        <w:ind w:firstLine="630" w:firstLineChars="196"/>
        <w:jc w:val="center"/>
        <w:rPr>
          <w:rFonts w:ascii="宋体" w:hAnsi="宋体" w:cs="宋体"/>
          <w:b/>
          <w:color w:val="auto"/>
          <w:sz w:val="32"/>
          <w:szCs w:val="32"/>
          <w:highlight w:val="none"/>
        </w:rPr>
      </w:pPr>
      <w:r>
        <w:rPr>
          <w:rFonts w:hint="eastAsia" w:ascii="宋体" w:hAnsi="宋体" w:cs="宋体"/>
          <w:b/>
          <w:color w:val="auto"/>
          <w:sz w:val="32"/>
          <w:szCs w:val="32"/>
          <w:highlight w:val="none"/>
        </w:rPr>
        <w:t>技术规格及商务响应表</w:t>
      </w:r>
    </w:p>
    <w:p w14:paraId="6BAC8EC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76A45DFB">
      <w:pPr>
        <w:spacing w:line="360" w:lineRule="auto"/>
        <w:rPr>
          <w:rFonts w:ascii="宋体" w:hAnsi="宋体" w:cs="宋体"/>
          <w:b/>
          <w:color w:val="auto"/>
          <w:sz w:val="24"/>
          <w:szCs w:val="24"/>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395D8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ign w:val="center"/>
          </w:tcPr>
          <w:p w14:paraId="72F10BD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ign w:val="center"/>
          </w:tcPr>
          <w:p w14:paraId="79A4627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投标响应</w:t>
            </w:r>
          </w:p>
        </w:tc>
      </w:tr>
      <w:tr w14:paraId="70D59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ign w:val="center"/>
          </w:tcPr>
          <w:p w14:paraId="176C365B">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ign w:val="center"/>
          </w:tcPr>
          <w:p w14:paraId="1291C09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货物</w:t>
            </w:r>
          </w:p>
          <w:p w14:paraId="59CDA9C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ign w:val="center"/>
          </w:tcPr>
          <w:p w14:paraId="12076C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规格</w:t>
            </w:r>
          </w:p>
          <w:p w14:paraId="0FD367F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ign w:val="center"/>
          </w:tcPr>
          <w:p w14:paraId="6411B18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ign w:val="center"/>
          </w:tcPr>
          <w:p w14:paraId="51A99A8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ign w:val="center"/>
          </w:tcPr>
          <w:p w14:paraId="2259394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ign w:val="center"/>
          </w:tcPr>
          <w:p w14:paraId="48565FD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s="宋体"/>
                <w:color w:val="auto"/>
                <w:sz w:val="24"/>
                <w:szCs w:val="24"/>
                <w:highlight w:val="none"/>
              </w:rPr>
              <w:t>偏离说明</w:t>
            </w:r>
          </w:p>
        </w:tc>
      </w:tr>
      <w:tr w14:paraId="645C0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ign w:val="center"/>
          </w:tcPr>
          <w:p w14:paraId="6068808E">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ign w:val="center"/>
          </w:tcPr>
          <w:p w14:paraId="4B6DE532">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6CDA0B0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47CD971A">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D8E8B1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292864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20A8E8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D3AC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DE6674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F3311D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8D6BC7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47EA686">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E6C8F4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F7381A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D6E419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040AE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B347EC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F11818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399849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1433C34">
            <w:pPr>
              <w:keepNext w:val="0"/>
              <w:keepLines w:val="0"/>
              <w:suppressLineNumbers w:val="0"/>
              <w:spacing w:before="0" w:beforeAutospacing="0" w:after="0" w:afterAutospacing="0" w:line="360" w:lineRule="auto"/>
              <w:ind w:left="0" w:right="0" w:firstLine="482" w:firstLineChars="200"/>
              <w:rPr>
                <w:rFonts w:hint="default"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A1288B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FA26A8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C9622E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44BA7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F9BBBE3">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D665B5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4059EF4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000B9D63">
            <w:pPr>
              <w:keepNext w:val="0"/>
              <w:keepLines w:val="0"/>
              <w:suppressLineNumbers w:val="0"/>
              <w:spacing w:before="0" w:beforeAutospacing="0" w:after="0" w:afterAutospacing="0" w:line="360" w:lineRule="auto"/>
              <w:ind w:left="0" w:right="0"/>
              <w:rPr>
                <w:rFonts w:hint="default"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A1B575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F08BF5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730E1A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F35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37C866E">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407C31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CD94B9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335CD029">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default"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69E3EC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04A9B3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223F20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2B110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6EF8F49">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CA08D0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552765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F6366B8">
            <w:pPr>
              <w:keepNext w:val="0"/>
              <w:keepLines w:val="0"/>
              <w:suppressLineNumbers w:val="0"/>
              <w:spacing w:before="0" w:beforeAutospacing="0" w:after="0" w:afterAutospacing="0" w:line="360" w:lineRule="auto"/>
              <w:ind w:left="0" w:right="0" w:firstLine="482" w:firstLineChars="200"/>
              <w:rPr>
                <w:rFonts w:hint="default"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69F6DD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BB1343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E225D8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668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6B9AED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F1A945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082EF9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1961ABD">
            <w:pPr>
              <w:keepNext w:val="0"/>
              <w:keepLines w:val="0"/>
              <w:suppressLineNumbers w:val="0"/>
              <w:spacing w:before="0" w:beforeAutospacing="0" w:after="0" w:afterAutospacing="0" w:line="360" w:lineRule="auto"/>
              <w:ind w:left="0" w:right="0" w:firstLine="482" w:firstLineChars="200"/>
              <w:rPr>
                <w:rFonts w:hint="default" w:ascii="宋体" w:hAnsi="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EF998A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11E6E9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ED69D5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353B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DA14F1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23758E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4896CF9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C6816CE">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4CD67D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14C425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56CD34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8E6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D2330F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BB78B3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39E87B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88EBE99">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162553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C58F49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C9D2D4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40940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2C8BEC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FCDC35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D8688D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2034959">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E3D36F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CDEBB6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4EFCC1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D0CD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7C0E314">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AB8EF0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6BD8134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6EC84BF">
            <w:pPr>
              <w:keepNext w:val="0"/>
              <w:keepLines w:val="0"/>
              <w:suppressLineNumbers w:val="0"/>
              <w:tabs>
                <w:tab w:val="left" w:pos="992"/>
                <w:tab w:val="left" w:pos="1080"/>
              </w:tabs>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4C2628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00430C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492DA1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15DB5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08EAB70">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99269F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366612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D5EF410">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65C44A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53D2E4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FCB511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46B37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698D019">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30CBB48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720E65D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4191FEFF">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A10042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C68E22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6ECD8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152A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B5E3B3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0DDC68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28AEF42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414481D">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6838F6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80FAB9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876941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65145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42FF50D">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6EDC47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033B04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C8773A0">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1B79D2B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70E1CA3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BFA19D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2A66B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31F8F96">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5C2689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04F92F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47D110D">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833484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AB0E50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A11486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8FF0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60" w:type="dxa"/>
            <w:vMerge w:val="continue"/>
            <w:tcBorders>
              <w:left w:val="single" w:color="auto" w:sz="4" w:space="0"/>
              <w:right w:val="single" w:color="auto" w:sz="4" w:space="0"/>
            </w:tcBorders>
            <w:noWrap/>
            <w:vAlign w:val="center"/>
          </w:tcPr>
          <w:p w14:paraId="44F800FF">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F78452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FC55B6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65199F0">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9ECC3E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7C4DB8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5617D6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5A9B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EC748CD">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8EB354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A592ED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3C03062">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833A64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431B16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72BA1F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3D1C4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29C2AB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CE97E4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7FE370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4E4C6CB">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860391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66C9CF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A9F8E5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EDD4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B45543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D86184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BA973A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0A43D1C">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D6DB18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10AF84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EE143B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2513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217BE91">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491474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156774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60D0082">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ECE655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864384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04594A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3FCB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9E640DE">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ECB863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4AA1C72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C90B902">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058857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9EBBF9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4D175D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4DC02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81E9CDC">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C0A16A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75DB0CC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DB9FE35">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7AA2C0D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2F7087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02069D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9D2C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D686F02">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3DA4FD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427D0F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8FE7842">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C4413C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129956F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D513F1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2B9C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95775BF">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2B6C8BB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21E06A1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22B8E816">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42A8B25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781CE7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E30CE4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69FA8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5E0202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0F318F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5A9EB92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36BDE1D0">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5FE389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9F6A1A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A7F8BC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7E3F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E043066">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17F412F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431D54D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ED544E0">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86E842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2795DD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9B1355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6916E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B0A2A3C">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62662F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5AB0207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646AC08F">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00C08A5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59D7B2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7F4A80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281E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A72BCA6">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529111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3EFC7ED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4DD7865B">
            <w:pPr>
              <w:keepNext w:val="0"/>
              <w:keepLines w:val="0"/>
              <w:suppressLineNumbers w:val="0"/>
              <w:tabs>
                <w:tab w:val="left" w:pos="1080"/>
              </w:tabs>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833BAD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3754780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136A37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1A087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F0032E8">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5498500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4C9E9F5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ign w:val="center"/>
          </w:tcPr>
          <w:p w14:paraId="19A7A9F9">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2A6529D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2672886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7CE307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6A1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9FD323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EA8F84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ign w:val="center"/>
          </w:tcPr>
          <w:p w14:paraId="4FBDF1D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6786250E">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7A7EDE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178D5F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31EA99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7B0B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8E35F32">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4952E40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3DA2BF9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5DEB6F11">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6C687A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796BC7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A7478D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385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E8F0001">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0C85790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7BEBB99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4BFF269D">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5A8E20E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6548060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B617B6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031F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539301C">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7490955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177ABE1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7CDA7660">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E37BC7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09D7771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A05511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18BD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3984DE6">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right w:val="single" w:color="auto" w:sz="4" w:space="0"/>
            </w:tcBorders>
            <w:noWrap/>
            <w:vAlign w:val="center"/>
          </w:tcPr>
          <w:p w14:paraId="662AFCE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right w:val="single" w:color="auto" w:sz="4" w:space="0"/>
            </w:tcBorders>
            <w:noWrap/>
            <w:vAlign w:val="center"/>
          </w:tcPr>
          <w:p w14:paraId="07A45C0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0C9EC6C5">
            <w:pPr>
              <w:keepNext w:val="0"/>
              <w:keepLines w:val="0"/>
              <w:suppressLineNumbers w:val="0"/>
              <w:spacing w:before="0" w:beforeAutospacing="0" w:after="0" w:afterAutospacing="0" w:line="360" w:lineRule="auto"/>
              <w:ind w:left="0" w:right="0"/>
              <w:jc w:val="left"/>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3378371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526DBCF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F93B33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r w14:paraId="534A3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ign w:val="center"/>
          </w:tcPr>
          <w:p w14:paraId="531A7BBB">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ign w:val="center"/>
          </w:tcPr>
          <w:p w14:paraId="00D9C81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ign w:val="center"/>
          </w:tcPr>
          <w:p w14:paraId="6B52BE5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tcPr>
          <w:p w14:paraId="1798E793">
            <w:pPr>
              <w:pStyle w:val="7"/>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ign w:val="center"/>
          </w:tcPr>
          <w:p w14:paraId="6DDBCDE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ign w:val="center"/>
          </w:tcPr>
          <w:p w14:paraId="4A70FDF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2F46B2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r>
    </w:tbl>
    <w:p w14:paraId="3EC0921C">
      <w:pPr>
        <w:tabs>
          <w:tab w:val="left" w:pos="5130"/>
        </w:tabs>
        <w:spacing w:line="360" w:lineRule="auto"/>
        <w:ind w:firstLine="480" w:firstLineChars="200"/>
        <w:rPr>
          <w:rFonts w:ascii="宋体" w:hAnsi="宋体" w:cs="宋体"/>
          <w:color w:val="auto"/>
          <w:sz w:val="24"/>
          <w:szCs w:val="24"/>
          <w:highlight w:val="none"/>
        </w:rPr>
      </w:pPr>
    </w:p>
    <w:p w14:paraId="5C38DEBC">
      <w:pPr>
        <w:tabs>
          <w:tab w:val="left" w:pos="5130"/>
        </w:tabs>
        <w:spacing w:line="360" w:lineRule="auto"/>
        <w:ind w:firstLine="480" w:firstLineChars="200"/>
        <w:rPr>
          <w:rFonts w:ascii="宋体" w:hAnsi="宋体" w:cs="宋体"/>
          <w:color w:val="auto"/>
          <w:sz w:val="24"/>
          <w:szCs w:val="24"/>
          <w:highlight w:val="none"/>
        </w:rPr>
      </w:pPr>
    </w:p>
    <w:p w14:paraId="6730AB98">
      <w:pPr>
        <w:spacing w:line="360" w:lineRule="auto"/>
        <w:rPr>
          <w:rFonts w:ascii="宋体" w:hAnsi="宋体" w:cs="宋体"/>
          <w:color w:val="auto"/>
          <w:sz w:val="24"/>
          <w:szCs w:val="24"/>
          <w:highlight w:val="none"/>
        </w:rPr>
      </w:pPr>
    </w:p>
    <w:p w14:paraId="21A8EA08">
      <w:pPr>
        <w:spacing w:line="360" w:lineRule="auto"/>
        <w:rPr>
          <w:rFonts w:ascii="宋体" w:hAnsi="宋体" w:cs="宋体"/>
          <w:b/>
          <w:bCs/>
          <w:color w:val="auto"/>
          <w:sz w:val="24"/>
          <w:szCs w:val="24"/>
          <w:highlight w:val="none"/>
        </w:rPr>
        <w:sectPr>
          <w:headerReference r:id="rId7" w:type="default"/>
          <w:footerReference r:id="rId8" w:type="default"/>
          <w:pgSz w:w="11906" w:h="16838"/>
          <w:pgMar w:top="851" w:right="851" w:bottom="851" w:left="1134" w:header="567" w:footer="567" w:gutter="0"/>
          <w:pgNumType w:start="1"/>
          <w:cols w:space="720" w:num="1"/>
          <w:docGrid w:linePitch="312" w:charSpace="0"/>
        </w:sectPr>
      </w:pPr>
    </w:p>
    <w:p w14:paraId="6336A2D9">
      <w:pPr>
        <w:spacing w:line="360" w:lineRule="auto"/>
        <w:jc w:val="center"/>
        <w:rPr>
          <w:rFonts w:ascii="宋体" w:hAnsi="宋体" w:cs="宋体"/>
          <w:b/>
          <w:color w:val="auto"/>
          <w:sz w:val="32"/>
          <w:szCs w:val="32"/>
          <w:highlight w:val="none"/>
        </w:rPr>
      </w:pPr>
      <w:r>
        <w:rPr>
          <w:rFonts w:hint="eastAsia" w:ascii="宋体" w:hAnsi="宋体" w:cs="宋体"/>
          <w:b/>
          <w:bCs/>
          <w:color w:val="auto"/>
          <w:sz w:val="32"/>
          <w:szCs w:val="32"/>
          <w:highlight w:val="none"/>
        </w:rPr>
        <w:t>第四章</w:t>
      </w:r>
      <w:r>
        <w:rPr>
          <w:rFonts w:ascii="宋体" w:hAnsi="宋体" w:cs="宋体"/>
          <w:b/>
          <w:color w:val="auto"/>
          <w:sz w:val="32"/>
          <w:szCs w:val="32"/>
          <w:highlight w:val="none"/>
        </w:rPr>
        <w:t>大宗</w:t>
      </w:r>
      <w:r>
        <w:rPr>
          <w:rFonts w:hint="eastAsia" w:ascii="宋体" w:hAnsi="宋体" w:cs="宋体"/>
          <w:b/>
          <w:color w:val="auto"/>
          <w:sz w:val="32"/>
          <w:szCs w:val="32"/>
          <w:highlight w:val="none"/>
        </w:rPr>
        <w:t>采购合同</w:t>
      </w:r>
    </w:p>
    <w:tbl>
      <w:tblPr>
        <w:tblStyle w:val="1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657AF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tcPr>
          <w:p w14:paraId="0A1AD8A4">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5665F52F">
            <w:pPr>
              <w:keepNext w:val="0"/>
              <w:keepLines w:val="0"/>
              <w:widowControl/>
              <w:suppressLineNumbers w:val="0"/>
              <w:spacing w:before="0" w:beforeAutospacing="0" w:after="0" w:afterAutospacing="0" w:line="360" w:lineRule="auto"/>
              <w:ind w:left="0" w:right="0" w:firstLine="480" w:firstLineChars="200"/>
              <w:jc w:val="left"/>
              <w:rPr>
                <w:rFonts w:hint="default" w:ascii="宋体" w:hAnsi="宋体" w:cs="宋体"/>
                <w:color w:val="auto"/>
                <w:sz w:val="24"/>
                <w:szCs w:val="24"/>
                <w:highlight w:val="none"/>
              </w:rPr>
            </w:pPr>
            <w:r>
              <w:rPr>
                <w:rFonts w:hint="eastAsia" w:ascii="宋体" w:hAnsi="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7BDE88EB">
      <w:pPr>
        <w:spacing w:line="360" w:lineRule="auto"/>
        <w:ind w:left="1321"/>
        <w:jc w:val="center"/>
        <w:rPr>
          <w:rFonts w:ascii="宋体" w:hAnsi="宋体" w:cs="宋体"/>
          <w:b/>
          <w:bCs/>
          <w:color w:val="auto"/>
          <w:sz w:val="24"/>
          <w:szCs w:val="24"/>
          <w:highlight w:val="none"/>
        </w:rPr>
      </w:pPr>
      <w:bookmarkStart w:id="0" w:name="htmc"/>
      <w:bookmarkEnd w:id="0"/>
      <w:r>
        <w:rPr>
          <w:rFonts w:hint="eastAsia" w:ascii="宋体" w:hAnsi="宋体" w:cs="宋体"/>
          <w:b/>
          <w:bCs/>
          <w:color w:val="auto"/>
          <w:sz w:val="24"/>
          <w:szCs w:val="24"/>
          <w:highlight w:val="none"/>
        </w:rPr>
        <w:t>XM2024—DZ0采购合同</w:t>
      </w:r>
    </w:p>
    <w:p w14:paraId="5266FC6C">
      <w:pPr>
        <w:spacing w:line="360" w:lineRule="auto"/>
        <w:ind w:right="480"/>
        <w:jc w:val="center"/>
        <w:rPr>
          <w:rFonts w:ascii="宋体" w:hAnsi="宋体" w:cs="宋体"/>
          <w:color w:val="auto"/>
          <w:sz w:val="24"/>
          <w:szCs w:val="24"/>
          <w:highlight w:val="none"/>
        </w:rPr>
      </w:pPr>
    </w:p>
    <w:p w14:paraId="490E74AC">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52429F8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买方（采购单位）：厦门万翔网络商务有限公司            签订地点：厦门</w:t>
      </w:r>
    </w:p>
    <w:p w14:paraId="564BCE9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卖方（中标/成交供应商）：                                  </w:t>
      </w:r>
    </w:p>
    <w:p w14:paraId="6DC1D765">
      <w:pPr>
        <w:spacing w:line="360" w:lineRule="auto"/>
        <w:ind w:right="480"/>
        <w:jc w:val="center"/>
        <w:rPr>
          <w:rFonts w:ascii="宋体" w:hAnsi="宋体" w:cs="宋体"/>
          <w:color w:val="auto"/>
          <w:sz w:val="24"/>
          <w:szCs w:val="24"/>
          <w:highlight w:val="none"/>
        </w:rPr>
      </w:pPr>
    </w:p>
    <w:p w14:paraId="229496C2">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根据买方对</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家具</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进行采购（招标/项目编号：      ）的采购结果，现依照招标/采购文件、投标/报价文件及有关法律、法规、规章规定的内容，双方达成如下协议：</w:t>
      </w:r>
    </w:p>
    <w:p w14:paraId="7163B10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16"/>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566F07A2">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60D2E0F1">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14:paraId="0DB3302B">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14:paraId="5A532C6B">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543F56A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14:paraId="566C8248">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合同总价，金额（元）</w:t>
            </w:r>
          </w:p>
        </w:tc>
      </w:tr>
      <w:tr w14:paraId="5D9D00F7">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4D3F5D20">
            <w:pPr>
              <w:keepNext w:val="0"/>
              <w:keepLines w:val="0"/>
              <w:widowControl/>
              <w:suppressLineNumbers w:val="0"/>
              <w:spacing w:before="0" w:beforeAutospacing="0" w:after="0" w:afterAutospacing="0" w:line="360" w:lineRule="auto"/>
              <w:ind w:left="0" w:right="0" w:firstLine="480" w:firstLineChars="200"/>
              <w:jc w:val="left"/>
              <w:rPr>
                <w:rFonts w:hint="default" w:ascii="宋体" w:hAnsi="宋体" w:cs="宋体"/>
                <w:color w:val="auto"/>
                <w:kern w:val="0"/>
                <w:sz w:val="24"/>
                <w:szCs w:val="24"/>
                <w:highlight w:val="none"/>
              </w:rPr>
            </w:pPr>
            <w:r>
              <w:rPr>
                <w:rFonts w:hint="eastAsia" w:ascii="宋体" w:hAnsi="宋体" w:cs="宋体"/>
                <w:color w:val="auto"/>
                <w:sz w:val="24"/>
                <w:szCs w:val="24"/>
                <w:highlight w:val="none"/>
              </w:rPr>
              <w:t>家具</w:t>
            </w:r>
          </w:p>
        </w:tc>
        <w:tc>
          <w:tcPr>
            <w:tcW w:w="2205" w:type="dxa"/>
            <w:tcBorders>
              <w:top w:val="nil"/>
              <w:left w:val="nil"/>
              <w:bottom w:val="single" w:color="auto" w:sz="4" w:space="0"/>
              <w:right w:val="single" w:color="auto" w:sz="4" w:space="0"/>
            </w:tcBorders>
            <w:vAlign w:val="center"/>
          </w:tcPr>
          <w:p w14:paraId="09E48BA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14:paraId="1A96262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2F5FDA63">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1批（详见附件</w:t>
            </w:r>
            <w:r>
              <w:rPr>
                <w:rFonts w:hint="default" w:ascii="宋体" w:hAnsi="宋体" w:cs="宋体"/>
                <w:color w:val="auto"/>
                <w:sz w:val="24"/>
                <w:szCs w:val="24"/>
                <w:highlight w:val="none"/>
              </w:rPr>
              <w:t>1《</w:t>
            </w:r>
            <w:r>
              <w:rPr>
                <w:rFonts w:hint="eastAsia" w:ascii="宋体" w:hAnsi="宋体" w:cs="宋体"/>
                <w:color w:val="auto"/>
                <w:sz w:val="24"/>
                <w:szCs w:val="24"/>
                <w:highlight w:val="none"/>
              </w:rPr>
              <w:t>供货清单</w:t>
            </w:r>
            <w:r>
              <w:rPr>
                <w:rFonts w:hint="default" w:ascii="宋体" w:hAnsi="宋体" w:cs="宋体"/>
                <w:color w:val="auto"/>
                <w:sz w:val="24"/>
                <w:szCs w:val="24"/>
                <w:highlight w:val="none"/>
              </w:rPr>
              <w:t>》</w:t>
            </w:r>
            <w:r>
              <w:rPr>
                <w:rFonts w:hint="eastAsia" w:ascii="宋体" w:hAnsi="宋体" w:cs="宋体"/>
                <w:color w:val="auto"/>
                <w:sz w:val="24"/>
                <w:szCs w:val="24"/>
                <w:highlight w:val="none"/>
              </w:rPr>
              <w:t>）</w:t>
            </w:r>
          </w:p>
        </w:tc>
        <w:tc>
          <w:tcPr>
            <w:tcW w:w="1321" w:type="dxa"/>
            <w:tcBorders>
              <w:top w:val="nil"/>
              <w:left w:val="nil"/>
              <w:bottom w:val="single" w:color="auto" w:sz="4" w:space="0"/>
              <w:right w:val="single" w:color="auto" w:sz="4" w:space="0"/>
            </w:tcBorders>
            <w:vAlign w:val="center"/>
          </w:tcPr>
          <w:p w14:paraId="60310622">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w:t>
            </w:r>
          </w:p>
        </w:tc>
      </w:tr>
      <w:tr w14:paraId="6291B6E1">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2ECD3376">
            <w:pPr>
              <w:keepNext w:val="0"/>
              <w:keepLines w:val="0"/>
              <w:widowControl/>
              <w:suppressLineNumbers w:val="0"/>
              <w:spacing w:before="0" w:beforeAutospacing="0" w:after="0" w:afterAutospacing="0" w:line="360" w:lineRule="auto"/>
              <w:ind w:left="0" w:right="0"/>
              <w:rPr>
                <w:rFonts w:hint="default"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其中货物采购费用占中标总价的97%（即￥元）通过本合同结算（即本合同总价为￥     元）。货物验收完成后的保修等售后服务费用占中标总价的3%（即    元）由使用单位与卖方另行签订服务合同单独结算，与本合同各自独立履行、互不影响。</w:t>
            </w:r>
            <w:r>
              <w:rPr>
                <w:rFonts w:hint="default" w:ascii="宋体" w:hAnsi="宋体" w:cs="宋体"/>
                <w:bCs/>
                <w:color w:val="auto"/>
                <w:sz w:val="24"/>
                <w:szCs w:val="24"/>
                <w:highlight w:val="none"/>
              </w:rPr>
              <w:t>买方对中标总价的3%无付款义务。</w:t>
            </w:r>
          </w:p>
          <w:p w14:paraId="4DF56721">
            <w:pPr>
              <w:keepNext w:val="0"/>
              <w:keepLines w:val="0"/>
              <w:widowControl/>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14:paraId="0D0FFA69">
            <w:pPr>
              <w:keepNext w:val="0"/>
              <w:keepLines w:val="0"/>
              <w:widowControl/>
              <w:suppressLineNumbers w:val="0"/>
              <w:spacing w:before="0" w:beforeAutospacing="0" w:after="0" w:afterAutospacing="0" w:line="360" w:lineRule="auto"/>
              <w:ind w:left="0" w:right="0"/>
              <w:rPr>
                <w:rFonts w:hint="default"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其中货物采购费用占中标总价的98.5%（即￥    元）通过本合同结算（即本合同总价为￥     元）。货物验收完成后的保修等售后服务费用占中标总价的1.5%（即      元）由使用单位与卖方另行签订服务合同单独结算，与本合同各自独立履行、互不影响。</w:t>
            </w:r>
            <w:r>
              <w:rPr>
                <w:rFonts w:hint="default" w:ascii="宋体" w:hAnsi="宋体" w:cs="宋体"/>
                <w:bCs/>
                <w:color w:val="auto"/>
                <w:sz w:val="24"/>
                <w:szCs w:val="24"/>
                <w:highlight w:val="none"/>
              </w:rPr>
              <w:t>买方对中标总价的1.5%无付款义务。</w:t>
            </w:r>
          </w:p>
        </w:tc>
      </w:tr>
      <w:tr w14:paraId="40CE89B5">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02B6DA60">
            <w:pPr>
              <w:keepNext w:val="0"/>
              <w:keepLines w:val="0"/>
              <w:widowControl/>
              <w:suppressLineNumbers w:val="0"/>
              <w:spacing w:before="0" w:beforeAutospacing="0" w:after="0" w:afterAutospacing="0" w:line="360" w:lineRule="auto"/>
              <w:ind w:left="0" w:right="0"/>
              <w:jc w:val="left"/>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 xml:space="preserve">备注说明： 本项目使用单位（最终用户）：                  </w:t>
            </w:r>
            <w:r>
              <w:rPr>
                <w:rFonts w:hint="eastAsia" w:ascii="宋体" w:hAnsi="宋体" w:cs="宋体"/>
                <w:b/>
                <w:color w:val="auto"/>
                <w:sz w:val="24"/>
                <w:szCs w:val="24"/>
                <w:highlight w:val="none"/>
                <w:u w:val="single"/>
              </w:rPr>
              <w:t>。</w:t>
            </w:r>
          </w:p>
        </w:tc>
      </w:tr>
    </w:tbl>
    <w:p w14:paraId="1DA357AE">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7899D3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14:paraId="0941C2F6">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14:paraId="6B37F83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2.3交付使用期: 合同签订之日起  个日历日内（含交货、安装）。</w:t>
      </w:r>
    </w:p>
    <w:p w14:paraId="1BA2E50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2.4到货签收：卖方每批次供货到指定地点后，卖方应当组织最终用户对到货数量、型号等进行清点签收，并向买方提交最终用户签署的到货签收单原件。</w:t>
      </w:r>
    </w:p>
    <w:p w14:paraId="3B1295A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3、采购清单： </w:t>
      </w:r>
    </w:p>
    <w:p w14:paraId="20ECAE6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4、付款条件、方式与履约保证金</w:t>
      </w:r>
    </w:p>
    <w:p w14:paraId="2DF84ED1">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4.1付款条件</w:t>
      </w:r>
    </w:p>
    <w:p w14:paraId="288B2F02">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卖方同意，待买方收到使用单位</w:t>
      </w:r>
      <w:r>
        <w:rPr>
          <w:rFonts w:hAnsi="宋体" w:cs="宋体"/>
          <w:color w:val="auto"/>
          <w:sz w:val="24"/>
          <w:szCs w:val="24"/>
          <w:highlight w:val="none"/>
        </w:rPr>
        <w:t>足额</w:t>
      </w:r>
      <w:r>
        <w:rPr>
          <w:rFonts w:hint="eastAsia" w:hAnsi="宋体" w:cs="宋体"/>
          <w:color w:val="auto"/>
          <w:sz w:val="24"/>
          <w:szCs w:val="24"/>
          <w:highlight w:val="none"/>
        </w:rPr>
        <w:t>货款后，买方按4.2约定向卖方付款。</w:t>
      </w:r>
    </w:p>
    <w:p w14:paraId="626F0155">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4.2付款方式</w:t>
      </w:r>
    </w:p>
    <w:p w14:paraId="214228EC">
      <w:pPr>
        <w:tabs>
          <w:tab w:val="left" w:pos="5130"/>
        </w:tabs>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4.2.1合同签订后15个工作日内，买方向卖方支付合同总价30%的预付款。</w:t>
      </w:r>
    </w:p>
    <w:p w14:paraId="0D47A7E7">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4.2.2</w:t>
      </w:r>
      <w:r>
        <w:rPr>
          <w:rFonts w:hint="eastAsia" w:ascii="宋体" w:hAnsi="宋体" w:cs="宋体"/>
          <w:color w:val="auto"/>
          <w:sz w:val="24"/>
          <w:szCs w:val="24"/>
          <w:highlight w:val="none"/>
        </w:rPr>
        <w:t>卖方供货安装、调试完毕，最终用户验收合格后，卖方开具合同总价100%的正规发票（即中标金额的97%）、《</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和全部货物清单给买方，买方收到最终用户货款后凭发票及验收报告，买方在15个工作日内向卖方支付本合同总价100%的款项（即中标金额的97%）。</w:t>
      </w:r>
    </w:p>
    <w:p w14:paraId="269A8FD6">
      <w:pPr>
        <w:widowControl/>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14:paraId="30F6DE12">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4.1付款条件</w:t>
      </w:r>
    </w:p>
    <w:p w14:paraId="1F73AAEB">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卖方同意，待买方收到使用单位</w:t>
      </w:r>
      <w:r>
        <w:rPr>
          <w:rFonts w:hAnsi="宋体" w:cs="宋体"/>
          <w:color w:val="auto"/>
          <w:sz w:val="24"/>
          <w:szCs w:val="24"/>
          <w:highlight w:val="none"/>
        </w:rPr>
        <w:t>足额</w:t>
      </w:r>
      <w:r>
        <w:rPr>
          <w:rFonts w:hint="eastAsia" w:hAnsi="宋体" w:cs="宋体"/>
          <w:color w:val="auto"/>
          <w:sz w:val="24"/>
          <w:szCs w:val="24"/>
          <w:highlight w:val="none"/>
        </w:rPr>
        <w:t>货款后，买方按4.2约定向卖方付款。</w:t>
      </w:r>
    </w:p>
    <w:p w14:paraId="193A3EA3">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4.2付款方式</w:t>
      </w:r>
    </w:p>
    <w:p w14:paraId="7C015C43">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4.2.1合同签订后15个工作日内，买方向卖方支付合同总价30%的预付款。</w:t>
      </w:r>
    </w:p>
    <w:p w14:paraId="2BECD691">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4.2.2卖方供货安装、调试完毕，最终用户验收合格后，卖方开具合同总价100%的正规发票（即中标金额的98.5%）、《</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和全部货物清单给买方，买方收到最终用户货款后凭发票及验收报告，买方在15个工作日内向卖方支付本合同总价100%的款项（即中标金额的98.5%）。</w:t>
      </w:r>
    </w:p>
    <w:p w14:paraId="41FE0FC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5、技术资料：</w:t>
      </w:r>
    </w:p>
    <w:p w14:paraId="01B08BA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14:paraId="1F850E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72199E77">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6、验收</w:t>
      </w:r>
    </w:p>
    <w:p w14:paraId="46757BD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2D7068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w:t>
      </w:r>
    </w:p>
    <w:p w14:paraId="6656A29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14:paraId="7AC4A7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20ED80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6.5买方根据本合同约定提出换货、退货或解除合同的，卖方应在收到买方或使用单位通知后3个工作日内自行收回不符合合同约定的货物，并承担相应费用。</w:t>
      </w:r>
    </w:p>
    <w:p w14:paraId="25CCAFF6">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7、售后服务</w:t>
      </w:r>
    </w:p>
    <w:p w14:paraId="422E1F2D">
      <w:pPr>
        <w:tabs>
          <w:tab w:val="left" w:pos="0"/>
        </w:tabs>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货物验收后的维修等售后服务由卖方直接向最终用户提供，卖方应就货物售后服务与最终用户另行签订相应服务合同，买方不向最终用户承担售后服务义务。</w:t>
      </w:r>
    </w:p>
    <w:p w14:paraId="207FFA9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8、知识产权</w:t>
      </w:r>
    </w:p>
    <w:p w14:paraId="6AFCC3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43D69FD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9、违约责任</w:t>
      </w:r>
    </w:p>
    <w:p w14:paraId="4D1FB7E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9.1卖方未能按时交货或未能按时交付使用的，每逾期一日，卖方应支付逾期交货货款1‰的违约金。逾期超过10个日历日，买方有权单方解除本合同，卖方应另外支付合同总价20％的违约金。</w:t>
      </w:r>
    </w:p>
    <w:p w14:paraId="6960DC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14:paraId="6AB061F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722BD6B3">
      <w:pPr>
        <w:spacing w:line="360" w:lineRule="auto"/>
        <w:ind w:firstLine="480" w:firstLineChars="200"/>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14:paraId="57722E85">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7792549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3701D89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9.7除本合同另有约定外，在买方发出的违约通知后30天内仍未纠正其任何一种违约行为，买方有权单方解除本合同，卖方除应退还买方已支付的款项外，还应向买方支付合同总价20％的违约金。</w:t>
      </w:r>
    </w:p>
    <w:p w14:paraId="2862EBD8">
      <w:pPr>
        <w:spacing w:line="360" w:lineRule="auto"/>
        <w:ind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9.8本合同约定的违约金无法弥补买方损失的，卖方应继续承担相应的赔偿责任。买方有权直接从未付的款项中扣除卖方根据本合同约定应付未付的违约金、赔偿金等。</w:t>
      </w:r>
    </w:p>
    <w:p w14:paraId="02DE238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10、不可抗力</w:t>
      </w:r>
    </w:p>
    <w:p w14:paraId="3343F2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76DA759D">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25E6277E">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14:paraId="26527F09">
      <w:pPr>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14:paraId="5280430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ascii="宋体" w:hAnsi="宋体" w:cs="宋体"/>
          <w:color w:val="auto"/>
          <w:sz w:val="24"/>
          <w:szCs w:val="24"/>
          <w:highlight w:val="none"/>
        </w:rPr>
        <w:t>合同履行</w:t>
      </w:r>
      <w:r>
        <w:rPr>
          <w:rFonts w:hint="eastAsia" w:ascii="宋体" w:hAnsi="宋体" w:cs="宋体"/>
          <w:color w:val="auto"/>
          <w:sz w:val="24"/>
          <w:szCs w:val="24"/>
          <w:highlight w:val="none"/>
        </w:rPr>
        <w:t>地</w:t>
      </w:r>
      <w:r>
        <w:rPr>
          <w:rFonts w:ascii="宋体" w:hAnsi="宋体" w:cs="宋体"/>
          <w:color w:val="auto"/>
          <w:sz w:val="24"/>
          <w:szCs w:val="24"/>
          <w:highlight w:val="none"/>
        </w:rPr>
        <w:t>（交货地）</w:t>
      </w:r>
      <w:r>
        <w:rPr>
          <w:rFonts w:hint="eastAsia" w:ascii="宋体" w:hAnsi="宋体" w:cs="宋体"/>
          <w:color w:val="auto"/>
          <w:sz w:val="24"/>
          <w:szCs w:val="24"/>
          <w:highlight w:val="none"/>
        </w:rPr>
        <w:t>人民法院提起</w:t>
      </w:r>
      <w:r>
        <w:rPr>
          <w:rFonts w:hint="default" w:ascii="宋体" w:hAnsi="宋体" w:cs="宋体"/>
          <w:color w:val="auto"/>
          <w:sz w:val="24"/>
          <w:szCs w:val="24"/>
          <w:highlight w:val="none"/>
        </w:rPr>
        <w:t>诉讼</w:t>
      </w:r>
      <w:r>
        <w:rPr>
          <w:rFonts w:hint="eastAsia" w:ascii="宋体" w:hAnsi="宋体" w:cs="宋体"/>
          <w:color w:val="auto"/>
          <w:sz w:val="24"/>
          <w:szCs w:val="24"/>
          <w:highlight w:val="none"/>
        </w:rPr>
        <w:t>。</w:t>
      </w:r>
    </w:p>
    <w:p w14:paraId="07A55157">
      <w:pPr>
        <w:spacing w:line="360" w:lineRule="auto"/>
        <w:rPr>
          <w:rFonts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14:paraId="78ACDEA4">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14:paraId="021670E4">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12.2卖方同意，由卖方依据与最终用户的服务协议直接向最终用户履行保修等售后服务义务。</w:t>
      </w:r>
    </w:p>
    <w:p w14:paraId="4C9A9989">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12.3本项目的下述文件均为本合同不可分割的一部分，且应当互为解释；存在不一致时，应按下列顺序优先解释：</w:t>
      </w:r>
    </w:p>
    <w:p w14:paraId="354502F9">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（1）采购合同;</w:t>
      </w:r>
    </w:p>
    <w:p w14:paraId="1113440B">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（2）买卖合同;</w:t>
      </w:r>
    </w:p>
    <w:p w14:paraId="6DF10694">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（3）招标文件及补充规定;</w:t>
      </w:r>
    </w:p>
    <w:p w14:paraId="2164AB59">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（4）投标文件及澄清说明。</w:t>
      </w:r>
    </w:p>
    <w:p w14:paraId="3CFA8280">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12.4本合同经双方签订之日起生效。一式伍份，买方贰份，卖方贰份，送厦门市财政局政府采购监管处备案壹份，具有同等法律效力。</w:t>
      </w:r>
    </w:p>
    <w:p w14:paraId="11E129BC">
      <w:pPr>
        <w:spacing w:line="360" w:lineRule="auto"/>
        <w:jc w:val="center"/>
        <w:rPr>
          <w:rFonts w:ascii="宋体" w:hAnsi="宋体"/>
          <w:color w:val="auto"/>
          <w:sz w:val="24"/>
          <w:szCs w:val="24"/>
          <w:highlight w:val="none"/>
        </w:rPr>
      </w:pPr>
      <w:r>
        <w:rPr>
          <w:rFonts w:hint="eastAsia" w:ascii="宋体" w:hAnsi="宋体" w:cs="宋体"/>
          <w:color w:val="auto"/>
          <w:sz w:val="24"/>
          <w:szCs w:val="24"/>
          <w:highlight w:val="none"/>
        </w:rPr>
        <w:t>（以下无正文）</w:t>
      </w:r>
    </w:p>
    <w:tbl>
      <w:tblPr>
        <w:tblStyle w:val="16"/>
        <w:tblW w:w="4998" w:type="pct"/>
        <w:jc w:val="center"/>
        <w:tblLayout w:type="autofit"/>
        <w:tblCellMar>
          <w:top w:w="0" w:type="dxa"/>
          <w:left w:w="108" w:type="dxa"/>
          <w:bottom w:w="0" w:type="dxa"/>
          <w:right w:w="108" w:type="dxa"/>
        </w:tblCellMar>
      </w:tblPr>
      <w:tblGrid>
        <w:gridCol w:w="1314"/>
        <w:gridCol w:w="2845"/>
        <w:gridCol w:w="1353"/>
        <w:gridCol w:w="3007"/>
      </w:tblGrid>
      <w:tr w14:paraId="70E46A28">
        <w:tblPrEx>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EAF4F43">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买  方</w:t>
            </w:r>
          </w:p>
        </w:tc>
        <w:tc>
          <w:tcPr>
            <w:tcW w:w="1669" w:type="pct"/>
            <w:tcBorders>
              <w:top w:val="single" w:color="auto" w:sz="4" w:space="0"/>
              <w:left w:val="nil"/>
              <w:bottom w:val="single" w:color="auto" w:sz="4" w:space="0"/>
              <w:right w:val="single" w:color="auto" w:sz="4" w:space="0"/>
            </w:tcBorders>
            <w:shd w:val="clear" w:color="auto" w:fill="auto"/>
            <w:vAlign w:val="center"/>
          </w:tcPr>
          <w:p w14:paraId="4FD3B933">
            <w:pPr>
              <w:pStyle w:val="12"/>
              <w:keepNext w:val="0"/>
              <w:keepLines w:val="0"/>
              <w:suppressLineNumbers w:val="0"/>
              <w:snapToGrid w:val="0"/>
              <w:ind w:left="0" w:right="0"/>
              <w:rPr>
                <w:rFonts w:hint="default"/>
                <w:color w:val="auto"/>
                <w:highlight w:val="none"/>
              </w:rPr>
            </w:pPr>
            <w:r>
              <w:rPr>
                <w:rFonts w:hint="eastAsia"/>
                <w:color w:val="auto"/>
                <w:highlight w:val="none"/>
              </w:rPr>
              <w:t>厦门万翔网络商务有限公司</w:t>
            </w:r>
          </w:p>
        </w:tc>
        <w:tc>
          <w:tcPr>
            <w:tcW w:w="794" w:type="pct"/>
            <w:tcBorders>
              <w:top w:val="single" w:color="auto" w:sz="4" w:space="0"/>
              <w:left w:val="nil"/>
              <w:bottom w:val="single" w:color="auto" w:sz="4" w:space="0"/>
              <w:right w:val="single" w:color="auto" w:sz="4" w:space="0"/>
            </w:tcBorders>
            <w:shd w:val="clear" w:color="auto" w:fill="auto"/>
            <w:vAlign w:val="center"/>
          </w:tcPr>
          <w:p w14:paraId="4951C9ED">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卖  方</w:t>
            </w:r>
          </w:p>
        </w:tc>
        <w:tc>
          <w:tcPr>
            <w:tcW w:w="1764" w:type="pct"/>
            <w:tcBorders>
              <w:top w:val="single" w:color="auto" w:sz="4" w:space="0"/>
              <w:left w:val="nil"/>
              <w:bottom w:val="single" w:color="auto" w:sz="4" w:space="0"/>
              <w:right w:val="single" w:color="auto" w:sz="4" w:space="0"/>
            </w:tcBorders>
            <w:shd w:val="clear" w:color="auto" w:fill="auto"/>
            <w:vAlign w:val="center"/>
          </w:tcPr>
          <w:p w14:paraId="5D9E036A">
            <w:pPr>
              <w:pStyle w:val="12"/>
              <w:keepNext w:val="0"/>
              <w:keepLines w:val="0"/>
              <w:suppressLineNumbers w:val="0"/>
              <w:snapToGrid w:val="0"/>
              <w:ind w:left="0" w:right="0"/>
              <w:rPr>
                <w:rFonts w:hint="default"/>
                <w:color w:val="auto"/>
                <w:highlight w:val="none"/>
              </w:rPr>
            </w:pPr>
          </w:p>
        </w:tc>
      </w:tr>
      <w:tr w14:paraId="1E16E757">
        <w:tblPrEx>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1DA0E7D9">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单位地址</w:t>
            </w:r>
          </w:p>
        </w:tc>
        <w:tc>
          <w:tcPr>
            <w:tcW w:w="1669" w:type="pct"/>
            <w:tcBorders>
              <w:top w:val="single" w:color="auto" w:sz="4" w:space="0"/>
              <w:left w:val="nil"/>
              <w:bottom w:val="single" w:color="auto" w:sz="4" w:space="0"/>
              <w:right w:val="single" w:color="auto" w:sz="4" w:space="0"/>
            </w:tcBorders>
            <w:shd w:val="clear" w:color="auto" w:fill="auto"/>
            <w:vAlign w:val="center"/>
          </w:tcPr>
          <w:p w14:paraId="5B0E565D">
            <w:pPr>
              <w:pStyle w:val="12"/>
              <w:keepNext w:val="0"/>
              <w:keepLines w:val="0"/>
              <w:suppressLineNumbers w:val="0"/>
              <w:snapToGrid w:val="0"/>
              <w:ind w:left="0" w:right="0"/>
              <w:rPr>
                <w:rFonts w:hint="default"/>
                <w:color w:val="auto"/>
                <w:highlight w:val="none"/>
              </w:rPr>
            </w:pPr>
            <w:r>
              <w:rPr>
                <w:rFonts w:hint="eastAsia"/>
                <w:color w:val="auto"/>
                <w:highlight w:val="none"/>
              </w:rPr>
              <w:t xml:space="preserve">厦门市湖里区机场北路476号 </w:t>
            </w:r>
          </w:p>
        </w:tc>
        <w:tc>
          <w:tcPr>
            <w:tcW w:w="794" w:type="pct"/>
            <w:tcBorders>
              <w:top w:val="single" w:color="auto" w:sz="4" w:space="0"/>
              <w:left w:val="nil"/>
              <w:bottom w:val="single" w:color="auto" w:sz="4" w:space="0"/>
              <w:right w:val="single" w:color="auto" w:sz="4" w:space="0"/>
            </w:tcBorders>
            <w:shd w:val="clear" w:color="auto" w:fill="auto"/>
            <w:vAlign w:val="center"/>
          </w:tcPr>
          <w:p w14:paraId="1AF2E0A6">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14:paraId="59AA6797">
            <w:pPr>
              <w:pStyle w:val="12"/>
              <w:keepNext w:val="0"/>
              <w:keepLines w:val="0"/>
              <w:suppressLineNumbers w:val="0"/>
              <w:snapToGrid w:val="0"/>
              <w:ind w:left="0" w:right="0"/>
              <w:rPr>
                <w:rFonts w:hint="default"/>
                <w:color w:val="auto"/>
                <w:highlight w:val="none"/>
              </w:rPr>
            </w:pPr>
          </w:p>
        </w:tc>
      </w:tr>
      <w:tr w14:paraId="7AD3E09B">
        <w:tblPrEx>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6422FE97">
            <w:pPr>
              <w:pStyle w:val="12"/>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kern w:val="2"/>
                <w:highlight w:val="none"/>
              </w:rPr>
              <w:t>法定代表人</w:t>
            </w:r>
          </w:p>
        </w:tc>
        <w:tc>
          <w:tcPr>
            <w:tcW w:w="1669" w:type="pct"/>
            <w:tcBorders>
              <w:top w:val="single" w:color="auto" w:sz="4" w:space="0"/>
              <w:left w:val="nil"/>
              <w:bottom w:val="single" w:color="auto" w:sz="4" w:space="0"/>
              <w:right w:val="single" w:color="auto" w:sz="4" w:space="0"/>
            </w:tcBorders>
            <w:shd w:val="clear" w:color="auto" w:fill="auto"/>
            <w:vAlign w:val="center"/>
          </w:tcPr>
          <w:p w14:paraId="36B3B50E">
            <w:pPr>
              <w:pStyle w:val="12"/>
              <w:keepNext w:val="0"/>
              <w:keepLines w:val="0"/>
              <w:suppressLineNumbers w:val="0"/>
              <w:snapToGrid w:val="0"/>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0753AB16">
            <w:pPr>
              <w:pStyle w:val="12"/>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kern w:val="2"/>
                <w:highlight w:val="none"/>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14:paraId="6829B26B">
            <w:pPr>
              <w:pStyle w:val="12"/>
              <w:keepNext w:val="0"/>
              <w:keepLines w:val="0"/>
              <w:suppressLineNumbers w:val="0"/>
              <w:snapToGrid w:val="0"/>
              <w:ind w:left="0" w:right="0"/>
              <w:rPr>
                <w:rFonts w:hint="default"/>
                <w:color w:val="auto"/>
                <w:highlight w:val="none"/>
              </w:rPr>
            </w:pPr>
          </w:p>
        </w:tc>
      </w:tr>
      <w:tr w14:paraId="6A4262C0">
        <w:tblPrEx>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41E9E3BB">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签字代表</w:t>
            </w:r>
          </w:p>
        </w:tc>
        <w:tc>
          <w:tcPr>
            <w:tcW w:w="1669" w:type="pct"/>
            <w:tcBorders>
              <w:top w:val="single" w:color="auto" w:sz="4" w:space="0"/>
              <w:left w:val="nil"/>
              <w:bottom w:val="single" w:color="auto" w:sz="4" w:space="0"/>
              <w:right w:val="single" w:color="auto" w:sz="4" w:space="0"/>
            </w:tcBorders>
            <w:shd w:val="clear" w:color="auto" w:fill="auto"/>
            <w:vAlign w:val="center"/>
          </w:tcPr>
          <w:p w14:paraId="66AB8696">
            <w:pPr>
              <w:pStyle w:val="12"/>
              <w:keepNext w:val="0"/>
              <w:keepLines w:val="0"/>
              <w:suppressLineNumbers w:val="0"/>
              <w:snapToGrid w:val="0"/>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319157AC">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14:paraId="725F31C6">
            <w:pPr>
              <w:pStyle w:val="12"/>
              <w:keepNext w:val="0"/>
              <w:keepLines w:val="0"/>
              <w:suppressLineNumbers w:val="0"/>
              <w:snapToGrid w:val="0"/>
              <w:ind w:left="0" w:right="0"/>
              <w:rPr>
                <w:rFonts w:hint="default"/>
                <w:color w:val="auto"/>
                <w:highlight w:val="none"/>
              </w:rPr>
            </w:pPr>
          </w:p>
        </w:tc>
      </w:tr>
      <w:tr w14:paraId="44587987">
        <w:tblPrEx>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C0487E4">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电   话</w:t>
            </w:r>
          </w:p>
        </w:tc>
        <w:tc>
          <w:tcPr>
            <w:tcW w:w="1669" w:type="pct"/>
            <w:tcBorders>
              <w:top w:val="single" w:color="auto" w:sz="4" w:space="0"/>
              <w:left w:val="nil"/>
              <w:bottom w:val="single" w:color="auto" w:sz="4" w:space="0"/>
              <w:right w:val="single" w:color="auto" w:sz="4" w:space="0"/>
            </w:tcBorders>
            <w:shd w:val="clear" w:color="auto" w:fill="auto"/>
            <w:vAlign w:val="center"/>
          </w:tcPr>
          <w:p w14:paraId="65F410AD">
            <w:pPr>
              <w:pStyle w:val="12"/>
              <w:keepNext w:val="0"/>
              <w:keepLines w:val="0"/>
              <w:suppressLineNumbers w:val="0"/>
              <w:snapToGrid w:val="0"/>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301010D1">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电  话</w:t>
            </w:r>
          </w:p>
        </w:tc>
        <w:tc>
          <w:tcPr>
            <w:tcW w:w="1764" w:type="pct"/>
            <w:tcBorders>
              <w:top w:val="single" w:color="auto" w:sz="4" w:space="0"/>
              <w:left w:val="nil"/>
              <w:bottom w:val="single" w:color="auto" w:sz="4" w:space="0"/>
              <w:right w:val="single" w:color="auto" w:sz="4" w:space="0"/>
            </w:tcBorders>
            <w:shd w:val="clear" w:color="auto" w:fill="auto"/>
            <w:vAlign w:val="center"/>
          </w:tcPr>
          <w:p w14:paraId="04C61B8D">
            <w:pPr>
              <w:pStyle w:val="12"/>
              <w:keepNext w:val="0"/>
              <w:keepLines w:val="0"/>
              <w:suppressLineNumbers w:val="0"/>
              <w:snapToGrid w:val="0"/>
              <w:ind w:left="0" w:right="0"/>
              <w:rPr>
                <w:rFonts w:hint="default"/>
                <w:color w:val="auto"/>
                <w:highlight w:val="none"/>
              </w:rPr>
            </w:pPr>
          </w:p>
        </w:tc>
      </w:tr>
      <w:tr w14:paraId="20991F20">
        <w:tblPrEx>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3C829626">
            <w:pPr>
              <w:pStyle w:val="12"/>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kern w:val="2"/>
                <w:highlight w:val="none"/>
              </w:rPr>
              <w:t>开户行</w:t>
            </w:r>
          </w:p>
        </w:tc>
        <w:tc>
          <w:tcPr>
            <w:tcW w:w="1669" w:type="pct"/>
            <w:tcBorders>
              <w:top w:val="single" w:color="auto" w:sz="4" w:space="0"/>
              <w:left w:val="nil"/>
              <w:bottom w:val="single" w:color="auto" w:sz="4" w:space="0"/>
              <w:right w:val="single" w:color="auto" w:sz="4" w:space="0"/>
            </w:tcBorders>
            <w:shd w:val="clear" w:color="auto" w:fill="auto"/>
            <w:vAlign w:val="center"/>
          </w:tcPr>
          <w:p w14:paraId="20707848">
            <w:pPr>
              <w:pStyle w:val="12"/>
              <w:keepNext w:val="0"/>
              <w:keepLines w:val="0"/>
              <w:suppressLineNumbers w:val="0"/>
              <w:snapToGrid w:val="0"/>
              <w:ind w:left="0" w:right="0"/>
              <w:rPr>
                <w:rFonts w:hint="default"/>
                <w:color w:val="auto"/>
                <w:highlight w:val="none"/>
              </w:rPr>
            </w:pPr>
            <w:r>
              <w:rPr>
                <w:rFonts w:hint="eastAsia"/>
                <w:color w:val="auto"/>
                <w:highlight w:val="none"/>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shd w:val="clear" w:color="auto" w:fill="auto"/>
            <w:vAlign w:val="center"/>
          </w:tcPr>
          <w:p w14:paraId="6DCFF5C4">
            <w:pPr>
              <w:pStyle w:val="12"/>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kern w:val="2"/>
                <w:highlight w:val="none"/>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14:paraId="5CBE8C1F">
            <w:pPr>
              <w:keepNext w:val="0"/>
              <w:keepLines w:val="0"/>
              <w:suppressLineNumbers w:val="0"/>
              <w:spacing w:before="0" w:beforeAutospacing="0" w:after="0" w:afterAutospacing="0" w:line="240" w:lineRule="atLeast"/>
              <w:ind w:left="0" w:right="0"/>
              <w:jc w:val="left"/>
              <w:rPr>
                <w:rFonts w:hint="default" w:ascii="宋体" w:hAnsi="宋体"/>
                <w:color w:val="auto"/>
                <w:kern w:val="0"/>
                <w:sz w:val="24"/>
                <w:szCs w:val="24"/>
                <w:highlight w:val="none"/>
              </w:rPr>
            </w:pPr>
          </w:p>
        </w:tc>
      </w:tr>
      <w:tr w14:paraId="4E726B6A">
        <w:tblPrEx>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D755D55">
            <w:pPr>
              <w:pStyle w:val="12"/>
              <w:keepNext w:val="0"/>
              <w:keepLines w:val="0"/>
              <w:suppressLineNumbers w:val="0"/>
              <w:snapToGrid w:val="0"/>
              <w:ind w:left="0" w:right="0"/>
              <w:rPr>
                <w:rFonts w:hint="default"/>
                <w:color w:val="auto"/>
                <w:highlight w:val="none"/>
              </w:rPr>
            </w:pPr>
            <w:r>
              <w:rPr>
                <w:rFonts w:hint="eastAsia"/>
                <w:color w:val="auto"/>
                <w:kern w:val="2"/>
                <w:highlight w:val="none"/>
              </w:rPr>
              <w:t>账  号</w:t>
            </w:r>
          </w:p>
        </w:tc>
        <w:tc>
          <w:tcPr>
            <w:tcW w:w="1669" w:type="pct"/>
            <w:tcBorders>
              <w:top w:val="single" w:color="auto" w:sz="4" w:space="0"/>
              <w:left w:val="nil"/>
              <w:bottom w:val="single" w:color="auto" w:sz="4" w:space="0"/>
              <w:right w:val="single" w:color="auto" w:sz="4" w:space="0"/>
            </w:tcBorders>
            <w:shd w:val="clear" w:color="auto" w:fill="auto"/>
            <w:vAlign w:val="center"/>
          </w:tcPr>
          <w:p w14:paraId="31AD6B42">
            <w:pPr>
              <w:pStyle w:val="12"/>
              <w:keepNext w:val="0"/>
              <w:keepLines w:val="0"/>
              <w:suppressLineNumbers w:val="0"/>
              <w:snapToGrid w:val="0"/>
              <w:ind w:left="0" w:right="0"/>
              <w:rPr>
                <w:rFonts w:hint="default"/>
                <w:color w:val="auto"/>
                <w:highlight w:val="none"/>
              </w:rPr>
            </w:pPr>
            <w:r>
              <w:rPr>
                <w:rFonts w:hint="eastAsia"/>
                <w:color w:val="auto"/>
                <w:highlight w:val="none"/>
              </w:rPr>
              <w:t xml:space="preserve">35101570201052503924  </w:t>
            </w:r>
          </w:p>
        </w:tc>
        <w:tc>
          <w:tcPr>
            <w:tcW w:w="794" w:type="pct"/>
            <w:tcBorders>
              <w:top w:val="single" w:color="auto" w:sz="4" w:space="0"/>
              <w:left w:val="nil"/>
              <w:bottom w:val="single" w:color="auto" w:sz="4" w:space="0"/>
              <w:right w:val="single" w:color="auto" w:sz="4" w:space="0"/>
            </w:tcBorders>
            <w:shd w:val="clear" w:color="auto" w:fill="auto"/>
            <w:vAlign w:val="center"/>
          </w:tcPr>
          <w:p w14:paraId="6063D621">
            <w:pPr>
              <w:pStyle w:val="12"/>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spacing w:val="20"/>
                <w:highlight w:val="none"/>
              </w:rPr>
              <w:t>账 号</w:t>
            </w:r>
          </w:p>
        </w:tc>
        <w:tc>
          <w:tcPr>
            <w:tcW w:w="1764" w:type="pct"/>
            <w:tcBorders>
              <w:top w:val="single" w:color="auto" w:sz="4" w:space="0"/>
              <w:left w:val="nil"/>
              <w:bottom w:val="single" w:color="auto" w:sz="4" w:space="0"/>
              <w:right w:val="single" w:color="auto" w:sz="4" w:space="0"/>
            </w:tcBorders>
            <w:shd w:val="clear" w:color="auto" w:fill="auto"/>
            <w:vAlign w:val="center"/>
          </w:tcPr>
          <w:p w14:paraId="36D0F9C8">
            <w:pPr>
              <w:keepNext w:val="0"/>
              <w:keepLines w:val="0"/>
              <w:suppressLineNumbers w:val="0"/>
              <w:spacing w:before="0" w:beforeAutospacing="0" w:after="0" w:afterAutospacing="0" w:line="360" w:lineRule="auto"/>
              <w:ind w:left="0" w:right="0"/>
              <w:jc w:val="left"/>
              <w:rPr>
                <w:rFonts w:hint="default" w:ascii="宋体" w:hAnsi="宋体"/>
                <w:color w:val="auto"/>
                <w:kern w:val="0"/>
                <w:sz w:val="24"/>
                <w:szCs w:val="24"/>
                <w:highlight w:val="none"/>
              </w:rPr>
            </w:pPr>
          </w:p>
        </w:tc>
      </w:tr>
      <w:tr w14:paraId="0CD442A0">
        <w:tblPrEx>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2304B85F">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签订日期</w:t>
            </w:r>
          </w:p>
        </w:tc>
        <w:tc>
          <w:tcPr>
            <w:tcW w:w="1669" w:type="pct"/>
            <w:tcBorders>
              <w:top w:val="single" w:color="auto" w:sz="4" w:space="0"/>
              <w:left w:val="nil"/>
              <w:bottom w:val="single" w:color="auto" w:sz="4" w:space="0"/>
              <w:right w:val="single" w:color="auto" w:sz="4" w:space="0"/>
            </w:tcBorders>
            <w:shd w:val="clear" w:color="auto" w:fill="auto"/>
            <w:vAlign w:val="center"/>
          </w:tcPr>
          <w:p w14:paraId="27D680F0">
            <w:pPr>
              <w:pStyle w:val="12"/>
              <w:keepNext w:val="0"/>
              <w:keepLines w:val="0"/>
              <w:suppressLineNumbers w:val="0"/>
              <w:snapToGrid w:val="0"/>
              <w:spacing w:line="360" w:lineRule="auto"/>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2866D39">
            <w:pPr>
              <w:pStyle w:val="12"/>
              <w:keepNext w:val="0"/>
              <w:keepLines w:val="0"/>
              <w:suppressLineNumbers w:val="0"/>
              <w:snapToGrid w:val="0"/>
              <w:spacing w:line="360" w:lineRule="auto"/>
              <w:ind w:left="0" w:right="0"/>
              <w:jc w:val="center"/>
              <w:rPr>
                <w:rFonts w:hint="default"/>
                <w:color w:val="auto"/>
                <w:highlight w:val="none"/>
              </w:rPr>
            </w:pPr>
            <w:r>
              <w:rPr>
                <w:rFonts w:hint="eastAsia"/>
                <w:b/>
                <w:bCs/>
                <w:color w:val="auto"/>
                <w:kern w:val="2"/>
                <w:highlight w:val="none"/>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14:paraId="2DD6C483">
            <w:pPr>
              <w:pStyle w:val="12"/>
              <w:keepNext w:val="0"/>
              <w:keepLines w:val="0"/>
              <w:suppressLineNumbers w:val="0"/>
              <w:snapToGrid w:val="0"/>
              <w:spacing w:line="360" w:lineRule="auto"/>
              <w:ind w:left="0" w:right="0"/>
              <w:rPr>
                <w:rFonts w:hint="default"/>
                <w:color w:val="auto"/>
                <w:highlight w:val="none"/>
              </w:rPr>
            </w:pPr>
          </w:p>
        </w:tc>
      </w:tr>
    </w:tbl>
    <w:p w14:paraId="0C2970B3">
      <w:pPr>
        <w:widowControl/>
        <w:ind w:left="-850" w:leftChars="-405" w:firstLine="720" w:firstLineChars="300"/>
        <w:rPr>
          <w:rFonts w:ascii="宋体" w:hAnsi="宋体" w:cs="宋体"/>
          <w:color w:val="auto"/>
          <w:sz w:val="24"/>
          <w:szCs w:val="24"/>
          <w:highlight w:val="none"/>
        </w:rPr>
      </w:pPr>
      <w:r>
        <w:rPr>
          <w:rFonts w:ascii="宋体" w:hAnsi="宋体" w:cs="宋体"/>
          <w:color w:val="auto"/>
          <w:sz w:val="24"/>
          <w:szCs w:val="24"/>
          <w:highlight w:val="none"/>
        </w:rPr>
        <w:t>附件1：供货清单</w:t>
      </w:r>
    </w:p>
    <w:p w14:paraId="79B2BF8E">
      <w:pPr>
        <w:pStyle w:val="12"/>
        <w:textAlignment w:val="baseline"/>
        <w:rPr>
          <w:rFonts w:eastAsia="等线"/>
          <w:color w:val="auto"/>
          <w:highlight w:val="none"/>
        </w:rPr>
      </w:pPr>
    </w:p>
    <w:tbl>
      <w:tblPr>
        <w:tblStyle w:val="1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14:paraId="7E6E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2253A1A6">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F35FB3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名 称</w:t>
            </w: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87ED00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数量</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7409E59">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0A60FBD1">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制造商</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307CF69">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规 格型号</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C21AE2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shd w:val="clear" w:color="auto" w:fill="auto"/>
          </w:tcPr>
          <w:p w14:paraId="5573EBCE">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default" w:ascii="华文楷体" w:hAnsi="华文楷体" w:eastAsia="华文楷体" w:cs="华文楷体"/>
                <w:b/>
                <w:color w:val="auto"/>
                <w:sz w:val="24"/>
                <w:szCs w:val="24"/>
                <w:highlight w:val="none"/>
              </w:rPr>
              <w:t>金额（元）</w:t>
            </w:r>
          </w:p>
        </w:tc>
      </w:tr>
      <w:tr w14:paraId="4BCCF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384A4A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F8666D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B1907A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1ADB5DE">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8EB9F7C">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2767C0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49BCDE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2A2F85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665A3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519D08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33D091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C4387C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ECB7F26">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711297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1C6B78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8F1D2E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794E8E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0CC93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1BB25DB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60BD543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540500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369333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425993A">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0C43EE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520539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3751B67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587F0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9B0876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E31798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3A860B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11B02EC">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DE6B1E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C24440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D65B4E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CDEA77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4F22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7DD904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FA7E41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DC0D3B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849B22A">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AA4A401">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77F29E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95EF9D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0150216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57A5A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1F75D45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6EB8518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802D9F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0897E0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D8775C5">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3EE304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38F781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B208A6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480BA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4567C8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F0DA6B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E2901A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E02BDF3">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08D4F95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26A88B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19C751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1F210B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15A68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B26F77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B6E2A5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3F9551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822A56C">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5327575">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38554B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8222CC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199DBA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4A4AD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273864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3FA7CD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C92820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70E1F7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B486A5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07F840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80E068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547E18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1100D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049198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63B96D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8C485A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2131C79">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43B82DA">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210A8A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E01375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5AB2F9E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0439D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28F8FE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0DCE2C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332BF7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2EFC211">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42F1A6C">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D242E4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774A1C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5038978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4B0F8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92EAD9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F2B719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F0C21B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0DDD31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B4E02EF">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B1E986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241C12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BA45E2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1294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4CA12E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19D083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DBA9DB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4876DD3">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9B9FD8A">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D7B366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C771A1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37AB74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7348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A91098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EDF84D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78F456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E00AC1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F7295B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8FFD24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DFA3CB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C28497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38EB2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EB8795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rPr>
                <w:rFonts w:hint="default" w:ascii="华文楷体" w:hAnsi="华文楷体" w:eastAsia="华文楷体" w:cs="华文楷体"/>
                <w:b/>
                <w:color w:val="auto"/>
                <w:kern w:val="0"/>
                <w:sz w:val="24"/>
                <w:szCs w:val="24"/>
                <w:highlight w:val="none"/>
              </w:rPr>
            </w:pPr>
            <w:r>
              <w:rPr>
                <w:rFonts w:hint="default" w:ascii="华文楷体" w:hAnsi="华文楷体" w:eastAsia="华文楷体" w:cs="华文楷体"/>
                <w:b/>
                <w:color w:val="auto"/>
                <w:kern w:val="0"/>
                <w:sz w:val="24"/>
                <w:szCs w:val="24"/>
                <w:highlight w:val="none"/>
              </w:rPr>
              <w:t>合计（元）：</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35CC67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96CAF1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华文楷体"/>
                <w:b/>
                <w:color w:val="auto"/>
                <w:kern w:val="0"/>
                <w:sz w:val="24"/>
                <w:szCs w:val="24"/>
                <w:highlight w:val="none"/>
              </w:rPr>
            </w:pPr>
          </w:p>
        </w:tc>
      </w:tr>
    </w:tbl>
    <w:p w14:paraId="2E46836D">
      <w:pPr>
        <w:rPr>
          <w:rFonts w:ascii="宋体" w:hAnsi="宋体" w:cs="宋体"/>
          <w:color w:val="auto"/>
          <w:sz w:val="24"/>
          <w:szCs w:val="24"/>
          <w:highlight w:val="none"/>
        </w:rPr>
      </w:pPr>
    </w:p>
    <w:p w14:paraId="57B0B4D0">
      <w:pPr>
        <w:spacing w:line="360" w:lineRule="auto"/>
        <w:rPr>
          <w:rFonts w:ascii="宋体" w:hAnsi="宋体" w:cs="宋体"/>
          <w:color w:val="auto"/>
          <w:sz w:val="24"/>
          <w:szCs w:val="24"/>
          <w:highlight w:val="none"/>
        </w:rPr>
        <w:sectPr>
          <w:footerReference r:id="rId9" w:type="default"/>
          <w:pgSz w:w="11906" w:h="16838"/>
          <w:pgMar w:top="1440" w:right="1800" w:bottom="1440" w:left="1800" w:header="851" w:footer="992" w:gutter="0"/>
          <w:cols w:space="425" w:num="1"/>
          <w:docGrid w:type="lines" w:linePitch="312" w:charSpace="0"/>
        </w:sectPr>
      </w:pPr>
    </w:p>
    <w:p w14:paraId="476030F7">
      <w:pPr>
        <w:spacing w:line="360" w:lineRule="auto"/>
        <w:rPr>
          <w:rFonts w:ascii="宋体" w:hAnsi="宋体" w:cs="宋体"/>
          <w:color w:val="auto"/>
          <w:sz w:val="24"/>
          <w:szCs w:val="24"/>
          <w:highlight w:val="none"/>
        </w:rPr>
      </w:pPr>
      <w:r>
        <w:rPr>
          <w:rFonts w:ascii="宋体" w:hAnsi="宋体" w:cs="宋体"/>
          <w:color w:val="auto"/>
          <w:sz w:val="24"/>
          <w:szCs w:val="24"/>
          <w:highlight w:val="none"/>
        </w:rPr>
        <w:t>附件2：</w:t>
      </w:r>
      <w:r>
        <w:rPr>
          <w:rFonts w:hint="eastAsia" w:ascii="宋体" w:hAnsi="宋体" w:cs="宋体"/>
          <w:color w:val="auto"/>
          <w:sz w:val="24"/>
          <w:szCs w:val="24"/>
          <w:highlight w:val="none"/>
        </w:rPr>
        <w:t>《</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p>
    <w:p w14:paraId="22141004">
      <w:pPr>
        <w:spacing w:line="360" w:lineRule="auto"/>
        <w:rPr>
          <w:rFonts w:ascii="宋体" w:hAnsi="宋体" w:cs="宋体"/>
          <w:color w:val="auto"/>
          <w:sz w:val="24"/>
          <w:szCs w:val="24"/>
          <w:highlight w:val="none"/>
        </w:rPr>
      </w:pPr>
      <w:r>
        <w:rPr>
          <w:rFonts w:ascii="宋体" w:hAnsi="宋体" w:cs="宋体"/>
          <w:b/>
          <w:color w:val="auto"/>
          <w:sz w:val="24"/>
          <w:szCs w:val="24"/>
          <w:highlight w:val="none"/>
        </w:rPr>
        <w:pict>
          <v:shape id="_x0000_i1025" o:spt="75" type="#_x0000_t75" style="height:592.5pt;width:414.75pt;" filled="f" o:preferrelative="t" stroked="f" coordsize="21600,21600">
            <v:path/>
            <v:fill on="f" focussize="0,0"/>
            <v:stroke on="f" joinstyle="miter"/>
            <v:imagedata o:title=""/>
            <o:lock v:ext="edit" aspectratio="t"/>
            <w10:wrap type="none"/>
            <w10:anchorlock/>
          </v:shape>
        </w:pict>
      </w:r>
    </w:p>
    <w:p w14:paraId="1530A7AE">
      <w:pPr>
        <w:spacing w:line="360" w:lineRule="auto"/>
        <w:jc w:val="center"/>
        <w:rPr>
          <w:rFonts w:ascii="宋体" w:hAnsi="宋体" w:cs="宋体"/>
          <w:b/>
          <w:bCs/>
          <w:color w:val="auto"/>
          <w:sz w:val="24"/>
          <w:szCs w:val="24"/>
          <w:highlight w:val="none"/>
        </w:rPr>
      </w:pPr>
    </w:p>
    <w:p w14:paraId="18C16668">
      <w:pPr>
        <w:spacing w:line="360" w:lineRule="auto"/>
        <w:rPr>
          <w:rFonts w:ascii="宋体" w:hAnsi="宋体" w:cs="宋体"/>
          <w:color w:val="auto"/>
          <w:sz w:val="24"/>
          <w:szCs w:val="24"/>
          <w:highlight w:val="none"/>
        </w:rPr>
      </w:pPr>
    </w:p>
    <w:p w14:paraId="30EF7B18">
      <w:pPr>
        <w:spacing w:line="360" w:lineRule="auto"/>
        <w:rPr>
          <w:rFonts w:ascii="宋体" w:hAnsi="宋体" w:cs="宋体"/>
          <w:color w:val="auto"/>
          <w:sz w:val="24"/>
          <w:szCs w:val="24"/>
          <w:highlight w:val="none"/>
        </w:rPr>
      </w:pPr>
    </w:p>
    <w:p w14:paraId="513380E6">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XM2024—DZ0买卖合同</w:t>
      </w:r>
    </w:p>
    <w:p w14:paraId="4F1E1196">
      <w:pPr>
        <w:spacing w:line="360" w:lineRule="auto"/>
        <w:ind w:right="480"/>
        <w:jc w:val="center"/>
        <w:rPr>
          <w:rFonts w:ascii="宋体" w:hAnsi="宋体" w:cs="宋体"/>
          <w:color w:val="auto"/>
          <w:sz w:val="24"/>
          <w:szCs w:val="24"/>
          <w:highlight w:val="none"/>
        </w:rPr>
      </w:pPr>
    </w:p>
    <w:p w14:paraId="578ED929">
      <w:pPr>
        <w:spacing w:line="360" w:lineRule="auto"/>
        <w:ind w:right="480" w:firstLine="480" w:firstLineChars="20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1F6EC6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买方：</w:t>
      </w:r>
    </w:p>
    <w:p w14:paraId="0A9E7B0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卖方：厦门万翔网络商务有限公司</w:t>
      </w:r>
    </w:p>
    <w:p w14:paraId="007B3C8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买方委托卖方采购家具，现根据项目编号:</w:t>
      </w:r>
      <w:r>
        <w:rPr>
          <w:rFonts w:hint="eastAsia" w:ascii="宋体" w:hAnsi="宋体" w:cs="宋体"/>
          <w:color w:val="auto"/>
          <w:sz w:val="24"/>
          <w:szCs w:val="24"/>
          <w:highlight w:val="none"/>
          <w:u w:val="single"/>
        </w:rPr>
        <w:t>XM2024-DZ0</w:t>
      </w:r>
      <w:r>
        <w:rPr>
          <w:rFonts w:hint="eastAsia" w:ascii="宋体" w:hAnsi="宋体" w:cs="宋体"/>
          <w:color w:val="auto"/>
          <w:sz w:val="24"/>
          <w:szCs w:val="24"/>
          <w:highlight w:val="none"/>
        </w:rPr>
        <w:t>的招标（采购）文件、投标（报价）文件以及评审结果通知书（中标/成交供应商为：），买卖双方经协商一致，就卖方将从中标/成交供应商处采购的货物出售给买方、并约定由中标/成交供应商直接向买方履行安装及售后服务等义务，特制定本合同，以资共同遵守：</w:t>
      </w:r>
    </w:p>
    <w:p w14:paraId="3BF2EFA0">
      <w:pPr>
        <w:tabs>
          <w:tab w:val="left" w:pos="315"/>
        </w:tabs>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1、合同标的物和价格（详见附件）</w:t>
      </w:r>
    </w:p>
    <w:tbl>
      <w:tblPr>
        <w:tblStyle w:val="16"/>
        <w:tblW w:w="8936" w:type="dxa"/>
        <w:tblInd w:w="103" w:type="dxa"/>
        <w:tblLayout w:type="fixed"/>
        <w:tblCellMar>
          <w:top w:w="0" w:type="dxa"/>
          <w:left w:w="108" w:type="dxa"/>
          <w:bottom w:w="0" w:type="dxa"/>
          <w:right w:w="108" w:type="dxa"/>
        </w:tblCellMar>
      </w:tblPr>
      <w:tblGrid>
        <w:gridCol w:w="864"/>
        <w:gridCol w:w="1667"/>
        <w:gridCol w:w="2166"/>
        <w:gridCol w:w="1834"/>
        <w:gridCol w:w="2405"/>
      </w:tblGrid>
      <w:tr w14:paraId="650115BF">
        <w:tblPrEx>
          <w:tblCellMar>
            <w:top w:w="0" w:type="dxa"/>
            <w:left w:w="108" w:type="dxa"/>
            <w:bottom w:w="0" w:type="dxa"/>
            <w:right w:w="108" w:type="dxa"/>
          </w:tblCellMar>
        </w:tblPrEx>
        <w:trPr>
          <w:trHeight w:val="615" w:hRule="atLeast"/>
        </w:trPr>
        <w:tc>
          <w:tcPr>
            <w:tcW w:w="864" w:type="dxa"/>
            <w:tcBorders>
              <w:top w:val="single" w:color="auto" w:sz="4" w:space="0"/>
              <w:left w:val="single" w:color="auto" w:sz="4" w:space="0"/>
              <w:bottom w:val="single" w:color="auto" w:sz="4" w:space="0"/>
              <w:right w:val="single" w:color="auto" w:sz="4" w:space="0"/>
            </w:tcBorders>
            <w:noWrap/>
            <w:vAlign w:val="center"/>
          </w:tcPr>
          <w:p w14:paraId="45978434">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1667" w:type="dxa"/>
            <w:tcBorders>
              <w:top w:val="single" w:color="auto" w:sz="4" w:space="0"/>
              <w:left w:val="nil"/>
              <w:bottom w:val="single" w:color="auto" w:sz="4" w:space="0"/>
              <w:right w:val="single" w:color="auto" w:sz="4" w:space="0"/>
            </w:tcBorders>
            <w:noWrap/>
            <w:vAlign w:val="center"/>
          </w:tcPr>
          <w:p w14:paraId="68A10CF8">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2166" w:type="dxa"/>
            <w:tcBorders>
              <w:top w:val="single" w:color="auto" w:sz="4" w:space="0"/>
              <w:left w:val="nil"/>
              <w:bottom w:val="single" w:color="auto" w:sz="4" w:space="0"/>
              <w:right w:val="single" w:color="auto" w:sz="4" w:space="0"/>
            </w:tcBorders>
            <w:noWrap/>
            <w:vAlign w:val="center"/>
          </w:tcPr>
          <w:p w14:paraId="64DEC1FA">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34" w:type="dxa"/>
            <w:tcBorders>
              <w:top w:val="single" w:color="auto" w:sz="4" w:space="0"/>
              <w:left w:val="nil"/>
              <w:bottom w:val="single" w:color="auto" w:sz="4" w:space="0"/>
              <w:right w:val="single" w:color="auto" w:sz="4" w:space="0"/>
            </w:tcBorders>
            <w:noWrap/>
            <w:vAlign w:val="center"/>
          </w:tcPr>
          <w:p w14:paraId="3E243380">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2405" w:type="dxa"/>
            <w:tcBorders>
              <w:top w:val="single" w:color="auto" w:sz="4" w:space="0"/>
              <w:left w:val="nil"/>
              <w:bottom w:val="single" w:color="auto" w:sz="4" w:space="0"/>
              <w:right w:val="single" w:color="auto" w:sz="4" w:space="0"/>
            </w:tcBorders>
            <w:noWrap/>
            <w:vAlign w:val="center"/>
          </w:tcPr>
          <w:p w14:paraId="69DFA24A">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合同总价，金额（元）</w:t>
            </w:r>
          </w:p>
        </w:tc>
      </w:tr>
      <w:tr w14:paraId="2DCE33F8">
        <w:tblPrEx>
          <w:tblCellMar>
            <w:top w:w="0" w:type="dxa"/>
            <w:left w:w="108" w:type="dxa"/>
            <w:bottom w:w="0" w:type="dxa"/>
            <w:right w:w="108" w:type="dxa"/>
          </w:tblCellMar>
        </w:tblPrEx>
        <w:trPr>
          <w:trHeight w:val="559" w:hRule="atLeast"/>
        </w:trPr>
        <w:tc>
          <w:tcPr>
            <w:tcW w:w="864" w:type="dxa"/>
            <w:tcBorders>
              <w:top w:val="nil"/>
              <w:left w:val="single" w:color="auto" w:sz="4" w:space="0"/>
              <w:bottom w:val="single" w:color="auto" w:sz="4" w:space="0"/>
              <w:right w:val="single" w:color="auto" w:sz="4" w:space="0"/>
            </w:tcBorders>
            <w:noWrap/>
            <w:vAlign w:val="center"/>
          </w:tcPr>
          <w:p w14:paraId="374CFD6C">
            <w:pPr>
              <w:keepNext w:val="0"/>
              <w:keepLines w:val="0"/>
              <w:widowControl/>
              <w:suppressLineNumbers w:val="0"/>
              <w:spacing w:before="0" w:beforeAutospacing="0" w:after="0" w:afterAutospacing="0"/>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家具</w:t>
            </w:r>
          </w:p>
        </w:tc>
        <w:tc>
          <w:tcPr>
            <w:tcW w:w="1667" w:type="dxa"/>
            <w:tcBorders>
              <w:top w:val="nil"/>
              <w:left w:val="nil"/>
              <w:bottom w:val="single" w:color="auto" w:sz="4" w:space="0"/>
              <w:right w:val="single" w:color="auto" w:sz="4" w:space="0"/>
            </w:tcBorders>
            <w:noWrap/>
            <w:vAlign w:val="center"/>
          </w:tcPr>
          <w:p w14:paraId="2807F45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r>
              <w:rPr>
                <w:rFonts w:hint="eastAsia" w:ascii="宋体" w:hAnsi="宋体"/>
                <w:color w:val="auto"/>
                <w:sz w:val="24"/>
                <w:szCs w:val="24"/>
                <w:highlight w:val="none"/>
              </w:rPr>
              <w:t>详见附件《供货清单》</w:t>
            </w:r>
          </w:p>
        </w:tc>
        <w:tc>
          <w:tcPr>
            <w:tcW w:w="2166" w:type="dxa"/>
            <w:tcBorders>
              <w:top w:val="nil"/>
              <w:left w:val="single" w:color="auto" w:sz="4" w:space="0"/>
              <w:bottom w:val="single" w:color="auto" w:sz="4" w:space="0"/>
              <w:right w:val="single" w:color="auto" w:sz="4" w:space="0"/>
            </w:tcBorders>
            <w:noWrap/>
            <w:vAlign w:val="center"/>
          </w:tcPr>
          <w:p w14:paraId="4AA2B51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34" w:type="dxa"/>
            <w:tcBorders>
              <w:top w:val="nil"/>
              <w:left w:val="nil"/>
              <w:bottom w:val="single" w:color="auto" w:sz="4" w:space="0"/>
              <w:right w:val="single" w:color="auto" w:sz="4" w:space="0"/>
            </w:tcBorders>
            <w:noWrap/>
            <w:vAlign w:val="center"/>
          </w:tcPr>
          <w:p w14:paraId="60635D01">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default" w:ascii="宋体" w:hAnsi="宋体"/>
                <w:color w:val="auto"/>
                <w:sz w:val="24"/>
                <w:szCs w:val="24"/>
                <w:highlight w:val="none"/>
              </w:rPr>
              <w:t>1批（详见附件</w:t>
            </w:r>
            <w:r>
              <w:rPr>
                <w:rFonts w:hint="eastAsia" w:ascii="宋体" w:hAnsi="宋体"/>
                <w:color w:val="auto"/>
                <w:sz w:val="24"/>
                <w:szCs w:val="24"/>
                <w:highlight w:val="none"/>
              </w:rPr>
              <w:t>1《供货</w:t>
            </w:r>
            <w:r>
              <w:rPr>
                <w:rFonts w:hint="default" w:ascii="宋体" w:hAnsi="宋体"/>
                <w:color w:val="auto"/>
                <w:sz w:val="24"/>
                <w:szCs w:val="24"/>
                <w:highlight w:val="none"/>
              </w:rPr>
              <w:t>清单</w:t>
            </w:r>
            <w:r>
              <w:rPr>
                <w:rFonts w:hint="eastAsia" w:ascii="宋体" w:hAnsi="宋体"/>
                <w:color w:val="auto"/>
                <w:sz w:val="24"/>
                <w:szCs w:val="24"/>
                <w:highlight w:val="none"/>
              </w:rPr>
              <w:t>》</w:t>
            </w:r>
            <w:r>
              <w:rPr>
                <w:rFonts w:hint="default" w:ascii="宋体" w:hAnsi="宋体"/>
                <w:color w:val="auto"/>
                <w:sz w:val="24"/>
                <w:szCs w:val="24"/>
                <w:highlight w:val="none"/>
              </w:rPr>
              <w:t>）</w:t>
            </w:r>
          </w:p>
        </w:tc>
        <w:tc>
          <w:tcPr>
            <w:tcW w:w="2405" w:type="dxa"/>
            <w:tcBorders>
              <w:top w:val="nil"/>
              <w:left w:val="nil"/>
              <w:bottom w:val="single" w:color="auto" w:sz="4" w:space="0"/>
              <w:right w:val="single" w:color="auto" w:sz="4" w:space="0"/>
            </w:tcBorders>
            <w:noWrap/>
            <w:vAlign w:val="center"/>
          </w:tcPr>
          <w:p w14:paraId="0BE23213">
            <w:pPr>
              <w:keepNext w:val="0"/>
              <w:keepLines w:val="0"/>
              <w:widowControl/>
              <w:suppressLineNumbers w:val="0"/>
              <w:spacing w:before="0" w:beforeAutospacing="0" w:after="0" w:afterAutospacing="0" w:line="360" w:lineRule="auto"/>
              <w:ind w:left="0" w:right="0"/>
              <w:rPr>
                <w:rFonts w:hint="default" w:ascii="宋体" w:hAnsi="宋体" w:cs="宋体"/>
                <w:color w:val="auto"/>
                <w:kern w:val="0"/>
                <w:sz w:val="24"/>
                <w:szCs w:val="24"/>
                <w:highlight w:val="none"/>
              </w:rPr>
            </w:pPr>
            <w:r>
              <w:rPr>
                <w:rFonts w:hint="eastAsia" w:ascii="宋体" w:hAnsi="宋体"/>
                <w:color w:val="auto"/>
                <w:sz w:val="24"/>
                <w:szCs w:val="24"/>
                <w:highlight w:val="none"/>
              </w:rPr>
              <w:t>￥</w:t>
            </w:r>
          </w:p>
        </w:tc>
      </w:tr>
      <w:tr w14:paraId="4CA5E8EC">
        <w:tblPrEx>
          <w:tblCellMar>
            <w:top w:w="0" w:type="dxa"/>
            <w:left w:w="108" w:type="dxa"/>
            <w:bottom w:w="0" w:type="dxa"/>
            <w:right w:w="108" w:type="dxa"/>
          </w:tblCellMar>
        </w:tblPrEx>
        <w:trPr>
          <w:trHeight w:val="540" w:hRule="atLeast"/>
        </w:trPr>
        <w:tc>
          <w:tcPr>
            <w:tcW w:w="8936" w:type="dxa"/>
            <w:gridSpan w:val="5"/>
            <w:tcBorders>
              <w:top w:val="single" w:color="auto" w:sz="4" w:space="0"/>
              <w:left w:val="single" w:color="auto" w:sz="4" w:space="0"/>
              <w:bottom w:val="single" w:color="auto" w:sz="4" w:space="0"/>
              <w:right w:val="single" w:color="000000" w:sz="4" w:space="0"/>
            </w:tcBorders>
            <w:noWrap/>
            <w:vAlign w:val="center"/>
          </w:tcPr>
          <w:p w14:paraId="1E5C9D2E">
            <w:pPr>
              <w:keepNext w:val="0"/>
              <w:keepLines w:val="0"/>
              <w:widowControl/>
              <w:suppressLineNumbers w:val="0"/>
              <w:spacing w:before="0" w:beforeAutospacing="0" w:after="0" w:afterAutospacing="0" w:line="360" w:lineRule="auto"/>
              <w:ind w:left="0" w:right="0" w:firstLine="482" w:firstLineChars="200"/>
              <w:rPr>
                <w:rFonts w:hint="default" w:ascii="宋体" w:hAnsi="宋体" w:cs="宋体"/>
                <w:bCs/>
                <w:color w:val="auto"/>
                <w:sz w:val="24"/>
                <w:szCs w:val="24"/>
                <w:highlight w:val="none"/>
              </w:rPr>
            </w:pPr>
            <w:r>
              <w:rPr>
                <w:rFonts w:hint="eastAsia" w:ascii="宋体" w:hAnsi="宋体" w:cs="宋体"/>
                <w:b/>
                <w:bCs/>
                <w:color w:val="auto"/>
                <w:kern w:val="0"/>
                <w:sz w:val="24"/>
                <w:szCs w:val="24"/>
                <w:highlight w:val="none"/>
              </w:rPr>
              <w:t>中标总价：￥</w:t>
            </w:r>
            <w:r>
              <w:rPr>
                <w:rFonts w:hint="eastAsia" w:ascii="宋体" w:hAnsi="宋体" w:cs="宋体"/>
                <w:b/>
                <w:bCs/>
                <w:color w:val="auto"/>
                <w:sz w:val="24"/>
                <w:szCs w:val="24"/>
                <w:highlight w:val="none"/>
              </w:rPr>
              <w:t>元（人民币</w:t>
            </w:r>
            <w:r>
              <w:rPr>
                <w:rFonts w:hint="eastAsia" w:ascii="宋体" w:hAnsi="宋体" w:cs="宋体"/>
                <w:b/>
                <w:bCs/>
                <w:color w:val="auto"/>
                <w:kern w:val="0"/>
                <w:sz w:val="24"/>
                <w:szCs w:val="24"/>
                <w:highlight w:val="none"/>
              </w:rPr>
              <w:t>元整</w:t>
            </w:r>
            <w:r>
              <w:rPr>
                <w:rFonts w:hint="eastAsia" w:ascii="宋体" w:hAnsi="宋体" w:cs="宋体"/>
                <w:b/>
                <w:bCs/>
                <w:color w:val="auto"/>
                <w:sz w:val="24"/>
                <w:szCs w:val="24"/>
                <w:highlight w:val="none"/>
              </w:rPr>
              <w:t>）</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 xml:space="preserve">其中货物采购费用占中标总价的 </w:t>
            </w:r>
            <w:r>
              <w:rPr>
                <w:rFonts w:hint="eastAsia" w:ascii="宋体" w:hAnsi="宋体" w:cs="宋体"/>
                <w:bCs/>
                <w:color w:val="auto"/>
                <w:sz w:val="24"/>
                <w:szCs w:val="24"/>
                <w:highlight w:val="none"/>
                <w:u w:val="single"/>
              </w:rPr>
              <w:t xml:space="preserve">97% </w:t>
            </w:r>
            <w:r>
              <w:rPr>
                <w:rFonts w:hint="eastAsia" w:ascii="宋体" w:hAnsi="宋体" w:cs="宋体"/>
                <w:bCs/>
                <w:color w:val="auto"/>
                <w:sz w:val="24"/>
                <w:szCs w:val="24"/>
                <w:highlight w:val="none"/>
              </w:rPr>
              <w:t>（即元）通过本合同结算（即</w:t>
            </w:r>
            <w:r>
              <w:rPr>
                <w:rFonts w:hint="eastAsia" w:ascii="宋体" w:hAnsi="宋体" w:cs="宋体"/>
                <w:b/>
                <w:color w:val="auto"/>
                <w:sz w:val="24"/>
                <w:szCs w:val="24"/>
                <w:highlight w:val="none"/>
              </w:rPr>
              <w:t>本合同总价</w:t>
            </w:r>
            <w:r>
              <w:rPr>
                <w:rFonts w:hint="eastAsia" w:ascii="宋体" w:hAnsi="宋体" w:cs="宋体"/>
                <w:bCs/>
                <w:color w:val="auto"/>
                <w:sz w:val="24"/>
                <w:szCs w:val="24"/>
                <w:highlight w:val="none"/>
              </w:rPr>
              <w:t>为￥元）。货物验收完成后的保修等售后服务费用占中标总价的</w:t>
            </w:r>
            <w:r>
              <w:rPr>
                <w:rFonts w:hint="eastAsia" w:ascii="宋体" w:hAnsi="宋体" w:cs="宋体"/>
                <w:bCs/>
                <w:color w:val="auto"/>
                <w:sz w:val="24"/>
                <w:szCs w:val="24"/>
                <w:highlight w:val="none"/>
                <w:u w:val="single"/>
              </w:rPr>
              <w:t>3%</w:t>
            </w:r>
            <w:r>
              <w:rPr>
                <w:rFonts w:hint="eastAsia" w:ascii="宋体" w:hAnsi="宋体" w:cs="宋体"/>
                <w:bCs/>
                <w:color w:val="auto"/>
                <w:sz w:val="24"/>
                <w:szCs w:val="24"/>
                <w:highlight w:val="none"/>
              </w:rPr>
              <w:t>（即元）由买方与供应商签订服务合同单独结算，与本合同各自独立履行、互不影响。</w:t>
            </w:r>
          </w:p>
          <w:p w14:paraId="751A28F6">
            <w:pPr>
              <w:keepNext w:val="0"/>
              <w:keepLines w:val="0"/>
              <w:widowControl/>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14:paraId="6D37747D">
            <w:pPr>
              <w:keepNext w:val="0"/>
              <w:keepLines w:val="0"/>
              <w:widowControl/>
              <w:suppressLineNumbers w:val="0"/>
              <w:spacing w:before="0" w:beforeAutospacing="0" w:after="0" w:afterAutospacing="0" w:line="360" w:lineRule="auto"/>
              <w:ind w:left="0" w:right="0" w:firstLine="482" w:firstLineChars="200"/>
              <w:rPr>
                <w:rFonts w:hint="default" w:ascii="宋体" w:hAnsi="宋体" w:cs="宋体"/>
                <w:bCs/>
                <w:color w:val="auto"/>
                <w:sz w:val="24"/>
                <w:szCs w:val="24"/>
                <w:highlight w:val="none"/>
              </w:rPr>
            </w:pPr>
            <w:r>
              <w:rPr>
                <w:rFonts w:hint="eastAsia" w:ascii="宋体" w:hAnsi="宋体" w:cs="宋体"/>
                <w:b/>
                <w:bCs/>
                <w:color w:val="auto"/>
                <w:kern w:val="0"/>
                <w:sz w:val="24"/>
                <w:szCs w:val="24"/>
                <w:highlight w:val="none"/>
              </w:rPr>
              <w:t>中标总价：</w:t>
            </w:r>
            <w:r>
              <w:rPr>
                <w:rFonts w:hint="eastAsia" w:ascii="宋体" w:hAnsi="宋体" w:cs="宋体"/>
                <w:b/>
                <w:color w:val="auto"/>
                <w:sz w:val="24"/>
                <w:szCs w:val="24"/>
                <w:highlight w:val="none"/>
              </w:rPr>
              <w:t>￥元（</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其中货物采购费用占中标总价的98.5%（即￥元）通过本合同结算（即本合同总价为￥元）。货物验收完成后的保修等售后服务费用占中标总价的1.5%（即元）由最终用户与卖方另行签订服务合同单独结算，与本合同各自独立履行、互不影响。</w:t>
            </w:r>
          </w:p>
        </w:tc>
      </w:tr>
    </w:tbl>
    <w:p w14:paraId="199ADFC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0E18163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2.1交货期：合同签订之日起个日历日内（含交货、安装并验收合格交付使用）。</w:t>
      </w:r>
    </w:p>
    <w:p w14:paraId="5974FD8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2.2交货地点：买方指定的地点。</w:t>
      </w:r>
    </w:p>
    <w:p w14:paraId="620F8B7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2.3到货签收：卖方每批次供货到买方指定地点后，买方应当对到货数量、型号等进行清点签收，买方应按第4条约定的付款条件向卖方支付约定的货款。</w:t>
      </w:r>
    </w:p>
    <w:p w14:paraId="184C02DE">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3、验收</w:t>
      </w:r>
    </w:p>
    <w:p w14:paraId="7C81E660">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3.1买方负责承担合同货物安装过程中相应的协调、配合工作。</w:t>
      </w:r>
    </w:p>
    <w:p w14:paraId="0C4364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3.2安装工作完成后，买方负责对合同货物进行验收。买方验收合格即视为最终验收合格；若无正当理由，买方超过30天仍未验收且未提出书面异议的，则视为最终验收合格。</w:t>
      </w:r>
    </w:p>
    <w:p w14:paraId="0CE90F75">
      <w:pPr>
        <w:pStyle w:val="14"/>
        <w:spacing w:line="360" w:lineRule="auto"/>
        <w:ind w:firstLine="480" w:firstLineChars="200"/>
        <w:rPr>
          <w:rFonts w:ascii="宋体" w:hAnsi="宋体"/>
          <w:color w:val="auto"/>
          <w:sz w:val="24"/>
          <w:highlight w:val="none"/>
        </w:rPr>
      </w:pPr>
      <w:r>
        <w:rPr>
          <w:rFonts w:hint="eastAsia" w:ascii="宋体" w:hAnsi="宋体"/>
          <w:color w:val="auto"/>
          <w:sz w:val="24"/>
          <w:highlight w:val="none"/>
        </w:rPr>
        <w:t>3.3买方在货物安装完毕后发现货物存在问题的，应在货物交付后</w:t>
      </w:r>
      <w:r>
        <w:rPr>
          <w:rFonts w:hint="eastAsia" w:ascii="宋体" w:hAnsi="宋体"/>
          <w:color w:val="auto"/>
          <w:sz w:val="24"/>
          <w:highlight w:val="none"/>
          <w:u w:val="single"/>
        </w:rPr>
        <w:t xml:space="preserve"> 5 </w:t>
      </w:r>
      <w:r>
        <w:rPr>
          <w:rFonts w:hint="eastAsia" w:ascii="宋体" w:hAnsi="宋体"/>
          <w:color w:val="auto"/>
          <w:sz w:val="24"/>
          <w:highlight w:val="none"/>
        </w:rPr>
        <w:t>个工作日内向卖方提出书面异议，逾期提出书面异议的，视为最终验收合格。</w:t>
      </w:r>
    </w:p>
    <w:p w14:paraId="05A632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3.4最终验收时，买方填写《厦门市大宗货物政府采购供货验收单》中货物相关信息，签署验收意见和加盖公章，并分别提供一份给供应商和卖方。</w:t>
      </w:r>
    </w:p>
    <w:p w14:paraId="082E448E">
      <w:pPr>
        <w:tabs>
          <w:tab w:val="left" w:pos="5130"/>
        </w:tabs>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4、付款方式</w:t>
      </w:r>
    </w:p>
    <w:p w14:paraId="1AE9423E">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4.1合同签订后15个工作日内，买方向卖方支付合同总价</w:t>
      </w:r>
      <w:r>
        <w:rPr>
          <w:rFonts w:hint="eastAsia" w:ascii="宋体" w:hAnsi="宋体" w:cs="宋体"/>
          <w:color w:val="auto"/>
          <w:sz w:val="24"/>
          <w:szCs w:val="24"/>
          <w:highlight w:val="none"/>
          <w:u w:val="single"/>
        </w:rPr>
        <w:t>30</w:t>
      </w:r>
      <w:r>
        <w:rPr>
          <w:rFonts w:hint="eastAsia" w:ascii="宋体" w:hAnsi="宋体" w:cs="宋体"/>
          <w:color w:val="auto"/>
          <w:sz w:val="24"/>
          <w:szCs w:val="24"/>
          <w:highlight w:val="none"/>
        </w:rPr>
        <w:t>%的预付款。</w:t>
      </w:r>
    </w:p>
    <w:p w14:paraId="2591C8AC">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4.2卖方供货安装、调试完毕，买方验收合格后，卖方开具本合同总价100%的正规发票和全部货物清单给买方，买方在15个工作日内支付至本合同总价</w:t>
      </w:r>
      <w:r>
        <w:rPr>
          <w:rFonts w:hint="eastAsia" w:ascii="宋体" w:hAnsi="宋体" w:cs="宋体"/>
          <w:color w:val="auto"/>
          <w:sz w:val="24"/>
          <w:szCs w:val="24"/>
          <w:highlight w:val="none"/>
          <w:u w:val="single"/>
        </w:rPr>
        <w:t xml:space="preserve"> 100 </w:t>
      </w:r>
      <w:r>
        <w:rPr>
          <w:rFonts w:hint="eastAsia" w:ascii="宋体" w:hAnsi="宋体" w:cs="宋体"/>
          <w:color w:val="auto"/>
          <w:sz w:val="24"/>
          <w:szCs w:val="24"/>
          <w:highlight w:val="none"/>
        </w:rPr>
        <w:t>%的款项。</w:t>
      </w:r>
    </w:p>
    <w:p w14:paraId="653CB67F">
      <w:pPr>
        <w:tabs>
          <w:tab w:val="left" w:pos="5130"/>
        </w:tabs>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4.3付款时需具备以下材料：</w:t>
      </w:r>
    </w:p>
    <w:p w14:paraId="61C6503E">
      <w:pPr>
        <w:tabs>
          <w:tab w:val="left" w:pos="5130"/>
        </w:tabs>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（1）买方签署的《厦门市大宗货物政府采购供货验收单》；</w:t>
      </w:r>
    </w:p>
    <w:p w14:paraId="1FEE135A">
      <w:pPr>
        <w:tabs>
          <w:tab w:val="left" w:pos="5130"/>
        </w:tabs>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（2）货物发票（需附清单）；</w:t>
      </w:r>
    </w:p>
    <w:p w14:paraId="15E0480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4.4卖方指定收款账户如下：</w:t>
      </w:r>
    </w:p>
    <w:p w14:paraId="00F9BF3B">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卖方全称：厦门万翔网络商务有限公司</w:t>
      </w:r>
    </w:p>
    <w:p w14:paraId="0A8B92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中国建设银行股份有限公司厦门自贸试验区航空港支行</w:t>
      </w:r>
    </w:p>
    <w:p w14:paraId="00DB69EA">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35101570201052503924</w:t>
      </w:r>
    </w:p>
    <w:p w14:paraId="76429619">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5、售后服务</w:t>
      </w:r>
    </w:p>
    <w:p w14:paraId="51F9FE6E">
      <w:pPr>
        <w:tabs>
          <w:tab w:val="left" w:pos="0"/>
        </w:tabs>
        <w:adjustRightInd w:val="0"/>
        <w:spacing w:line="360" w:lineRule="auto"/>
        <w:ind w:firstLine="480" w:firstLineChars="200"/>
        <w:rPr>
          <w:rFonts w:ascii="宋体" w:hAnsi="宋体" w:cs="宋体"/>
          <w:bCs/>
          <w:color w:val="auto"/>
          <w:kern w:val="0"/>
          <w:sz w:val="24"/>
          <w:szCs w:val="24"/>
          <w:highlight w:val="none"/>
          <w:u w:val="single"/>
        </w:rPr>
      </w:pP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rPr>
        <w:t>中标/成交供应商</w:t>
      </w:r>
      <w:r>
        <w:rPr>
          <w:rFonts w:hint="eastAsia" w:ascii="宋体" w:hAnsi="宋体" w:cs="宋体"/>
          <w:bCs/>
          <w:color w:val="auto"/>
          <w:kern w:val="0"/>
          <w:sz w:val="24"/>
          <w:szCs w:val="24"/>
          <w:highlight w:val="none"/>
          <w:u w:val="single"/>
        </w:rPr>
        <w:t>提供，买方应就货物保修等售后服务与供应商另行签订相应服务合同，卖方不向买方承担保修等售后服务</w:t>
      </w:r>
      <w:r>
        <w:rPr>
          <w:rFonts w:ascii="宋体" w:hAnsi="宋体" w:cs="宋体"/>
          <w:bCs/>
          <w:color w:val="auto"/>
          <w:kern w:val="0"/>
          <w:sz w:val="24"/>
          <w:szCs w:val="24"/>
          <w:highlight w:val="none"/>
          <w:u w:val="single"/>
        </w:rPr>
        <w:t>义务</w:t>
      </w:r>
      <w:r>
        <w:rPr>
          <w:rFonts w:hint="eastAsia" w:ascii="宋体" w:hAnsi="宋体" w:cs="宋体"/>
          <w:bCs/>
          <w:color w:val="auto"/>
          <w:kern w:val="0"/>
          <w:sz w:val="24"/>
          <w:szCs w:val="24"/>
          <w:highlight w:val="none"/>
          <w:u w:val="single"/>
        </w:rPr>
        <w:t>。</w:t>
      </w:r>
    </w:p>
    <w:p w14:paraId="62B9A352">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6、违约责任</w:t>
      </w:r>
    </w:p>
    <w:p w14:paraId="5D8EAB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6.1除不可抗力外，买方不能在本合同规定的时间内支付相应的货款时,应向卖方支付违约金,其支付办法是,每延迟一日,违约金为逾期应付款的万分之四,依此累加。</w:t>
      </w:r>
    </w:p>
    <w:p w14:paraId="5083C4F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除不可抗力外，卖方不能按时交货或完成安装时,应提前五天以书面的形式通知买方,并征得买方同意,否则应向买方支付违约金,其支付办法是,每延迟一日,违约金为逾期交货或安装部分价款的万分之四，依此累加。</w:t>
      </w:r>
    </w:p>
    <w:p w14:paraId="5F97A7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6.3一方违反合同造成另一方损失的，违约方应向守约方承担相应的赔偿责任。本合同约定的违约金不足以弥补守约方损失的，违约方应继续承担赔偿责任。</w:t>
      </w:r>
    </w:p>
    <w:p w14:paraId="54913799">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7、不可抗力</w:t>
      </w:r>
    </w:p>
    <w:p w14:paraId="121AB4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020DB0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14:paraId="57EF0C7B">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7.3当事人一方因不可抗力的原因不能履行合同的，应及时通知对方，以减轻可能给对方造成的损失，并应当在合理期限内提供证明。</w:t>
      </w:r>
    </w:p>
    <w:p w14:paraId="40BEACD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8、合同纠纷处理方式：</w:t>
      </w:r>
    </w:p>
    <w:p w14:paraId="1C1B2BA8">
      <w:pPr>
        <w:spacing w:line="360" w:lineRule="auto"/>
        <w:ind w:firstLine="480" w:firstLineChars="200"/>
        <w:rPr>
          <w:rFonts w:ascii="宋体" w:hAnsi="宋体" w:cs="宋体"/>
          <w:color w:val="auto"/>
          <w:sz w:val="24"/>
          <w:szCs w:val="24"/>
          <w:highlight w:val="none"/>
        </w:rPr>
      </w:pPr>
      <w:r>
        <w:rPr>
          <w:rFonts w:ascii="宋体" w:hAnsi="宋体" w:eastAsia="宋体" w:cs="宋体"/>
          <w:color w:val="auto"/>
          <w:sz w:val="24"/>
          <w:szCs w:val="24"/>
          <w:highlight w:val="none"/>
        </w:rPr>
        <w:t xml:space="preserve">因履行本合同引起的或与本合同有关的争议，买卖双方应首先通过友好协商解决，如果协商不能解决争议，则向厦门仲裁委申请仲裁。在仲裁期间，除纠纷部分以外，双方应继续执行合同的其余部分 </w:t>
      </w:r>
      <w:r>
        <w:rPr>
          <w:rFonts w:hint="eastAsia" w:ascii="宋体" w:hAnsi="宋体" w:cs="宋体"/>
          <w:color w:val="auto"/>
          <w:sz w:val="24"/>
          <w:szCs w:val="24"/>
          <w:highlight w:val="none"/>
        </w:rPr>
        <w:t>。</w:t>
      </w:r>
    </w:p>
    <w:p w14:paraId="7E03731B">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9、其他约定</w:t>
      </w:r>
    </w:p>
    <w:p w14:paraId="4635E4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9.1买卖双方同意，卖方供货经买方验收完成后，卖方即履行完毕所有合同义务。</w:t>
      </w:r>
    </w:p>
    <w:p w14:paraId="3C2D962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9.2本合同未尽事宜，双方另行补充。</w:t>
      </w:r>
    </w:p>
    <w:p w14:paraId="784EFF6B">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9.3本项目的下述文件均为本合同不可分割的一部分，且应当互为解释；存在不一致时，应按下列顺序优先解释：</w:t>
      </w:r>
    </w:p>
    <w:p w14:paraId="7475349F">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（1）采购合同;</w:t>
      </w:r>
    </w:p>
    <w:p w14:paraId="0CA4B8F4">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（2）买卖合同;</w:t>
      </w:r>
    </w:p>
    <w:p w14:paraId="5807367D">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（3）招标文件及补充规定;</w:t>
      </w:r>
    </w:p>
    <w:p w14:paraId="43C084BB">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（4）投标文件及澄清说明。</w:t>
      </w:r>
    </w:p>
    <w:p w14:paraId="64D4E05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9.4本合同一式伍份，经双方签订之日起生效。买方执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份，卖方执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份，送厦门市财政局政府采购监管处备案壹份，具有同等法律效力。</w:t>
      </w:r>
    </w:p>
    <w:p w14:paraId="0380E64B">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（以下无正文）</w:t>
      </w:r>
    </w:p>
    <w:tbl>
      <w:tblPr>
        <w:tblStyle w:val="16"/>
        <w:tblW w:w="9348" w:type="dxa"/>
        <w:jc w:val="center"/>
        <w:tblLayout w:type="fixed"/>
        <w:tblCellMar>
          <w:top w:w="0" w:type="dxa"/>
          <w:left w:w="108" w:type="dxa"/>
          <w:bottom w:w="0" w:type="dxa"/>
          <w:right w:w="108" w:type="dxa"/>
        </w:tblCellMar>
      </w:tblPr>
      <w:tblGrid>
        <w:gridCol w:w="1442"/>
        <w:gridCol w:w="3121"/>
        <w:gridCol w:w="1486"/>
        <w:gridCol w:w="3299"/>
      </w:tblGrid>
      <w:tr w14:paraId="1A554D92">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F2D8BB1">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239FC523">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421F441E">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1159FB6C">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r>
              <w:rPr>
                <w:rFonts w:hint="eastAsia" w:ascii="宋体" w:hAnsi="宋体" w:cs="宋体"/>
                <w:color w:val="auto"/>
                <w:sz w:val="24"/>
                <w:szCs w:val="24"/>
                <w:highlight w:val="none"/>
              </w:rPr>
              <w:t>厦门万翔网络商务有限公司</w:t>
            </w:r>
          </w:p>
        </w:tc>
      </w:tr>
      <w:tr w14:paraId="217BAF1A">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54DF01D">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79C9C801">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1A6948E">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61C9C2ED">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r>
      <w:tr w14:paraId="34944E74">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0E655E3">
            <w:pPr>
              <w:pStyle w:val="9"/>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058F7D3E">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8A1F3F4">
            <w:pPr>
              <w:pStyle w:val="9"/>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4C72394D">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r>
      <w:tr w14:paraId="5148E081">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B91762C">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0A26DB64">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269B18C">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5396544E">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r>
      <w:tr w14:paraId="29E008C3">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D464D3D">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2084E7A2">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4B012A2B">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1DF69209">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r>
      <w:tr w14:paraId="2181E8BC">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AE5CE2E">
            <w:pPr>
              <w:pStyle w:val="9"/>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542C573C">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44FAF887">
            <w:pPr>
              <w:pStyle w:val="9"/>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039BDC99">
            <w:pPr>
              <w:pStyle w:val="12"/>
              <w:keepNext w:val="0"/>
              <w:keepLines w:val="0"/>
              <w:suppressLineNumbers w:val="0"/>
              <w:snapToGrid w:val="0"/>
              <w:ind w:left="0" w:right="0"/>
              <w:rPr>
                <w:rFonts w:hint="default"/>
                <w:color w:val="auto"/>
                <w:szCs w:val="18"/>
                <w:highlight w:val="none"/>
              </w:rPr>
            </w:pPr>
            <w:r>
              <w:rPr>
                <w:rFonts w:hint="eastAsia"/>
                <w:color w:val="auto"/>
                <w:highlight w:val="none"/>
              </w:rPr>
              <w:t>中国建设银行股份有限公司厦门自贸试验区航空港支行</w:t>
            </w:r>
          </w:p>
        </w:tc>
      </w:tr>
      <w:tr w14:paraId="4DC09CDF">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95D4236">
            <w:pPr>
              <w:pStyle w:val="9"/>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540EC5D0">
            <w:pPr>
              <w:pStyle w:val="9"/>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695D1DDA">
            <w:pPr>
              <w:pStyle w:val="9"/>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02435355">
            <w:pPr>
              <w:pStyle w:val="12"/>
              <w:keepNext w:val="0"/>
              <w:keepLines w:val="0"/>
              <w:suppressLineNumbers w:val="0"/>
              <w:snapToGrid w:val="0"/>
              <w:ind w:left="0" w:right="0"/>
              <w:rPr>
                <w:rFonts w:hint="default"/>
                <w:color w:val="auto"/>
                <w:szCs w:val="18"/>
                <w:highlight w:val="none"/>
              </w:rPr>
            </w:pPr>
            <w:r>
              <w:rPr>
                <w:rFonts w:hint="eastAsia"/>
                <w:color w:val="auto"/>
                <w:highlight w:val="none"/>
              </w:rPr>
              <w:t xml:space="preserve">35101570201052503924  </w:t>
            </w:r>
          </w:p>
        </w:tc>
      </w:tr>
      <w:tr w14:paraId="4EB7516A">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4308914">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7F09BD44">
            <w:pPr>
              <w:pStyle w:val="9"/>
              <w:keepNext w:val="0"/>
              <w:keepLines w:val="0"/>
              <w:suppressLineNumbers w:val="0"/>
              <w:autoSpaceDE w:val="0"/>
              <w:spacing w:before="0" w:beforeAutospacing="0" w:after="0" w:afterAutospacing="0" w:line="360" w:lineRule="auto"/>
              <w:ind w:left="0" w:right="0"/>
              <w:rPr>
                <w:rFonts w:hint="default" w:ascii="宋体" w:hAnsi="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4277B1F9">
            <w:pPr>
              <w:pStyle w:val="9"/>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4DE8CABD">
            <w:pPr>
              <w:pStyle w:val="9"/>
              <w:keepNext w:val="0"/>
              <w:keepLines w:val="0"/>
              <w:suppressLineNumbers w:val="0"/>
              <w:autoSpaceDE w:val="0"/>
              <w:spacing w:before="0" w:beforeAutospacing="0" w:after="0" w:afterAutospacing="0" w:line="360" w:lineRule="auto"/>
              <w:ind w:left="0" w:right="0"/>
              <w:rPr>
                <w:rFonts w:hint="default" w:ascii="宋体" w:hAnsi="宋体"/>
                <w:color w:val="auto"/>
                <w:sz w:val="24"/>
                <w:szCs w:val="24"/>
                <w:highlight w:val="none"/>
              </w:rPr>
            </w:pPr>
          </w:p>
        </w:tc>
      </w:tr>
    </w:tbl>
    <w:p w14:paraId="5EA5D3AB">
      <w:pPr>
        <w:pStyle w:val="57"/>
        <w:widowControl/>
        <w:ind w:left="-850" w:leftChars="-405" w:firstLine="561"/>
        <w:rPr>
          <w:rFonts w:hint="default" w:ascii="华文楷体" w:hAnsi="华文楷体" w:eastAsia="华文楷体" w:cs="华文楷体"/>
          <w:b/>
          <w:color w:val="auto"/>
          <w:sz w:val="28"/>
          <w:szCs w:val="28"/>
          <w:highlight w:val="none"/>
        </w:rPr>
        <w:sectPr>
          <w:footerReference r:id="rId10" w:type="default"/>
          <w:pgSz w:w="11906" w:h="16838"/>
          <w:pgMar w:top="1440" w:right="1800" w:bottom="1440" w:left="1800" w:header="851" w:footer="992" w:gutter="0"/>
          <w:cols w:space="720" w:num="1"/>
          <w:docGrid w:type="lines" w:linePitch="312" w:charSpace="0"/>
        </w:sectPr>
      </w:pPr>
    </w:p>
    <w:p w14:paraId="183FDDA3">
      <w:pPr>
        <w:pStyle w:val="57"/>
        <w:widowControl/>
        <w:ind w:left="-850" w:leftChars="-405" w:firstLine="561"/>
        <w:rPr>
          <w:rFonts w:hint="default"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1</w:t>
      </w:r>
      <w:r>
        <w:rPr>
          <w:rFonts w:hint="default" w:ascii="华文楷体" w:hAnsi="华文楷体" w:eastAsia="华文楷体" w:cs="华文楷体"/>
          <w:b/>
          <w:color w:val="auto"/>
          <w:sz w:val="28"/>
          <w:szCs w:val="28"/>
          <w:highlight w:val="none"/>
        </w:rPr>
        <w:t>：供货清单</w:t>
      </w:r>
    </w:p>
    <w:p w14:paraId="1A93A139">
      <w:pPr>
        <w:pStyle w:val="56"/>
        <w:rPr>
          <w:rFonts w:ascii="宋体" w:hAnsi="宋体" w:cs="宋体"/>
          <w:color w:val="auto"/>
          <w:sz w:val="24"/>
          <w:szCs w:val="24"/>
          <w:highlight w:val="none"/>
        </w:rPr>
      </w:pPr>
    </w:p>
    <w:tbl>
      <w:tblPr>
        <w:tblStyle w:val="16"/>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5D17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noWrap/>
            <w:vAlign w:val="center"/>
          </w:tcPr>
          <w:p w14:paraId="10A3217B">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序号</w:t>
            </w:r>
          </w:p>
        </w:tc>
        <w:tc>
          <w:tcPr>
            <w:tcW w:w="1272" w:type="dxa"/>
            <w:noWrap/>
            <w:vAlign w:val="center"/>
          </w:tcPr>
          <w:p w14:paraId="7EA6D704">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名  称</w:t>
            </w:r>
          </w:p>
        </w:tc>
        <w:tc>
          <w:tcPr>
            <w:tcW w:w="821" w:type="dxa"/>
            <w:noWrap/>
            <w:vAlign w:val="center"/>
          </w:tcPr>
          <w:p w14:paraId="52E1FC3E">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数量</w:t>
            </w:r>
          </w:p>
        </w:tc>
        <w:tc>
          <w:tcPr>
            <w:tcW w:w="994" w:type="dxa"/>
            <w:noWrap/>
            <w:vAlign w:val="center"/>
          </w:tcPr>
          <w:p w14:paraId="7CD72F9E">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原产地</w:t>
            </w:r>
          </w:p>
        </w:tc>
        <w:tc>
          <w:tcPr>
            <w:tcW w:w="1445" w:type="dxa"/>
            <w:noWrap/>
            <w:vAlign w:val="center"/>
          </w:tcPr>
          <w:p w14:paraId="5A84FAC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制  造  商</w:t>
            </w:r>
          </w:p>
        </w:tc>
        <w:tc>
          <w:tcPr>
            <w:tcW w:w="2977" w:type="dxa"/>
            <w:noWrap/>
            <w:vAlign w:val="center"/>
          </w:tcPr>
          <w:p w14:paraId="6D25A3D4">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规   格   型   号</w:t>
            </w:r>
          </w:p>
        </w:tc>
        <w:tc>
          <w:tcPr>
            <w:tcW w:w="1276" w:type="dxa"/>
            <w:noWrap/>
            <w:vAlign w:val="center"/>
          </w:tcPr>
          <w:p w14:paraId="1B7A7DA3">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单价（元）</w:t>
            </w:r>
          </w:p>
        </w:tc>
        <w:tc>
          <w:tcPr>
            <w:tcW w:w="1417" w:type="dxa"/>
            <w:noWrap/>
          </w:tcPr>
          <w:p w14:paraId="679AAE1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sz w:val="24"/>
                <w:szCs w:val="24"/>
                <w:highlight w:val="none"/>
              </w:rPr>
            </w:pPr>
            <w:r>
              <w:rPr>
                <w:rFonts w:hint="eastAsia" w:ascii="华文楷体" w:hAnsi="华文楷体" w:eastAsia="华文楷体" w:cs="宋体"/>
                <w:b/>
                <w:color w:val="auto"/>
                <w:sz w:val="24"/>
                <w:szCs w:val="24"/>
                <w:highlight w:val="none"/>
              </w:rPr>
              <w:t>金额（元）</w:t>
            </w:r>
          </w:p>
        </w:tc>
      </w:tr>
      <w:tr w14:paraId="6F64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309631B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7F938E7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3385442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5CF2C23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5F70B29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17F579D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24A0EC9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743874A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5EE3B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35B0DC6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1E6D4D8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7074630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1EE6BBFB">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2D6FEA4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2050A5D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0C57711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65268BE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8959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4BD2452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122FE6B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128DF33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682435A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1442ADA0">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5CF377D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11CEEE0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5C1168F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D8F0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2832C1D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5233707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4F98698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26919A81">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5EEA8EE7">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740F41E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208AEF4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44CC9D1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611E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2C38715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496B8DF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5054AF7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0EB6BF64">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688550FE">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379DA6D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3C91C03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7CE73B5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2456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1B724C0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468483F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71F075E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2E6AD03B">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26BD8964">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6A42C01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41531EE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77DE2B4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52D4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2B0E098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16F816A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636745F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728DA254">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289F1035">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0FBEF82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710F9C2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1CE51AF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836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6D2F60B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6F265E1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1039131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6E9405E1">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1FD73143">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4784EEF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38CD9E4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0ADDD81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9A96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4BCF6EF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58273F5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0A5D85F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69089101">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161C3458">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54EBC939">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411D7CC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1E60D02E">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93E5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3DFF724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32BDA36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41C0693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208F5E78">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6655E3B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6B45E26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5F5F670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4FE397A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F61C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5830643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50287F1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22E157A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09087F26">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602089D6">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729888F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76EE962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5B2018B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6DE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5F777AB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2FDA89EB">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78E078C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1064C092">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45F905AF">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53069A2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5B1F4FD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4072A60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71D29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2BC06BD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010A4264">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035CCDF8">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737B8AE0">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7B7AE2DF">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1C055D36">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770469F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7845A283">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275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5BC85AB0">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1272" w:type="dxa"/>
            <w:noWrap/>
            <w:vAlign w:val="center"/>
          </w:tcPr>
          <w:p w14:paraId="4DE6585F">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ign w:val="center"/>
          </w:tcPr>
          <w:p w14:paraId="09FC6F2A">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ign w:val="center"/>
          </w:tcPr>
          <w:p w14:paraId="4ED8424D">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1445" w:type="dxa"/>
            <w:noWrap/>
            <w:vAlign w:val="center"/>
          </w:tcPr>
          <w:p w14:paraId="3FB53CAB">
            <w:pPr>
              <w:pStyle w:val="58"/>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color w:val="auto"/>
                <w:sz w:val="24"/>
                <w:szCs w:val="24"/>
                <w:highlight w:val="none"/>
              </w:rPr>
            </w:pPr>
          </w:p>
        </w:tc>
        <w:tc>
          <w:tcPr>
            <w:tcW w:w="2977" w:type="dxa"/>
            <w:noWrap/>
            <w:vAlign w:val="center"/>
          </w:tcPr>
          <w:p w14:paraId="2B389E02">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noWrap/>
            <w:vAlign w:val="center"/>
          </w:tcPr>
          <w:p w14:paraId="629DF485">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2D8C00AD">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374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noWrap/>
            <w:vAlign w:val="center"/>
          </w:tcPr>
          <w:p w14:paraId="59673FA1">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60" w:lineRule="exact"/>
              <w:ind w:left="0" w:right="0"/>
              <w:rPr>
                <w:rFonts w:hint="default" w:ascii="华文楷体" w:hAnsi="华文楷体" w:eastAsia="华文楷体" w:cs="宋体"/>
                <w:b/>
                <w:color w:val="auto"/>
                <w:kern w:val="0"/>
                <w:sz w:val="24"/>
                <w:highlight w:val="none"/>
              </w:rPr>
            </w:pPr>
            <w:r>
              <w:rPr>
                <w:rFonts w:hint="eastAsia" w:ascii="华文楷体" w:hAnsi="华文楷体" w:eastAsia="华文楷体"/>
                <w:b/>
                <w:color w:val="auto"/>
                <w:kern w:val="0"/>
                <w:sz w:val="24"/>
                <w:highlight w:val="none"/>
              </w:rPr>
              <w:t>合计（元）：</w:t>
            </w:r>
          </w:p>
        </w:tc>
        <w:tc>
          <w:tcPr>
            <w:tcW w:w="1276" w:type="dxa"/>
            <w:noWrap/>
            <w:vAlign w:val="center"/>
          </w:tcPr>
          <w:p w14:paraId="25251FFC">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c>
          <w:tcPr>
            <w:tcW w:w="1417" w:type="dxa"/>
            <w:noWrap/>
            <w:vAlign w:val="center"/>
          </w:tcPr>
          <w:p w14:paraId="45B672A7">
            <w:pPr>
              <w:keepNext w:val="0"/>
              <w:keepLines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bl>
    <w:p w14:paraId="34DBFACA">
      <w:pPr>
        <w:pStyle w:val="57"/>
        <w:widowControl/>
        <w:ind w:left="-850" w:leftChars="-405" w:firstLine="561"/>
        <w:rPr>
          <w:rFonts w:hint="default" w:ascii="华文楷体" w:hAnsi="华文楷体" w:eastAsia="华文楷体" w:cs="华文楷体"/>
          <w:b/>
          <w:color w:val="auto"/>
          <w:sz w:val="28"/>
          <w:szCs w:val="28"/>
          <w:highlight w:val="none"/>
        </w:rPr>
        <w:sectPr>
          <w:pgSz w:w="11906" w:h="16838"/>
          <w:pgMar w:top="1440" w:right="1800" w:bottom="1440" w:left="1800" w:header="851" w:footer="992" w:gutter="0"/>
          <w:cols w:space="720" w:num="1"/>
          <w:docGrid w:type="lines" w:linePitch="312" w:charSpace="0"/>
        </w:sectPr>
      </w:pPr>
    </w:p>
    <w:p w14:paraId="5A32746C">
      <w:pPr>
        <w:pStyle w:val="57"/>
        <w:widowControl/>
        <w:ind w:left="-850" w:leftChars="-405" w:firstLine="561"/>
        <w:rPr>
          <w:rFonts w:hint="default" w:eastAsia="华文楷体"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2</w:t>
      </w:r>
      <w:r>
        <w:rPr>
          <w:rFonts w:hint="default" w:ascii="华文楷体" w:hAnsi="华文楷体" w:eastAsia="华文楷体" w:cs="华文楷体"/>
          <w:b/>
          <w:color w:val="auto"/>
          <w:sz w:val="28"/>
          <w:szCs w:val="28"/>
          <w:highlight w:val="none"/>
        </w:rPr>
        <w:t>：</w:t>
      </w:r>
      <w:r>
        <w:rPr>
          <w:rFonts w:ascii="华文楷体" w:hAnsi="华文楷体" w:eastAsia="华文楷体" w:cs="华文楷体"/>
          <w:b/>
          <w:color w:val="auto"/>
          <w:sz w:val="28"/>
          <w:szCs w:val="28"/>
          <w:highlight w:val="none"/>
        </w:rPr>
        <w:t>厦门市大宗货物政府采购供货验收单</w:t>
      </w:r>
    </w:p>
    <w:p w14:paraId="3059CDD1">
      <w:pPr>
        <w:rPr>
          <w:rFonts w:ascii="宋体" w:hAnsi="宋体" w:cs="宋体"/>
          <w:color w:val="auto"/>
          <w:sz w:val="24"/>
          <w:szCs w:val="24"/>
          <w:highlight w:val="none"/>
        </w:rPr>
      </w:pPr>
    </w:p>
    <w:p w14:paraId="4CD8B9CD">
      <w:pPr>
        <w:pStyle w:val="56"/>
        <w:rPr>
          <w:color w:val="auto"/>
          <w:highlight w:val="none"/>
        </w:rPr>
      </w:pPr>
      <w:r>
        <w:rPr>
          <w:rFonts w:ascii="宋体" w:hAnsi="宋体"/>
          <w:b/>
          <w:color w:val="auto"/>
          <w:sz w:val="36"/>
          <w:szCs w:val="36"/>
          <w:highlight w:val="none"/>
        </w:rPr>
        <w:pict>
          <v:shape id="_x0000_i1026" o:spt="75" alt="副本验收报告格式(最终稿）(2)" type="#_x0000_t75" style="height:593.25pt;width:415.5pt;" filled="f" o:preferrelative="t" stroked="f" coordsize="21600,21600">
            <v:path/>
            <v:fill on="f" focussize="0,0"/>
            <v:stroke on="f" joinstyle="miter"/>
            <v:imagedata o:title=""/>
            <o:lock v:ext="edit" aspectratio="t"/>
            <w10:wrap type="none"/>
            <w10:anchorlock/>
          </v:shape>
        </w:pict>
      </w:r>
    </w:p>
    <w:sectPr>
      <w:footerReference r:id="rId11"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PingFang SC">
    <w:altName w:val="宋体"/>
    <w:panose1 w:val="00000000000000000000"/>
    <w:charset w:val="86"/>
    <w:family w:val="auto"/>
    <w:pitch w:val="default"/>
    <w:sig w:usb0="00000000" w:usb1="00000000" w:usb2="00000017" w:usb3="00000000" w:csb0="00040001" w:csb1="00000000"/>
  </w:font>
  <w:font w:name="微软雅黑 Light">
    <w:panose1 w:val="020B0502040204020203"/>
    <w:charset w:val="86"/>
    <w:family w:val="swiss"/>
    <w:pitch w:val="default"/>
    <w:sig w:usb0="80000287" w:usb1="2ACF0010"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980B6">
    <w:pPr>
      <w:pStyle w:val="9"/>
      <w:jc w:val="center"/>
    </w:pPr>
    <w:r>
      <w:rPr>
        <w:rFonts w:hint="eastAsia"/>
      </w:rPr>
      <w:t>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FF134">
    <w:pPr>
      <w:pStyle w:val="9"/>
      <w:rPr>
        <w:rFonts w:ascii="宋体" w:hAnsi="宋体"/>
      </w:rPr>
    </w:pPr>
    <w:r>
      <w:rPr>
        <w:rFonts w:ascii="宋体" w:hAnsi="宋体"/>
      </w:rPr>
      <w:t xml:space="preserve"> 1-</w:t>
    </w:r>
    <w:r>
      <w:rPr>
        <w:rFonts w:ascii="宋体" w:hAnsi="宋体"/>
      </w:rPr>
      <w:fldChar w:fldCharType="begin"/>
    </w:r>
    <w:r>
      <w:rPr>
        <w:rStyle w:val="20"/>
        <w:rFonts w:ascii="宋体" w:hAnsi="宋体"/>
      </w:rPr>
      <w:instrText xml:space="preserve"> PAGE </w:instrText>
    </w:r>
    <w:r>
      <w:rPr>
        <w:rFonts w:ascii="宋体" w:hAnsi="宋体"/>
      </w:rPr>
      <w:fldChar w:fldCharType="separate"/>
    </w:r>
    <w:r>
      <w:rPr>
        <w:rStyle w:val="20"/>
        <w:rFonts w:ascii="宋体" w:hAnsi="宋体"/>
      </w:rPr>
      <w:t>4</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136F6">
    <w:pPr>
      <w:pStyle w:val="9"/>
      <w:jc w:val="center"/>
      <w:rPr>
        <w:rFonts w:ascii="宋体" w:hAnsi="宋体"/>
      </w:rPr>
    </w:pPr>
    <w:r>
      <w:rPr>
        <w:rStyle w:val="20"/>
        <w:rFonts w:ascii="宋体" w:hAnsi="宋体"/>
        <w:szCs w:val="20"/>
      </w:rPr>
      <w:t>2-1-</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23</w:t>
    </w:r>
    <w:r>
      <w:rPr>
        <w:rFonts w:ascii="宋体" w:hAnsi="宋体"/>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4FAAD">
    <w:pPr>
      <w:pStyle w:val="9"/>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11</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B4E7B">
    <w:pPr>
      <w:pStyle w:val="9"/>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17</w:t>
    </w:r>
    <w:r>
      <w:rPr>
        <w:rFonts w:ascii="宋体" w:hAnsi="宋体"/>
        <w:szCs w:val="20"/>
      </w:rPr>
      <w:fldChar w:fldCharType="end"/>
    </w:r>
  </w:p>
  <w:p w14:paraId="695E1574">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232D8">
    <w:pPr>
      <w:pStyle w:val="9"/>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23</w:t>
    </w:r>
    <w:r>
      <w:rPr>
        <w:rFonts w:ascii="宋体" w:hAnsi="宋体"/>
        <w:szCs w:val="20"/>
      </w:rPr>
      <w:fldChar w:fldCharType="end"/>
    </w:r>
    <w:r>
      <w:pict>
        <v:shape id="文本框 1025"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OqXm5zwAAAAUBAAAPAAAA&#10;AAAAAAEAIAAAACIAAABkcnMvZG93bnJldi54bWxQSwECFAAUAAAACACHTuJAAAEk8+UBAADPAwAA&#10;DgAAAAAAAAABACAAAAAeAQAAZHJzL2Uyb0RvYy54bWxQSwUGAAAAAAYABgBZAQAAdQUAAAAA&#10;">
          <v:path/>
          <v:fill on="f" focussize="0,0"/>
          <v:stroke on="f" joinstyle="miter"/>
          <v:imagedata o:title=""/>
          <o:lock v:ext="edit"/>
          <v:textbox inset="0mm,0mm,0mm,0mm" style="mso-fit-shape-to-text:t;">
            <w:txbxContent>
              <w:p w14:paraId="65C22A17">
                <w:pPr>
                  <w:pStyle w:val="9"/>
                </w:pP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24604">
    <w:pPr>
      <w:pStyle w:val="9"/>
      <w:tabs>
        <w:tab w:val="right" w:pos="8460"/>
        <w:tab w:val="clear" w:pos="8306"/>
      </w:tabs>
      <w:ind w:right="-89" w:firstLine="420"/>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2</w:t>
    </w:r>
    <w:r>
      <w:rPr>
        <w:rFonts w:ascii="宋体" w:hAnsi="宋体"/>
        <w:szCs w:val="20"/>
      </w:rPr>
      <w:fldChar w:fldCharType="end"/>
    </w:r>
  </w:p>
  <w:p w14:paraId="28E6104E"/>
  <w:p w14:paraId="2114EEC3"/>
  <w:p w14:paraId="3D75CB0C"/>
  <w:p w14:paraId="312B58CA"/>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50050">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3F848">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078D2B71"/>
    <w:rsid w:val="258620D1"/>
    <w:rsid w:val="50872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36"/>
    <w:qFormat/>
    <w:uiPriority w:val="0"/>
    <w:pPr>
      <w:ind w:firstLine="420"/>
    </w:pPr>
    <w:rPr>
      <w:rFonts w:ascii="Times New Roman" w:hAnsi="Times New Roman" w:eastAsia="宋体" w:cs="Times New Roman"/>
      <w:szCs w:val="20"/>
    </w:rPr>
  </w:style>
  <w:style w:type="paragraph" w:styleId="3">
    <w:name w:val="annotation text"/>
    <w:basedOn w:val="1"/>
    <w:link w:val="26"/>
    <w:qFormat/>
    <w:uiPriority w:val="0"/>
    <w:pPr>
      <w:jc w:val="left"/>
    </w:pPr>
    <w:rPr>
      <w:rFonts w:ascii="Times New Roman" w:hAnsi="Times New Roman" w:eastAsia="宋体" w:cs="Times New Roman"/>
    </w:rPr>
  </w:style>
  <w:style w:type="paragraph" w:styleId="4">
    <w:name w:val="Body Text"/>
    <w:basedOn w:val="1"/>
    <w:link w:val="27"/>
    <w:qFormat/>
    <w:uiPriority w:val="0"/>
    <w:rPr>
      <w:rFonts w:ascii="宋体" w:hAnsi="宋体" w:eastAsia="幼圆" w:cs="宋体"/>
      <w:bCs/>
      <w:sz w:val="24"/>
      <w:szCs w:val="24"/>
    </w:rPr>
  </w:style>
  <w:style w:type="paragraph" w:styleId="5">
    <w:name w:val="Body Text Indent"/>
    <w:basedOn w:val="1"/>
    <w:next w:val="1"/>
    <w:link w:val="28"/>
    <w:qFormat/>
    <w:uiPriority w:val="0"/>
    <w:pPr>
      <w:ind w:left="420" w:leftChars="200"/>
    </w:pPr>
    <w:rPr>
      <w:rFonts w:ascii="Times New Roman" w:hAnsi="Times New Roman" w:eastAsia="宋体" w:cs="Times New Roman"/>
    </w:rPr>
  </w:style>
  <w:style w:type="paragraph" w:styleId="6">
    <w:name w:val="Plain Text"/>
    <w:basedOn w:val="1"/>
    <w:link w:val="37"/>
    <w:qFormat/>
    <w:uiPriority w:val="0"/>
    <w:rPr>
      <w:rFonts w:ascii="宋体" w:hAnsi="Courier New" w:eastAsia="宋体" w:cs="Times New Roman"/>
      <w:szCs w:val="20"/>
    </w:rPr>
  </w:style>
  <w:style w:type="paragraph" w:styleId="7">
    <w:name w:val="Body Text Indent 2"/>
    <w:basedOn w:val="1"/>
    <w:link w:val="30"/>
    <w:qFormat/>
    <w:uiPriority w:val="0"/>
    <w:pPr>
      <w:spacing w:after="120" w:line="480" w:lineRule="auto"/>
      <w:ind w:left="420"/>
    </w:pPr>
    <w:rPr>
      <w:rFonts w:ascii="Times New Roman" w:hAnsi="Times New Roman" w:eastAsia="宋体" w:cs="Times New Roman"/>
      <w:szCs w:val="20"/>
    </w:rPr>
  </w:style>
  <w:style w:type="paragraph" w:styleId="8">
    <w:name w:val="Balloon Text"/>
    <w:basedOn w:val="1"/>
    <w:link w:val="31"/>
    <w:unhideWhenUsed/>
    <w:qFormat/>
    <w:uiPriority w:val="99"/>
    <w:rPr>
      <w:rFonts w:ascii="Times New Roman" w:hAnsi="Times New Roman" w:eastAsia="宋体" w:cs="Times New Roman"/>
      <w:sz w:val="18"/>
      <w:szCs w:val="18"/>
    </w:rPr>
  </w:style>
  <w:style w:type="paragraph" w:styleId="9">
    <w:name w:val="footer"/>
    <w:basedOn w:val="1"/>
    <w:link w:val="25"/>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3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styleId="13">
    <w:name w:val="annotation subject"/>
    <w:basedOn w:val="3"/>
    <w:next w:val="3"/>
    <w:link w:val="33"/>
    <w:unhideWhenUsed/>
    <w:qFormat/>
    <w:uiPriority w:val="99"/>
    <w:rPr>
      <w:b/>
      <w:bCs/>
    </w:rPr>
  </w:style>
  <w:style w:type="paragraph" w:styleId="14">
    <w:name w:val="Body Text First Indent"/>
    <w:basedOn w:val="4"/>
    <w:link w:val="34"/>
    <w:qFormat/>
    <w:uiPriority w:val="0"/>
    <w:pPr>
      <w:spacing w:after="120"/>
      <w:ind w:firstLine="420" w:firstLineChars="100"/>
    </w:pPr>
    <w:rPr>
      <w:rFonts w:ascii="Times New Roman" w:hAnsi="Times New Roman" w:eastAsia="宋体"/>
      <w:bCs w:val="0"/>
      <w:sz w:val="21"/>
    </w:rPr>
  </w:style>
  <w:style w:type="paragraph" w:styleId="15">
    <w:name w:val="Body Text First Indent 2"/>
    <w:basedOn w:val="5"/>
    <w:next w:val="1"/>
    <w:link w:val="35"/>
    <w:qFormat/>
    <w:uiPriority w:val="0"/>
    <w:pPr>
      <w:ind w:firstLine="420" w:firstLineChars="200"/>
    </w:pPr>
  </w:style>
  <w:style w:type="table" w:styleId="17">
    <w:name w:val="Table Grid"/>
    <w:basedOn w:val="16"/>
    <w:qFormat/>
    <w:uiPriority w:val="59"/>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9">
    <w:name w:val="Strong"/>
    <w:basedOn w:val="18"/>
    <w:qFormat/>
    <w:uiPriority w:val="22"/>
    <w:rPr>
      <w:rFonts w:ascii="Times New Roman" w:hAnsi="Times New Roman" w:eastAsia="宋体" w:cs="Times New Roman"/>
      <w:b/>
      <w:bCs/>
    </w:rPr>
  </w:style>
  <w:style w:type="character" w:styleId="20">
    <w:name w:val="page number"/>
    <w:basedOn w:val="18"/>
    <w:qFormat/>
    <w:uiPriority w:val="0"/>
    <w:rPr>
      <w:rFonts w:ascii="Times New Roman" w:hAnsi="Times New Roman" w:eastAsia="宋体" w:cs="Times New Roman"/>
    </w:rPr>
  </w:style>
  <w:style w:type="character" w:styleId="21">
    <w:name w:val="Emphasis"/>
    <w:basedOn w:val="18"/>
    <w:qFormat/>
    <w:uiPriority w:val="20"/>
    <w:rPr>
      <w:rFonts w:ascii="Times New Roman" w:hAnsi="Times New Roman" w:eastAsia="宋体" w:cs="Times New Roman"/>
      <w:i/>
      <w:iCs/>
    </w:rPr>
  </w:style>
  <w:style w:type="character" w:styleId="22">
    <w:name w:val="Hyperlink"/>
    <w:basedOn w:val="18"/>
    <w:unhideWhenUsed/>
    <w:qFormat/>
    <w:uiPriority w:val="0"/>
    <w:rPr>
      <w:rFonts w:ascii="Times New Roman" w:hAnsi="Times New Roman" w:eastAsia="宋体" w:cs="Times New Roman"/>
      <w:color w:val="0000FF"/>
      <w:u w:val="single"/>
    </w:rPr>
  </w:style>
  <w:style w:type="character" w:styleId="23">
    <w:name w:val="annotation reference"/>
    <w:basedOn w:val="18"/>
    <w:semiHidden/>
    <w:unhideWhenUsed/>
    <w:qFormat/>
    <w:uiPriority w:val="99"/>
    <w:rPr>
      <w:rFonts w:ascii="Times New Roman" w:hAnsi="Times New Roman" w:eastAsia="宋体" w:cs="Times New Roman"/>
      <w:sz w:val="21"/>
      <w:szCs w:val="21"/>
    </w:rPr>
  </w:style>
  <w:style w:type="character" w:customStyle="1" w:styleId="24">
    <w:name w:val="页眉 Char"/>
    <w:basedOn w:val="18"/>
    <w:link w:val="10"/>
    <w:qFormat/>
    <w:uiPriority w:val="0"/>
    <w:rPr>
      <w:rFonts w:ascii="Times New Roman" w:hAnsi="Times New Roman" w:eastAsia="宋体" w:cs="Times New Roman"/>
      <w:sz w:val="18"/>
      <w:szCs w:val="18"/>
    </w:rPr>
  </w:style>
  <w:style w:type="character" w:customStyle="1" w:styleId="25">
    <w:name w:val="页脚 Char"/>
    <w:basedOn w:val="18"/>
    <w:link w:val="9"/>
    <w:qFormat/>
    <w:uiPriority w:val="99"/>
    <w:rPr>
      <w:rFonts w:ascii="Times New Roman" w:hAnsi="Times New Roman" w:eastAsia="宋体" w:cs="Times New Roman"/>
      <w:sz w:val="18"/>
      <w:szCs w:val="18"/>
    </w:rPr>
  </w:style>
  <w:style w:type="character" w:customStyle="1" w:styleId="26">
    <w:name w:val="批注文字 Char"/>
    <w:basedOn w:val="18"/>
    <w:link w:val="3"/>
    <w:qFormat/>
    <w:uiPriority w:val="0"/>
    <w:rPr>
      <w:rFonts w:ascii="Times New Roman" w:hAnsi="Times New Roman" w:eastAsia="宋体" w:cs="Times New Roman"/>
    </w:rPr>
  </w:style>
  <w:style w:type="character" w:customStyle="1" w:styleId="27">
    <w:name w:val="正文文本 Char"/>
    <w:basedOn w:val="18"/>
    <w:link w:val="4"/>
    <w:qFormat/>
    <w:uiPriority w:val="0"/>
    <w:rPr>
      <w:rFonts w:ascii="宋体" w:hAnsi="宋体" w:eastAsia="幼圆" w:cs="宋体"/>
      <w:bCs/>
      <w:sz w:val="24"/>
      <w:szCs w:val="24"/>
    </w:rPr>
  </w:style>
  <w:style w:type="character" w:customStyle="1" w:styleId="28">
    <w:name w:val="正文文本缩进 Char"/>
    <w:basedOn w:val="18"/>
    <w:link w:val="5"/>
    <w:qFormat/>
    <w:uiPriority w:val="0"/>
    <w:rPr>
      <w:rFonts w:ascii="Times New Roman" w:hAnsi="Times New Roman" w:eastAsia="宋体" w:cs="Times New Roman"/>
    </w:rPr>
  </w:style>
  <w:style w:type="character" w:customStyle="1" w:styleId="29">
    <w:name w:val="纯文本 Char"/>
    <w:basedOn w:val="18"/>
    <w:link w:val="6"/>
    <w:qFormat/>
    <w:uiPriority w:val="0"/>
    <w:rPr>
      <w:rFonts w:ascii="宋体" w:hAnsi="Courier New" w:eastAsia="宋体" w:cs="Times New Roman"/>
      <w:szCs w:val="20"/>
    </w:rPr>
  </w:style>
  <w:style w:type="character" w:customStyle="1" w:styleId="30">
    <w:name w:val="正文文本缩进 2 Char"/>
    <w:basedOn w:val="18"/>
    <w:link w:val="7"/>
    <w:qFormat/>
    <w:uiPriority w:val="0"/>
    <w:rPr>
      <w:rFonts w:ascii="Times New Roman" w:hAnsi="Times New Roman" w:eastAsia="宋体" w:cs="Times New Roman"/>
      <w:szCs w:val="20"/>
    </w:rPr>
  </w:style>
  <w:style w:type="character" w:customStyle="1" w:styleId="31">
    <w:name w:val="批注框文本 Char"/>
    <w:basedOn w:val="18"/>
    <w:link w:val="8"/>
    <w:qFormat/>
    <w:uiPriority w:val="99"/>
    <w:rPr>
      <w:rFonts w:ascii="Times New Roman" w:hAnsi="Times New Roman" w:eastAsia="宋体" w:cs="Times New Roman"/>
      <w:sz w:val="18"/>
      <w:szCs w:val="18"/>
    </w:rPr>
  </w:style>
  <w:style w:type="character" w:customStyle="1" w:styleId="32">
    <w:name w:val="HTML 预设格式 Char"/>
    <w:basedOn w:val="18"/>
    <w:link w:val="11"/>
    <w:qFormat/>
    <w:uiPriority w:val="99"/>
    <w:rPr>
      <w:rFonts w:ascii="宋体" w:hAnsi="宋体" w:eastAsia="宋体" w:cs="宋体"/>
      <w:kern w:val="0"/>
      <w:sz w:val="24"/>
      <w:szCs w:val="24"/>
    </w:rPr>
  </w:style>
  <w:style w:type="character" w:customStyle="1" w:styleId="33">
    <w:name w:val="批注主题 Char"/>
    <w:basedOn w:val="26"/>
    <w:link w:val="13"/>
    <w:qFormat/>
    <w:uiPriority w:val="99"/>
    <w:rPr>
      <w:b/>
      <w:bCs/>
    </w:rPr>
  </w:style>
  <w:style w:type="character" w:customStyle="1" w:styleId="34">
    <w:name w:val="正文首行缩进 Char"/>
    <w:basedOn w:val="27"/>
    <w:link w:val="14"/>
    <w:qFormat/>
    <w:uiPriority w:val="0"/>
    <w:rPr>
      <w:rFonts w:ascii="Times New Roman" w:hAnsi="Times New Roman" w:eastAsia="宋体"/>
      <w:bCs w:val="0"/>
      <w:sz w:val="21"/>
    </w:rPr>
  </w:style>
  <w:style w:type="character" w:customStyle="1" w:styleId="35">
    <w:name w:val="正文首行缩进 2 Char"/>
    <w:basedOn w:val="28"/>
    <w:link w:val="15"/>
    <w:qFormat/>
    <w:uiPriority w:val="0"/>
  </w:style>
  <w:style w:type="character" w:customStyle="1" w:styleId="36">
    <w:name w:val="正文缩进 Char"/>
    <w:basedOn w:val="18"/>
    <w:link w:val="2"/>
    <w:qFormat/>
    <w:locked/>
    <w:uiPriority w:val="0"/>
    <w:rPr>
      <w:rFonts w:ascii="Times New Roman" w:hAnsi="Times New Roman" w:eastAsia="宋体" w:cs="Times New Roman"/>
      <w:szCs w:val="20"/>
    </w:rPr>
  </w:style>
  <w:style w:type="character" w:customStyle="1" w:styleId="37">
    <w:name w:val="纯文本 Char1"/>
    <w:basedOn w:val="18"/>
    <w:link w:val="6"/>
    <w:qFormat/>
    <w:uiPriority w:val="0"/>
    <w:rPr>
      <w:rFonts w:ascii="宋体" w:hAnsi="Courier New" w:eastAsia="宋体" w:cs="Times New Roman"/>
      <w:szCs w:val="20"/>
    </w:rPr>
  </w:style>
  <w:style w:type="character" w:customStyle="1" w:styleId="38">
    <w:name w:val="sp_dash"/>
    <w:basedOn w:val="18"/>
    <w:qFormat/>
    <w:uiPriority w:val="0"/>
    <w:rPr>
      <w:rFonts w:ascii="Times New Roman" w:hAnsi="Times New Roman" w:eastAsia="宋体" w:cs="Times New Roman"/>
    </w:rPr>
  </w:style>
  <w:style w:type="character" w:customStyle="1" w:styleId="39">
    <w:name w:val="apple-converted-space"/>
    <w:basedOn w:val="18"/>
    <w:qFormat/>
    <w:uiPriority w:val="0"/>
    <w:rPr>
      <w:rFonts w:ascii="Times New Roman" w:hAnsi="Times New Roman" w:eastAsia="宋体" w:cs="Times New Roman"/>
    </w:rPr>
  </w:style>
  <w:style w:type="character" w:customStyle="1" w:styleId="40">
    <w:name w:val="prc_air"/>
    <w:basedOn w:val="18"/>
    <w:qFormat/>
    <w:uiPriority w:val="0"/>
    <w:rPr>
      <w:rFonts w:ascii="Times New Roman" w:hAnsi="Times New Roman" w:eastAsia="宋体" w:cs="Times New Roman"/>
    </w:rPr>
  </w:style>
  <w:style w:type="paragraph" w:customStyle="1" w:styleId="41">
    <w:name w:val="p_airpor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2">
    <w:name w:val="p_c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43">
    <w:name w:val="List Paragraph"/>
    <w:basedOn w:val="1"/>
    <w:qFormat/>
    <w:uiPriority w:val="34"/>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44">
    <w:name w:val="p_dat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5">
    <w:name w:val="p_rtax"/>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6">
    <w:name w:val="p_tim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8">
    <w:name w:val="_Style 35"/>
    <w:unhideWhenUsed/>
    <w:qFormat/>
    <w:uiPriority w:val="99"/>
    <w:rPr>
      <w:rFonts w:ascii="Times New Roman" w:hAnsi="Times New Roman" w:eastAsia="宋体" w:cs="Times New Roman"/>
      <w:kern w:val="2"/>
      <w:sz w:val="21"/>
      <w:szCs w:val="22"/>
      <w:lang w:val="en-US" w:eastAsia="zh-CN" w:bidi="ar-SA"/>
    </w:rPr>
  </w:style>
  <w:style w:type="paragraph" w:customStyle="1" w:styleId="49">
    <w:name w:val="p0"/>
    <w:basedOn w:val="1"/>
    <w:qFormat/>
    <w:uiPriority w:val="0"/>
    <w:pPr>
      <w:widowControl/>
    </w:pPr>
    <w:rPr>
      <w:rFonts w:ascii="Times New Roman" w:hAnsi="Times New Roman" w:eastAsia="宋体" w:cs="Times New Roman"/>
      <w:kern w:val="0"/>
      <w:szCs w:val="21"/>
    </w:rPr>
  </w:style>
  <w:style w:type="paragraph" w:customStyle="1" w:styleId="50">
    <w:name w:val="彩色列表 - 强调文字颜色 11"/>
    <w:basedOn w:val="1"/>
    <w:qFormat/>
    <w:uiPriority w:val="99"/>
    <w:pPr>
      <w:ind w:firstLine="420" w:firstLineChars="200"/>
    </w:pPr>
    <w:rPr>
      <w:rFonts w:ascii="Calibri" w:hAnsi="Calibri" w:eastAsia="宋体" w:cs="Times New Roman"/>
      <w:szCs w:val="20"/>
    </w:rPr>
  </w:style>
  <w:style w:type="character" w:customStyle="1" w:styleId="51">
    <w:name w:val="cf01"/>
    <w:basedOn w:val="18"/>
    <w:qFormat/>
    <w:uiPriority w:val="0"/>
    <w:rPr>
      <w:rFonts w:hint="eastAsia" w:ascii="Microsoft YaHei UI" w:hAnsi="Microsoft YaHei UI" w:eastAsia="Microsoft YaHei UI" w:cs="Times New Roman"/>
      <w:sz w:val="18"/>
      <w:szCs w:val="18"/>
    </w:rPr>
  </w:style>
  <w:style w:type="paragraph" w:customStyle="1" w:styleId="52">
    <w:name w:val="列表段落1"/>
    <w:basedOn w:val="1"/>
    <w:qFormat/>
    <w:uiPriority w:val="34"/>
    <w:pPr>
      <w:widowControl/>
      <w:spacing w:line="360" w:lineRule="auto"/>
      <w:ind w:left="79" w:firstLine="420" w:firstLineChars="200"/>
    </w:pPr>
    <w:rPr>
      <w:rFonts w:ascii="等线" w:hAnsi="等线" w:eastAsia="等线" w:cs="Times New Roman"/>
    </w:rPr>
  </w:style>
  <w:style w:type="paragraph" w:customStyle="1" w:styleId="53">
    <w:name w:val="Style1"/>
    <w:basedOn w:val="1"/>
    <w:qFormat/>
    <w:uiPriority w:val="0"/>
    <w:pPr>
      <w:widowControl/>
      <w:tabs>
        <w:tab w:val="left" w:pos="-720"/>
      </w:tabs>
      <w:spacing w:after="120"/>
    </w:pPr>
    <w:rPr>
      <w:rFonts w:ascii="Times New Roman" w:hAnsi="Times New Roman" w:eastAsia="宋体" w:cs="Times New Roman"/>
      <w:spacing w:val="-3"/>
      <w:kern w:val="0"/>
      <w:sz w:val="24"/>
      <w:szCs w:val="20"/>
      <w:lang w:val="en-AU" w:eastAsia="en-US"/>
    </w:rPr>
  </w:style>
  <w:style w:type="paragraph" w:customStyle="1" w:styleId="54">
    <w:name w:val="null3"/>
    <w:qFormat/>
    <w:uiPriority w:val="0"/>
    <w:rPr>
      <w:rFonts w:hint="eastAsia" w:ascii="Times New Roman" w:hAnsi="Times New Roman" w:eastAsia="宋体" w:cs="Times New Roman"/>
      <w:lang w:val="en-US" w:eastAsia="zh-CN" w:bidi="ar-SA"/>
    </w:rPr>
  </w:style>
  <w:style w:type="paragraph" w:customStyle="1" w:styleId="55">
    <w:name w:val="修订1"/>
    <w:hidden/>
    <w:unhideWhenUsed/>
    <w:qFormat/>
    <w:uiPriority w:val="99"/>
    <w:rPr>
      <w:rFonts w:ascii="Times New Roman" w:hAnsi="Times New Roman" w:eastAsia="宋体" w:cs="Times New Roman"/>
      <w:kern w:val="2"/>
      <w:sz w:val="21"/>
      <w:szCs w:val="22"/>
      <w:lang w:val="en-US" w:eastAsia="zh-CN" w:bidi="ar-SA"/>
    </w:rPr>
  </w:style>
  <w:style w:type="paragraph" w:customStyle="1" w:styleId="56">
    <w:name w:val="Heading2"/>
    <w:basedOn w:val="1"/>
    <w:next w:val="1"/>
    <w:qFormat/>
    <w:uiPriority w:val="0"/>
    <w:pPr>
      <w:textAlignment w:val="baseline"/>
    </w:pPr>
    <w:rPr>
      <w:rFonts w:ascii="等线" w:hAnsi="等线" w:eastAsia="等线" w:cs="Times New Roman"/>
      <w:sz w:val="30"/>
      <w:szCs w:val="20"/>
    </w:rPr>
  </w:style>
  <w:style w:type="paragraph" w:customStyle="1" w:styleId="57">
    <w:name w:val="*正文"/>
    <w:basedOn w:val="1"/>
    <w:qFormat/>
    <w:uiPriority w:val="0"/>
    <w:pPr>
      <w:spacing w:line="360" w:lineRule="auto"/>
      <w:ind w:firstLine="200" w:firstLineChars="200"/>
    </w:pPr>
    <w:rPr>
      <w:rFonts w:hint="eastAsia" w:ascii="宋体" w:hAnsi="宋体" w:eastAsia="宋体" w:cs="Times New Roman"/>
      <w:sz w:val="22"/>
    </w:rPr>
  </w:style>
  <w:style w:type="paragraph" w:customStyle="1" w:styleId="58">
    <w:name w:val="正文（绿盟科技）"/>
    <w:basedOn w:val="1"/>
    <w:qFormat/>
    <w:uiPriority w:val="0"/>
    <w:pPr>
      <w:widowControl/>
      <w:spacing w:line="300" w:lineRule="auto"/>
      <w:jc w:val="left"/>
    </w:pPr>
    <w:rPr>
      <w:rFonts w:ascii="Arial" w:hAnsi="Arial" w:eastAsia="宋体" w:cs="Times New Roman"/>
      <w:kern w:val="0"/>
      <w:szCs w:val="21"/>
    </w:rPr>
  </w:style>
  <w:style w:type="table" w:customStyle="1" w:styleId="59">
    <w:name w:val="Table Normal"/>
    <w:unhideWhenUsed/>
    <w:qFormat/>
    <w:uiPriority w:val="0"/>
    <w:rPr>
      <w:rFonts w:ascii="Times New Roman" w:hAnsi="Times New Roman" w:eastAsia="宋体"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6787</Words>
  <Characters>38688</Characters>
  <Lines>322</Lines>
  <Paragraphs>90</Paragraphs>
  <TotalTime>31</TotalTime>
  <ScaleCrop>false</ScaleCrop>
  <LinksUpToDate>false</LinksUpToDate>
  <CharactersWithSpaces>45385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2024-09-22T03:25:00Z</dcterms:created>
  <dc:creator>翁凌</dc:creator>
  <cp:lastModifiedBy>WPS_1528123779</cp:lastModifiedBy>
  <dcterms:modified xsi:type="dcterms:W3CDTF">2024-09-30T07:28:29Z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D36062D717E7421283C3BA8F482EB055_12</vt:lpwstr>
  </property>
</Properties>
</file>