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6A9ACD">
      <w:pPr>
        <w:pStyle w:val="12"/>
        <w:widowControl/>
        <w:tabs>
          <w:tab w:val="left" w:pos="2100"/>
        </w:tabs>
        <w:spacing w:before="50" w:beforeAutospacing="0" w:after="50" w:afterAutospacing="0"/>
        <w:jc w:val="center"/>
        <w:rPr>
          <w:rStyle w:val="17"/>
          <w:rFonts w:ascii="宋体" w:hAnsi="宋体" w:cs="宋体"/>
          <w:color w:val="auto"/>
          <w:sz w:val="72"/>
          <w:szCs w:val="72"/>
          <w:highlight w:val="none"/>
        </w:rPr>
      </w:pPr>
    </w:p>
    <w:p w14:paraId="6BA95CCC">
      <w:pPr>
        <w:pStyle w:val="12"/>
        <w:widowControl/>
        <w:tabs>
          <w:tab w:val="left" w:pos="2100"/>
        </w:tabs>
        <w:spacing w:before="50" w:beforeAutospacing="0" w:after="50" w:afterAutospacing="0"/>
        <w:jc w:val="center"/>
        <w:rPr>
          <w:rFonts w:ascii="宋体" w:hAnsi="宋体" w:cs="宋体"/>
          <w:color w:val="auto"/>
          <w:sz w:val="72"/>
          <w:szCs w:val="72"/>
          <w:highlight w:val="none"/>
        </w:rPr>
      </w:pPr>
      <w:r>
        <w:rPr>
          <w:rStyle w:val="17"/>
          <w:rFonts w:hint="default" w:ascii="宋体" w:hAnsi="宋体" w:cs="宋体"/>
          <w:color w:val="auto"/>
          <w:sz w:val="72"/>
          <w:szCs w:val="72"/>
          <w:highlight w:val="none"/>
        </w:rPr>
        <w:t>厦门市大宗货物</w:t>
      </w:r>
    </w:p>
    <w:p w14:paraId="20363F98">
      <w:pPr>
        <w:pStyle w:val="12"/>
        <w:widowControl/>
        <w:tabs>
          <w:tab w:val="left" w:pos="1120"/>
        </w:tabs>
        <w:spacing w:before="50" w:beforeAutospacing="0" w:after="50" w:afterAutospacing="0"/>
        <w:jc w:val="center"/>
        <w:rPr>
          <w:rFonts w:ascii="宋体" w:hAnsi="宋体" w:cs="宋体"/>
          <w:color w:val="auto"/>
          <w:sz w:val="72"/>
          <w:szCs w:val="72"/>
          <w:highlight w:val="none"/>
        </w:rPr>
      </w:pPr>
      <w:r>
        <w:rPr>
          <w:rStyle w:val="17"/>
          <w:rFonts w:hint="default" w:ascii="宋体" w:hAnsi="宋体" w:cs="宋体"/>
          <w:color w:val="auto"/>
          <w:sz w:val="72"/>
          <w:szCs w:val="72"/>
          <w:highlight w:val="none"/>
        </w:rPr>
        <w:t>政府采购</w:t>
      </w:r>
      <w:r>
        <w:rPr>
          <w:rStyle w:val="17"/>
          <w:rFonts w:hint="eastAsia" w:ascii="宋体" w:hAnsi="宋体" w:cs="宋体"/>
          <w:color w:val="auto"/>
          <w:sz w:val="72"/>
          <w:szCs w:val="72"/>
          <w:highlight w:val="none"/>
        </w:rPr>
        <w:t>项目</w:t>
      </w:r>
    </w:p>
    <w:p w14:paraId="22FA7322">
      <w:pPr>
        <w:pStyle w:val="12"/>
        <w:widowControl/>
        <w:spacing w:before="50" w:beforeAutospacing="0" w:after="50" w:afterAutospacing="0"/>
        <w:jc w:val="center"/>
        <w:rPr>
          <w:rStyle w:val="17"/>
          <w:rFonts w:ascii="宋体" w:hAnsi="宋体" w:cs="宋体"/>
          <w:color w:val="auto"/>
          <w:sz w:val="72"/>
          <w:szCs w:val="72"/>
          <w:highlight w:val="none"/>
        </w:rPr>
      </w:pPr>
      <w:r>
        <w:rPr>
          <w:rStyle w:val="17"/>
          <w:rFonts w:hint="eastAsia" w:ascii="宋体" w:hAnsi="宋体" w:cs="宋体"/>
          <w:color w:val="auto"/>
          <w:sz w:val="72"/>
          <w:szCs w:val="72"/>
          <w:highlight w:val="none"/>
        </w:rPr>
        <w:t>框架协议采购</w:t>
      </w:r>
    </w:p>
    <w:p w14:paraId="7811BAAD">
      <w:pPr>
        <w:pStyle w:val="12"/>
        <w:widowControl/>
        <w:spacing w:before="50" w:beforeAutospacing="0" w:after="50" w:afterAutospacing="0"/>
        <w:jc w:val="center"/>
        <w:rPr>
          <w:rStyle w:val="17"/>
          <w:rFonts w:ascii="宋体" w:hAnsi="宋体" w:cs="宋体"/>
          <w:color w:val="auto"/>
          <w:sz w:val="36"/>
          <w:szCs w:val="36"/>
          <w:highlight w:val="none"/>
        </w:rPr>
      </w:pPr>
      <w:r>
        <w:rPr>
          <w:rStyle w:val="17"/>
          <w:rFonts w:hint="eastAsia" w:ascii="宋体" w:hAnsi="宋体" w:cs="宋体"/>
          <w:color w:val="auto"/>
          <w:sz w:val="72"/>
          <w:szCs w:val="72"/>
          <w:highlight w:val="none"/>
        </w:rPr>
        <w:t>征集文件</w:t>
      </w:r>
    </w:p>
    <w:p w14:paraId="4954DB3E">
      <w:pPr>
        <w:pStyle w:val="12"/>
        <w:widowControl/>
        <w:spacing w:before="50" w:beforeAutospacing="0" w:after="50" w:afterAutospacing="0"/>
        <w:jc w:val="center"/>
        <w:rPr>
          <w:rFonts w:ascii="宋体" w:hAnsi="宋体" w:cs="宋体"/>
          <w:color w:val="auto"/>
          <w:sz w:val="28"/>
          <w:szCs w:val="28"/>
          <w:highlight w:val="none"/>
        </w:rPr>
      </w:pPr>
      <w:r>
        <w:rPr>
          <w:rFonts w:hint="eastAsia" w:ascii="宋体" w:hAnsi="宋体" w:cs="宋体"/>
          <w:color w:val="auto"/>
          <w:sz w:val="28"/>
          <w:szCs w:val="28"/>
          <w:highlight w:val="none"/>
        </w:rPr>
        <w:t> </w:t>
      </w:r>
    </w:p>
    <w:p w14:paraId="2CFB3BC5">
      <w:pPr>
        <w:pStyle w:val="12"/>
        <w:widowControl/>
        <w:spacing w:before="50" w:beforeAutospacing="0" w:after="50" w:afterAutospacing="0"/>
        <w:rPr>
          <w:rFonts w:hint="eastAsia" w:ascii="宋体" w:hAnsi="宋体" w:cs="宋体"/>
          <w:color w:val="auto"/>
          <w:sz w:val="28"/>
          <w:szCs w:val="28"/>
          <w:highlight w:val="none"/>
        </w:rPr>
      </w:pPr>
      <w:r>
        <w:rPr>
          <w:rFonts w:hint="eastAsia" w:ascii="宋体" w:hAnsi="宋体" w:cs="宋体"/>
          <w:color w:val="auto"/>
          <w:sz w:val="28"/>
          <w:szCs w:val="28"/>
          <w:highlight w:val="none"/>
        </w:rPr>
        <w:t> </w:t>
      </w:r>
    </w:p>
    <w:p w14:paraId="48475FE8">
      <w:pPr>
        <w:rPr>
          <w:color w:val="auto"/>
          <w:highlight w:val="none"/>
        </w:rPr>
      </w:pPr>
    </w:p>
    <w:p w14:paraId="73B249A5">
      <w:pPr>
        <w:pStyle w:val="12"/>
        <w:widowControl/>
        <w:spacing w:before="50" w:beforeAutospacing="0" w:after="50" w:afterAutospacing="0"/>
        <w:ind w:hanging="6"/>
        <w:rPr>
          <w:rFonts w:ascii="宋体" w:hAnsi="宋体" w:cs="宋体"/>
          <w:color w:val="auto"/>
          <w:sz w:val="28"/>
          <w:szCs w:val="28"/>
          <w:highlight w:val="none"/>
        </w:rPr>
      </w:pPr>
      <w:r>
        <w:rPr>
          <w:rStyle w:val="17"/>
          <w:rFonts w:hint="eastAsia" w:ascii="宋体" w:hAnsi="宋体" w:cs="宋体"/>
          <w:color w:val="auto"/>
          <w:sz w:val="28"/>
          <w:szCs w:val="28"/>
          <w:highlight w:val="none"/>
        </w:rPr>
        <w:t>    </w:t>
      </w:r>
      <w:r>
        <w:rPr>
          <w:rStyle w:val="17"/>
          <w:rFonts w:hint="eastAsia" w:ascii="宋体" w:hAnsi="宋体" w:cs="宋体"/>
          <w:color w:val="auto"/>
          <w:sz w:val="28"/>
          <w:szCs w:val="28"/>
          <w:highlight w:val="none"/>
          <w:lang w:val="en-US"/>
        </w:rPr>
        <w:t xml:space="preserve">      </w:t>
      </w:r>
      <w:r>
        <w:rPr>
          <w:rStyle w:val="17"/>
          <w:rFonts w:hint="eastAsia" w:ascii="宋体" w:hAnsi="宋体" w:cs="宋体"/>
          <w:color w:val="auto"/>
          <w:sz w:val="28"/>
          <w:szCs w:val="28"/>
          <w:highlight w:val="none"/>
        </w:rPr>
        <w:t>项目名称：2026年度大宗触控一体机</w:t>
      </w:r>
      <w:r>
        <w:rPr>
          <w:rStyle w:val="17"/>
          <w:rFonts w:hint="eastAsia" w:ascii="宋体" w:hAnsi="宋体" w:cs="宋体"/>
          <w:color w:val="auto"/>
          <w:sz w:val="28"/>
          <w:szCs w:val="28"/>
          <w:highlight w:val="none"/>
          <w:lang w:val="en-US"/>
        </w:rPr>
        <w:t>采购项目</w:t>
      </w:r>
    </w:p>
    <w:p w14:paraId="755C85CA">
      <w:pPr>
        <w:pStyle w:val="12"/>
        <w:widowControl/>
        <w:spacing w:before="50" w:after="50"/>
        <w:ind w:firstLine="1968" w:firstLineChars="700"/>
        <w:rPr>
          <w:rFonts w:hint="eastAsia" w:ascii="宋体" w:hAnsi="宋体" w:cs="宋体"/>
          <w:color w:val="auto"/>
          <w:sz w:val="28"/>
          <w:szCs w:val="28"/>
          <w:highlight w:val="none"/>
        </w:rPr>
      </w:pPr>
      <w:r>
        <w:rPr>
          <w:rStyle w:val="17"/>
          <w:rFonts w:hint="eastAsia" w:ascii="宋体" w:hAnsi="宋体" w:cs="宋体"/>
          <w:color w:val="auto"/>
          <w:sz w:val="28"/>
          <w:szCs w:val="28"/>
          <w:highlight w:val="none"/>
        </w:rPr>
        <w:t>项目编号：</w:t>
      </w:r>
      <w:r>
        <w:rPr>
          <w:rStyle w:val="17"/>
          <w:rFonts w:hint="eastAsia" w:ascii="宋体" w:hAnsi="宋体" w:eastAsia="宋体" w:cs="宋体"/>
          <w:color w:val="auto"/>
          <w:sz w:val="28"/>
          <w:szCs w:val="28"/>
          <w:highlight w:val="none"/>
        </w:rPr>
        <w:t>XM2026-DZ002</w:t>
      </w:r>
      <w:r>
        <w:rPr>
          <w:rStyle w:val="17"/>
          <w:rFonts w:hint="eastAsia" w:ascii="宋体" w:hAnsi="宋体" w:eastAsia="宋体" w:cs="宋体"/>
          <w:color w:val="auto"/>
          <w:sz w:val="28"/>
          <w:szCs w:val="28"/>
          <w:highlight w:val="none"/>
          <w:lang w:val="en-US"/>
        </w:rPr>
        <w:t>1</w:t>
      </w:r>
      <w:r>
        <w:rPr>
          <w:rStyle w:val="17"/>
          <w:rFonts w:hint="eastAsia" w:ascii="宋体" w:hAnsi="宋体" w:eastAsia="宋体" w:cs="宋体"/>
          <w:color w:val="auto"/>
          <w:sz w:val="28"/>
          <w:szCs w:val="28"/>
          <w:highlight w:val="none"/>
        </w:rPr>
        <w:br w:type="textWrapping"/>
      </w:r>
      <w:r>
        <w:rPr>
          <w:rStyle w:val="17"/>
          <w:rFonts w:hint="eastAsia" w:ascii="宋体" w:hAnsi="宋体" w:cs="宋体"/>
          <w:color w:val="auto"/>
          <w:sz w:val="28"/>
          <w:szCs w:val="28"/>
          <w:highlight w:val="none"/>
        </w:rPr>
        <w:t>         </w:t>
      </w:r>
      <w:r>
        <w:rPr>
          <w:rFonts w:hint="eastAsia" w:ascii="宋体" w:hAnsi="宋体" w:cs="宋体"/>
          <w:color w:val="auto"/>
          <w:sz w:val="28"/>
          <w:szCs w:val="28"/>
          <w:highlight w:val="none"/>
        </w:rPr>
        <w:t>                                         </w:t>
      </w:r>
    </w:p>
    <w:p w14:paraId="49611667">
      <w:pPr>
        <w:pStyle w:val="12"/>
        <w:widowControl/>
        <w:spacing w:before="50" w:after="50"/>
        <w:ind w:firstLine="1968" w:firstLineChars="700"/>
        <w:rPr>
          <w:rFonts w:hint="eastAsia" w:ascii="宋体" w:hAnsi="宋体" w:cs="宋体"/>
          <w:b/>
          <w:bCs/>
          <w:color w:val="auto"/>
          <w:sz w:val="28"/>
          <w:szCs w:val="28"/>
          <w:highlight w:val="none"/>
        </w:rPr>
      </w:pPr>
      <w:r>
        <w:rPr>
          <w:rFonts w:hint="eastAsia" w:ascii="宋体" w:hAnsi="宋体" w:cs="宋体"/>
          <w:b/>
          <w:bCs/>
          <w:color w:val="auto"/>
          <w:kern w:val="2"/>
          <w:sz w:val="28"/>
          <w:szCs w:val="28"/>
          <w:highlight w:val="none"/>
        </w:rPr>
        <w:t>征集人：厦门万翔</w:t>
      </w:r>
      <w:r>
        <w:rPr>
          <w:rFonts w:hint="eastAsia" w:ascii="宋体" w:hAnsi="宋体" w:cs="宋体"/>
          <w:b/>
          <w:bCs/>
          <w:color w:val="auto"/>
          <w:kern w:val="2"/>
          <w:sz w:val="28"/>
          <w:szCs w:val="28"/>
          <w:highlight w:val="none"/>
          <w:lang w:val="en-US" w:eastAsia="zh-CN"/>
        </w:rPr>
        <w:t>网络商务</w:t>
      </w:r>
      <w:r>
        <w:rPr>
          <w:rFonts w:hint="eastAsia" w:ascii="宋体" w:hAnsi="宋体" w:cs="宋体"/>
          <w:b/>
          <w:bCs/>
          <w:color w:val="auto"/>
          <w:kern w:val="2"/>
          <w:sz w:val="28"/>
          <w:szCs w:val="28"/>
          <w:highlight w:val="none"/>
        </w:rPr>
        <w:t>有限公司</w:t>
      </w:r>
    </w:p>
    <w:p w14:paraId="27F96D1C">
      <w:pPr>
        <w:ind w:firstLine="1968" w:firstLineChars="700"/>
        <w:outlineLvl w:val="9"/>
        <w:rPr>
          <w:rFonts w:hint="eastAsia" w:eastAsia="宋体" w:cs="宋体"/>
          <w:b/>
          <w:bCs/>
          <w:color w:val="auto"/>
          <w:kern w:val="2"/>
          <w:sz w:val="28"/>
          <w:szCs w:val="28"/>
          <w:highlight w:val="none"/>
          <w:lang w:val="en-US" w:eastAsia="zh-CN"/>
        </w:rPr>
      </w:pPr>
      <w:r>
        <w:rPr>
          <w:rFonts w:hint="eastAsia" w:cs="宋体"/>
          <w:b/>
          <w:bCs/>
          <w:color w:val="auto"/>
          <w:kern w:val="2"/>
          <w:sz w:val="28"/>
          <w:szCs w:val="28"/>
          <w:highlight w:val="none"/>
          <w:lang w:val="en-US" w:eastAsia="zh-CN"/>
        </w:rPr>
        <w:t>采购代理机构：</w:t>
      </w:r>
      <w:r>
        <w:rPr>
          <w:rFonts w:hint="eastAsia" w:cs="宋体"/>
          <w:b/>
          <w:bCs/>
          <w:color w:val="auto"/>
          <w:kern w:val="2"/>
          <w:sz w:val="28"/>
          <w:szCs w:val="28"/>
          <w:highlight w:val="none"/>
        </w:rPr>
        <w:t>厦门万翔招标有限公司</w:t>
      </w:r>
    </w:p>
    <w:p w14:paraId="522BFC6C">
      <w:pPr>
        <w:pStyle w:val="12"/>
        <w:widowControl/>
        <w:spacing w:before="50" w:beforeAutospacing="0" w:after="50" w:afterAutospacing="0"/>
        <w:jc w:val="center"/>
        <w:rPr>
          <w:color w:val="auto"/>
          <w:highlight w:val="none"/>
        </w:rPr>
      </w:pPr>
      <w:r>
        <w:rPr>
          <w:rFonts w:hint="eastAsia" w:ascii="宋体" w:hAnsi="宋体" w:cs="宋体"/>
          <w:color w:val="auto"/>
          <w:sz w:val="28"/>
          <w:szCs w:val="28"/>
          <w:highlight w:val="none"/>
        </w:rPr>
        <w:t> </w:t>
      </w:r>
    </w:p>
    <w:p w14:paraId="04B42263">
      <w:pPr>
        <w:pStyle w:val="12"/>
        <w:widowControl/>
        <w:spacing w:before="50" w:beforeAutospacing="0" w:after="50" w:afterAutospacing="0" w:line="240" w:lineRule="atLeast"/>
        <w:ind w:right="0"/>
        <w:jc w:val="center"/>
        <w:rPr>
          <w:rStyle w:val="17"/>
          <w:rFonts w:hint="eastAsia" w:ascii="宋体" w:hAnsi="宋体" w:cs="宋体"/>
          <w:color w:val="auto"/>
          <w:sz w:val="28"/>
          <w:szCs w:val="28"/>
          <w:highlight w:val="none"/>
        </w:rPr>
      </w:pPr>
      <w:r>
        <w:rPr>
          <w:rStyle w:val="17"/>
          <w:rFonts w:hint="eastAsia" w:ascii="宋体" w:hAnsi="宋体" w:cs="宋体"/>
          <w:color w:val="auto"/>
          <w:sz w:val="28"/>
          <w:szCs w:val="28"/>
          <w:highlight w:val="none"/>
        </w:rPr>
        <w:t>2026年</w:t>
      </w:r>
    </w:p>
    <w:p w14:paraId="171662D3">
      <w:pPr>
        <w:rPr>
          <w:rStyle w:val="17"/>
          <w:rFonts w:hint="eastAsia" w:ascii="宋体" w:hAnsi="宋体" w:cs="宋体"/>
          <w:color w:val="auto"/>
          <w:sz w:val="28"/>
          <w:szCs w:val="28"/>
          <w:highlight w:val="none"/>
        </w:rPr>
      </w:pPr>
    </w:p>
    <w:p w14:paraId="4BD97675">
      <w:pPr>
        <w:pStyle w:val="12"/>
        <w:widowControl/>
        <w:spacing w:before="50" w:beforeAutospacing="0" w:after="50" w:afterAutospacing="0"/>
        <w:jc w:val="center"/>
        <w:outlineLvl w:val="0"/>
        <w:rPr>
          <w:rFonts w:ascii="宋体" w:hAnsi="宋体" w:cs="宋体"/>
          <w:color w:val="auto"/>
          <w:sz w:val="28"/>
          <w:szCs w:val="28"/>
          <w:highlight w:val="none"/>
        </w:rPr>
      </w:pPr>
      <w:r>
        <w:rPr>
          <w:rStyle w:val="17"/>
          <w:rFonts w:hint="eastAsia" w:ascii="宋体" w:hAnsi="宋体" w:cs="宋体"/>
          <w:color w:val="auto"/>
          <w:sz w:val="28"/>
          <w:szCs w:val="28"/>
          <w:highlight w:val="none"/>
        </w:rPr>
        <w:t>第一章</w:t>
      </w:r>
      <w:r>
        <w:rPr>
          <w:rStyle w:val="17"/>
          <w:rFonts w:hint="default" w:ascii="宋体" w:hAnsi="宋体" w:cs="宋体"/>
          <w:color w:val="auto"/>
          <w:sz w:val="28"/>
          <w:szCs w:val="28"/>
          <w:highlight w:val="none"/>
        </w:rPr>
        <w:t xml:space="preserve">  </w:t>
      </w:r>
      <w:r>
        <w:rPr>
          <w:rStyle w:val="17"/>
          <w:rFonts w:hint="eastAsia" w:ascii="宋体" w:hAnsi="宋体" w:cs="宋体"/>
          <w:color w:val="auto"/>
          <w:sz w:val="28"/>
          <w:szCs w:val="28"/>
          <w:highlight w:val="none"/>
        </w:rPr>
        <w:t>参加征集活动的邀请</w:t>
      </w:r>
    </w:p>
    <w:p w14:paraId="2D92464B">
      <w:pPr>
        <w:pStyle w:val="12"/>
        <w:widowControl/>
        <w:spacing w:before="50" w:beforeAutospacing="0" w:after="50" w:afterAutospacing="0"/>
        <w:rPr>
          <w:rFonts w:ascii="宋体" w:hAnsi="宋体" w:cs="宋体"/>
          <w:color w:val="auto"/>
          <w:sz w:val="28"/>
          <w:szCs w:val="28"/>
          <w:highlight w:val="none"/>
        </w:rPr>
      </w:pPr>
      <w:r>
        <w:rPr>
          <w:rFonts w:hint="eastAsia" w:ascii="宋体" w:hAnsi="宋体" w:cs="宋体"/>
          <w:color w:val="auto"/>
          <w:sz w:val="28"/>
          <w:szCs w:val="28"/>
          <w:highlight w:val="none"/>
        </w:rPr>
        <w:t> </w:t>
      </w:r>
    </w:p>
    <w:p w14:paraId="12FB87EF">
      <w:pPr>
        <w:pStyle w:val="12"/>
        <w:widowControl/>
        <w:spacing w:before="0" w:beforeAutospacing="0" w:after="0" w:afterAutospacing="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u w:val="single"/>
          <w:lang w:val="en-US" w:eastAsia="zh-CN"/>
        </w:rPr>
        <w:t>受</w:t>
      </w:r>
      <w:r>
        <w:rPr>
          <w:rFonts w:hint="eastAsia" w:ascii="宋体" w:hAnsi="宋体" w:cs="宋体"/>
          <w:color w:val="auto"/>
          <w:sz w:val="24"/>
          <w:szCs w:val="24"/>
          <w:highlight w:val="none"/>
          <w:u w:val="single"/>
        </w:rPr>
        <w:t>厦门万翔</w:t>
      </w:r>
      <w:r>
        <w:rPr>
          <w:rFonts w:hint="eastAsia" w:ascii="宋体" w:hAnsi="宋体" w:cs="宋体"/>
          <w:color w:val="auto"/>
          <w:sz w:val="24"/>
          <w:szCs w:val="24"/>
          <w:highlight w:val="none"/>
          <w:u w:val="single"/>
          <w:lang w:val="en-US" w:eastAsia="zh-CN"/>
        </w:rPr>
        <w:t>网络商务</w:t>
      </w:r>
      <w:r>
        <w:rPr>
          <w:rFonts w:hint="eastAsia" w:ascii="宋体" w:hAnsi="宋体" w:cs="宋体"/>
          <w:color w:val="auto"/>
          <w:sz w:val="24"/>
          <w:szCs w:val="24"/>
          <w:highlight w:val="none"/>
          <w:u w:val="single"/>
        </w:rPr>
        <w:t>有限公司</w:t>
      </w:r>
      <w:r>
        <w:rPr>
          <w:rFonts w:hint="eastAsia" w:ascii="宋体" w:hAnsi="宋体" w:cs="宋体"/>
          <w:color w:val="auto"/>
          <w:sz w:val="24"/>
          <w:szCs w:val="24"/>
          <w:highlight w:val="none"/>
          <w:lang w:val="en-US" w:eastAsia="zh-CN"/>
        </w:rPr>
        <w:t>委托，</w:t>
      </w:r>
      <w:r>
        <w:rPr>
          <w:rFonts w:hint="eastAsia" w:ascii="宋体" w:hAnsi="宋体" w:cs="宋体"/>
          <w:color w:val="auto"/>
          <w:sz w:val="24"/>
          <w:szCs w:val="24"/>
          <w:highlight w:val="none"/>
          <w:u w:val="single"/>
        </w:rPr>
        <w:t>厦门万翔招标有限公司</w:t>
      </w:r>
      <w:r>
        <w:rPr>
          <w:rFonts w:hint="eastAsia" w:ascii="宋体" w:hAnsi="宋体" w:cs="宋体"/>
          <w:color w:val="auto"/>
          <w:sz w:val="24"/>
          <w:szCs w:val="24"/>
          <w:highlight w:val="none"/>
        </w:rPr>
        <w:t>采用</w:t>
      </w:r>
      <w:r>
        <w:rPr>
          <w:rFonts w:hint="eastAsia" w:ascii="宋体" w:hAnsi="宋体" w:cs="宋体"/>
          <w:color w:val="auto"/>
          <w:sz w:val="24"/>
          <w:szCs w:val="24"/>
          <w:highlight w:val="none"/>
          <w:u w:val="single"/>
        </w:rPr>
        <w:t>框架协议采购方式</w:t>
      </w:r>
      <w:r>
        <w:rPr>
          <w:rFonts w:hint="eastAsia" w:ascii="宋体" w:hAnsi="宋体" w:cs="宋体"/>
          <w:color w:val="auto"/>
          <w:sz w:val="24"/>
          <w:szCs w:val="24"/>
          <w:highlight w:val="none"/>
        </w:rPr>
        <w:t>组织2026年度大宗触控一体机</w:t>
      </w:r>
      <w:r>
        <w:rPr>
          <w:rFonts w:hint="eastAsia" w:ascii="宋体" w:hAnsi="宋体" w:cs="宋体"/>
          <w:color w:val="auto"/>
          <w:sz w:val="24"/>
          <w:szCs w:val="24"/>
          <w:highlight w:val="none"/>
          <w:lang w:eastAsia="zh-CN"/>
        </w:rPr>
        <w:t>采购项目</w:t>
      </w:r>
      <w:r>
        <w:rPr>
          <w:rFonts w:hint="eastAsia" w:ascii="宋体" w:hAnsi="宋体" w:cs="宋体"/>
          <w:color w:val="auto"/>
          <w:sz w:val="24"/>
          <w:szCs w:val="24"/>
          <w:highlight w:val="none"/>
        </w:rPr>
        <w:t>（以下简称：“本项目”）的政府采购活动，现邀请供应商参加征集活动。</w:t>
      </w:r>
    </w:p>
    <w:p w14:paraId="566F746C">
      <w:pPr>
        <w:pStyle w:val="12"/>
        <w:widowControl/>
        <w:spacing w:before="0" w:beforeAutospacing="0" w:after="0" w:afterAutospacing="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1项目编号：</w:t>
      </w:r>
      <w:r>
        <w:rPr>
          <w:rStyle w:val="17"/>
          <w:rFonts w:hint="eastAsia" w:ascii="宋体" w:hAnsi="宋体" w:cs="宋体"/>
          <w:color w:val="auto"/>
          <w:sz w:val="24"/>
          <w:szCs w:val="24"/>
          <w:highlight w:val="none"/>
        </w:rPr>
        <w:t>XM2026-DZ00</w:t>
      </w:r>
      <w:r>
        <w:rPr>
          <w:rStyle w:val="17"/>
          <w:rFonts w:hint="eastAsia" w:ascii="宋体" w:hAnsi="宋体" w:cs="宋体"/>
          <w:color w:val="auto"/>
          <w:sz w:val="24"/>
          <w:szCs w:val="24"/>
          <w:highlight w:val="none"/>
          <w:lang w:val="en-US"/>
        </w:rPr>
        <w:t>2</w:t>
      </w:r>
      <w:r>
        <w:rPr>
          <w:rStyle w:val="17"/>
          <w:rFonts w:hint="eastAsia" w:ascii="宋体" w:hAnsi="宋体" w:cs="宋体"/>
          <w:color w:val="auto"/>
          <w:sz w:val="24"/>
          <w:szCs w:val="24"/>
          <w:highlight w:val="none"/>
        </w:rPr>
        <w:t>1</w:t>
      </w:r>
      <w:r>
        <w:rPr>
          <w:rFonts w:hint="eastAsia" w:ascii="宋体" w:hAnsi="宋体" w:cs="宋体"/>
          <w:color w:val="auto"/>
          <w:sz w:val="24"/>
          <w:szCs w:val="24"/>
          <w:highlight w:val="none"/>
        </w:rPr>
        <w:t>。</w:t>
      </w:r>
    </w:p>
    <w:p w14:paraId="74355162">
      <w:pPr>
        <w:pStyle w:val="12"/>
        <w:widowControl/>
        <w:spacing w:before="0" w:beforeAutospacing="0" w:after="0" w:afterAutospacing="0" w:line="360" w:lineRule="auto"/>
        <w:ind w:firstLine="480" w:firstLineChars="200"/>
        <w:jc w:val="both"/>
        <w:textAlignment w:val="baseline"/>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2项目</w:t>
      </w:r>
      <w:r>
        <w:rPr>
          <w:rFonts w:hint="eastAsia" w:ascii="宋体" w:hAnsi="宋体" w:cs="宋体"/>
          <w:color w:val="auto"/>
          <w:sz w:val="24"/>
          <w:szCs w:val="24"/>
          <w:highlight w:val="none"/>
        </w:rPr>
        <w:t>预算金额：3293.4万元；</w:t>
      </w:r>
    </w:p>
    <w:p w14:paraId="0BA3A0B7">
      <w:pPr>
        <w:pStyle w:val="12"/>
        <w:widowControl/>
        <w:spacing w:before="0" w:beforeAutospacing="0" w:after="0" w:afterAutospacing="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最高限制单价、量价关系：</w:t>
      </w:r>
    </w:p>
    <w:p w14:paraId="34B2BA18">
      <w:pPr>
        <w:pStyle w:val="12"/>
        <w:widowControl/>
        <w:spacing w:before="0" w:beforeAutospacing="0" w:after="0" w:afterAutospacing="0" w:line="360" w:lineRule="auto"/>
        <w:ind w:firstLine="480" w:firstLineChars="200"/>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3.1最高限价：</w:t>
      </w:r>
    </w:p>
    <w:p w14:paraId="6338AE27">
      <w:pPr>
        <w:pStyle w:val="12"/>
        <w:widowControl/>
        <w:numPr>
          <w:ilvl w:val="0"/>
          <w:numId w:val="0"/>
        </w:numPr>
        <w:spacing w:before="0" w:beforeAutospacing="0" w:after="0" w:afterAutospacing="0" w:line="360" w:lineRule="auto"/>
        <w:ind w:firstLine="480" w:firstLineChars="200"/>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3.1.1采购包1：品目号1-1的最高限制单价为</w:t>
      </w:r>
      <w:r>
        <w:rPr>
          <w:rFonts w:hint="eastAsia" w:ascii="宋体" w:hAnsi="宋体" w:cs="宋体"/>
          <w:color w:val="auto"/>
          <w:kern w:val="2"/>
          <w:highlight w:val="none"/>
          <w:lang w:val="en-US" w:eastAsia="zh-CN"/>
        </w:rPr>
        <w:t>6,7</w:t>
      </w:r>
      <w:r>
        <w:rPr>
          <w:rFonts w:hint="eastAsia" w:ascii="宋体" w:hAnsi="宋体" w:eastAsia="宋体" w:cs="宋体"/>
          <w:color w:val="auto"/>
          <w:kern w:val="2"/>
          <w:sz w:val="24"/>
          <w:szCs w:val="24"/>
          <w:highlight w:val="none"/>
          <w:lang w:val="en-US" w:eastAsia="zh-CN"/>
        </w:rPr>
        <w:t>00元/台。</w:t>
      </w:r>
    </w:p>
    <w:p w14:paraId="7A561558">
      <w:pPr>
        <w:pStyle w:val="12"/>
        <w:widowControl/>
        <w:numPr>
          <w:ilvl w:val="0"/>
          <w:numId w:val="0"/>
        </w:numPr>
        <w:spacing w:before="0" w:beforeAutospacing="0" w:after="0" w:afterAutospacing="0" w:line="360" w:lineRule="auto"/>
        <w:ind w:firstLine="480" w:firstLineChars="200"/>
        <w:rPr>
          <w:rFonts w:hint="eastAsia" w:ascii="宋体" w:hAnsi="宋体" w:eastAsia="宋体" w:cs="宋体"/>
          <w:color w:val="auto"/>
          <w:kern w:val="2"/>
          <w:sz w:val="24"/>
          <w:szCs w:val="24"/>
          <w:highlight w:val="none"/>
          <w:lang w:val="en-US" w:eastAsia="zh-CN"/>
        </w:rPr>
      </w:pPr>
      <w:r>
        <w:rPr>
          <w:rFonts w:hint="eastAsia" w:ascii="宋体" w:hAnsi="宋体" w:cs="宋体"/>
          <w:color w:val="auto"/>
          <w:kern w:val="2"/>
          <w:sz w:val="24"/>
          <w:szCs w:val="24"/>
          <w:highlight w:val="none"/>
          <w:lang w:val="en-US" w:eastAsia="zh-CN"/>
        </w:rPr>
        <w:t xml:space="preserve">               </w:t>
      </w:r>
      <w:r>
        <w:rPr>
          <w:rFonts w:hint="eastAsia" w:ascii="宋体" w:hAnsi="宋体" w:eastAsia="宋体" w:cs="宋体"/>
          <w:color w:val="auto"/>
          <w:kern w:val="2"/>
          <w:sz w:val="24"/>
          <w:szCs w:val="24"/>
          <w:highlight w:val="none"/>
          <w:lang w:val="en-US" w:eastAsia="zh-CN"/>
        </w:rPr>
        <w:t>品目号1-2的最高限制单价为</w:t>
      </w:r>
      <w:r>
        <w:rPr>
          <w:rFonts w:hint="eastAsia" w:ascii="宋体" w:hAnsi="宋体" w:cs="宋体"/>
          <w:color w:val="auto"/>
          <w:kern w:val="2"/>
          <w:highlight w:val="none"/>
          <w:lang w:val="en-US" w:eastAsia="zh-CN"/>
        </w:rPr>
        <w:t>7</w:t>
      </w: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cs="宋体"/>
          <w:color w:val="auto"/>
          <w:kern w:val="2"/>
          <w:highlight w:val="none"/>
          <w:lang w:val="en-US" w:eastAsia="zh-CN"/>
        </w:rPr>
        <w:t>7</w:t>
      </w:r>
      <w:r>
        <w:rPr>
          <w:rFonts w:hint="eastAsia" w:ascii="宋体" w:hAnsi="宋体" w:cs="宋体"/>
          <w:color w:val="auto"/>
          <w:kern w:val="2"/>
          <w:highlight w:val="none"/>
        </w:rPr>
        <w:t>00</w:t>
      </w:r>
      <w:r>
        <w:rPr>
          <w:rFonts w:hint="eastAsia" w:ascii="宋体" w:hAnsi="宋体" w:eastAsia="宋体" w:cs="宋体"/>
          <w:color w:val="auto"/>
          <w:kern w:val="2"/>
          <w:sz w:val="24"/>
          <w:szCs w:val="24"/>
          <w:highlight w:val="none"/>
          <w:lang w:val="en-US" w:eastAsia="zh-CN"/>
        </w:rPr>
        <w:t>元/台。</w:t>
      </w:r>
    </w:p>
    <w:p w14:paraId="01F9B361">
      <w:pPr>
        <w:pStyle w:val="12"/>
        <w:widowControl/>
        <w:numPr>
          <w:ilvl w:val="0"/>
          <w:numId w:val="0"/>
        </w:numPr>
        <w:spacing w:before="0" w:beforeAutospacing="0" w:after="0" w:afterAutospacing="0" w:line="360" w:lineRule="auto"/>
        <w:ind w:firstLine="480" w:firstLineChars="200"/>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 xml:space="preserve">             </w:t>
      </w:r>
      <w:r>
        <w:rPr>
          <w:rFonts w:hint="eastAsia" w:ascii="宋体" w:hAnsi="宋体" w:cs="宋体"/>
          <w:color w:val="auto"/>
          <w:kern w:val="2"/>
          <w:sz w:val="24"/>
          <w:szCs w:val="24"/>
          <w:highlight w:val="none"/>
          <w:lang w:val="en-US" w:eastAsia="zh-CN"/>
        </w:rPr>
        <w:t xml:space="preserve">  </w:t>
      </w:r>
      <w:r>
        <w:rPr>
          <w:rFonts w:hint="eastAsia" w:ascii="宋体" w:hAnsi="宋体" w:eastAsia="宋体" w:cs="宋体"/>
          <w:color w:val="auto"/>
          <w:kern w:val="2"/>
          <w:sz w:val="24"/>
          <w:szCs w:val="24"/>
          <w:highlight w:val="none"/>
          <w:lang w:val="en-US" w:eastAsia="zh-CN"/>
        </w:rPr>
        <w:t>品目号1-3的最高限制单价为</w:t>
      </w:r>
      <w:r>
        <w:rPr>
          <w:rFonts w:hint="eastAsia" w:ascii="宋体" w:hAnsi="宋体" w:cs="宋体"/>
          <w:color w:val="auto"/>
          <w:kern w:val="2"/>
          <w:highlight w:val="none"/>
          <w:lang w:val="en-US" w:eastAsia="zh-CN"/>
        </w:rPr>
        <w:t>8</w:t>
      </w: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cs="宋体"/>
          <w:color w:val="auto"/>
          <w:kern w:val="2"/>
          <w:highlight w:val="none"/>
          <w:lang w:val="en-US" w:eastAsia="zh-CN"/>
        </w:rPr>
        <w:t>7</w:t>
      </w:r>
      <w:r>
        <w:rPr>
          <w:rFonts w:hint="eastAsia" w:ascii="宋体" w:hAnsi="宋体" w:cs="宋体"/>
          <w:color w:val="auto"/>
          <w:kern w:val="2"/>
          <w:highlight w:val="none"/>
        </w:rPr>
        <w:t>00</w:t>
      </w:r>
      <w:r>
        <w:rPr>
          <w:rFonts w:hint="eastAsia" w:ascii="宋体" w:hAnsi="宋体" w:eastAsia="宋体" w:cs="宋体"/>
          <w:color w:val="auto"/>
          <w:kern w:val="2"/>
          <w:sz w:val="24"/>
          <w:szCs w:val="24"/>
          <w:highlight w:val="none"/>
          <w:lang w:val="en-US" w:eastAsia="zh-CN"/>
        </w:rPr>
        <w:t>元/台。</w:t>
      </w:r>
    </w:p>
    <w:p w14:paraId="591492A5">
      <w:pPr>
        <w:pStyle w:val="12"/>
        <w:widowControl/>
        <w:numPr>
          <w:ilvl w:val="0"/>
          <w:numId w:val="0"/>
        </w:numPr>
        <w:spacing w:before="0" w:beforeAutospacing="0" w:after="0" w:afterAutospacing="0" w:line="360" w:lineRule="auto"/>
        <w:ind w:firstLine="480" w:firstLineChars="200"/>
        <w:rPr>
          <w:rFonts w:hint="default"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 xml:space="preserve">            </w:t>
      </w:r>
      <w:r>
        <w:rPr>
          <w:rFonts w:hint="eastAsia" w:ascii="宋体" w:hAnsi="宋体" w:cs="宋体"/>
          <w:color w:val="auto"/>
          <w:kern w:val="2"/>
          <w:sz w:val="24"/>
          <w:szCs w:val="24"/>
          <w:highlight w:val="none"/>
          <w:lang w:val="en-US" w:eastAsia="zh-CN"/>
        </w:rPr>
        <w:t xml:space="preserve">  </w:t>
      </w:r>
      <w:r>
        <w:rPr>
          <w:rFonts w:hint="eastAsia" w:ascii="宋体" w:hAnsi="宋体" w:eastAsia="宋体" w:cs="宋体"/>
          <w:color w:val="auto"/>
          <w:kern w:val="2"/>
          <w:sz w:val="24"/>
          <w:szCs w:val="24"/>
          <w:highlight w:val="none"/>
          <w:lang w:val="en-US" w:eastAsia="zh-CN"/>
        </w:rPr>
        <w:t xml:space="preserve"> 品目号1-4的最高限制单价为</w:t>
      </w:r>
      <w:r>
        <w:rPr>
          <w:rFonts w:hint="eastAsia" w:ascii="宋体" w:hAnsi="宋体" w:cs="宋体"/>
          <w:color w:val="auto"/>
          <w:kern w:val="2"/>
          <w:highlight w:val="none"/>
          <w:lang w:val="en-US" w:eastAsia="zh-CN"/>
        </w:rPr>
        <w:t>20</w:t>
      </w: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cs="宋体"/>
          <w:color w:val="auto"/>
          <w:kern w:val="2"/>
          <w:highlight w:val="none"/>
          <w:lang w:val="en-US" w:eastAsia="zh-CN"/>
        </w:rPr>
        <w:t>0</w:t>
      </w:r>
      <w:r>
        <w:rPr>
          <w:rFonts w:hint="eastAsia" w:ascii="宋体" w:hAnsi="宋体" w:cs="宋体"/>
          <w:color w:val="auto"/>
          <w:kern w:val="2"/>
          <w:highlight w:val="none"/>
        </w:rPr>
        <w:t>00</w:t>
      </w:r>
      <w:r>
        <w:rPr>
          <w:rFonts w:hint="eastAsia" w:ascii="宋体" w:hAnsi="宋体" w:eastAsia="宋体" w:cs="宋体"/>
          <w:color w:val="auto"/>
          <w:kern w:val="2"/>
          <w:sz w:val="24"/>
          <w:szCs w:val="24"/>
          <w:highlight w:val="none"/>
          <w:lang w:val="en-US" w:eastAsia="zh-CN"/>
        </w:rPr>
        <w:t>元/台。</w:t>
      </w:r>
    </w:p>
    <w:p w14:paraId="344E25CB">
      <w:pPr>
        <w:pStyle w:val="12"/>
        <w:widowControl/>
        <w:numPr>
          <w:ilvl w:val="0"/>
          <w:numId w:val="0"/>
        </w:numPr>
        <w:spacing w:before="0" w:beforeAutospacing="0" w:after="0" w:afterAutospacing="0" w:line="360" w:lineRule="auto"/>
        <w:ind w:firstLine="480" w:firstLineChars="200"/>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3.1.2采购包2：品目号2-1的最高限制单价为</w:t>
      </w:r>
      <w:r>
        <w:rPr>
          <w:rFonts w:hint="eastAsia" w:ascii="宋体" w:hAnsi="宋体" w:cs="宋体"/>
          <w:color w:val="auto"/>
          <w:kern w:val="2"/>
          <w:highlight w:val="none"/>
          <w:lang w:val="en-US" w:eastAsia="zh-CN"/>
        </w:rPr>
        <w:t>13</w:t>
      </w: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cs="宋体"/>
          <w:color w:val="auto"/>
          <w:kern w:val="2"/>
          <w:highlight w:val="none"/>
          <w:lang w:val="en-US" w:eastAsia="zh-CN"/>
        </w:rPr>
        <w:t>8</w:t>
      </w:r>
      <w:r>
        <w:rPr>
          <w:rFonts w:hint="eastAsia" w:ascii="宋体" w:hAnsi="宋体" w:eastAsia="宋体" w:cs="宋体"/>
          <w:color w:val="auto"/>
          <w:kern w:val="2"/>
          <w:sz w:val="24"/>
          <w:szCs w:val="24"/>
          <w:highlight w:val="none"/>
          <w:lang w:val="en-US" w:eastAsia="zh-CN"/>
        </w:rPr>
        <w:t>00元/台。</w:t>
      </w:r>
    </w:p>
    <w:p w14:paraId="20002C20">
      <w:pPr>
        <w:pStyle w:val="12"/>
        <w:widowControl/>
        <w:numPr>
          <w:ilvl w:val="0"/>
          <w:numId w:val="0"/>
        </w:numPr>
        <w:spacing w:before="0" w:beforeAutospacing="0" w:after="0" w:afterAutospacing="0" w:line="360" w:lineRule="auto"/>
        <w:ind w:firstLine="480" w:firstLineChars="200"/>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 xml:space="preserve">              </w:t>
      </w:r>
      <w:r>
        <w:rPr>
          <w:rFonts w:hint="eastAsia" w:ascii="宋体" w:hAnsi="宋体" w:cs="宋体"/>
          <w:color w:val="auto"/>
          <w:kern w:val="2"/>
          <w:sz w:val="24"/>
          <w:szCs w:val="24"/>
          <w:highlight w:val="none"/>
          <w:lang w:val="en-US" w:eastAsia="zh-CN"/>
        </w:rPr>
        <w:t xml:space="preserve"> </w:t>
      </w:r>
      <w:r>
        <w:rPr>
          <w:rFonts w:hint="eastAsia" w:ascii="宋体" w:hAnsi="宋体" w:eastAsia="宋体" w:cs="宋体"/>
          <w:color w:val="auto"/>
          <w:kern w:val="2"/>
          <w:sz w:val="24"/>
          <w:szCs w:val="24"/>
          <w:highlight w:val="none"/>
          <w:lang w:val="en-US" w:eastAsia="zh-CN"/>
        </w:rPr>
        <w:t>品目号2-2的最高限制单价为</w:t>
      </w:r>
      <w:r>
        <w:rPr>
          <w:rFonts w:hint="eastAsia" w:ascii="宋体" w:hAnsi="宋体" w:cs="宋体"/>
          <w:color w:val="auto"/>
          <w:kern w:val="2"/>
          <w:highlight w:val="none"/>
          <w:lang w:val="en-US" w:eastAsia="zh-CN"/>
        </w:rPr>
        <w:t>15</w:t>
      </w: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cs="宋体"/>
          <w:color w:val="auto"/>
          <w:kern w:val="2"/>
          <w:highlight w:val="none"/>
          <w:lang w:val="en-US" w:eastAsia="zh-CN"/>
        </w:rPr>
        <w:t>8</w:t>
      </w:r>
      <w:r>
        <w:rPr>
          <w:rFonts w:hint="eastAsia" w:ascii="宋体" w:hAnsi="宋体" w:eastAsia="宋体" w:cs="宋体"/>
          <w:color w:val="auto"/>
          <w:kern w:val="2"/>
          <w:sz w:val="24"/>
          <w:szCs w:val="24"/>
          <w:highlight w:val="none"/>
          <w:lang w:val="en-US" w:eastAsia="zh-CN"/>
        </w:rPr>
        <w:t>00元/台。</w:t>
      </w:r>
    </w:p>
    <w:p w14:paraId="2049E4C7">
      <w:pPr>
        <w:pStyle w:val="12"/>
        <w:widowControl/>
        <w:spacing w:before="0" w:beforeAutospacing="0" w:after="0" w:afterAutospacing="0" w:line="360" w:lineRule="auto"/>
        <w:ind w:firstLine="480" w:firstLineChars="200"/>
        <w:rPr>
          <w:rFonts w:hint="eastAsia" w:ascii="宋体" w:hAnsi="宋体" w:eastAsia="宋体" w:cs="宋体"/>
          <w:b w:val="0"/>
          <w:bCs/>
          <w:color w:val="auto"/>
          <w:kern w:val="2"/>
          <w:sz w:val="24"/>
          <w:szCs w:val="24"/>
          <w:highlight w:val="none"/>
          <w:lang w:val="en-US" w:eastAsia="zh-CN"/>
        </w:rPr>
      </w:pPr>
      <w:r>
        <w:rPr>
          <w:rFonts w:hint="eastAsia" w:ascii="宋体" w:hAnsi="宋体" w:eastAsia="宋体" w:cs="宋体"/>
          <w:b w:val="0"/>
          <w:bCs/>
          <w:color w:val="auto"/>
          <w:sz w:val="24"/>
          <w:szCs w:val="24"/>
          <w:highlight w:val="none"/>
          <w:lang w:val="en-US" w:eastAsia="zh-CN"/>
        </w:rPr>
        <w:t>3.2</w:t>
      </w:r>
      <w:r>
        <w:rPr>
          <w:rFonts w:hint="eastAsia" w:ascii="宋体" w:hAnsi="宋体" w:eastAsia="宋体" w:cs="宋体"/>
          <w:b w:val="0"/>
          <w:bCs/>
          <w:color w:val="auto"/>
          <w:sz w:val="24"/>
          <w:szCs w:val="24"/>
          <w:highlight w:val="none"/>
        </w:rPr>
        <w:t>量价关系</w:t>
      </w:r>
      <w:r>
        <w:rPr>
          <w:rFonts w:hint="eastAsia" w:ascii="宋体" w:hAnsi="宋体" w:eastAsia="宋体" w:cs="宋体"/>
          <w:b w:val="0"/>
          <w:bCs/>
          <w:color w:val="auto"/>
          <w:sz w:val="24"/>
          <w:szCs w:val="24"/>
          <w:highlight w:val="none"/>
          <w:lang w:eastAsia="zh-CN"/>
        </w:rPr>
        <w:t>：</w:t>
      </w:r>
    </w:p>
    <w:p w14:paraId="576A0DF6">
      <w:pPr>
        <w:pStyle w:val="12"/>
        <w:widowControl/>
        <w:spacing w:before="0" w:beforeAutospacing="0" w:after="0" w:afterAutospacing="0" w:line="360" w:lineRule="auto"/>
        <w:ind w:firstLine="480" w:firstLineChars="200"/>
        <w:jc w:val="both"/>
        <w:textAlignment w:val="baseline"/>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采购包1至采购包</w:t>
      </w:r>
      <w:r>
        <w:rPr>
          <w:rFonts w:hint="eastAsia" w:ascii="宋体" w:hAnsi="宋体" w:cs="宋体"/>
          <w:color w:val="auto"/>
          <w:kern w:val="2"/>
          <w:sz w:val="24"/>
          <w:szCs w:val="24"/>
          <w:highlight w:val="none"/>
          <w:lang w:val="en-US" w:eastAsia="zh-CN"/>
        </w:rPr>
        <w:t>2</w:t>
      </w:r>
      <w:r>
        <w:rPr>
          <w:rFonts w:hint="eastAsia" w:ascii="宋体" w:hAnsi="宋体" w:eastAsia="宋体" w:cs="宋体"/>
          <w:color w:val="auto"/>
          <w:kern w:val="2"/>
          <w:sz w:val="24"/>
          <w:szCs w:val="24"/>
          <w:highlight w:val="none"/>
          <w:lang w:val="en-US" w:eastAsia="zh-CN"/>
        </w:rPr>
        <w:t>，</w:t>
      </w:r>
      <w:r>
        <w:rPr>
          <w:rFonts w:hint="eastAsia" w:ascii="宋体" w:hAnsi="宋体" w:cs="宋体"/>
          <w:color w:val="auto"/>
          <w:sz w:val="24"/>
          <w:szCs w:val="24"/>
          <w:highlight w:val="none"/>
          <w:lang w:val="en-US" w:eastAsia="zh-CN"/>
        </w:rPr>
        <w:t>在框架协议期限内达到累计采购数量及对应报价折扣关系</w:t>
      </w:r>
      <w:r>
        <w:rPr>
          <w:rFonts w:hint="eastAsia" w:ascii="宋体" w:hAnsi="宋体" w:eastAsia="宋体" w:cs="宋体"/>
          <w:color w:val="auto"/>
          <w:kern w:val="2"/>
          <w:sz w:val="24"/>
          <w:szCs w:val="24"/>
          <w:highlight w:val="none"/>
          <w:lang w:val="en-US" w:eastAsia="zh-CN"/>
        </w:rPr>
        <w:t>为0-</w:t>
      </w:r>
      <w:r>
        <w:rPr>
          <w:rFonts w:hint="eastAsia" w:ascii="宋体" w:hAnsi="宋体" w:cs="宋体"/>
          <w:color w:val="auto"/>
          <w:kern w:val="2"/>
          <w:sz w:val="24"/>
          <w:szCs w:val="24"/>
          <w:highlight w:val="none"/>
          <w:lang w:val="en-US" w:eastAsia="zh-CN"/>
        </w:rPr>
        <w:t>3</w:t>
      </w:r>
      <w:r>
        <w:rPr>
          <w:rFonts w:hint="eastAsia" w:ascii="宋体" w:hAnsi="宋体" w:eastAsia="宋体" w:cs="宋体"/>
          <w:color w:val="auto"/>
          <w:kern w:val="2"/>
          <w:sz w:val="24"/>
          <w:szCs w:val="24"/>
          <w:highlight w:val="none"/>
          <w:lang w:val="en-US" w:eastAsia="zh-CN"/>
        </w:rPr>
        <w:t>000套（含）：响应报价×100%；</w:t>
      </w:r>
      <w:r>
        <w:rPr>
          <w:rFonts w:hint="eastAsia" w:ascii="宋体" w:hAnsi="宋体" w:cs="宋体"/>
          <w:color w:val="auto"/>
          <w:kern w:val="2"/>
          <w:sz w:val="24"/>
          <w:szCs w:val="24"/>
          <w:highlight w:val="none"/>
          <w:lang w:val="en-US" w:eastAsia="zh-CN"/>
        </w:rPr>
        <w:t>3</w:t>
      </w:r>
      <w:r>
        <w:rPr>
          <w:rFonts w:hint="eastAsia" w:ascii="宋体" w:hAnsi="宋体" w:eastAsia="宋体" w:cs="宋体"/>
          <w:color w:val="auto"/>
          <w:kern w:val="2"/>
          <w:sz w:val="24"/>
          <w:szCs w:val="24"/>
          <w:highlight w:val="none"/>
          <w:lang w:val="en-US" w:eastAsia="zh-CN"/>
        </w:rPr>
        <w:t>001套（含）以上：响应报价×9</w:t>
      </w:r>
      <w:r>
        <w:rPr>
          <w:rFonts w:hint="eastAsia" w:ascii="宋体" w:hAnsi="宋体" w:cs="宋体"/>
          <w:color w:val="auto"/>
          <w:kern w:val="2"/>
          <w:sz w:val="24"/>
          <w:szCs w:val="24"/>
          <w:highlight w:val="none"/>
          <w:lang w:val="en-US" w:eastAsia="zh-CN"/>
        </w:rPr>
        <w:t>8</w:t>
      </w:r>
      <w:r>
        <w:rPr>
          <w:rFonts w:hint="eastAsia" w:ascii="宋体" w:hAnsi="宋体" w:eastAsia="宋体" w:cs="宋体"/>
          <w:color w:val="auto"/>
          <w:kern w:val="2"/>
          <w:sz w:val="24"/>
          <w:szCs w:val="24"/>
          <w:highlight w:val="none"/>
          <w:lang w:val="en-US" w:eastAsia="zh-CN"/>
        </w:rPr>
        <w:t>%。</w:t>
      </w:r>
    </w:p>
    <w:p w14:paraId="0369A045">
      <w:pPr>
        <w:pStyle w:val="12"/>
        <w:widowControl/>
        <w:spacing w:before="0" w:beforeAutospacing="0" w:after="0" w:afterAutospacing="0" w:line="360" w:lineRule="auto"/>
        <w:ind w:firstLine="480" w:firstLineChars="200"/>
        <w:jc w:val="both"/>
        <w:textAlignment w:val="baseline"/>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征集内容及要求：详见《采购标的一览表》及征集文件第五章。</w:t>
      </w:r>
    </w:p>
    <w:p w14:paraId="050DA63A">
      <w:pPr>
        <w:pStyle w:val="12"/>
        <w:widowControl/>
        <w:spacing w:before="0" w:beforeAutospacing="0" w:after="0" w:afterAutospacing="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需要落实的政府采购政策：（1）进口产品：</w:t>
      </w:r>
      <w:r>
        <w:rPr>
          <w:rFonts w:hint="eastAsia" w:ascii="宋体" w:hAnsi="宋体" w:cs="宋体"/>
          <w:color w:val="auto"/>
          <w:sz w:val="24"/>
          <w:szCs w:val="24"/>
          <w:highlight w:val="none"/>
        </w:rPr>
        <w:t>不</w:t>
      </w:r>
      <w:r>
        <w:rPr>
          <w:rFonts w:hint="eastAsia" w:ascii="宋体" w:hAnsi="宋体" w:cs="宋体"/>
          <w:color w:val="auto"/>
          <w:sz w:val="24"/>
          <w:szCs w:val="24"/>
          <w:highlight w:val="none"/>
          <w:lang w:val="en-US" w:eastAsia="zh-CN"/>
        </w:rPr>
        <w:t>接受进口产品投标</w:t>
      </w:r>
      <w:r>
        <w:rPr>
          <w:rFonts w:hint="eastAsia" w:ascii="宋体" w:hAnsi="宋体" w:cs="宋体"/>
          <w:color w:val="auto"/>
          <w:sz w:val="24"/>
          <w:szCs w:val="24"/>
          <w:highlight w:val="none"/>
        </w:rPr>
        <w:t>。（2）节能产品、环境标志产品：</w:t>
      </w:r>
      <w:r>
        <w:rPr>
          <w:rFonts w:hint="eastAsia" w:ascii="宋体" w:hAnsi="宋体" w:cs="宋体"/>
          <w:color w:val="auto"/>
          <w:sz w:val="24"/>
          <w:szCs w:val="24"/>
          <w:highlight w:val="none"/>
          <w:lang w:val="en-US" w:eastAsia="zh-CN"/>
        </w:rPr>
        <w:t>按</w:t>
      </w:r>
      <w:r>
        <w:rPr>
          <w:rFonts w:hint="eastAsia" w:ascii="宋体" w:hAnsi="宋体" w:cs="宋体"/>
          <w:color w:val="auto"/>
          <w:sz w:val="24"/>
          <w:szCs w:val="24"/>
          <w:highlight w:val="none"/>
        </w:rPr>
        <w:t>财政部 发展改革委 生态环境部 市场监管总局 关于调整优化节能产品、环境标志产品政府采购执行机制的通知</w:t>
      </w:r>
      <w:r>
        <w:rPr>
          <w:rFonts w:hint="default" w:ascii="宋体" w:hAnsi="宋体" w:cs="宋体"/>
          <w:color w:val="auto"/>
          <w:sz w:val="24"/>
          <w:szCs w:val="24"/>
          <w:highlight w:val="none"/>
        </w:rPr>
        <w:t>（</w:t>
      </w:r>
      <w:r>
        <w:rPr>
          <w:rFonts w:hint="eastAsia" w:ascii="宋体" w:hAnsi="宋体" w:cs="宋体"/>
          <w:color w:val="auto"/>
          <w:sz w:val="24"/>
          <w:szCs w:val="24"/>
          <w:highlight w:val="none"/>
        </w:rPr>
        <w:t>财库〔2019〕9号）</w:t>
      </w:r>
      <w:r>
        <w:rPr>
          <w:rFonts w:hint="eastAsia" w:ascii="宋体" w:hAnsi="宋体" w:cs="宋体"/>
          <w:color w:val="auto"/>
          <w:sz w:val="24"/>
          <w:szCs w:val="24"/>
          <w:highlight w:val="none"/>
          <w:lang w:val="en-US" w:eastAsia="zh-CN"/>
        </w:rPr>
        <w:t>执行</w:t>
      </w:r>
      <w:r>
        <w:rPr>
          <w:rFonts w:hint="eastAsia" w:ascii="宋体" w:hAnsi="宋体" w:cs="宋体"/>
          <w:color w:val="auto"/>
          <w:sz w:val="24"/>
          <w:szCs w:val="24"/>
          <w:highlight w:val="none"/>
        </w:rPr>
        <w:t>。(3)信息安全产品：不适用。(4)小型、微型企业：</w:t>
      </w:r>
      <w:r>
        <w:rPr>
          <w:rFonts w:hint="eastAsia" w:ascii="宋体" w:hAnsi="宋体" w:cs="宋体"/>
          <w:color w:val="auto"/>
          <w:sz w:val="24"/>
          <w:szCs w:val="24"/>
          <w:highlight w:val="none"/>
          <w:lang w:val="en-US" w:eastAsia="zh-CN"/>
        </w:rPr>
        <w:t>按</w:t>
      </w:r>
      <w:r>
        <w:rPr>
          <w:rFonts w:hint="eastAsia" w:ascii="宋体" w:hAnsi="宋体" w:cs="宋体"/>
          <w:color w:val="auto"/>
          <w:sz w:val="24"/>
          <w:szCs w:val="24"/>
          <w:highlight w:val="none"/>
        </w:rPr>
        <w:t>《政府采购促进中小企业发展管理办法》（财库〔2020〕46号）</w:t>
      </w:r>
      <w:r>
        <w:rPr>
          <w:rFonts w:hint="eastAsia" w:ascii="宋体" w:hAnsi="宋体" w:cs="宋体"/>
          <w:color w:val="auto"/>
          <w:sz w:val="24"/>
          <w:szCs w:val="24"/>
          <w:highlight w:val="none"/>
          <w:lang w:val="en-US" w:eastAsia="zh-CN"/>
        </w:rPr>
        <w:t>执行</w:t>
      </w:r>
      <w:r>
        <w:rPr>
          <w:rFonts w:hint="eastAsia" w:ascii="宋体" w:hAnsi="宋体" w:cs="宋体"/>
          <w:color w:val="auto"/>
          <w:sz w:val="24"/>
          <w:szCs w:val="24"/>
          <w:highlight w:val="none"/>
        </w:rPr>
        <w:t>。(5)监狱企业：执行《关于政府采购支持监狱企业发展有关问题的通知》（财库〔2014〕68号）。(6)残疾人福利性单位：执行《关于促进残疾人就业政府采购政策的通知》（财库〔2017〕141号）。（7）产品包装：执行关于印发《商品包装政府采购需求标准（试行）》、《快递包装政府采购需求标准（试行）》的通知财办库〔2020〕123号  （8）本项目</w:t>
      </w:r>
      <w:r>
        <w:rPr>
          <w:rFonts w:hint="eastAsia" w:ascii="宋体" w:hAnsi="宋体" w:cs="宋体"/>
          <w:color w:val="auto"/>
          <w:sz w:val="24"/>
          <w:szCs w:val="24"/>
          <w:highlight w:val="none"/>
          <w:lang w:val="en-US" w:eastAsia="zh-CN"/>
        </w:rPr>
        <w:t>2个采购包均</w:t>
      </w:r>
      <w:r>
        <w:rPr>
          <w:rFonts w:hint="eastAsia" w:ascii="宋体" w:hAnsi="宋体" w:cs="宋体"/>
          <w:color w:val="auto"/>
          <w:sz w:val="24"/>
          <w:szCs w:val="24"/>
          <w:highlight w:val="none"/>
        </w:rPr>
        <w:t>为非专门面向中小企业。</w:t>
      </w:r>
    </w:p>
    <w:p w14:paraId="2D401BF0">
      <w:pPr>
        <w:pStyle w:val="12"/>
        <w:widowControl/>
        <w:spacing w:before="0" w:beforeAutospacing="0" w:after="0" w:afterAutospacing="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投标人的资格要求</w:t>
      </w:r>
    </w:p>
    <w:p w14:paraId="745805E0">
      <w:pPr>
        <w:pStyle w:val="12"/>
        <w:widowControl/>
        <w:spacing w:before="0" w:beforeAutospacing="0" w:after="0" w:afterAutospacing="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.1法定条件：符合政府采购法第二十二条第一款规定的条件。</w:t>
      </w:r>
    </w:p>
    <w:p w14:paraId="64B32FDB">
      <w:pPr>
        <w:pStyle w:val="12"/>
        <w:widowControl/>
        <w:spacing w:before="0" w:beforeAutospacing="0" w:after="0" w:afterAutospacing="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.2特定条件：</w:t>
      </w:r>
    </w:p>
    <w:p w14:paraId="398B8D98">
      <w:pPr>
        <w:pStyle w:val="12"/>
        <w:widowControl/>
        <w:tabs>
          <w:tab w:val="left" w:pos="4480"/>
        </w:tabs>
        <w:spacing w:before="0" w:beforeAutospacing="0" w:after="0" w:afterAutospacing="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包：1</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2</w:t>
      </w:r>
    </w:p>
    <w:tbl>
      <w:tblPr>
        <w:tblStyle w:val="14"/>
        <w:tblW w:w="5000" w:type="pct"/>
        <w:tblCellSpacing w:w="0" w:type="dxa"/>
        <w:tblInd w:w="257"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2693"/>
        <w:gridCol w:w="5643"/>
      </w:tblGrid>
      <w:tr w14:paraId="1A992D8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Header/>
          <w:tblCellSpacing w:w="0" w:type="dxa"/>
        </w:trPr>
        <w:tc>
          <w:tcPr>
            <w:tcW w:w="1615" w:type="pct"/>
            <w:vAlign w:val="center"/>
          </w:tcPr>
          <w:p w14:paraId="7650119C">
            <w:pPr>
              <w:widowControl/>
              <w:spacing w:line="360" w:lineRule="auto"/>
              <w:jc w:val="center"/>
              <w:rPr>
                <w:rFonts w:hint="eastAsia" w:ascii="宋体" w:hAnsi="宋体" w:cs="宋体"/>
                <w:b/>
                <w:bCs/>
                <w:color w:val="auto"/>
                <w:sz w:val="24"/>
                <w:highlight w:val="none"/>
              </w:rPr>
            </w:pPr>
            <w:r>
              <w:rPr>
                <w:rFonts w:hint="eastAsia" w:ascii="宋体" w:hAnsi="宋体" w:cs="宋体"/>
                <w:b/>
                <w:bCs/>
                <w:color w:val="auto"/>
                <w:kern w:val="0"/>
                <w:sz w:val="24"/>
                <w:highlight w:val="none"/>
              </w:rPr>
              <w:t>明细</w:t>
            </w:r>
          </w:p>
        </w:tc>
        <w:tc>
          <w:tcPr>
            <w:tcW w:w="3384" w:type="pct"/>
            <w:vAlign w:val="center"/>
          </w:tcPr>
          <w:p w14:paraId="1B8E39AA">
            <w:pPr>
              <w:widowControl/>
              <w:spacing w:line="360" w:lineRule="auto"/>
              <w:jc w:val="center"/>
              <w:rPr>
                <w:rFonts w:hint="eastAsia" w:ascii="宋体" w:hAnsi="宋体" w:cs="宋体"/>
                <w:b/>
                <w:bCs/>
                <w:color w:val="auto"/>
                <w:sz w:val="24"/>
                <w:highlight w:val="none"/>
              </w:rPr>
            </w:pPr>
            <w:r>
              <w:rPr>
                <w:rFonts w:hint="eastAsia" w:ascii="宋体" w:hAnsi="宋体" w:cs="宋体"/>
                <w:b/>
                <w:bCs/>
                <w:color w:val="auto"/>
                <w:kern w:val="0"/>
                <w:sz w:val="24"/>
                <w:highlight w:val="none"/>
              </w:rPr>
              <w:t>描述</w:t>
            </w:r>
          </w:p>
        </w:tc>
      </w:tr>
      <w:tr w14:paraId="1CE7650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1615" w:type="pct"/>
            <w:tcBorders>
              <w:top w:val="single" w:color="auto" w:sz="4" w:space="0"/>
              <w:left w:val="single" w:color="auto" w:sz="4" w:space="0"/>
              <w:bottom w:val="single" w:color="auto" w:sz="4" w:space="0"/>
              <w:right w:val="single" w:color="auto" w:sz="4" w:space="0"/>
            </w:tcBorders>
            <w:vAlign w:val="center"/>
          </w:tcPr>
          <w:p w14:paraId="0A4E7C58">
            <w:pPr>
              <w:widowControl/>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联合体投标</w:t>
            </w:r>
          </w:p>
        </w:tc>
        <w:tc>
          <w:tcPr>
            <w:tcW w:w="3384" w:type="pct"/>
            <w:tcBorders>
              <w:top w:val="single" w:color="auto" w:sz="4" w:space="0"/>
              <w:left w:val="single" w:color="auto" w:sz="4" w:space="0"/>
              <w:bottom w:val="single" w:color="auto" w:sz="4" w:space="0"/>
              <w:right w:val="single" w:color="auto" w:sz="4" w:space="0"/>
            </w:tcBorders>
            <w:vAlign w:val="center"/>
          </w:tcPr>
          <w:p w14:paraId="0D014F28">
            <w:pPr>
              <w:widowControl/>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本</w:t>
            </w:r>
            <w:r>
              <w:rPr>
                <w:rFonts w:hint="eastAsia" w:ascii="宋体" w:hAnsi="宋体" w:cs="宋体"/>
                <w:b/>
                <w:bCs/>
                <w:color w:val="auto"/>
                <w:kern w:val="0"/>
                <w:sz w:val="24"/>
                <w:highlight w:val="none"/>
                <w:lang w:val="en-US" w:eastAsia="zh-CN"/>
              </w:rPr>
              <w:t>采购包</w:t>
            </w:r>
            <w:r>
              <w:rPr>
                <w:rFonts w:hint="eastAsia" w:ascii="宋体" w:hAnsi="宋体" w:cs="宋体"/>
                <w:b/>
                <w:bCs/>
                <w:color w:val="auto"/>
                <w:kern w:val="0"/>
                <w:sz w:val="24"/>
                <w:highlight w:val="none"/>
              </w:rPr>
              <w:t>不接受联合体投标</w:t>
            </w:r>
          </w:p>
        </w:tc>
      </w:tr>
      <w:tr w14:paraId="06BCAD4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1615" w:type="pct"/>
            <w:tcBorders>
              <w:top w:val="single" w:color="auto" w:sz="4" w:space="0"/>
              <w:left w:val="single" w:color="auto" w:sz="4" w:space="0"/>
              <w:bottom w:val="single" w:color="auto" w:sz="4" w:space="0"/>
              <w:right w:val="single" w:color="auto" w:sz="4" w:space="0"/>
            </w:tcBorders>
            <w:vAlign w:val="center"/>
          </w:tcPr>
          <w:p w14:paraId="7478F373">
            <w:pPr>
              <w:widowControl/>
              <w:spacing w:line="360" w:lineRule="auto"/>
              <w:jc w:val="center"/>
              <w:rPr>
                <w:rFonts w:hint="eastAsia" w:ascii="宋体" w:hAnsi="宋体" w:eastAsia="宋体" w:cs="宋体"/>
                <w:b/>
                <w:bCs/>
                <w:color w:val="auto"/>
                <w:kern w:val="0"/>
                <w:sz w:val="24"/>
                <w:highlight w:val="none"/>
                <w:lang w:val="en-US" w:eastAsia="zh-CN"/>
              </w:rPr>
            </w:pPr>
            <w:r>
              <w:rPr>
                <w:rFonts w:hint="eastAsia" w:ascii="宋体" w:hAnsi="宋体" w:cs="宋体"/>
                <w:b/>
                <w:bCs/>
                <w:color w:val="auto"/>
                <w:kern w:val="0"/>
                <w:sz w:val="24"/>
                <w:highlight w:val="none"/>
                <w:lang w:val="en-US" w:eastAsia="zh-CN"/>
              </w:rPr>
              <w:t>其它</w:t>
            </w:r>
          </w:p>
        </w:tc>
        <w:tc>
          <w:tcPr>
            <w:tcW w:w="3384" w:type="pct"/>
            <w:tcBorders>
              <w:top w:val="single" w:color="auto" w:sz="4" w:space="0"/>
              <w:left w:val="single" w:color="auto" w:sz="4" w:space="0"/>
              <w:bottom w:val="single" w:color="auto" w:sz="4" w:space="0"/>
              <w:right w:val="single" w:color="auto" w:sz="4" w:space="0"/>
            </w:tcBorders>
            <w:vAlign w:val="center"/>
          </w:tcPr>
          <w:p w14:paraId="0E5F8031">
            <w:pPr>
              <w:widowControl/>
              <w:spacing w:line="360" w:lineRule="auto"/>
              <w:jc w:val="left"/>
              <w:rPr>
                <w:rFonts w:hint="eastAsia" w:ascii="宋体" w:hAnsi="宋体" w:cs="宋体"/>
                <w:b/>
                <w:bCs/>
                <w:color w:val="auto"/>
                <w:kern w:val="0"/>
                <w:sz w:val="24"/>
                <w:highlight w:val="none"/>
              </w:rPr>
            </w:pPr>
            <w:r>
              <w:rPr>
                <w:rFonts w:hint="eastAsia" w:ascii="宋体" w:hAnsi="宋体" w:cs="宋体"/>
                <w:color w:val="auto"/>
                <w:kern w:val="0"/>
                <w:sz w:val="24"/>
                <w:highlight w:val="none"/>
              </w:rPr>
              <w:t>★1、</w:t>
            </w:r>
            <w:r>
              <w:rPr>
                <w:rFonts w:hint="eastAsia" w:ascii="宋体" w:hAnsi="宋体" w:cs="宋体"/>
                <w:color w:val="auto"/>
                <w:kern w:val="0"/>
                <w:sz w:val="24"/>
                <w:highlight w:val="none"/>
                <w:lang w:val="zh-CN"/>
              </w:rPr>
              <w:t>投标人应为生产者（制造商）或者生产者（制造商）唯一授权供应商，投标人为生产者（制造商）唯一授权供应商时，投标人需要出具生产厂家的唯一授权函。</w:t>
            </w:r>
          </w:p>
        </w:tc>
      </w:tr>
    </w:tbl>
    <w:p w14:paraId="546F9953">
      <w:pPr>
        <w:pStyle w:val="12"/>
        <w:widowControl/>
        <w:spacing w:before="0" w:beforeAutospacing="0" w:after="0" w:afterAutospacing="0" w:line="360" w:lineRule="auto"/>
        <w:ind w:firstLine="320"/>
        <w:rPr>
          <w:rFonts w:hint="eastAsia" w:ascii="宋体" w:hAnsi="宋体" w:cs="宋体"/>
          <w:color w:val="auto"/>
          <w:sz w:val="24"/>
          <w:szCs w:val="24"/>
          <w:highlight w:val="none"/>
        </w:rPr>
      </w:pPr>
    </w:p>
    <w:p w14:paraId="677729B3">
      <w:pPr>
        <w:spacing w:line="360" w:lineRule="auto"/>
        <w:rPr>
          <w:rFonts w:hint="eastAsia" w:ascii="宋体" w:hAnsi="宋体" w:cs="宋体"/>
          <w:color w:val="auto"/>
          <w:sz w:val="24"/>
          <w:highlight w:val="none"/>
        </w:rPr>
      </w:pPr>
    </w:p>
    <w:p w14:paraId="16D0C5F7">
      <w:pPr>
        <w:pStyle w:val="12"/>
        <w:widowControl/>
        <w:spacing w:before="0" w:beforeAutospacing="0" w:after="0" w:afterAutospacing="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7是否接受联合体投标：</w:t>
      </w:r>
      <w:r>
        <w:rPr>
          <w:rFonts w:hint="eastAsia" w:ascii="宋体" w:hAnsi="宋体" w:cs="宋体"/>
          <w:color w:val="auto"/>
          <w:sz w:val="24"/>
          <w:szCs w:val="24"/>
          <w:highlight w:val="none"/>
          <w:lang w:val="en-US" w:eastAsia="zh-CN"/>
        </w:rPr>
        <w:t>每个采购包均</w:t>
      </w:r>
      <w:r>
        <w:rPr>
          <w:rFonts w:hint="eastAsia" w:ascii="宋体" w:hAnsi="宋体" w:cs="宋体"/>
          <w:b/>
          <w:bCs/>
          <w:color w:val="auto"/>
          <w:sz w:val="24"/>
          <w:szCs w:val="24"/>
          <w:highlight w:val="none"/>
        </w:rPr>
        <w:t>不接受</w:t>
      </w:r>
      <w:r>
        <w:rPr>
          <w:rFonts w:hint="eastAsia" w:ascii="宋体" w:hAnsi="宋体" w:cs="宋体"/>
          <w:color w:val="auto"/>
          <w:sz w:val="24"/>
          <w:szCs w:val="24"/>
          <w:highlight w:val="none"/>
        </w:rPr>
        <w:t>。</w:t>
      </w:r>
    </w:p>
    <w:p w14:paraId="135A41A5">
      <w:pPr>
        <w:pStyle w:val="12"/>
        <w:widowControl/>
        <w:spacing w:before="0" w:beforeAutospacing="0" w:after="0" w:afterAutospacing="0" w:line="360" w:lineRule="auto"/>
        <w:ind w:firstLine="482" w:firstLineChars="200"/>
        <w:rPr>
          <w:rFonts w:hint="eastAsia" w:ascii="宋体" w:hAnsi="宋体" w:cs="宋体"/>
          <w:color w:val="auto"/>
          <w:sz w:val="24"/>
          <w:szCs w:val="24"/>
          <w:highlight w:val="none"/>
        </w:rPr>
      </w:pPr>
      <w:r>
        <w:rPr>
          <w:rStyle w:val="17"/>
          <w:rFonts w:hint="eastAsia" w:ascii="宋体" w:hAnsi="宋体" w:cs="宋体"/>
          <w:color w:val="auto"/>
          <w:sz w:val="24"/>
          <w:szCs w:val="24"/>
          <w:highlight w:val="none"/>
        </w:rPr>
        <w:t>※根据上述资格要求，响应文件中应提交的“投标人的资格及资信证明文件”详见征集文件第四章。</w:t>
      </w:r>
    </w:p>
    <w:p w14:paraId="730267EF">
      <w:pPr>
        <w:pStyle w:val="12"/>
        <w:widowControl/>
        <w:spacing w:before="0" w:beforeAutospacing="0" w:after="0" w:afterAutospacing="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8征集文件的获取</w:t>
      </w:r>
    </w:p>
    <w:p w14:paraId="56D969DC">
      <w:pPr>
        <w:pStyle w:val="12"/>
        <w:widowControl/>
        <w:spacing w:before="0" w:beforeAutospacing="0" w:after="0" w:afterAutospacing="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8.1时间：详见征集公告或更正公告，若不一致，以更正公告为准。</w:t>
      </w:r>
    </w:p>
    <w:p w14:paraId="1AA5EAC5">
      <w:pPr>
        <w:pStyle w:val="12"/>
        <w:widowControl/>
        <w:spacing w:before="0" w:beforeAutospacing="0" w:after="0" w:afterAutospacing="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8.2地点：厦门市湖里区机场北路476号四楼售标室</w:t>
      </w:r>
    </w:p>
    <w:p w14:paraId="7C16E90E">
      <w:pPr>
        <w:pStyle w:val="12"/>
        <w:widowControl/>
        <w:spacing w:before="0" w:beforeAutospacing="0" w:after="0" w:afterAutospacing="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8.3方式：至获取地点获取或者邮件申请获取，邮箱：wxsb@iport.com.cn，获取文件联系人：</w:t>
      </w:r>
      <w:r>
        <w:rPr>
          <w:rFonts w:hint="eastAsia" w:ascii="宋体" w:hAnsi="宋体" w:cs="宋体"/>
          <w:color w:val="auto"/>
          <w:sz w:val="24"/>
          <w:szCs w:val="24"/>
          <w:highlight w:val="none"/>
          <w:lang w:val="en-US" w:eastAsia="zh-CN"/>
        </w:rPr>
        <w:t>蒋</w:t>
      </w:r>
      <w:r>
        <w:rPr>
          <w:rFonts w:hint="eastAsia" w:ascii="宋体" w:hAnsi="宋体" w:cs="宋体"/>
          <w:color w:val="auto"/>
          <w:sz w:val="24"/>
          <w:szCs w:val="24"/>
          <w:highlight w:val="none"/>
        </w:rPr>
        <w:t>小姐0592-2219823。</w:t>
      </w:r>
    </w:p>
    <w:p w14:paraId="7106EFFC">
      <w:pPr>
        <w:widowControl/>
        <w:adjustRightInd w:val="0"/>
        <w:snapToGrid w:val="0"/>
        <w:spacing w:before="0" w:beforeAutospacing="0" w:after="0" w:afterAutospacing="0" w:line="360" w:lineRule="auto"/>
        <w:ind w:firstLine="480" w:firstLineChars="200"/>
        <w:rPr>
          <w:rFonts w:hint="eastAsia" w:ascii="宋体" w:hAnsi="宋体" w:cs="宋体"/>
          <w:color w:val="auto"/>
          <w:sz w:val="24"/>
          <w:szCs w:val="24"/>
          <w:highlight w:val="none"/>
        </w:rPr>
      </w:pPr>
      <w:r>
        <w:rPr>
          <w:rFonts w:hint="eastAsia" w:ascii="宋体" w:hAnsi="宋体" w:cs="宋体"/>
          <w:color w:val="auto"/>
          <w:kern w:val="0"/>
          <w:sz w:val="24"/>
          <w:szCs w:val="24"/>
          <w:highlight w:val="none"/>
        </w:rPr>
        <w:t>8.4</w:t>
      </w:r>
      <w:r>
        <w:rPr>
          <w:rFonts w:hint="eastAsia" w:ascii="宋体" w:hAnsi="宋体" w:cs="宋体"/>
          <w:color w:val="auto"/>
          <w:kern w:val="0"/>
          <w:sz w:val="24"/>
          <w:szCs w:val="24"/>
          <w:highlight w:val="none"/>
          <w:lang w:val="en-US" w:eastAsia="zh-CN"/>
        </w:rPr>
        <w:t>征集</w:t>
      </w:r>
      <w:r>
        <w:rPr>
          <w:rFonts w:hint="eastAsia" w:ascii="宋体" w:hAnsi="宋体" w:eastAsia="宋体" w:cs="宋体"/>
          <w:color w:val="auto"/>
          <w:kern w:val="0"/>
          <w:sz w:val="24"/>
          <w:szCs w:val="24"/>
          <w:highlight w:val="none"/>
        </w:rPr>
        <w:t>文件售价</w:t>
      </w:r>
      <w:r>
        <w:rPr>
          <w:rFonts w:hint="eastAsia" w:ascii="宋体" w:hAnsi="宋体" w:cs="宋体"/>
          <w:color w:val="auto"/>
          <w:kern w:val="0"/>
          <w:sz w:val="24"/>
          <w:szCs w:val="24"/>
          <w:highlight w:val="none"/>
          <w:u w:val="none"/>
          <w:lang w:eastAsia="zh-CN"/>
        </w:rPr>
        <w:t>：</w:t>
      </w:r>
      <w:r>
        <w:rPr>
          <w:rFonts w:hint="eastAsia" w:ascii="宋体" w:hAnsi="宋体" w:cs="宋体"/>
          <w:color w:val="auto"/>
          <w:kern w:val="0"/>
          <w:sz w:val="24"/>
          <w:szCs w:val="24"/>
          <w:highlight w:val="none"/>
          <w:u w:val="none"/>
          <w:lang w:val="en-US" w:eastAsia="zh-CN"/>
        </w:rPr>
        <w:t>每个采购包</w:t>
      </w:r>
      <w:r>
        <w:rPr>
          <w:rFonts w:hint="eastAsia" w:ascii="宋体" w:hAnsi="宋体" w:eastAsia="宋体" w:cs="宋体"/>
          <w:b w:val="0"/>
          <w:color w:val="auto"/>
          <w:kern w:val="0"/>
          <w:sz w:val="24"/>
          <w:szCs w:val="24"/>
          <w:highlight w:val="none"/>
          <w:u w:val="none"/>
          <w:lang w:val="en-US" w:eastAsia="zh-CN"/>
        </w:rPr>
        <w:t>0</w:t>
      </w:r>
      <w:r>
        <w:rPr>
          <w:rFonts w:hint="eastAsia" w:ascii="宋体" w:hAnsi="宋体" w:eastAsia="宋体" w:cs="宋体"/>
          <w:color w:val="auto"/>
          <w:kern w:val="0"/>
          <w:sz w:val="24"/>
          <w:szCs w:val="24"/>
          <w:highlight w:val="none"/>
        </w:rPr>
        <w:t>元人民币，售后不退。</w:t>
      </w:r>
    </w:p>
    <w:p w14:paraId="69972D40">
      <w:pPr>
        <w:pStyle w:val="12"/>
        <w:widowControl/>
        <w:spacing w:before="0" w:beforeAutospacing="0" w:after="0" w:afterAutospacing="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9投标截止</w:t>
      </w:r>
    </w:p>
    <w:p w14:paraId="336841BA">
      <w:pPr>
        <w:pStyle w:val="12"/>
        <w:widowControl/>
        <w:spacing w:before="0" w:beforeAutospacing="0" w:after="0" w:afterAutospacing="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9.1投标截止时间：详见征集公告或更正公告，若不一致，以更正公告为准。</w:t>
      </w:r>
    </w:p>
    <w:p w14:paraId="2A506C56">
      <w:pPr>
        <w:pStyle w:val="12"/>
        <w:widowControl/>
        <w:spacing w:before="0" w:beforeAutospacing="0" w:after="0" w:afterAutospacing="0" w:line="360" w:lineRule="auto"/>
        <w:ind w:firstLine="480" w:firstLineChars="200"/>
        <w:rPr>
          <w:rStyle w:val="17"/>
          <w:rFonts w:hint="eastAsia" w:ascii="宋体" w:hAnsi="宋体" w:cs="宋体"/>
          <w:color w:val="auto"/>
          <w:sz w:val="24"/>
          <w:szCs w:val="24"/>
          <w:highlight w:val="none"/>
        </w:rPr>
      </w:pPr>
      <w:r>
        <w:rPr>
          <w:rFonts w:hint="eastAsia" w:ascii="宋体" w:hAnsi="宋体" w:cs="宋体"/>
          <w:color w:val="auto"/>
          <w:sz w:val="24"/>
          <w:szCs w:val="24"/>
          <w:highlight w:val="none"/>
        </w:rPr>
        <w:t>9.2供应商应在投标截止时间前</w:t>
      </w:r>
      <w:r>
        <w:rPr>
          <w:rFonts w:hint="eastAsia" w:ascii="宋体" w:hAnsi="宋体" w:cs="宋体"/>
          <w:b/>
          <w:bCs/>
          <w:color w:val="auto"/>
          <w:sz w:val="24"/>
          <w:szCs w:val="24"/>
          <w:highlight w:val="none"/>
        </w:rPr>
        <w:t>将密封的纸质响应文件</w:t>
      </w:r>
      <w:r>
        <w:rPr>
          <w:rFonts w:hint="eastAsia" w:ascii="宋体" w:hAnsi="宋体" w:cs="宋体"/>
          <w:color w:val="auto"/>
          <w:sz w:val="24"/>
          <w:szCs w:val="24"/>
          <w:highlight w:val="none"/>
        </w:rPr>
        <w:t>送达征集公告或更正公告载明的收标地点，若不一致，以更正公告为准，否则</w:t>
      </w:r>
      <w:r>
        <w:rPr>
          <w:rStyle w:val="17"/>
          <w:rFonts w:hint="eastAsia" w:ascii="宋体" w:hAnsi="宋体" w:cs="宋体"/>
          <w:color w:val="auto"/>
          <w:sz w:val="24"/>
          <w:szCs w:val="24"/>
          <w:highlight w:val="none"/>
        </w:rPr>
        <w:t>响应文件将被拒绝接收。</w:t>
      </w:r>
    </w:p>
    <w:p w14:paraId="65E61A08">
      <w:pPr>
        <w:pStyle w:val="12"/>
        <w:widowControl/>
        <w:spacing w:before="0" w:beforeAutospacing="0" w:after="0" w:afterAutospacing="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10开标时间及地点：详见征集公告或更正公告，若不一致，以更正公告为准。</w:t>
      </w:r>
      <w:r>
        <w:rPr>
          <w:rStyle w:val="17"/>
          <w:rFonts w:hint="eastAsia" w:ascii="宋体" w:hAnsi="宋体" w:cs="宋体"/>
          <w:color w:val="auto"/>
          <w:sz w:val="24"/>
          <w:szCs w:val="24"/>
          <w:highlight w:val="none"/>
        </w:rPr>
        <w:t> </w:t>
      </w:r>
    </w:p>
    <w:p w14:paraId="138C6593">
      <w:pPr>
        <w:pStyle w:val="12"/>
        <w:widowControl/>
        <w:spacing w:before="0" w:beforeAutospacing="0" w:after="0" w:afterAutospacing="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11公告期限</w:t>
      </w:r>
    </w:p>
    <w:p w14:paraId="24BD5BE5">
      <w:pPr>
        <w:pStyle w:val="12"/>
        <w:widowControl/>
        <w:spacing w:before="0" w:beforeAutospacing="0" w:after="0" w:afterAutospacing="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11.1征集公告的公告期限：自财政部和福建省财政厅指定的政府采购信息发布媒体最先发布公告之日起5个工作日。</w:t>
      </w:r>
    </w:p>
    <w:p w14:paraId="2A014375">
      <w:pPr>
        <w:numPr>
          <w:ilvl w:val="0"/>
          <w:numId w:val="0"/>
        </w:numPr>
        <w:spacing w:line="360" w:lineRule="auto"/>
        <w:ind w:firstLine="480" w:firstLineChars="200"/>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12注意事项：</w:t>
      </w:r>
    </w:p>
    <w:p w14:paraId="76B10B22">
      <w:pPr>
        <w:numPr>
          <w:ilvl w:val="0"/>
          <w:numId w:val="0"/>
        </w:numPr>
        <w:spacing w:line="360" w:lineRule="auto"/>
        <w:ind w:firstLine="480" w:firstLineChars="200"/>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rPr>
        <w:t>1</w:t>
      </w: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rPr>
        <w:t>.1</w:t>
      </w:r>
      <w:r>
        <w:rPr>
          <w:rFonts w:hint="eastAsia" w:ascii="宋体" w:hAnsi="宋体" w:cs="宋体"/>
          <w:color w:val="auto"/>
          <w:kern w:val="0"/>
          <w:sz w:val="24"/>
          <w:szCs w:val="24"/>
          <w:highlight w:val="none"/>
          <w:lang w:val="en-US" w:eastAsia="zh-CN"/>
        </w:rPr>
        <w:t>有意向的潜在投标人发邮件至wxsb@iport.com.cn索取征集文件购买登记表。</w:t>
      </w:r>
    </w:p>
    <w:p w14:paraId="55D08D1D">
      <w:pPr>
        <w:numPr>
          <w:ilvl w:val="0"/>
          <w:numId w:val="0"/>
        </w:numPr>
        <w:spacing w:line="360" w:lineRule="auto"/>
        <w:ind w:firstLine="480" w:firstLineChars="200"/>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rPr>
        <w:t>1</w:t>
      </w: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lang w:val="en-US" w:eastAsia="zh-CN"/>
        </w:rPr>
        <w:t>2建议采用电汇或网银购买征集文件，请投标人付款时务必注明“招标编号+用途”（比如：XM2026-DZ00</w:t>
      </w:r>
      <w:r>
        <w:rPr>
          <w:rFonts w:hint="default" w:ascii="宋体" w:hAnsi="宋体" w:cs="宋体"/>
          <w:color w:val="auto"/>
          <w:kern w:val="0"/>
          <w:sz w:val="24"/>
          <w:szCs w:val="24"/>
          <w:highlight w:val="none"/>
          <w:lang w:eastAsia="zh-CN"/>
        </w:rPr>
        <w:t>21</w:t>
      </w:r>
      <w:r>
        <w:rPr>
          <w:rFonts w:hint="eastAsia" w:ascii="宋体" w:hAnsi="宋体" w:cs="宋体"/>
          <w:color w:val="auto"/>
          <w:kern w:val="0"/>
          <w:sz w:val="24"/>
          <w:szCs w:val="24"/>
          <w:highlight w:val="none"/>
          <w:lang w:val="en-US" w:eastAsia="zh-CN"/>
        </w:rPr>
        <w:t>文件费）。</w:t>
      </w:r>
    </w:p>
    <w:p w14:paraId="4FEC8949">
      <w:pPr>
        <w:numPr>
          <w:ilvl w:val="0"/>
          <w:numId w:val="0"/>
        </w:numPr>
        <w:spacing w:line="360" w:lineRule="auto"/>
        <w:ind w:firstLine="480" w:firstLineChars="200"/>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rPr>
        <w:t>1</w:t>
      </w: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lang w:val="en-US" w:eastAsia="zh-CN"/>
        </w:rPr>
        <w:t>3潜在投标人填好购买登记表后将加盖公章的文件购买登记表扫描件及文件购买付款凭证发至wxsb@iport.com.cn进行购买登记，收到登记资料后发送征集文件电子版，如需纸质版，招标代理机构可以邮寄，邮费需到付。</w:t>
      </w:r>
    </w:p>
    <w:p w14:paraId="1D0DB8EA">
      <w:pPr>
        <w:numPr>
          <w:ilvl w:val="0"/>
          <w:numId w:val="0"/>
        </w:numPr>
        <w:spacing w:line="360" w:lineRule="auto"/>
        <w:ind w:firstLine="480" w:firstLineChars="200"/>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rPr>
        <w:t>1</w:t>
      </w: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lang w:val="en-US" w:eastAsia="zh-CN"/>
        </w:rPr>
        <w:t>文件费及项目中标供应商服务费等发票均以邮件方式发送至购标指定邮箱。</w:t>
      </w:r>
    </w:p>
    <w:p w14:paraId="5C992E17">
      <w:pPr>
        <w:pStyle w:val="12"/>
        <w:widowControl/>
        <w:spacing w:before="0" w:beforeAutospacing="0" w:after="0" w:afterAutospacing="0" w:line="360" w:lineRule="auto"/>
        <w:ind w:firstLine="480" w:firstLineChars="200"/>
        <w:rPr>
          <w:rFonts w:hint="eastAsia" w:ascii="宋体" w:hAnsi="宋体" w:cs="宋体"/>
          <w:color w:val="auto"/>
          <w:sz w:val="24"/>
          <w:szCs w:val="24"/>
          <w:highlight w:val="none"/>
        </w:rPr>
      </w:pPr>
    </w:p>
    <w:p w14:paraId="79F7D08E">
      <w:pPr>
        <w:pStyle w:val="12"/>
        <w:widowControl/>
        <w:spacing w:before="0" w:beforeAutospacing="0" w:after="0" w:afterAutospacing="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征集人：厦门万翔</w:t>
      </w:r>
      <w:r>
        <w:rPr>
          <w:rFonts w:hint="eastAsia" w:ascii="宋体" w:hAnsi="宋体" w:cs="宋体"/>
          <w:color w:val="auto"/>
          <w:sz w:val="24"/>
          <w:szCs w:val="24"/>
          <w:highlight w:val="none"/>
          <w:lang w:val="en-US" w:eastAsia="zh-CN"/>
        </w:rPr>
        <w:t>网络商务</w:t>
      </w:r>
      <w:r>
        <w:rPr>
          <w:rFonts w:hint="eastAsia" w:ascii="宋体" w:hAnsi="宋体" w:cs="宋体"/>
          <w:color w:val="auto"/>
          <w:sz w:val="24"/>
          <w:szCs w:val="24"/>
          <w:highlight w:val="none"/>
        </w:rPr>
        <w:t>有限公司</w:t>
      </w:r>
    </w:p>
    <w:p w14:paraId="346F1DF7">
      <w:pPr>
        <w:pStyle w:val="12"/>
        <w:widowControl/>
        <w:spacing w:before="0" w:beforeAutospacing="0" w:after="0" w:afterAutospacing="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地址：厦门市湖里区机场北路476号</w:t>
      </w:r>
    </w:p>
    <w:p w14:paraId="48B485D5">
      <w:pPr>
        <w:pStyle w:val="12"/>
        <w:widowControl/>
        <w:spacing w:before="0" w:beforeAutospacing="0" w:after="0" w:afterAutospacing="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联系方法：</w:t>
      </w:r>
      <w:r>
        <w:rPr>
          <w:rFonts w:hint="eastAsia" w:ascii="宋体" w:hAnsi="宋体" w:eastAsia="宋体" w:cs="宋体"/>
          <w:color w:val="auto"/>
          <w:sz w:val="24"/>
          <w:szCs w:val="24"/>
          <w:highlight w:val="none"/>
          <w:lang w:val="en-US" w:eastAsia="zh-CN"/>
        </w:rPr>
        <w:t>郑</w:t>
      </w:r>
      <w:r>
        <w:rPr>
          <w:rFonts w:hint="eastAsia" w:ascii="宋体" w:hAnsi="宋体" w:eastAsia="宋体" w:cs="宋体"/>
          <w:color w:val="auto"/>
          <w:sz w:val="24"/>
          <w:szCs w:val="24"/>
          <w:highlight w:val="none"/>
          <w:lang w:eastAsia="zh-CN"/>
        </w:rPr>
        <w:t>女士</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0592-5700272</w:t>
      </w:r>
    </w:p>
    <w:p w14:paraId="6C443F37">
      <w:pPr>
        <w:pStyle w:val="12"/>
        <w:widowControl/>
        <w:spacing w:before="0" w:beforeAutospacing="0" w:after="0" w:afterAutospacing="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代理机构：厦门万翔招标有限公司</w:t>
      </w:r>
    </w:p>
    <w:p w14:paraId="71935032">
      <w:pPr>
        <w:pStyle w:val="12"/>
        <w:widowControl/>
        <w:spacing w:before="0" w:beforeAutospacing="0" w:after="0" w:afterAutospacing="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地址：厦门市湖里区机场北路476号</w:t>
      </w:r>
    </w:p>
    <w:p w14:paraId="7D3FC70E">
      <w:pPr>
        <w:pStyle w:val="12"/>
        <w:widowControl/>
        <w:spacing w:before="0" w:beforeAutospacing="0" w:after="0" w:afterAutospacing="0" w:line="360" w:lineRule="auto"/>
        <w:ind w:firstLine="480" w:firstLineChars="2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rPr>
        <w:t>联系方法</w:t>
      </w:r>
      <w:r>
        <w:rPr>
          <w:rFonts w:hint="eastAsia" w:ascii="宋体" w:hAnsi="宋体" w:cs="宋体"/>
          <w:color w:val="auto"/>
          <w:sz w:val="24"/>
          <w:szCs w:val="24"/>
          <w:highlight w:val="none"/>
          <w:lang w:eastAsia="zh-CN"/>
        </w:rPr>
        <w:t>：</w:t>
      </w:r>
    </w:p>
    <w:p w14:paraId="1B66125D">
      <w:pPr>
        <w:pStyle w:val="12"/>
        <w:widowControl/>
        <w:numPr>
          <w:ilvl w:val="-1"/>
          <w:numId w:val="0"/>
        </w:numPr>
        <w:spacing w:before="0" w:beforeAutospacing="0" w:after="0" w:afterAutospacing="0"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15、本项目免收投标保证金。</w:t>
      </w:r>
    </w:p>
    <w:p w14:paraId="483BAADA">
      <w:pPr>
        <w:pStyle w:val="12"/>
        <w:widowControl/>
        <w:spacing w:before="50" w:beforeAutospacing="0" w:after="50" w:afterAutospacing="0"/>
        <w:rPr>
          <w:rFonts w:ascii="宋体" w:hAnsi="宋体" w:cs="宋体"/>
          <w:color w:val="auto"/>
          <w:sz w:val="28"/>
          <w:szCs w:val="28"/>
          <w:highlight w:val="none"/>
        </w:rPr>
      </w:pPr>
      <w:r>
        <w:rPr>
          <w:rFonts w:hint="eastAsia" w:ascii="宋体" w:hAnsi="宋体" w:cs="宋体"/>
          <w:color w:val="auto"/>
          <w:sz w:val="28"/>
          <w:szCs w:val="28"/>
          <w:highlight w:val="none"/>
        </w:rPr>
        <w:t> </w:t>
      </w:r>
    </w:p>
    <w:p w14:paraId="582B45CA">
      <w:pPr>
        <w:pStyle w:val="12"/>
        <w:widowControl/>
        <w:spacing w:before="50" w:beforeAutospacing="0" w:after="50" w:afterAutospacing="0"/>
        <w:rPr>
          <w:rFonts w:hint="eastAsia" w:ascii="宋体" w:hAnsi="宋体" w:cs="宋体"/>
          <w:color w:val="auto"/>
          <w:sz w:val="28"/>
          <w:szCs w:val="28"/>
          <w:highlight w:val="none"/>
        </w:rPr>
        <w:sectPr>
          <w:footerReference r:id="rId3" w:type="default"/>
          <w:pgSz w:w="11906" w:h="16838"/>
          <w:pgMar w:top="1440" w:right="1800" w:bottom="1440" w:left="1800" w:header="851" w:footer="992" w:gutter="0"/>
          <w:cols w:space="720" w:num="1"/>
          <w:docGrid w:type="lines" w:linePitch="312" w:charSpace="0"/>
        </w:sectPr>
      </w:pPr>
    </w:p>
    <w:p w14:paraId="000B7E2E">
      <w:pPr>
        <w:pStyle w:val="12"/>
        <w:widowControl/>
        <w:spacing w:before="50" w:beforeAutospacing="0" w:after="50" w:afterAutospacing="0"/>
        <w:rPr>
          <w:rFonts w:ascii="宋体" w:hAnsi="宋体" w:cs="宋体"/>
          <w:color w:val="auto"/>
          <w:sz w:val="28"/>
          <w:szCs w:val="28"/>
          <w:highlight w:val="none"/>
        </w:rPr>
      </w:pPr>
      <w:r>
        <w:rPr>
          <w:rFonts w:hint="eastAsia" w:ascii="宋体" w:hAnsi="宋体" w:cs="宋体"/>
          <w:color w:val="auto"/>
          <w:sz w:val="28"/>
          <w:szCs w:val="28"/>
          <w:highlight w:val="none"/>
        </w:rPr>
        <w:t>附1</w:t>
      </w:r>
      <w:r>
        <w:rPr>
          <w:rFonts w:hint="eastAsia" w:ascii="宋体" w:hAnsi="宋体" w:cs="宋体"/>
          <w:color w:val="auto"/>
          <w:sz w:val="28"/>
          <w:szCs w:val="28"/>
          <w:highlight w:val="none"/>
          <w:lang w:val="en-US" w:eastAsia="zh-CN"/>
        </w:rPr>
        <w:t xml:space="preserve"> </w:t>
      </w:r>
      <w:r>
        <w:rPr>
          <w:rFonts w:hint="eastAsia" w:ascii="宋体" w:hAnsi="宋体" w:cs="宋体"/>
          <w:color w:val="auto"/>
          <w:sz w:val="28"/>
          <w:szCs w:val="28"/>
          <w:highlight w:val="none"/>
        </w:rPr>
        <w:t>采购标的一览表              金额单位：人民币元</w:t>
      </w:r>
    </w:p>
    <w:p w14:paraId="114AE9CC">
      <w:pPr>
        <w:pStyle w:val="12"/>
        <w:widowControl/>
        <w:spacing w:before="50" w:beforeAutospacing="0" w:after="50" w:afterAutospacing="0"/>
        <w:ind w:firstLine="320"/>
        <w:rPr>
          <w:rFonts w:ascii="宋体" w:hAnsi="宋体" w:cs="宋体"/>
          <w:color w:val="auto"/>
          <w:sz w:val="28"/>
          <w:szCs w:val="28"/>
          <w:highlight w:val="none"/>
        </w:rPr>
      </w:pPr>
      <w:r>
        <w:rPr>
          <w:rFonts w:hint="eastAsia" w:ascii="宋体" w:hAnsi="宋体" w:cs="宋体"/>
          <w:color w:val="auto"/>
          <w:sz w:val="28"/>
          <w:szCs w:val="28"/>
          <w:highlight w:val="none"/>
        </w:rPr>
        <w:t xml:space="preserve">                                        </w:t>
      </w:r>
    </w:p>
    <w:tbl>
      <w:tblPr>
        <w:tblStyle w:val="14"/>
        <w:tblW w:w="6642" w:type="pct"/>
        <w:tblInd w:w="-1422"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889"/>
        <w:gridCol w:w="967"/>
        <w:gridCol w:w="1976"/>
        <w:gridCol w:w="788"/>
        <w:gridCol w:w="856"/>
        <w:gridCol w:w="1540"/>
        <w:gridCol w:w="1442"/>
        <w:gridCol w:w="1055"/>
        <w:gridCol w:w="1542"/>
      </w:tblGrid>
      <w:tr w14:paraId="7A0284A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rPr>
        <w:tc>
          <w:tcPr>
            <w:tcW w:w="402" w:type="pct"/>
            <w:tcBorders>
              <w:top w:val="outset" w:color="auto" w:sz="6" w:space="0"/>
              <w:left w:val="outset" w:color="auto" w:sz="6" w:space="0"/>
              <w:bottom w:val="outset" w:color="auto" w:sz="6" w:space="0"/>
              <w:right w:val="outset" w:color="auto" w:sz="6" w:space="0"/>
            </w:tcBorders>
            <w:vAlign w:val="center"/>
          </w:tcPr>
          <w:p w14:paraId="1656CE6D">
            <w:pPr>
              <w:widowControl/>
              <w:spacing w:line="360" w:lineRule="auto"/>
              <w:jc w:val="center"/>
              <w:rPr>
                <w:rFonts w:ascii="宋体" w:hAnsi="宋体" w:cs="宋体"/>
                <w:color w:val="auto"/>
                <w:sz w:val="24"/>
                <w:highlight w:val="none"/>
              </w:rPr>
            </w:pPr>
            <w:r>
              <w:rPr>
                <w:rFonts w:hint="eastAsia" w:ascii="宋体" w:hAnsi="宋体" w:cs="宋体"/>
                <w:color w:val="auto"/>
                <w:kern w:val="0"/>
                <w:sz w:val="24"/>
                <w:highlight w:val="none"/>
              </w:rPr>
              <w:t>采购包</w:t>
            </w:r>
          </w:p>
        </w:tc>
        <w:tc>
          <w:tcPr>
            <w:tcW w:w="437" w:type="pct"/>
            <w:tcBorders>
              <w:top w:val="outset" w:color="auto" w:sz="6" w:space="0"/>
              <w:left w:val="outset" w:color="auto" w:sz="6" w:space="0"/>
              <w:bottom w:val="outset" w:color="auto" w:sz="6" w:space="0"/>
              <w:right w:val="outset" w:color="auto" w:sz="6" w:space="0"/>
            </w:tcBorders>
            <w:vAlign w:val="center"/>
          </w:tcPr>
          <w:p w14:paraId="3FEC80C8">
            <w:pPr>
              <w:widowControl/>
              <w:spacing w:line="360" w:lineRule="auto"/>
              <w:jc w:val="center"/>
              <w:rPr>
                <w:rFonts w:ascii="宋体" w:hAnsi="宋体" w:cs="宋体"/>
                <w:color w:val="auto"/>
                <w:sz w:val="24"/>
                <w:highlight w:val="none"/>
              </w:rPr>
            </w:pPr>
            <w:r>
              <w:rPr>
                <w:rFonts w:hint="eastAsia" w:ascii="宋体" w:hAnsi="宋体" w:cs="宋体"/>
                <w:color w:val="auto"/>
                <w:kern w:val="0"/>
                <w:sz w:val="24"/>
                <w:highlight w:val="none"/>
              </w:rPr>
              <w:t>品目号</w:t>
            </w:r>
          </w:p>
        </w:tc>
        <w:tc>
          <w:tcPr>
            <w:tcW w:w="893" w:type="pct"/>
            <w:tcBorders>
              <w:top w:val="outset" w:color="auto" w:sz="6" w:space="0"/>
              <w:left w:val="outset" w:color="auto" w:sz="6" w:space="0"/>
              <w:bottom w:val="outset" w:color="auto" w:sz="6" w:space="0"/>
              <w:right w:val="outset" w:color="auto" w:sz="6" w:space="0"/>
            </w:tcBorders>
            <w:vAlign w:val="center"/>
          </w:tcPr>
          <w:p w14:paraId="06BF6B39">
            <w:pPr>
              <w:widowControl/>
              <w:spacing w:line="360" w:lineRule="auto"/>
              <w:jc w:val="center"/>
              <w:rPr>
                <w:rFonts w:ascii="宋体" w:hAnsi="宋体" w:cs="宋体"/>
                <w:color w:val="auto"/>
                <w:sz w:val="24"/>
                <w:highlight w:val="none"/>
              </w:rPr>
            </w:pPr>
            <w:r>
              <w:rPr>
                <w:rFonts w:hint="eastAsia" w:ascii="宋体" w:hAnsi="宋体" w:cs="宋体"/>
                <w:color w:val="auto"/>
                <w:kern w:val="0"/>
                <w:sz w:val="24"/>
                <w:highlight w:val="none"/>
              </w:rPr>
              <w:t>采购标的</w:t>
            </w:r>
          </w:p>
        </w:tc>
        <w:tc>
          <w:tcPr>
            <w:tcW w:w="356" w:type="pct"/>
            <w:tcBorders>
              <w:top w:val="outset" w:color="auto" w:sz="6" w:space="0"/>
              <w:left w:val="outset" w:color="auto" w:sz="6" w:space="0"/>
              <w:bottom w:val="outset" w:color="auto" w:sz="6" w:space="0"/>
              <w:right w:val="outset" w:color="auto" w:sz="6" w:space="0"/>
            </w:tcBorders>
            <w:vAlign w:val="center"/>
          </w:tcPr>
          <w:p w14:paraId="51EBC437">
            <w:pPr>
              <w:widowControl/>
              <w:spacing w:line="360" w:lineRule="auto"/>
              <w:jc w:val="center"/>
              <w:rPr>
                <w:rFonts w:ascii="宋体" w:hAnsi="宋体" w:cs="宋体"/>
                <w:color w:val="auto"/>
                <w:sz w:val="24"/>
                <w:highlight w:val="none"/>
              </w:rPr>
            </w:pPr>
            <w:r>
              <w:rPr>
                <w:rFonts w:hint="eastAsia" w:ascii="宋体" w:hAnsi="宋体" w:cs="宋体"/>
                <w:color w:val="auto"/>
                <w:kern w:val="0"/>
                <w:sz w:val="24"/>
                <w:highlight w:val="none"/>
              </w:rPr>
              <w:t>允许进口</w:t>
            </w:r>
          </w:p>
        </w:tc>
        <w:tc>
          <w:tcPr>
            <w:tcW w:w="387" w:type="pct"/>
            <w:tcBorders>
              <w:top w:val="outset" w:color="auto" w:sz="6" w:space="0"/>
              <w:left w:val="outset" w:color="auto" w:sz="6" w:space="0"/>
              <w:bottom w:val="outset" w:color="auto" w:sz="6" w:space="0"/>
              <w:right w:val="outset" w:color="auto" w:sz="6" w:space="0"/>
            </w:tcBorders>
            <w:vAlign w:val="center"/>
          </w:tcPr>
          <w:p w14:paraId="67C874D4">
            <w:pPr>
              <w:widowControl/>
              <w:spacing w:line="360" w:lineRule="auto"/>
              <w:jc w:val="center"/>
              <w:rPr>
                <w:rFonts w:hint="eastAsia" w:ascii="宋体" w:hAnsi="宋体" w:eastAsia="宋体" w:cs="宋体"/>
                <w:color w:val="auto"/>
                <w:sz w:val="24"/>
                <w:highlight w:val="none"/>
                <w:lang w:eastAsia="zh-CN"/>
              </w:rPr>
            </w:pPr>
            <w:r>
              <w:rPr>
                <w:rFonts w:hint="eastAsia" w:ascii="宋体" w:hAnsi="宋体" w:cs="宋体"/>
                <w:color w:val="auto"/>
                <w:kern w:val="0"/>
                <w:sz w:val="24"/>
                <w:highlight w:val="none"/>
              </w:rPr>
              <w:t>数量</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套</w:t>
            </w:r>
            <w:r>
              <w:rPr>
                <w:rFonts w:hint="eastAsia" w:ascii="宋体" w:hAnsi="宋体" w:cs="宋体"/>
                <w:color w:val="auto"/>
                <w:kern w:val="0"/>
                <w:sz w:val="24"/>
                <w:highlight w:val="none"/>
                <w:lang w:eastAsia="zh-CN"/>
              </w:rPr>
              <w:t>）</w:t>
            </w:r>
          </w:p>
        </w:tc>
        <w:tc>
          <w:tcPr>
            <w:tcW w:w="696" w:type="pct"/>
            <w:tcBorders>
              <w:top w:val="outset" w:color="auto" w:sz="6" w:space="0"/>
              <w:left w:val="outset" w:color="auto" w:sz="6" w:space="0"/>
              <w:bottom w:val="outset" w:color="auto" w:sz="6" w:space="0"/>
              <w:right w:val="outset" w:color="auto" w:sz="6" w:space="0"/>
            </w:tcBorders>
            <w:vAlign w:val="center"/>
          </w:tcPr>
          <w:p w14:paraId="577EABEA">
            <w:pPr>
              <w:widowControl/>
              <w:spacing w:line="360" w:lineRule="auto"/>
              <w:jc w:val="center"/>
              <w:rPr>
                <w:rFonts w:ascii="宋体" w:hAnsi="宋体" w:cs="宋体"/>
                <w:color w:val="auto"/>
                <w:sz w:val="24"/>
                <w:highlight w:val="none"/>
              </w:rPr>
            </w:pPr>
            <w:r>
              <w:rPr>
                <w:rFonts w:hint="eastAsia" w:ascii="宋体" w:hAnsi="宋体" w:cs="宋体"/>
                <w:color w:val="auto"/>
                <w:kern w:val="0"/>
                <w:sz w:val="24"/>
                <w:highlight w:val="none"/>
              </w:rPr>
              <w:t>品目号预算（元）</w:t>
            </w:r>
          </w:p>
        </w:tc>
        <w:tc>
          <w:tcPr>
            <w:tcW w:w="652" w:type="pct"/>
            <w:tcBorders>
              <w:top w:val="outset" w:color="auto" w:sz="6" w:space="0"/>
              <w:left w:val="outset" w:color="auto" w:sz="6" w:space="0"/>
              <w:bottom w:val="outset" w:color="auto" w:sz="6" w:space="0"/>
              <w:right w:val="outset" w:color="auto" w:sz="6" w:space="0"/>
            </w:tcBorders>
            <w:vAlign w:val="center"/>
          </w:tcPr>
          <w:p w14:paraId="21DA76CF">
            <w:pPr>
              <w:widowControl/>
              <w:spacing w:line="360" w:lineRule="auto"/>
              <w:jc w:val="center"/>
              <w:rPr>
                <w:rFonts w:ascii="宋体" w:hAnsi="宋体" w:cs="宋体"/>
                <w:color w:val="auto"/>
                <w:sz w:val="24"/>
                <w:highlight w:val="none"/>
              </w:rPr>
            </w:pPr>
            <w:r>
              <w:rPr>
                <w:rFonts w:hint="eastAsia" w:ascii="宋体" w:hAnsi="宋体" w:cs="宋体"/>
                <w:color w:val="auto"/>
                <w:kern w:val="0"/>
                <w:sz w:val="24"/>
                <w:highlight w:val="none"/>
              </w:rPr>
              <w:t>采购包预算（元）</w:t>
            </w:r>
          </w:p>
        </w:tc>
        <w:tc>
          <w:tcPr>
            <w:tcW w:w="477" w:type="pct"/>
            <w:tcBorders>
              <w:top w:val="outset" w:color="auto" w:sz="6" w:space="0"/>
              <w:left w:val="outset" w:color="auto" w:sz="6" w:space="0"/>
              <w:bottom w:val="outset" w:color="auto" w:sz="6" w:space="0"/>
              <w:right w:val="outset" w:color="auto" w:sz="6" w:space="0"/>
            </w:tcBorders>
            <w:vAlign w:val="center"/>
          </w:tcPr>
          <w:p w14:paraId="35BBC0EC">
            <w:pPr>
              <w:widowControl/>
              <w:spacing w:line="360" w:lineRule="auto"/>
              <w:jc w:val="center"/>
              <w:rPr>
                <w:rFonts w:ascii="宋体" w:hAnsi="宋体" w:cs="宋体"/>
                <w:color w:val="auto"/>
                <w:sz w:val="24"/>
                <w:highlight w:val="none"/>
              </w:rPr>
            </w:pPr>
            <w:r>
              <w:rPr>
                <w:rFonts w:hint="eastAsia" w:ascii="宋体" w:hAnsi="宋体" w:cs="宋体"/>
                <w:color w:val="auto"/>
                <w:kern w:val="0"/>
                <w:sz w:val="24"/>
                <w:highlight w:val="none"/>
              </w:rPr>
              <w:t>投标保证金（元）</w:t>
            </w:r>
          </w:p>
        </w:tc>
        <w:tc>
          <w:tcPr>
            <w:tcW w:w="697" w:type="pct"/>
            <w:tcBorders>
              <w:top w:val="outset" w:color="auto" w:sz="6" w:space="0"/>
              <w:left w:val="outset" w:color="auto" w:sz="6" w:space="0"/>
              <w:bottom w:val="outset" w:color="auto" w:sz="6" w:space="0"/>
              <w:right w:val="outset" w:color="auto" w:sz="6" w:space="0"/>
            </w:tcBorders>
            <w:vAlign w:val="center"/>
          </w:tcPr>
          <w:p w14:paraId="465B63F2">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最高限制单价（元</w:t>
            </w:r>
            <w:r>
              <w:rPr>
                <w:rFonts w:hint="eastAsia" w:ascii="宋体" w:hAnsi="宋体" w:cs="宋体"/>
                <w:color w:val="auto"/>
                <w:kern w:val="0"/>
                <w:sz w:val="24"/>
                <w:highlight w:val="none"/>
                <w:lang w:val="en-US" w:eastAsia="zh-CN"/>
              </w:rPr>
              <w:t>/台</w:t>
            </w:r>
            <w:r>
              <w:rPr>
                <w:rFonts w:hint="eastAsia" w:ascii="宋体" w:hAnsi="宋体" w:cs="宋体"/>
                <w:color w:val="auto"/>
                <w:kern w:val="0"/>
                <w:sz w:val="24"/>
                <w:highlight w:val="none"/>
              </w:rPr>
              <w:t>）</w:t>
            </w:r>
          </w:p>
        </w:tc>
      </w:tr>
      <w:tr w14:paraId="1E75142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74" w:hRule="atLeast"/>
          <w:tblHeader/>
        </w:trPr>
        <w:tc>
          <w:tcPr>
            <w:tcW w:w="402" w:type="pct"/>
            <w:tcBorders>
              <w:top w:val="outset" w:color="auto" w:sz="6" w:space="0"/>
              <w:left w:val="outset" w:color="auto" w:sz="6" w:space="0"/>
              <w:bottom w:val="outset" w:color="auto" w:sz="6" w:space="0"/>
              <w:right w:val="outset" w:color="auto" w:sz="6" w:space="0"/>
            </w:tcBorders>
            <w:vAlign w:val="center"/>
          </w:tcPr>
          <w:p w14:paraId="3964467E">
            <w:pPr>
              <w:pStyle w:val="12"/>
              <w:keepNext w:val="0"/>
              <w:keepLines w:val="0"/>
              <w:widowControl/>
              <w:suppressLineNumbers w:val="0"/>
              <w:jc w:val="center"/>
              <w:rPr>
                <w:rFonts w:hint="eastAsia" w:ascii="宋体" w:hAnsi="宋体" w:eastAsia="宋体" w:cs="宋体"/>
                <w:color w:val="auto"/>
                <w:kern w:val="0"/>
                <w:sz w:val="22"/>
                <w:szCs w:val="22"/>
                <w:highlight w:val="none"/>
              </w:rPr>
            </w:pPr>
            <w:r>
              <w:rPr>
                <w:rFonts w:hint="eastAsia" w:ascii="宋体" w:hAnsi="宋体" w:eastAsia="宋体" w:cs="宋体"/>
                <w:color w:val="auto"/>
                <w:sz w:val="22"/>
                <w:szCs w:val="22"/>
                <w:highlight w:val="none"/>
              </w:rPr>
              <w:t>1</w:t>
            </w:r>
          </w:p>
        </w:tc>
        <w:tc>
          <w:tcPr>
            <w:tcW w:w="437" w:type="pct"/>
            <w:tcBorders>
              <w:top w:val="outset" w:color="auto" w:sz="6" w:space="0"/>
              <w:left w:val="outset" w:color="auto" w:sz="6" w:space="0"/>
              <w:bottom w:val="outset" w:color="auto" w:sz="6" w:space="0"/>
              <w:right w:val="outset" w:color="auto" w:sz="6" w:space="0"/>
            </w:tcBorders>
            <w:vAlign w:val="center"/>
          </w:tcPr>
          <w:p w14:paraId="5A0E9290">
            <w:pPr>
              <w:pStyle w:val="12"/>
              <w:keepNext w:val="0"/>
              <w:keepLines w:val="0"/>
              <w:widowControl/>
              <w:suppressLineNumbers w:val="0"/>
              <w:jc w:val="center"/>
              <w:rPr>
                <w:rFonts w:hint="eastAsia" w:ascii="宋体" w:hAnsi="宋体" w:eastAsia="宋体" w:cs="宋体"/>
                <w:color w:val="auto"/>
                <w:kern w:val="0"/>
                <w:sz w:val="22"/>
                <w:szCs w:val="22"/>
                <w:highlight w:val="none"/>
                <w:lang w:val="en-US"/>
              </w:rPr>
            </w:pPr>
            <w:r>
              <w:rPr>
                <w:rFonts w:hint="eastAsia" w:ascii="宋体" w:hAnsi="宋体" w:eastAsia="宋体" w:cs="宋体"/>
                <w:color w:val="auto"/>
                <w:sz w:val="22"/>
                <w:szCs w:val="22"/>
                <w:highlight w:val="none"/>
              </w:rPr>
              <w:t>1-1</w:t>
            </w:r>
          </w:p>
        </w:tc>
        <w:tc>
          <w:tcPr>
            <w:tcW w:w="893" w:type="pct"/>
            <w:tcBorders>
              <w:top w:val="outset" w:color="auto" w:sz="6" w:space="0"/>
              <w:left w:val="outset" w:color="auto" w:sz="6" w:space="0"/>
              <w:bottom w:val="outset" w:color="auto" w:sz="6" w:space="0"/>
              <w:right w:val="outset" w:color="auto" w:sz="6" w:space="0"/>
            </w:tcBorders>
            <w:vAlign w:val="center"/>
          </w:tcPr>
          <w:p w14:paraId="2974F554">
            <w:pPr>
              <w:pStyle w:val="12"/>
              <w:keepNext w:val="0"/>
              <w:keepLines w:val="0"/>
              <w:widowControl/>
              <w:suppressLineNumbers w:val="0"/>
              <w:ind w:left="0" w:leftChars="0" w:right="0" w:rightChars="0"/>
              <w:jc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color w:val="auto"/>
                <w:sz w:val="24"/>
                <w:szCs w:val="24"/>
                <w:highlight w:val="none"/>
                <w:lang w:eastAsia="zh-CN"/>
              </w:rPr>
              <w:t>触控一体机</w:t>
            </w:r>
          </w:p>
        </w:tc>
        <w:tc>
          <w:tcPr>
            <w:tcW w:w="356" w:type="pct"/>
            <w:tcBorders>
              <w:top w:val="outset" w:color="auto" w:sz="6" w:space="0"/>
              <w:left w:val="outset" w:color="auto" w:sz="6" w:space="0"/>
              <w:bottom w:val="outset" w:color="auto" w:sz="6" w:space="0"/>
              <w:right w:val="outset" w:color="auto" w:sz="6" w:space="0"/>
            </w:tcBorders>
            <w:vAlign w:val="center"/>
          </w:tcPr>
          <w:p w14:paraId="45C9354E">
            <w:pPr>
              <w:keepNext w:val="0"/>
              <w:keepLines w:val="0"/>
              <w:widowControl/>
              <w:suppressLineNumbers w:val="0"/>
              <w:jc w:val="center"/>
              <w:textAlignment w:val="center"/>
              <w:rPr>
                <w:rFonts w:hint="eastAsia" w:ascii="宋体" w:hAnsi="宋体" w:eastAsia="宋体" w:cs="宋体"/>
                <w:color w:val="auto"/>
                <w:kern w:val="0"/>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387" w:type="pct"/>
            <w:tcBorders>
              <w:top w:val="outset" w:color="auto" w:sz="6" w:space="0"/>
              <w:left w:val="outset" w:color="auto" w:sz="6" w:space="0"/>
              <w:bottom w:val="outset" w:color="auto" w:sz="6" w:space="0"/>
              <w:right w:val="outset" w:color="auto" w:sz="6" w:space="0"/>
            </w:tcBorders>
            <w:vAlign w:val="center"/>
          </w:tcPr>
          <w:p w14:paraId="3F04CCD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 xml:space="preserve">150 </w:t>
            </w:r>
          </w:p>
        </w:tc>
        <w:tc>
          <w:tcPr>
            <w:tcW w:w="696" w:type="pct"/>
            <w:tcBorders>
              <w:top w:val="outset" w:color="auto" w:sz="6" w:space="0"/>
              <w:left w:val="outset" w:color="auto" w:sz="6" w:space="0"/>
              <w:bottom w:val="outset" w:color="auto" w:sz="6" w:space="0"/>
              <w:right w:val="outset" w:color="auto" w:sz="6" w:space="0"/>
            </w:tcBorders>
            <w:vAlign w:val="center"/>
          </w:tcPr>
          <w:p w14:paraId="63B981B5">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1,005,000</w:t>
            </w:r>
          </w:p>
        </w:tc>
        <w:tc>
          <w:tcPr>
            <w:tcW w:w="1442" w:type="dxa"/>
            <w:vMerge w:val="restart"/>
            <w:tcBorders>
              <w:top w:val="outset" w:color="auto" w:sz="6" w:space="0"/>
              <w:left w:val="outset" w:color="auto" w:sz="6" w:space="0"/>
              <w:right w:val="outset" w:color="auto" w:sz="6" w:space="0"/>
            </w:tcBorders>
            <w:vAlign w:val="center"/>
          </w:tcPr>
          <w:p w14:paraId="1CD83EBC">
            <w:pPr>
              <w:keepNext w:val="0"/>
              <w:keepLines w:val="0"/>
              <w:widowControl/>
              <w:suppressLineNumbers w:val="0"/>
              <w:kinsoku/>
              <w:overflowPunct/>
              <w:spacing w:before="0" w:beforeAutospacing="0" w:after="0" w:afterAutospacing="0"/>
              <w:ind w:left="0" w:leftChars="0" w:right="0" w:rightChars="0"/>
              <w:jc w:val="center"/>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30,230,000</w:t>
            </w:r>
          </w:p>
        </w:tc>
        <w:tc>
          <w:tcPr>
            <w:tcW w:w="477" w:type="pct"/>
            <w:tcBorders>
              <w:top w:val="outset" w:color="auto" w:sz="6" w:space="0"/>
              <w:left w:val="outset" w:color="auto" w:sz="6" w:space="0"/>
              <w:bottom w:val="outset" w:color="auto" w:sz="6" w:space="0"/>
              <w:right w:val="outset" w:color="auto" w:sz="6" w:space="0"/>
            </w:tcBorders>
            <w:vAlign w:val="center"/>
          </w:tcPr>
          <w:p w14:paraId="768AD54C">
            <w:pPr>
              <w:keepNext w:val="0"/>
              <w:keepLines w:val="0"/>
              <w:widowControl/>
              <w:suppressLineNumbers w:val="0"/>
              <w:jc w:val="center"/>
              <w:textAlignment w:val="center"/>
              <w:rPr>
                <w:rFonts w:hint="eastAsia" w:ascii="宋体" w:hAnsi="宋体" w:eastAsia="宋体" w:cs="宋体"/>
                <w:color w:val="auto"/>
                <w:kern w:val="0"/>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0</w:t>
            </w:r>
          </w:p>
        </w:tc>
        <w:tc>
          <w:tcPr>
            <w:tcW w:w="697" w:type="pct"/>
            <w:tcBorders>
              <w:top w:val="outset" w:color="auto" w:sz="6" w:space="0"/>
              <w:left w:val="outset" w:color="auto" w:sz="6" w:space="0"/>
              <w:bottom w:val="outset" w:color="auto" w:sz="6" w:space="0"/>
              <w:right w:val="outset" w:color="auto" w:sz="6" w:space="0"/>
            </w:tcBorders>
            <w:vAlign w:val="center"/>
          </w:tcPr>
          <w:p w14:paraId="3B82D307">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6,700</w:t>
            </w:r>
          </w:p>
        </w:tc>
      </w:tr>
      <w:tr w14:paraId="05313B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rPr>
        <w:tc>
          <w:tcPr>
            <w:tcW w:w="402" w:type="pct"/>
            <w:tcBorders>
              <w:top w:val="outset" w:color="auto" w:sz="6" w:space="0"/>
              <w:left w:val="outset" w:color="auto" w:sz="6" w:space="0"/>
              <w:bottom w:val="outset" w:color="auto" w:sz="6" w:space="0"/>
              <w:right w:val="outset" w:color="auto" w:sz="6" w:space="0"/>
            </w:tcBorders>
            <w:vAlign w:val="center"/>
          </w:tcPr>
          <w:p w14:paraId="1DAFEE38">
            <w:pPr>
              <w:pStyle w:val="12"/>
              <w:keepNext w:val="0"/>
              <w:keepLines w:val="0"/>
              <w:widowControl/>
              <w:suppressLineNumbers w:val="0"/>
              <w:jc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cs="宋体"/>
                <w:color w:val="auto"/>
                <w:sz w:val="22"/>
                <w:szCs w:val="22"/>
                <w:highlight w:val="none"/>
                <w:lang w:val="en-US" w:eastAsia="zh-CN"/>
              </w:rPr>
              <w:t>1</w:t>
            </w:r>
          </w:p>
        </w:tc>
        <w:tc>
          <w:tcPr>
            <w:tcW w:w="437" w:type="pct"/>
            <w:tcBorders>
              <w:top w:val="outset" w:color="auto" w:sz="6" w:space="0"/>
              <w:left w:val="outset" w:color="auto" w:sz="6" w:space="0"/>
              <w:bottom w:val="outset" w:color="auto" w:sz="6" w:space="0"/>
              <w:right w:val="outset" w:color="auto" w:sz="6" w:space="0"/>
            </w:tcBorders>
            <w:vAlign w:val="center"/>
          </w:tcPr>
          <w:p w14:paraId="235C5D74">
            <w:pPr>
              <w:pStyle w:val="12"/>
              <w:keepNext w:val="0"/>
              <w:keepLines w:val="0"/>
              <w:widowControl/>
              <w:suppressLineNumbers w:val="0"/>
              <w:jc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cs="宋体"/>
                <w:color w:val="auto"/>
                <w:sz w:val="22"/>
                <w:szCs w:val="22"/>
                <w:highlight w:val="none"/>
                <w:lang w:val="en-US" w:eastAsia="zh-CN"/>
              </w:rPr>
              <w:t>1</w:t>
            </w:r>
            <w:r>
              <w:rPr>
                <w:rFonts w:hint="eastAsia" w:ascii="宋体" w:hAnsi="宋体" w:eastAsia="宋体" w:cs="宋体"/>
                <w:color w:val="auto"/>
                <w:sz w:val="22"/>
                <w:szCs w:val="22"/>
                <w:highlight w:val="none"/>
              </w:rPr>
              <w:t>-</w:t>
            </w:r>
            <w:r>
              <w:rPr>
                <w:rFonts w:hint="eastAsia" w:ascii="宋体" w:hAnsi="宋体" w:cs="宋体"/>
                <w:color w:val="auto"/>
                <w:sz w:val="22"/>
                <w:szCs w:val="22"/>
                <w:highlight w:val="none"/>
                <w:lang w:val="en-US" w:eastAsia="zh-CN"/>
              </w:rPr>
              <w:t>2</w:t>
            </w:r>
          </w:p>
        </w:tc>
        <w:tc>
          <w:tcPr>
            <w:tcW w:w="893" w:type="pct"/>
            <w:tcBorders>
              <w:top w:val="outset" w:color="auto" w:sz="6" w:space="0"/>
              <w:left w:val="outset" w:color="auto" w:sz="6" w:space="0"/>
              <w:bottom w:val="outset" w:color="auto" w:sz="6" w:space="0"/>
              <w:right w:val="outset" w:color="auto" w:sz="6" w:space="0"/>
            </w:tcBorders>
            <w:vAlign w:val="center"/>
          </w:tcPr>
          <w:p w14:paraId="7E5D997C">
            <w:pPr>
              <w:pStyle w:val="12"/>
              <w:keepNext w:val="0"/>
              <w:keepLines w:val="0"/>
              <w:widowControl/>
              <w:suppressLineNumbers w:val="0"/>
              <w:ind w:left="0" w:leftChars="0" w:right="0" w:rightChars="0"/>
              <w:jc w:val="center"/>
              <w:rPr>
                <w:rFonts w:hint="eastAsia" w:ascii="宋体" w:hAnsi="宋体" w:eastAsia="宋体" w:cs="宋体"/>
                <w:color w:val="auto"/>
                <w:sz w:val="22"/>
                <w:szCs w:val="22"/>
                <w:highlight w:val="none"/>
              </w:rPr>
            </w:pPr>
            <w:r>
              <w:rPr>
                <w:rFonts w:hint="eastAsia" w:ascii="宋体" w:hAnsi="宋体" w:eastAsia="宋体" w:cs="宋体"/>
                <w:color w:val="auto"/>
                <w:sz w:val="24"/>
                <w:szCs w:val="24"/>
                <w:highlight w:val="none"/>
                <w:lang w:eastAsia="zh-CN"/>
              </w:rPr>
              <w:t>触控一体机</w:t>
            </w:r>
          </w:p>
        </w:tc>
        <w:tc>
          <w:tcPr>
            <w:tcW w:w="356" w:type="pct"/>
            <w:tcBorders>
              <w:top w:val="outset" w:color="auto" w:sz="6" w:space="0"/>
              <w:left w:val="outset" w:color="auto" w:sz="6" w:space="0"/>
              <w:bottom w:val="outset" w:color="auto" w:sz="6" w:space="0"/>
              <w:right w:val="outset" w:color="auto" w:sz="6" w:space="0"/>
            </w:tcBorders>
            <w:vAlign w:val="center"/>
          </w:tcPr>
          <w:p w14:paraId="305F495A">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否</w:t>
            </w:r>
          </w:p>
        </w:tc>
        <w:tc>
          <w:tcPr>
            <w:tcW w:w="387" w:type="pct"/>
            <w:tcBorders>
              <w:top w:val="outset" w:color="auto" w:sz="6" w:space="0"/>
              <w:left w:val="outset" w:color="auto" w:sz="6" w:space="0"/>
              <w:bottom w:val="outset" w:color="auto" w:sz="6" w:space="0"/>
              <w:right w:val="outset" w:color="auto" w:sz="6" w:space="0"/>
            </w:tcBorders>
            <w:vAlign w:val="center"/>
          </w:tcPr>
          <w:p w14:paraId="27ED96D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 xml:space="preserve">250 </w:t>
            </w:r>
          </w:p>
        </w:tc>
        <w:tc>
          <w:tcPr>
            <w:tcW w:w="696" w:type="pct"/>
            <w:tcBorders>
              <w:top w:val="outset" w:color="auto" w:sz="6" w:space="0"/>
              <w:left w:val="outset" w:color="auto" w:sz="6" w:space="0"/>
              <w:bottom w:val="outset" w:color="auto" w:sz="6" w:space="0"/>
              <w:right w:val="outset" w:color="auto" w:sz="6" w:space="0"/>
            </w:tcBorders>
            <w:vAlign w:val="center"/>
          </w:tcPr>
          <w:p w14:paraId="547876EE">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1,925,000</w:t>
            </w:r>
          </w:p>
        </w:tc>
        <w:tc>
          <w:tcPr>
            <w:tcW w:w="652" w:type="pct"/>
            <w:vMerge w:val="continue"/>
            <w:tcBorders>
              <w:left w:val="outset" w:color="auto" w:sz="6" w:space="0"/>
              <w:right w:val="outset" w:color="auto" w:sz="6" w:space="0"/>
            </w:tcBorders>
            <w:vAlign w:val="center"/>
          </w:tcPr>
          <w:p w14:paraId="47943874">
            <w:pPr>
              <w:pStyle w:val="12"/>
              <w:keepNext w:val="0"/>
              <w:keepLines w:val="0"/>
              <w:widowControl/>
              <w:suppressLineNumbers w:val="0"/>
              <w:jc w:val="center"/>
              <w:rPr>
                <w:rFonts w:hint="eastAsia" w:ascii="宋体" w:hAnsi="宋体" w:eastAsia="宋体" w:cs="宋体"/>
                <w:color w:val="auto"/>
                <w:sz w:val="22"/>
                <w:szCs w:val="22"/>
                <w:highlight w:val="none"/>
              </w:rPr>
            </w:pPr>
          </w:p>
        </w:tc>
        <w:tc>
          <w:tcPr>
            <w:tcW w:w="477" w:type="pct"/>
            <w:tcBorders>
              <w:top w:val="outset" w:color="auto" w:sz="6" w:space="0"/>
              <w:left w:val="outset" w:color="auto" w:sz="6" w:space="0"/>
              <w:bottom w:val="outset" w:color="auto" w:sz="6" w:space="0"/>
              <w:right w:val="outset" w:color="auto" w:sz="6" w:space="0"/>
            </w:tcBorders>
            <w:vAlign w:val="center"/>
          </w:tcPr>
          <w:p w14:paraId="792774F6">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0</w:t>
            </w:r>
          </w:p>
        </w:tc>
        <w:tc>
          <w:tcPr>
            <w:tcW w:w="697" w:type="pct"/>
            <w:tcBorders>
              <w:top w:val="outset" w:color="auto" w:sz="6" w:space="0"/>
              <w:left w:val="outset" w:color="auto" w:sz="6" w:space="0"/>
              <w:bottom w:val="outset" w:color="auto" w:sz="6" w:space="0"/>
              <w:right w:val="outset" w:color="auto" w:sz="6" w:space="0"/>
            </w:tcBorders>
            <w:vAlign w:val="center"/>
          </w:tcPr>
          <w:p w14:paraId="425C228E">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7,700</w:t>
            </w:r>
          </w:p>
        </w:tc>
      </w:tr>
      <w:tr w14:paraId="7B2968E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rPr>
        <w:tc>
          <w:tcPr>
            <w:tcW w:w="402" w:type="pct"/>
            <w:tcBorders>
              <w:top w:val="outset" w:color="auto" w:sz="6" w:space="0"/>
              <w:left w:val="outset" w:color="auto" w:sz="6" w:space="0"/>
              <w:bottom w:val="outset" w:color="auto" w:sz="6" w:space="0"/>
              <w:right w:val="outset" w:color="auto" w:sz="6" w:space="0"/>
            </w:tcBorders>
            <w:vAlign w:val="center"/>
          </w:tcPr>
          <w:p w14:paraId="02000CFE">
            <w:pPr>
              <w:pStyle w:val="12"/>
              <w:keepNext w:val="0"/>
              <w:keepLines w:val="0"/>
              <w:widowControl/>
              <w:suppressLineNumbers w:val="0"/>
              <w:jc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cs="宋体"/>
                <w:color w:val="auto"/>
                <w:sz w:val="22"/>
                <w:szCs w:val="22"/>
                <w:highlight w:val="none"/>
                <w:lang w:val="en-US" w:eastAsia="zh-CN"/>
              </w:rPr>
              <w:t>1</w:t>
            </w:r>
          </w:p>
        </w:tc>
        <w:tc>
          <w:tcPr>
            <w:tcW w:w="437" w:type="pct"/>
            <w:tcBorders>
              <w:top w:val="outset" w:color="auto" w:sz="6" w:space="0"/>
              <w:left w:val="outset" w:color="auto" w:sz="6" w:space="0"/>
              <w:bottom w:val="outset" w:color="auto" w:sz="6" w:space="0"/>
              <w:right w:val="outset" w:color="auto" w:sz="6" w:space="0"/>
            </w:tcBorders>
            <w:vAlign w:val="center"/>
          </w:tcPr>
          <w:p w14:paraId="3BAB42E1">
            <w:pPr>
              <w:pStyle w:val="12"/>
              <w:keepNext w:val="0"/>
              <w:keepLines w:val="0"/>
              <w:widowControl/>
              <w:suppressLineNumbers w:val="0"/>
              <w:jc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cs="宋体"/>
                <w:color w:val="auto"/>
                <w:sz w:val="22"/>
                <w:szCs w:val="22"/>
                <w:highlight w:val="none"/>
                <w:lang w:val="en-US" w:eastAsia="zh-CN"/>
              </w:rPr>
              <w:t>1</w:t>
            </w:r>
            <w:r>
              <w:rPr>
                <w:rFonts w:hint="eastAsia" w:ascii="宋体" w:hAnsi="宋体" w:eastAsia="宋体" w:cs="宋体"/>
                <w:color w:val="auto"/>
                <w:sz w:val="22"/>
                <w:szCs w:val="22"/>
                <w:highlight w:val="none"/>
                <w:lang w:val="en-US" w:eastAsia="zh-CN"/>
              </w:rPr>
              <w:t>-</w:t>
            </w:r>
            <w:r>
              <w:rPr>
                <w:rFonts w:hint="eastAsia" w:ascii="宋体" w:hAnsi="宋体" w:cs="宋体"/>
                <w:color w:val="auto"/>
                <w:sz w:val="22"/>
                <w:szCs w:val="22"/>
                <w:highlight w:val="none"/>
                <w:lang w:val="en-US" w:eastAsia="zh-CN"/>
              </w:rPr>
              <w:t>3</w:t>
            </w:r>
          </w:p>
        </w:tc>
        <w:tc>
          <w:tcPr>
            <w:tcW w:w="893" w:type="pct"/>
            <w:tcBorders>
              <w:top w:val="outset" w:color="auto" w:sz="6" w:space="0"/>
              <w:left w:val="outset" w:color="auto" w:sz="6" w:space="0"/>
              <w:bottom w:val="outset" w:color="auto" w:sz="6" w:space="0"/>
              <w:right w:val="outset" w:color="auto" w:sz="6" w:space="0"/>
            </w:tcBorders>
            <w:vAlign w:val="center"/>
          </w:tcPr>
          <w:p w14:paraId="561C713C">
            <w:pPr>
              <w:pStyle w:val="12"/>
              <w:keepNext w:val="0"/>
              <w:keepLines w:val="0"/>
              <w:widowControl/>
              <w:suppressLineNumbers w:val="0"/>
              <w:ind w:left="0" w:leftChars="0" w:right="0" w:rightChars="0"/>
              <w:jc w:val="center"/>
              <w:rPr>
                <w:rFonts w:hint="eastAsia" w:ascii="宋体" w:hAnsi="宋体" w:eastAsia="宋体" w:cs="宋体"/>
                <w:color w:val="auto"/>
                <w:sz w:val="22"/>
                <w:szCs w:val="22"/>
                <w:highlight w:val="none"/>
              </w:rPr>
            </w:pPr>
            <w:r>
              <w:rPr>
                <w:rFonts w:hint="eastAsia" w:ascii="宋体" w:hAnsi="宋体" w:eastAsia="宋体" w:cs="宋体"/>
                <w:color w:val="auto"/>
                <w:sz w:val="24"/>
                <w:szCs w:val="24"/>
                <w:highlight w:val="none"/>
                <w:lang w:eastAsia="zh-CN"/>
              </w:rPr>
              <w:t>触控一体机</w:t>
            </w:r>
          </w:p>
        </w:tc>
        <w:tc>
          <w:tcPr>
            <w:tcW w:w="356" w:type="pct"/>
            <w:tcBorders>
              <w:top w:val="outset" w:color="auto" w:sz="6" w:space="0"/>
              <w:left w:val="outset" w:color="auto" w:sz="6" w:space="0"/>
              <w:bottom w:val="outset" w:color="auto" w:sz="6" w:space="0"/>
              <w:right w:val="outset" w:color="auto" w:sz="6" w:space="0"/>
            </w:tcBorders>
            <w:vAlign w:val="center"/>
          </w:tcPr>
          <w:p w14:paraId="2F95AF59">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否</w:t>
            </w:r>
          </w:p>
        </w:tc>
        <w:tc>
          <w:tcPr>
            <w:tcW w:w="387" w:type="pct"/>
            <w:tcBorders>
              <w:top w:val="outset" w:color="auto" w:sz="6" w:space="0"/>
              <w:left w:val="outset" w:color="auto" w:sz="6" w:space="0"/>
              <w:bottom w:val="outset" w:color="auto" w:sz="6" w:space="0"/>
              <w:right w:val="outset" w:color="auto" w:sz="6" w:space="0"/>
            </w:tcBorders>
            <w:vAlign w:val="center"/>
          </w:tcPr>
          <w:p w14:paraId="59749FA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3,</w:t>
            </w:r>
            <w:r>
              <w:rPr>
                <w:rFonts w:hint="eastAsia" w:ascii="宋体" w:hAnsi="宋体" w:cs="宋体"/>
                <w:i w:val="0"/>
                <w:iCs w:val="0"/>
                <w:color w:val="auto"/>
                <w:kern w:val="0"/>
                <w:sz w:val="22"/>
                <w:szCs w:val="22"/>
                <w:highlight w:val="none"/>
                <w:u w:val="none"/>
                <w:lang w:val="en-US" w:eastAsia="zh-CN" w:bidi="ar"/>
              </w:rPr>
              <w:t>00</w:t>
            </w:r>
            <w:r>
              <w:rPr>
                <w:rFonts w:hint="eastAsia" w:ascii="宋体" w:hAnsi="宋体" w:eastAsia="宋体" w:cs="宋体"/>
                <w:i w:val="0"/>
                <w:iCs w:val="0"/>
                <w:color w:val="auto"/>
                <w:kern w:val="0"/>
                <w:sz w:val="22"/>
                <w:szCs w:val="22"/>
                <w:highlight w:val="none"/>
                <w:u w:val="none"/>
                <w:lang w:val="en-US" w:eastAsia="zh-CN" w:bidi="ar"/>
              </w:rPr>
              <w:t xml:space="preserve">0 </w:t>
            </w:r>
          </w:p>
        </w:tc>
        <w:tc>
          <w:tcPr>
            <w:tcW w:w="696" w:type="pct"/>
            <w:tcBorders>
              <w:top w:val="outset" w:color="auto" w:sz="6" w:space="0"/>
              <w:left w:val="outset" w:color="auto" w:sz="6" w:space="0"/>
              <w:bottom w:val="outset" w:color="auto" w:sz="6" w:space="0"/>
              <w:right w:val="outset" w:color="auto" w:sz="6" w:space="0"/>
            </w:tcBorders>
            <w:vAlign w:val="center"/>
          </w:tcPr>
          <w:p w14:paraId="3EF32A5C">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26,100,000</w:t>
            </w:r>
          </w:p>
        </w:tc>
        <w:tc>
          <w:tcPr>
            <w:tcW w:w="652" w:type="pct"/>
            <w:vMerge w:val="continue"/>
            <w:tcBorders>
              <w:left w:val="outset" w:color="auto" w:sz="6" w:space="0"/>
              <w:right w:val="outset" w:color="auto" w:sz="6" w:space="0"/>
            </w:tcBorders>
            <w:vAlign w:val="center"/>
          </w:tcPr>
          <w:p w14:paraId="76A2F006">
            <w:pPr>
              <w:pStyle w:val="12"/>
              <w:keepNext w:val="0"/>
              <w:keepLines w:val="0"/>
              <w:widowControl/>
              <w:suppressLineNumbers w:val="0"/>
              <w:jc w:val="center"/>
              <w:rPr>
                <w:rFonts w:hint="eastAsia" w:ascii="宋体" w:hAnsi="宋体" w:eastAsia="宋体" w:cs="宋体"/>
                <w:color w:val="auto"/>
                <w:sz w:val="22"/>
                <w:szCs w:val="22"/>
                <w:highlight w:val="none"/>
              </w:rPr>
            </w:pPr>
          </w:p>
        </w:tc>
        <w:tc>
          <w:tcPr>
            <w:tcW w:w="477" w:type="pct"/>
            <w:tcBorders>
              <w:top w:val="outset" w:color="auto" w:sz="6" w:space="0"/>
              <w:left w:val="outset" w:color="auto" w:sz="6" w:space="0"/>
              <w:bottom w:val="outset" w:color="auto" w:sz="6" w:space="0"/>
              <w:right w:val="outset" w:color="auto" w:sz="6" w:space="0"/>
            </w:tcBorders>
            <w:vAlign w:val="center"/>
          </w:tcPr>
          <w:p w14:paraId="542A8211">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0</w:t>
            </w:r>
          </w:p>
        </w:tc>
        <w:tc>
          <w:tcPr>
            <w:tcW w:w="697" w:type="pct"/>
            <w:tcBorders>
              <w:top w:val="outset" w:color="auto" w:sz="6" w:space="0"/>
              <w:left w:val="outset" w:color="auto" w:sz="6" w:space="0"/>
              <w:bottom w:val="outset" w:color="auto" w:sz="6" w:space="0"/>
              <w:right w:val="outset" w:color="auto" w:sz="6" w:space="0"/>
            </w:tcBorders>
            <w:vAlign w:val="center"/>
          </w:tcPr>
          <w:p w14:paraId="569F196D">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8,700</w:t>
            </w:r>
          </w:p>
        </w:tc>
      </w:tr>
      <w:tr w14:paraId="4BE2197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rPr>
        <w:tc>
          <w:tcPr>
            <w:tcW w:w="402" w:type="pct"/>
            <w:tcBorders>
              <w:top w:val="outset" w:color="auto" w:sz="6" w:space="0"/>
              <w:left w:val="outset" w:color="auto" w:sz="6" w:space="0"/>
              <w:bottom w:val="outset" w:color="auto" w:sz="6" w:space="0"/>
              <w:right w:val="outset" w:color="auto" w:sz="6" w:space="0"/>
            </w:tcBorders>
            <w:vAlign w:val="center"/>
          </w:tcPr>
          <w:p w14:paraId="6046BD16">
            <w:pPr>
              <w:pStyle w:val="12"/>
              <w:keepNext w:val="0"/>
              <w:keepLines w:val="0"/>
              <w:widowControl/>
              <w:suppressLineNumbers w:val="0"/>
              <w:jc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cs="宋体"/>
                <w:color w:val="auto"/>
                <w:sz w:val="22"/>
                <w:szCs w:val="22"/>
                <w:highlight w:val="none"/>
                <w:lang w:val="en-US" w:eastAsia="zh-CN"/>
              </w:rPr>
              <w:t>1</w:t>
            </w:r>
          </w:p>
        </w:tc>
        <w:tc>
          <w:tcPr>
            <w:tcW w:w="437" w:type="pct"/>
            <w:tcBorders>
              <w:top w:val="outset" w:color="auto" w:sz="6" w:space="0"/>
              <w:left w:val="outset" w:color="auto" w:sz="6" w:space="0"/>
              <w:bottom w:val="outset" w:color="auto" w:sz="6" w:space="0"/>
              <w:right w:val="outset" w:color="auto" w:sz="6" w:space="0"/>
            </w:tcBorders>
            <w:vAlign w:val="center"/>
          </w:tcPr>
          <w:p w14:paraId="6BFE4AF1">
            <w:pPr>
              <w:pStyle w:val="12"/>
              <w:keepNext w:val="0"/>
              <w:keepLines w:val="0"/>
              <w:widowControl/>
              <w:suppressLineNumbers w:val="0"/>
              <w:jc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cs="宋体"/>
                <w:color w:val="auto"/>
                <w:sz w:val="22"/>
                <w:szCs w:val="22"/>
                <w:highlight w:val="none"/>
                <w:lang w:val="en-US" w:eastAsia="zh-CN"/>
              </w:rPr>
              <w:t>1</w:t>
            </w:r>
            <w:r>
              <w:rPr>
                <w:rFonts w:hint="eastAsia" w:ascii="宋体" w:hAnsi="宋体" w:eastAsia="宋体" w:cs="宋体"/>
                <w:color w:val="auto"/>
                <w:sz w:val="22"/>
                <w:szCs w:val="22"/>
                <w:highlight w:val="none"/>
              </w:rPr>
              <w:t>-</w:t>
            </w:r>
            <w:r>
              <w:rPr>
                <w:rFonts w:hint="eastAsia" w:ascii="宋体" w:hAnsi="宋体" w:cs="宋体"/>
                <w:color w:val="auto"/>
                <w:sz w:val="22"/>
                <w:szCs w:val="22"/>
                <w:highlight w:val="none"/>
                <w:lang w:val="en-US" w:eastAsia="zh-CN"/>
              </w:rPr>
              <w:t>4</w:t>
            </w:r>
          </w:p>
        </w:tc>
        <w:tc>
          <w:tcPr>
            <w:tcW w:w="893" w:type="pct"/>
            <w:tcBorders>
              <w:top w:val="outset" w:color="auto" w:sz="6" w:space="0"/>
              <w:left w:val="outset" w:color="auto" w:sz="6" w:space="0"/>
              <w:bottom w:val="outset" w:color="auto" w:sz="6" w:space="0"/>
              <w:right w:val="outset" w:color="auto" w:sz="6" w:space="0"/>
            </w:tcBorders>
            <w:vAlign w:val="center"/>
          </w:tcPr>
          <w:p w14:paraId="6F1B8A1B">
            <w:pPr>
              <w:pStyle w:val="12"/>
              <w:keepNext w:val="0"/>
              <w:keepLines w:val="0"/>
              <w:widowControl/>
              <w:suppressLineNumbers w:val="0"/>
              <w:ind w:left="0" w:leftChars="0" w:right="0" w:rightChars="0"/>
              <w:jc w:val="center"/>
              <w:rPr>
                <w:rFonts w:hint="eastAsia" w:ascii="宋体" w:hAnsi="宋体" w:eastAsia="宋体" w:cs="宋体"/>
                <w:color w:val="auto"/>
                <w:sz w:val="22"/>
                <w:szCs w:val="22"/>
                <w:highlight w:val="none"/>
              </w:rPr>
            </w:pPr>
            <w:r>
              <w:rPr>
                <w:rFonts w:hint="eastAsia" w:ascii="宋体" w:hAnsi="宋体" w:eastAsia="宋体" w:cs="宋体"/>
                <w:color w:val="auto"/>
                <w:sz w:val="24"/>
                <w:szCs w:val="24"/>
                <w:highlight w:val="none"/>
                <w:lang w:eastAsia="zh-CN"/>
              </w:rPr>
              <w:t>触控一体机</w:t>
            </w:r>
          </w:p>
        </w:tc>
        <w:tc>
          <w:tcPr>
            <w:tcW w:w="356" w:type="pct"/>
            <w:tcBorders>
              <w:top w:val="outset" w:color="auto" w:sz="6" w:space="0"/>
              <w:left w:val="outset" w:color="auto" w:sz="6" w:space="0"/>
              <w:bottom w:val="outset" w:color="auto" w:sz="6" w:space="0"/>
              <w:right w:val="outset" w:color="auto" w:sz="6" w:space="0"/>
            </w:tcBorders>
            <w:vAlign w:val="center"/>
          </w:tcPr>
          <w:p w14:paraId="43819B33">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否</w:t>
            </w:r>
          </w:p>
        </w:tc>
        <w:tc>
          <w:tcPr>
            <w:tcW w:w="387" w:type="pct"/>
            <w:tcBorders>
              <w:top w:val="outset" w:color="auto" w:sz="6" w:space="0"/>
              <w:left w:val="outset" w:color="auto" w:sz="6" w:space="0"/>
              <w:bottom w:val="outset" w:color="auto" w:sz="6" w:space="0"/>
              <w:right w:val="outset" w:color="auto" w:sz="6" w:space="0"/>
            </w:tcBorders>
            <w:vAlign w:val="center"/>
          </w:tcPr>
          <w:p w14:paraId="0488EF4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sz w:val="22"/>
                <w:szCs w:val="22"/>
                <w:highlight w:val="none"/>
              </w:rPr>
            </w:pPr>
            <w:r>
              <w:rPr>
                <w:rFonts w:hint="eastAsia" w:ascii="宋体" w:hAnsi="宋体" w:cs="宋体"/>
                <w:i w:val="0"/>
                <w:iCs w:val="0"/>
                <w:color w:val="auto"/>
                <w:kern w:val="0"/>
                <w:sz w:val="22"/>
                <w:szCs w:val="22"/>
                <w:highlight w:val="none"/>
                <w:u w:val="none"/>
                <w:lang w:val="en-US" w:eastAsia="zh-CN" w:bidi="ar"/>
              </w:rPr>
              <w:t>6</w:t>
            </w:r>
            <w:r>
              <w:rPr>
                <w:rFonts w:hint="eastAsia" w:ascii="宋体" w:hAnsi="宋体" w:eastAsia="宋体" w:cs="宋体"/>
                <w:i w:val="0"/>
                <w:iCs w:val="0"/>
                <w:color w:val="auto"/>
                <w:kern w:val="0"/>
                <w:sz w:val="22"/>
                <w:szCs w:val="22"/>
                <w:highlight w:val="none"/>
                <w:u w:val="none"/>
                <w:lang w:val="en-US" w:eastAsia="zh-CN" w:bidi="ar"/>
              </w:rPr>
              <w:t xml:space="preserve">0 </w:t>
            </w:r>
          </w:p>
        </w:tc>
        <w:tc>
          <w:tcPr>
            <w:tcW w:w="696" w:type="pct"/>
            <w:tcBorders>
              <w:top w:val="outset" w:color="auto" w:sz="6" w:space="0"/>
              <w:left w:val="outset" w:color="auto" w:sz="6" w:space="0"/>
              <w:bottom w:val="outset" w:color="auto" w:sz="6" w:space="0"/>
              <w:right w:val="outset" w:color="auto" w:sz="6" w:space="0"/>
            </w:tcBorders>
            <w:vAlign w:val="center"/>
          </w:tcPr>
          <w:p w14:paraId="13785E08">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1,200,000</w:t>
            </w:r>
          </w:p>
        </w:tc>
        <w:tc>
          <w:tcPr>
            <w:tcW w:w="652" w:type="pct"/>
            <w:vMerge w:val="continue"/>
            <w:tcBorders>
              <w:left w:val="outset" w:color="auto" w:sz="6" w:space="0"/>
              <w:bottom w:val="outset" w:color="auto" w:sz="6" w:space="0"/>
              <w:right w:val="outset" w:color="auto" w:sz="6" w:space="0"/>
            </w:tcBorders>
            <w:vAlign w:val="center"/>
          </w:tcPr>
          <w:p w14:paraId="43B54CBC">
            <w:pPr>
              <w:pStyle w:val="12"/>
              <w:keepNext w:val="0"/>
              <w:keepLines w:val="0"/>
              <w:widowControl/>
              <w:suppressLineNumbers w:val="0"/>
              <w:jc w:val="center"/>
              <w:rPr>
                <w:rFonts w:hint="eastAsia" w:ascii="宋体" w:hAnsi="宋体" w:eastAsia="宋体" w:cs="宋体"/>
                <w:color w:val="auto"/>
                <w:sz w:val="22"/>
                <w:szCs w:val="22"/>
                <w:highlight w:val="none"/>
              </w:rPr>
            </w:pPr>
          </w:p>
        </w:tc>
        <w:tc>
          <w:tcPr>
            <w:tcW w:w="477" w:type="pct"/>
            <w:tcBorders>
              <w:top w:val="outset" w:color="auto" w:sz="6" w:space="0"/>
              <w:left w:val="outset" w:color="auto" w:sz="6" w:space="0"/>
              <w:bottom w:val="outset" w:color="auto" w:sz="6" w:space="0"/>
              <w:right w:val="outset" w:color="auto" w:sz="6" w:space="0"/>
            </w:tcBorders>
            <w:vAlign w:val="center"/>
          </w:tcPr>
          <w:p w14:paraId="786DC1A7">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0</w:t>
            </w:r>
          </w:p>
        </w:tc>
        <w:tc>
          <w:tcPr>
            <w:tcW w:w="697" w:type="pct"/>
            <w:tcBorders>
              <w:top w:val="outset" w:color="auto" w:sz="6" w:space="0"/>
              <w:left w:val="outset" w:color="auto" w:sz="6" w:space="0"/>
              <w:bottom w:val="outset" w:color="auto" w:sz="6" w:space="0"/>
              <w:right w:val="outset" w:color="auto" w:sz="6" w:space="0"/>
            </w:tcBorders>
            <w:vAlign w:val="center"/>
          </w:tcPr>
          <w:p w14:paraId="2508F778">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20,000</w:t>
            </w:r>
          </w:p>
        </w:tc>
      </w:tr>
      <w:tr w14:paraId="19427EB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rPr>
        <w:tc>
          <w:tcPr>
            <w:tcW w:w="402" w:type="pct"/>
            <w:tcBorders>
              <w:top w:val="outset" w:color="auto" w:sz="6" w:space="0"/>
              <w:left w:val="outset" w:color="auto" w:sz="6" w:space="0"/>
              <w:bottom w:val="outset" w:color="auto" w:sz="6" w:space="0"/>
              <w:right w:val="outset" w:color="auto" w:sz="6" w:space="0"/>
            </w:tcBorders>
            <w:vAlign w:val="center"/>
          </w:tcPr>
          <w:p w14:paraId="37167F41">
            <w:pPr>
              <w:pStyle w:val="12"/>
              <w:keepNext w:val="0"/>
              <w:keepLines w:val="0"/>
              <w:widowControl/>
              <w:suppressLineNumbers w:val="0"/>
              <w:jc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cs="宋体"/>
                <w:color w:val="auto"/>
                <w:sz w:val="22"/>
                <w:szCs w:val="22"/>
                <w:highlight w:val="none"/>
                <w:lang w:val="en-US" w:eastAsia="zh-CN"/>
              </w:rPr>
              <w:t>2</w:t>
            </w:r>
          </w:p>
        </w:tc>
        <w:tc>
          <w:tcPr>
            <w:tcW w:w="437" w:type="pct"/>
            <w:tcBorders>
              <w:top w:val="outset" w:color="auto" w:sz="6" w:space="0"/>
              <w:left w:val="outset" w:color="auto" w:sz="6" w:space="0"/>
              <w:bottom w:val="outset" w:color="auto" w:sz="6" w:space="0"/>
              <w:right w:val="outset" w:color="auto" w:sz="6" w:space="0"/>
            </w:tcBorders>
            <w:vAlign w:val="center"/>
          </w:tcPr>
          <w:p w14:paraId="1F4B26C2">
            <w:pPr>
              <w:pStyle w:val="12"/>
              <w:keepNext w:val="0"/>
              <w:keepLines w:val="0"/>
              <w:widowControl/>
              <w:suppressLineNumbers w:val="0"/>
              <w:jc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cs="宋体"/>
                <w:color w:val="auto"/>
                <w:sz w:val="22"/>
                <w:szCs w:val="22"/>
                <w:highlight w:val="none"/>
                <w:lang w:val="en-US" w:eastAsia="zh-CN"/>
              </w:rPr>
              <w:t>2</w:t>
            </w:r>
            <w:r>
              <w:rPr>
                <w:rFonts w:hint="eastAsia" w:ascii="宋体" w:hAnsi="宋体" w:eastAsia="宋体" w:cs="宋体"/>
                <w:color w:val="auto"/>
                <w:sz w:val="22"/>
                <w:szCs w:val="22"/>
                <w:highlight w:val="none"/>
              </w:rPr>
              <w:t>-1</w:t>
            </w:r>
          </w:p>
        </w:tc>
        <w:tc>
          <w:tcPr>
            <w:tcW w:w="893" w:type="pct"/>
            <w:tcBorders>
              <w:top w:val="outset" w:color="auto" w:sz="6" w:space="0"/>
              <w:left w:val="outset" w:color="auto" w:sz="6" w:space="0"/>
              <w:bottom w:val="outset" w:color="auto" w:sz="6" w:space="0"/>
              <w:right w:val="outset" w:color="auto" w:sz="6" w:space="0"/>
            </w:tcBorders>
            <w:vAlign w:val="center"/>
          </w:tcPr>
          <w:p w14:paraId="4CB1BADB">
            <w:pPr>
              <w:pStyle w:val="12"/>
              <w:keepNext w:val="0"/>
              <w:keepLines w:val="0"/>
              <w:widowControl/>
              <w:suppressLineNumbers w:val="0"/>
              <w:ind w:left="0" w:leftChars="0" w:right="0" w:rightChars="0"/>
              <w:jc w:val="center"/>
              <w:rPr>
                <w:rFonts w:hint="eastAsia" w:ascii="宋体" w:hAnsi="宋体" w:eastAsia="宋体" w:cs="宋体"/>
                <w:color w:val="auto"/>
                <w:sz w:val="22"/>
                <w:szCs w:val="22"/>
                <w:highlight w:val="none"/>
              </w:rPr>
            </w:pPr>
            <w:r>
              <w:rPr>
                <w:rFonts w:hint="eastAsia" w:ascii="宋体" w:hAnsi="宋体" w:eastAsia="宋体" w:cs="宋体"/>
                <w:color w:val="auto"/>
                <w:sz w:val="24"/>
                <w:szCs w:val="24"/>
                <w:highlight w:val="none"/>
                <w:lang w:eastAsia="zh-CN"/>
              </w:rPr>
              <w:t>智慧黑板</w:t>
            </w:r>
          </w:p>
        </w:tc>
        <w:tc>
          <w:tcPr>
            <w:tcW w:w="356" w:type="pct"/>
            <w:tcBorders>
              <w:top w:val="outset" w:color="auto" w:sz="6" w:space="0"/>
              <w:left w:val="outset" w:color="auto" w:sz="6" w:space="0"/>
              <w:bottom w:val="outset" w:color="auto" w:sz="6" w:space="0"/>
              <w:right w:val="outset" w:color="auto" w:sz="6" w:space="0"/>
            </w:tcBorders>
            <w:vAlign w:val="center"/>
          </w:tcPr>
          <w:p w14:paraId="575117B7">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否</w:t>
            </w:r>
          </w:p>
        </w:tc>
        <w:tc>
          <w:tcPr>
            <w:tcW w:w="387" w:type="pct"/>
            <w:tcBorders>
              <w:top w:val="outset" w:color="auto" w:sz="6" w:space="0"/>
              <w:left w:val="outset" w:color="auto" w:sz="6" w:space="0"/>
              <w:bottom w:val="outset" w:color="auto" w:sz="6" w:space="0"/>
              <w:right w:val="outset" w:color="auto" w:sz="6" w:space="0"/>
            </w:tcBorders>
            <w:vAlign w:val="center"/>
          </w:tcPr>
          <w:p w14:paraId="14C3979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sz w:val="22"/>
                <w:szCs w:val="22"/>
                <w:highlight w:val="none"/>
              </w:rPr>
            </w:pPr>
            <w:r>
              <w:rPr>
                <w:rFonts w:hint="eastAsia" w:ascii="宋体" w:hAnsi="宋体" w:cs="宋体"/>
                <w:i w:val="0"/>
                <w:iCs w:val="0"/>
                <w:color w:val="auto"/>
                <w:kern w:val="0"/>
                <w:sz w:val="22"/>
                <w:szCs w:val="22"/>
                <w:highlight w:val="none"/>
                <w:u w:val="none"/>
                <w:lang w:val="en-US" w:eastAsia="zh-CN" w:bidi="ar"/>
              </w:rPr>
              <w:t>7</w:t>
            </w:r>
            <w:r>
              <w:rPr>
                <w:rFonts w:hint="eastAsia" w:ascii="宋体" w:hAnsi="宋体" w:eastAsia="宋体" w:cs="宋体"/>
                <w:i w:val="0"/>
                <w:iCs w:val="0"/>
                <w:color w:val="auto"/>
                <w:kern w:val="0"/>
                <w:sz w:val="22"/>
                <w:szCs w:val="22"/>
                <w:highlight w:val="none"/>
                <w:u w:val="none"/>
                <w:lang w:val="en-US" w:eastAsia="zh-CN" w:bidi="ar"/>
              </w:rPr>
              <w:t xml:space="preserve">0 </w:t>
            </w:r>
          </w:p>
        </w:tc>
        <w:tc>
          <w:tcPr>
            <w:tcW w:w="696" w:type="pct"/>
            <w:tcBorders>
              <w:top w:val="outset" w:color="auto" w:sz="6" w:space="0"/>
              <w:left w:val="outset" w:color="auto" w:sz="6" w:space="0"/>
              <w:bottom w:val="outset" w:color="auto" w:sz="6" w:space="0"/>
              <w:right w:val="outset" w:color="auto" w:sz="6" w:space="0"/>
            </w:tcBorders>
            <w:vAlign w:val="center"/>
          </w:tcPr>
          <w:p w14:paraId="3E0E3813">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966,000</w:t>
            </w:r>
          </w:p>
        </w:tc>
        <w:tc>
          <w:tcPr>
            <w:tcW w:w="1442" w:type="dxa"/>
            <w:vMerge w:val="restart"/>
            <w:tcBorders>
              <w:top w:val="outset" w:color="auto" w:sz="6" w:space="0"/>
              <w:left w:val="outset" w:color="auto" w:sz="6" w:space="0"/>
              <w:right w:val="outset" w:color="auto" w:sz="6" w:space="0"/>
            </w:tcBorders>
            <w:vAlign w:val="center"/>
          </w:tcPr>
          <w:p w14:paraId="554271A2">
            <w:pPr>
              <w:keepNext w:val="0"/>
              <w:keepLines w:val="0"/>
              <w:widowControl/>
              <w:suppressLineNumbers w:val="0"/>
              <w:kinsoku/>
              <w:overflowPunct/>
              <w:spacing w:before="0" w:beforeAutospacing="0" w:after="0" w:afterAutospacing="0"/>
              <w:ind w:left="0" w:leftChars="0" w:right="0" w:rightChars="0"/>
              <w:jc w:val="center"/>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2,704,000</w:t>
            </w:r>
          </w:p>
        </w:tc>
        <w:tc>
          <w:tcPr>
            <w:tcW w:w="477" w:type="pct"/>
            <w:tcBorders>
              <w:top w:val="outset" w:color="auto" w:sz="6" w:space="0"/>
              <w:left w:val="outset" w:color="auto" w:sz="6" w:space="0"/>
              <w:bottom w:val="outset" w:color="auto" w:sz="6" w:space="0"/>
              <w:right w:val="outset" w:color="auto" w:sz="6" w:space="0"/>
            </w:tcBorders>
            <w:vAlign w:val="center"/>
          </w:tcPr>
          <w:p w14:paraId="37B70B64">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0</w:t>
            </w:r>
          </w:p>
        </w:tc>
        <w:tc>
          <w:tcPr>
            <w:tcW w:w="697" w:type="pct"/>
            <w:tcBorders>
              <w:top w:val="outset" w:color="auto" w:sz="6" w:space="0"/>
              <w:left w:val="outset" w:color="auto" w:sz="6" w:space="0"/>
              <w:bottom w:val="outset" w:color="auto" w:sz="6" w:space="0"/>
              <w:right w:val="outset" w:color="auto" w:sz="6" w:space="0"/>
            </w:tcBorders>
            <w:vAlign w:val="center"/>
          </w:tcPr>
          <w:p w14:paraId="1DAF951F">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13,800</w:t>
            </w:r>
          </w:p>
        </w:tc>
      </w:tr>
      <w:tr w14:paraId="0B592EA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rPr>
        <w:tc>
          <w:tcPr>
            <w:tcW w:w="402" w:type="pct"/>
            <w:tcBorders>
              <w:top w:val="outset" w:color="auto" w:sz="6" w:space="0"/>
              <w:left w:val="outset" w:color="auto" w:sz="6" w:space="0"/>
              <w:bottom w:val="outset" w:color="auto" w:sz="6" w:space="0"/>
              <w:right w:val="outset" w:color="auto" w:sz="6" w:space="0"/>
            </w:tcBorders>
            <w:vAlign w:val="center"/>
          </w:tcPr>
          <w:p w14:paraId="15DBE831">
            <w:pPr>
              <w:pStyle w:val="12"/>
              <w:keepNext w:val="0"/>
              <w:keepLines w:val="0"/>
              <w:widowControl/>
              <w:suppressLineNumbers w:val="0"/>
              <w:jc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cs="宋体"/>
                <w:color w:val="auto"/>
                <w:sz w:val="22"/>
                <w:szCs w:val="22"/>
                <w:highlight w:val="none"/>
                <w:lang w:val="en-US" w:eastAsia="zh-CN"/>
              </w:rPr>
              <w:t>2</w:t>
            </w:r>
          </w:p>
        </w:tc>
        <w:tc>
          <w:tcPr>
            <w:tcW w:w="437" w:type="pct"/>
            <w:tcBorders>
              <w:top w:val="outset" w:color="auto" w:sz="6" w:space="0"/>
              <w:left w:val="outset" w:color="auto" w:sz="6" w:space="0"/>
              <w:bottom w:val="outset" w:color="auto" w:sz="6" w:space="0"/>
              <w:right w:val="outset" w:color="auto" w:sz="6" w:space="0"/>
            </w:tcBorders>
            <w:vAlign w:val="center"/>
          </w:tcPr>
          <w:p w14:paraId="25B81AB3">
            <w:pPr>
              <w:pStyle w:val="12"/>
              <w:keepNext w:val="0"/>
              <w:keepLines w:val="0"/>
              <w:widowControl/>
              <w:suppressLineNumbers w:val="0"/>
              <w:jc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cs="宋体"/>
                <w:color w:val="auto"/>
                <w:sz w:val="22"/>
                <w:szCs w:val="22"/>
                <w:highlight w:val="none"/>
                <w:lang w:val="en-US" w:eastAsia="zh-CN"/>
              </w:rPr>
              <w:t>2</w:t>
            </w:r>
            <w:r>
              <w:rPr>
                <w:rFonts w:hint="eastAsia" w:ascii="宋体" w:hAnsi="宋体" w:eastAsia="宋体" w:cs="宋体"/>
                <w:color w:val="auto"/>
                <w:sz w:val="22"/>
                <w:szCs w:val="22"/>
                <w:highlight w:val="none"/>
              </w:rPr>
              <w:t>-2</w:t>
            </w:r>
          </w:p>
        </w:tc>
        <w:tc>
          <w:tcPr>
            <w:tcW w:w="893" w:type="pct"/>
            <w:tcBorders>
              <w:top w:val="outset" w:color="auto" w:sz="6" w:space="0"/>
              <w:left w:val="outset" w:color="auto" w:sz="6" w:space="0"/>
              <w:bottom w:val="outset" w:color="auto" w:sz="6" w:space="0"/>
              <w:right w:val="outset" w:color="auto" w:sz="6" w:space="0"/>
            </w:tcBorders>
            <w:vAlign w:val="center"/>
          </w:tcPr>
          <w:p w14:paraId="0B162C38">
            <w:pPr>
              <w:pStyle w:val="12"/>
              <w:keepNext w:val="0"/>
              <w:keepLines w:val="0"/>
              <w:widowControl/>
              <w:suppressLineNumbers w:val="0"/>
              <w:ind w:left="0" w:leftChars="0" w:right="0" w:rightChars="0"/>
              <w:jc w:val="center"/>
              <w:rPr>
                <w:rFonts w:hint="eastAsia" w:ascii="宋体" w:hAnsi="宋体" w:eastAsia="宋体" w:cs="宋体"/>
                <w:color w:val="auto"/>
                <w:sz w:val="22"/>
                <w:szCs w:val="22"/>
                <w:highlight w:val="none"/>
              </w:rPr>
            </w:pPr>
            <w:r>
              <w:rPr>
                <w:rFonts w:hint="eastAsia" w:ascii="宋体" w:hAnsi="宋体" w:eastAsia="宋体" w:cs="宋体"/>
                <w:color w:val="auto"/>
                <w:sz w:val="24"/>
                <w:szCs w:val="24"/>
                <w:highlight w:val="none"/>
                <w:lang w:eastAsia="zh-CN"/>
              </w:rPr>
              <w:t>智慧黑板</w:t>
            </w:r>
          </w:p>
        </w:tc>
        <w:tc>
          <w:tcPr>
            <w:tcW w:w="356" w:type="pct"/>
            <w:tcBorders>
              <w:top w:val="outset" w:color="auto" w:sz="6" w:space="0"/>
              <w:left w:val="outset" w:color="auto" w:sz="6" w:space="0"/>
              <w:bottom w:val="outset" w:color="auto" w:sz="6" w:space="0"/>
              <w:right w:val="outset" w:color="auto" w:sz="6" w:space="0"/>
            </w:tcBorders>
            <w:vAlign w:val="center"/>
          </w:tcPr>
          <w:p w14:paraId="38B4923E">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否</w:t>
            </w:r>
          </w:p>
        </w:tc>
        <w:tc>
          <w:tcPr>
            <w:tcW w:w="387" w:type="pct"/>
            <w:tcBorders>
              <w:top w:val="outset" w:color="auto" w:sz="6" w:space="0"/>
              <w:left w:val="outset" w:color="auto" w:sz="6" w:space="0"/>
              <w:bottom w:val="outset" w:color="auto" w:sz="6" w:space="0"/>
              <w:right w:val="outset" w:color="auto" w:sz="6" w:space="0"/>
            </w:tcBorders>
            <w:vAlign w:val="center"/>
          </w:tcPr>
          <w:p w14:paraId="3730143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w:t>
            </w:r>
            <w:r>
              <w:rPr>
                <w:rFonts w:hint="eastAsia" w:ascii="宋体" w:hAnsi="宋体" w:cs="宋体"/>
                <w:i w:val="0"/>
                <w:iCs w:val="0"/>
                <w:color w:val="auto"/>
                <w:kern w:val="0"/>
                <w:sz w:val="22"/>
                <w:szCs w:val="22"/>
                <w:highlight w:val="none"/>
                <w:u w:val="none"/>
                <w:lang w:val="en-US" w:eastAsia="zh-CN" w:bidi="ar"/>
              </w:rPr>
              <w:t>1</w:t>
            </w:r>
            <w:r>
              <w:rPr>
                <w:rFonts w:hint="eastAsia" w:ascii="宋体" w:hAnsi="宋体" w:eastAsia="宋体" w:cs="宋体"/>
                <w:i w:val="0"/>
                <w:iCs w:val="0"/>
                <w:color w:val="auto"/>
                <w:kern w:val="0"/>
                <w:sz w:val="22"/>
                <w:szCs w:val="22"/>
                <w:highlight w:val="none"/>
                <w:u w:val="none"/>
                <w:lang w:val="en-US" w:eastAsia="zh-CN" w:bidi="ar"/>
              </w:rPr>
              <w:t xml:space="preserve">0 </w:t>
            </w:r>
          </w:p>
        </w:tc>
        <w:tc>
          <w:tcPr>
            <w:tcW w:w="696" w:type="pct"/>
            <w:tcBorders>
              <w:top w:val="outset" w:color="auto" w:sz="6" w:space="0"/>
              <w:left w:val="outset" w:color="auto" w:sz="6" w:space="0"/>
              <w:bottom w:val="outset" w:color="auto" w:sz="6" w:space="0"/>
              <w:right w:val="outset" w:color="auto" w:sz="6" w:space="0"/>
            </w:tcBorders>
            <w:vAlign w:val="center"/>
          </w:tcPr>
          <w:p w14:paraId="37429C72">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1,738,000</w:t>
            </w:r>
          </w:p>
        </w:tc>
        <w:tc>
          <w:tcPr>
            <w:tcW w:w="652" w:type="pct"/>
            <w:vMerge w:val="continue"/>
            <w:tcBorders>
              <w:left w:val="outset" w:color="auto" w:sz="6" w:space="0"/>
              <w:bottom w:val="outset" w:color="auto" w:sz="6" w:space="0"/>
              <w:right w:val="outset" w:color="auto" w:sz="6" w:space="0"/>
            </w:tcBorders>
            <w:vAlign w:val="center"/>
          </w:tcPr>
          <w:p w14:paraId="5731CB94">
            <w:pPr>
              <w:pStyle w:val="12"/>
              <w:keepNext w:val="0"/>
              <w:keepLines w:val="0"/>
              <w:widowControl/>
              <w:suppressLineNumbers w:val="0"/>
              <w:jc w:val="center"/>
              <w:rPr>
                <w:rFonts w:hint="eastAsia" w:ascii="宋体" w:hAnsi="宋体" w:eastAsia="宋体" w:cs="宋体"/>
                <w:color w:val="auto"/>
                <w:sz w:val="22"/>
                <w:szCs w:val="22"/>
                <w:highlight w:val="none"/>
              </w:rPr>
            </w:pPr>
          </w:p>
        </w:tc>
        <w:tc>
          <w:tcPr>
            <w:tcW w:w="477" w:type="pct"/>
            <w:tcBorders>
              <w:top w:val="outset" w:color="auto" w:sz="6" w:space="0"/>
              <w:left w:val="outset" w:color="auto" w:sz="6" w:space="0"/>
              <w:bottom w:val="outset" w:color="auto" w:sz="6" w:space="0"/>
              <w:right w:val="outset" w:color="auto" w:sz="6" w:space="0"/>
            </w:tcBorders>
            <w:vAlign w:val="center"/>
          </w:tcPr>
          <w:p w14:paraId="23C7E0EF">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0</w:t>
            </w:r>
          </w:p>
        </w:tc>
        <w:tc>
          <w:tcPr>
            <w:tcW w:w="697" w:type="pct"/>
            <w:tcBorders>
              <w:top w:val="outset" w:color="auto" w:sz="6" w:space="0"/>
              <w:left w:val="outset" w:color="auto" w:sz="6" w:space="0"/>
              <w:bottom w:val="outset" w:color="auto" w:sz="6" w:space="0"/>
              <w:right w:val="outset" w:color="auto" w:sz="6" w:space="0"/>
            </w:tcBorders>
            <w:vAlign w:val="center"/>
          </w:tcPr>
          <w:p w14:paraId="4A76505F">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15,800</w:t>
            </w:r>
          </w:p>
        </w:tc>
      </w:tr>
    </w:tbl>
    <w:p w14:paraId="7308944C">
      <w:pPr>
        <w:pStyle w:val="12"/>
        <w:widowControl/>
        <w:spacing w:before="50" w:beforeAutospacing="0" w:after="50" w:afterAutospacing="0"/>
        <w:jc w:val="center"/>
        <w:rPr>
          <w:rStyle w:val="17"/>
          <w:rFonts w:hint="eastAsia" w:ascii="宋体" w:hAnsi="宋体" w:cs="宋体"/>
          <w:color w:val="auto"/>
          <w:sz w:val="28"/>
          <w:szCs w:val="28"/>
          <w:highlight w:val="none"/>
        </w:rPr>
        <w:sectPr>
          <w:pgSz w:w="11906" w:h="16838"/>
          <w:pgMar w:top="1440" w:right="1800" w:bottom="1440" w:left="1800" w:header="851" w:footer="992" w:gutter="0"/>
          <w:cols w:space="720" w:num="1"/>
          <w:docGrid w:type="lines" w:linePitch="312" w:charSpace="0"/>
        </w:sectPr>
      </w:pPr>
    </w:p>
    <w:p w14:paraId="28A0980D">
      <w:pPr>
        <w:pStyle w:val="12"/>
        <w:widowControl/>
        <w:spacing w:before="50" w:beforeAutospacing="0" w:after="50" w:afterAutospacing="0"/>
        <w:jc w:val="center"/>
        <w:outlineLvl w:val="0"/>
        <w:rPr>
          <w:rFonts w:ascii="宋体" w:hAnsi="宋体" w:cs="宋体"/>
          <w:color w:val="auto"/>
          <w:sz w:val="28"/>
          <w:szCs w:val="28"/>
          <w:highlight w:val="none"/>
        </w:rPr>
      </w:pPr>
      <w:r>
        <w:rPr>
          <w:rStyle w:val="17"/>
          <w:rFonts w:hint="eastAsia" w:ascii="宋体" w:hAnsi="宋体" w:cs="宋体"/>
          <w:color w:val="auto"/>
          <w:sz w:val="28"/>
          <w:szCs w:val="28"/>
          <w:highlight w:val="none"/>
        </w:rPr>
        <w:t>第二章</w:t>
      </w:r>
      <w:r>
        <w:rPr>
          <w:rStyle w:val="17"/>
          <w:rFonts w:hint="default" w:ascii="宋体" w:hAnsi="宋体" w:cs="宋体"/>
          <w:color w:val="auto"/>
          <w:sz w:val="28"/>
          <w:szCs w:val="28"/>
          <w:highlight w:val="none"/>
        </w:rPr>
        <w:t xml:space="preserve">  </w:t>
      </w:r>
      <w:r>
        <w:rPr>
          <w:rStyle w:val="17"/>
          <w:rFonts w:hint="eastAsia" w:ascii="宋体" w:hAnsi="宋体" w:cs="宋体"/>
          <w:color w:val="auto"/>
          <w:sz w:val="28"/>
          <w:szCs w:val="28"/>
          <w:highlight w:val="none"/>
        </w:rPr>
        <w:t>投标人须知前附表（表1、2）</w:t>
      </w:r>
    </w:p>
    <w:p w14:paraId="7C700CAE">
      <w:pPr>
        <w:pStyle w:val="12"/>
        <w:widowControl/>
        <w:spacing w:before="50" w:beforeAutospacing="0" w:after="50" w:afterAutospacing="0" w:line="240" w:lineRule="auto"/>
        <w:jc w:val="center"/>
        <w:outlineLvl w:val="1"/>
        <w:rPr>
          <w:rFonts w:hint="eastAsia" w:ascii="宋体" w:hAnsi="宋体" w:cs="宋体"/>
          <w:color w:val="auto"/>
          <w:sz w:val="28"/>
          <w:szCs w:val="28"/>
          <w:highlight w:val="none"/>
        </w:rPr>
      </w:pPr>
      <w:r>
        <w:rPr>
          <w:rStyle w:val="17"/>
          <w:rFonts w:hint="eastAsia" w:ascii="宋体" w:hAnsi="宋体" w:cs="宋体"/>
          <w:color w:val="auto"/>
          <w:sz w:val="28"/>
          <w:szCs w:val="28"/>
          <w:highlight w:val="none"/>
        </w:rPr>
        <w:t>一、投标人须知前附表1</w:t>
      </w:r>
    </w:p>
    <w:tbl>
      <w:tblPr>
        <w:tblStyle w:val="14"/>
        <w:tblW w:w="5000" w:type="pct"/>
        <w:tblCellSpacing w:w="15" w:type="dxa"/>
        <w:tblInd w:w="2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528"/>
        <w:gridCol w:w="1452"/>
        <w:gridCol w:w="6546"/>
      </w:tblGrid>
      <w:tr w14:paraId="59939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4964" w:type="pct"/>
            <w:gridSpan w:val="3"/>
            <w:tcMar>
              <w:top w:w="0" w:type="dxa"/>
              <w:left w:w="70" w:type="dxa"/>
              <w:bottom w:w="0" w:type="dxa"/>
              <w:right w:w="70" w:type="dxa"/>
            </w:tcMar>
            <w:vAlign w:val="center"/>
          </w:tcPr>
          <w:p w14:paraId="6AEB6FFE">
            <w:pPr>
              <w:pStyle w:val="12"/>
              <w:widowControl/>
              <w:spacing w:before="0" w:beforeAutospacing="0" w:after="0" w:afterAutospacing="0" w:line="360" w:lineRule="auto"/>
              <w:jc w:val="center"/>
              <w:rPr>
                <w:rFonts w:hint="eastAsia" w:ascii="宋体" w:hAnsi="宋体" w:cs="宋体"/>
                <w:color w:val="auto"/>
                <w:sz w:val="28"/>
                <w:szCs w:val="28"/>
                <w:highlight w:val="none"/>
              </w:rPr>
            </w:pPr>
            <w:r>
              <w:rPr>
                <w:rStyle w:val="17"/>
                <w:rFonts w:hint="eastAsia" w:ascii="宋体" w:hAnsi="宋体" w:cs="宋体"/>
                <w:color w:val="auto"/>
                <w:sz w:val="28"/>
                <w:szCs w:val="28"/>
                <w:highlight w:val="none"/>
              </w:rPr>
              <w:t>特别提示：本表与征集文件对应章节的内容若不一致，以本表为准。</w:t>
            </w:r>
          </w:p>
        </w:tc>
      </w:tr>
      <w:tr w14:paraId="79A85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311" w:type="pct"/>
            <w:tcMar>
              <w:top w:w="0" w:type="dxa"/>
              <w:left w:w="70" w:type="dxa"/>
              <w:bottom w:w="0" w:type="dxa"/>
              <w:right w:w="70" w:type="dxa"/>
            </w:tcMar>
            <w:vAlign w:val="center"/>
          </w:tcPr>
          <w:p w14:paraId="10B4834D">
            <w:pPr>
              <w:pStyle w:val="12"/>
              <w:widowControl/>
              <w:spacing w:before="0" w:beforeAutospacing="0" w:after="0" w:afterAutospacing="0" w:line="36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项号</w:t>
            </w:r>
          </w:p>
        </w:tc>
        <w:tc>
          <w:tcPr>
            <w:tcW w:w="770" w:type="pct"/>
            <w:tcMar>
              <w:top w:w="0" w:type="dxa"/>
              <w:left w:w="70" w:type="dxa"/>
              <w:bottom w:w="0" w:type="dxa"/>
              <w:right w:w="70" w:type="dxa"/>
            </w:tcMar>
            <w:vAlign w:val="center"/>
          </w:tcPr>
          <w:p w14:paraId="030AFBF4">
            <w:pPr>
              <w:pStyle w:val="12"/>
              <w:widowControl/>
              <w:spacing w:before="0" w:beforeAutospacing="0" w:after="0" w:afterAutospacing="0" w:line="36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征集文件</w:t>
            </w:r>
          </w:p>
          <w:p w14:paraId="0FD9CAC5">
            <w:pPr>
              <w:pStyle w:val="12"/>
              <w:widowControl/>
              <w:spacing w:before="0" w:beforeAutospacing="0" w:after="0" w:afterAutospacing="0" w:line="36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（第三章）</w:t>
            </w:r>
          </w:p>
        </w:tc>
        <w:tc>
          <w:tcPr>
            <w:tcW w:w="3847" w:type="pct"/>
            <w:tcMar>
              <w:top w:w="0" w:type="dxa"/>
              <w:left w:w="70" w:type="dxa"/>
              <w:bottom w:w="0" w:type="dxa"/>
              <w:right w:w="70" w:type="dxa"/>
            </w:tcMar>
            <w:vAlign w:val="center"/>
          </w:tcPr>
          <w:p w14:paraId="35E9E4D8">
            <w:pPr>
              <w:pStyle w:val="12"/>
              <w:widowControl/>
              <w:spacing w:before="0" w:beforeAutospacing="0" w:after="0" w:afterAutospacing="0" w:line="36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编列内容</w:t>
            </w:r>
          </w:p>
        </w:tc>
      </w:tr>
      <w:tr w14:paraId="29207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311" w:type="pct"/>
            <w:tcMar>
              <w:top w:w="0" w:type="dxa"/>
              <w:left w:w="70" w:type="dxa"/>
              <w:bottom w:w="0" w:type="dxa"/>
              <w:right w:w="70" w:type="dxa"/>
            </w:tcMar>
            <w:vAlign w:val="center"/>
          </w:tcPr>
          <w:p w14:paraId="17BC3CEF">
            <w:pPr>
              <w:pStyle w:val="12"/>
              <w:widowControl/>
              <w:spacing w:before="0" w:beforeAutospacing="0" w:after="0" w:afterAutospacing="0" w:line="36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1</w:t>
            </w:r>
          </w:p>
        </w:tc>
        <w:tc>
          <w:tcPr>
            <w:tcW w:w="770" w:type="pct"/>
            <w:tcMar>
              <w:top w:w="0" w:type="dxa"/>
              <w:left w:w="70" w:type="dxa"/>
              <w:bottom w:w="0" w:type="dxa"/>
              <w:right w:w="70" w:type="dxa"/>
            </w:tcMar>
            <w:vAlign w:val="center"/>
          </w:tcPr>
          <w:p w14:paraId="2EE4079D">
            <w:pPr>
              <w:pStyle w:val="12"/>
              <w:widowControl/>
              <w:spacing w:before="0" w:beforeAutospacing="0" w:after="0" w:afterAutospacing="0" w:line="36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6.1</w:t>
            </w:r>
          </w:p>
        </w:tc>
        <w:tc>
          <w:tcPr>
            <w:tcW w:w="3847" w:type="pct"/>
            <w:tcMar>
              <w:top w:w="0" w:type="dxa"/>
              <w:left w:w="70" w:type="dxa"/>
              <w:bottom w:w="0" w:type="dxa"/>
              <w:right w:w="70" w:type="dxa"/>
            </w:tcMar>
            <w:vAlign w:val="center"/>
          </w:tcPr>
          <w:p w14:paraId="1812B0FF">
            <w:pPr>
              <w:pStyle w:val="12"/>
              <w:widowControl/>
              <w:spacing w:before="0" w:beforeAutospacing="0" w:after="0" w:afterAutospacing="0" w:line="360" w:lineRule="auto"/>
              <w:rPr>
                <w:rFonts w:hint="eastAsia" w:ascii="宋体" w:hAnsi="宋体" w:cs="宋体"/>
                <w:color w:val="auto"/>
                <w:sz w:val="28"/>
                <w:szCs w:val="28"/>
                <w:highlight w:val="none"/>
              </w:rPr>
            </w:pPr>
            <w:r>
              <w:rPr>
                <w:rStyle w:val="17"/>
                <w:rFonts w:hint="eastAsia" w:ascii="宋体" w:hAnsi="宋体" w:cs="宋体"/>
                <w:color w:val="auto"/>
                <w:sz w:val="28"/>
                <w:szCs w:val="28"/>
                <w:highlight w:val="none"/>
              </w:rPr>
              <w:t>是否组织现场考察或召开开标前答疑会：</w:t>
            </w:r>
            <w:r>
              <w:rPr>
                <w:rFonts w:hint="eastAsia" w:ascii="宋体" w:hAnsi="宋体" w:cs="宋体"/>
                <w:color w:val="auto"/>
                <w:sz w:val="28"/>
                <w:szCs w:val="28"/>
                <w:highlight w:val="none"/>
              </w:rPr>
              <w:t>否。</w:t>
            </w:r>
          </w:p>
        </w:tc>
      </w:tr>
      <w:tr w14:paraId="0426E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311" w:type="pct"/>
            <w:tcMar>
              <w:top w:w="0" w:type="dxa"/>
              <w:left w:w="70" w:type="dxa"/>
              <w:bottom w:w="0" w:type="dxa"/>
              <w:right w:w="70" w:type="dxa"/>
            </w:tcMar>
            <w:vAlign w:val="center"/>
          </w:tcPr>
          <w:p w14:paraId="39ACABC1">
            <w:pPr>
              <w:pStyle w:val="12"/>
              <w:widowControl/>
              <w:spacing w:before="0" w:beforeAutospacing="0" w:after="0" w:afterAutospacing="0" w:line="36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2</w:t>
            </w:r>
          </w:p>
        </w:tc>
        <w:tc>
          <w:tcPr>
            <w:tcW w:w="770" w:type="pct"/>
            <w:tcMar>
              <w:top w:w="0" w:type="dxa"/>
              <w:left w:w="70" w:type="dxa"/>
              <w:bottom w:w="0" w:type="dxa"/>
              <w:right w:w="70" w:type="dxa"/>
            </w:tcMar>
            <w:vAlign w:val="center"/>
          </w:tcPr>
          <w:p w14:paraId="397D751B">
            <w:pPr>
              <w:pStyle w:val="12"/>
              <w:widowControl/>
              <w:spacing w:before="0" w:beforeAutospacing="0" w:after="0" w:afterAutospacing="0" w:line="36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10.4</w:t>
            </w:r>
          </w:p>
        </w:tc>
        <w:tc>
          <w:tcPr>
            <w:tcW w:w="3847" w:type="pct"/>
            <w:tcMar>
              <w:top w:w="0" w:type="dxa"/>
              <w:left w:w="70" w:type="dxa"/>
              <w:bottom w:w="0" w:type="dxa"/>
              <w:right w:w="70" w:type="dxa"/>
            </w:tcMar>
            <w:vAlign w:val="center"/>
          </w:tcPr>
          <w:p w14:paraId="5E744645">
            <w:pPr>
              <w:pStyle w:val="12"/>
              <w:widowControl/>
              <w:spacing w:before="0" w:beforeAutospacing="0" w:after="0" w:afterAutospacing="0" w:line="360" w:lineRule="auto"/>
              <w:rPr>
                <w:rStyle w:val="17"/>
                <w:rFonts w:hint="eastAsia" w:ascii="宋体" w:hAnsi="宋体" w:cs="宋体"/>
                <w:color w:val="auto"/>
                <w:sz w:val="28"/>
                <w:szCs w:val="28"/>
                <w:highlight w:val="none"/>
              </w:rPr>
            </w:pPr>
            <w:r>
              <w:rPr>
                <w:rStyle w:val="17"/>
                <w:rFonts w:hint="eastAsia" w:ascii="宋体" w:hAnsi="宋体" w:cs="宋体"/>
                <w:color w:val="auto"/>
                <w:sz w:val="28"/>
                <w:szCs w:val="28"/>
                <w:highlight w:val="none"/>
                <w:lang w:val="en-US"/>
              </w:rPr>
              <w:t>每个采购包</w:t>
            </w:r>
            <w:r>
              <w:rPr>
                <w:rStyle w:val="17"/>
                <w:rFonts w:hint="eastAsia" w:ascii="宋体" w:hAnsi="宋体" w:cs="宋体"/>
                <w:color w:val="auto"/>
                <w:sz w:val="28"/>
                <w:szCs w:val="28"/>
                <w:highlight w:val="none"/>
              </w:rPr>
              <w:t>响应文件的份数：</w:t>
            </w:r>
          </w:p>
          <w:p w14:paraId="2BAE8818">
            <w:pPr>
              <w:widowControl/>
              <w:numPr>
                <w:ilvl w:val="0"/>
                <w:numId w:val="0"/>
              </w:numPr>
              <w:spacing w:before="0" w:beforeAutospacing="0" w:after="0" w:afterAutospacing="0" w:line="360" w:lineRule="auto"/>
              <w:rPr>
                <w:rStyle w:val="17"/>
                <w:rFonts w:hint="eastAsia" w:ascii="宋体" w:hAnsi="宋体" w:cs="宋体"/>
                <w:color w:val="auto"/>
                <w:sz w:val="28"/>
                <w:szCs w:val="28"/>
                <w:highlight w:val="none"/>
              </w:rPr>
            </w:pPr>
            <w:r>
              <w:rPr>
                <w:rStyle w:val="17"/>
                <w:rFonts w:hint="eastAsia" w:ascii="宋体" w:hAnsi="宋体" w:cs="宋体"/>
                <w:color w:val="auto"/>
                <w:sz w:val="28"/>
                <w:szCs w:val="28"/>
                <w:highlight w:val="none"/>
              </w:rPr>
              <w:t>（1）纸质响应文件：</w:t>
            </w:r>
            <w:r>
              <w:rPr>
                <w:rStyle w:val="17"/>
                <w:rFonts w:hint="eastAsia" w:ascii="宋体" w:hAnsi="宋体" w:eastAsia="宋体" w:cs="宋体"/>
                <w:i w:val="0"/>
                <w:iCs w:val="0"/>
                <w:caps w:val="0"/>
                <w:color w:val="auto"/>
                <w:spacing w:val="0"/>
                <w:sz w:val="28"/>
                <w:szCs w:val="28"/>
                <w:highlight w:val="none"/>
                <w:shd w:val="clear" w:fill="FCFCFC"/>
              </w:rPr>
              <w:t>资格资信证明部分及技术商务部分的正本1份、副本4份，报价部分的正本1份、副本4份</w:t>
            </w:r>
            <w:r>
              <w:rPr>
                <w:rStyle w:val="17"/>
                <w:rFonts w:hint="eastAsia" w:ascii="宋体" w:hAnsi="宋体" w:eastAsia="宋体" w:cs="宋体"/>
                <w:color w:val="auto"/>
                <w:sz w:val="28"/>
                <w:szCs w:val="28"/>
                <w:highlight w:val="none"/>
                <w:shd w:val="clear" w:fill="FCFCFC"/>
              </w:rPr>
              <w:t xml:space="preserve"> </w:t>
            </w:r>
            <w:r>
              <w:rPr>
                <w:rStyle w:val="17"/>
                <w:rFonts w:hint="eastAsia" w:ascii="宋体" w:hAnsi="宋体" w:cs="宋体"/>
                <w:color w:val="auto"/>
                <w:sz w:val="28"/>
                <w:szCs w:val="28"/>
                <w:highlight w:val="none"/>
                <w:shd w:val="clear" w:fill="FCFCFC"/>
              </w:rPr>
              <w:t>。</w:t>
            </w:r>
          </w:p>
          <w:p w14:paraId="734EE50F">
            <w:pPr>
              <w:pStyle w:val="12"/>
              <w:widowControl/>
              <w:spacing w:before="0" w:beforeAutospacing="0" w:after="0" w:afterAutospacing="0" w:line="360" w:lineRule="auto"/>
              <w:rPr>
                <w:rStyle w:val="17"/>
                <w:rFonts w:hint="eastAsia" w:ascii="宋体" w:hAnsi="宋体" w:cs="宋体"/>
                <w:color w:val="auto"/>
                <w:sz w:val="28"/>
                <w:szCs w:val="28"/>
                <w:highlight w:val="none"/>
              </w:rPr>
            </w:pPr>
            <w:r>
              <w:rPr>
                <w:rStyle w:val="17"/>
                <w:rFonts w:hint="eastAsia" w:ascii="宋体" w:hAnsi="宋体" w:cs="宋体"/>
                <w:color w:val="auto"/>
                <w:sz w:val="28"/>
                <w:szCs w:val="28"/>
                <w:highlight w:val="none"/>
              </w:rPr>
              <w:t>（2）电子响应文件：可读介质（光盘或U盘）2份，供应商应扫描纸质响应文件</w:t>
            </w:r>
            <w:r>
              <w:rPr>
                <w:rStyle w:val="17"/>
                <w:rFonts w:hint="eastAsia" w:ascii="宋体" w:hAnsi="宋体" w:cs="宋体"/>
                <w:color w:val="auto"/>
                <w:sz w:val="28"/>
                <w:szCs w:val="28"/>
                <w:highlight w:val="none"/>
                <w:lang w:val="en-US"/>
              </w:rPr>
              <w:t>盖章后的</w:t>
            </w:r>
            <w:r>
              <w:rPr>
                <w:rStyle w:val="17"/>
                <w:rFonts w:hint="eastAsia" w:ascii="宋体" w:hAnsi="宋体" w:cs="宋体"/>
                <w:color w:val="auto"/>
                <w:sz w:val="28"/>
                <w:szCs w:val="28"/>
                <w:highlight w:val="none"/>
              </w:rPr>
              <w:t>正本以PDF格式制作成电子文本，其中所有文件不做压缩处理、不留密码。</w:t>
            </w:r>
          </w:p>
          <w:p w14:paraId="18E5511A">
            <w:pPr>
              <w:pStyle w:val="12"/>
              <w:widowControl/>
              <w:spacing w:before="0" w:beforeAutospacing="0" w:after="0" w:afterAutospacing="0" w:line="360" w:lineRule="auto"/>
              <w:rPr>
                <w:rStyle w:val="17"/>
                <w:rFonts w:hint="eastAsia" w:ascii="宋体" w:hAnsi="宋体" w:cs="宋体"/>
                <w:color w:val="auto"/>
                <w:sz w:val="28"/>
                <w:szCs w:val="28"/>
                <w:highlight w:val="none"/>
              </w:rPr>
            </w:pPr>
            <w:r>
              <w:rPr>
                <w:rStyle w:val="17"/>
                <w:rFonts w:hint="eastAsia" w:ascii="宋体" w:hAnsi="宋体" w:cs="宋体"/>
                <w:color w:val="auto"/>
                <w:sz w:val="28"/>
                <w:szCs w:val="28"/>
                <w:highlight w:val="none"/>
              </w:rPr>
              <w:t>（</w:t>
            </w:r>
            <w:r>
              <w:rPr>
                <w:rStyle w:val="17"/>
                <w:rFonts w:hint="eastAsia" w:ascii="宋体" w:hAnsi="宋体" w:cs="宋体"/>
                <w:color w:val="auto"/>
                <w:sz w:val="28"/>
                <w:szCs w:val="28"/>
                <w:highlight w:val="none"/>
                <w:lang w:val="en-US"/>
              </w:rPr>
              <w:t>3）供应商制作响应文件应按单个采购包进行响应，一个采购包对应一套</w:t>
            </w:r>
            <w:r>
              <w:rPr>
                <w:rStyle w:val="17"/>
                <w:rFonts w:hint="eastAsia" w:ascii="宋体" w:hAnsi="宋体" w:cs="宋体"/>
                <w:color w:val="auto"/>
                <w:sz w:val="28"/>
                <w:szCs w:val="28"/>
                <w:highlight w:val="none"/>
              </w:rPr>
              <w:t>响应文件</w:t>
            </w:r>
            <w:r>
              <w:rPr>
                <w:rStyle w:val="17"/>
                <w:rFonts w:hint="eastAsia" w:ascii="宋体" w:hAnsi="宋体" w:cs="宋体"/>
                <w:color w:val="auto"/>
                <w:sz w:val="28"/>
                <w:szCs w:val="28"/>
                <w:highlight w:val="none"/>
                <w:lang w:val="en-US"/>
              </w:rPr>
              <w:t>并标明包号。</w:t>
            </w:r>
          </w:p>
        </w:tc>
      </w:tr>
      <w:tr w14:paraId="41205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311" w:type="pct"/>
            <w:tcMar>
              <w:top w:w="0" w:type="dxa"/>
              <w:left w:w="70" w:type="dxa"/>
              <w:bottom w:w="0" w:type="dxa"/>
              <w:right w:w="70" w:type="dxa"/>
            </w:tcMar>
            <w:vAlign w:val="center"/>
          </w:tcPr>
          <w:p w14:paraId="5DA0D3E8">
            <w:pPr>
              <w:pStyle w:val="12"/>
              <w:widowControl/>
              <w:wordWrap w:val="0"/>
              <w:spacing w:before="0" w:beforeAutospacing="0" w:after="0" w:afterAutospacing="0" w:line="36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3</w:t>
            </w:r>
          </w:p>
        </w:tc>
        <w:tc>
          <w:tcPr>
            <w:tcW w:w="770" w:type="pct"/>
            <w:tcMar>
              <w:top w:w="0" w:type="dxa"/>
              <w:left w:w="70" w:type="dxa"/>
              <w:bottom w:w="0" w:type="dxa"/>
              <w:right w:w="70" w:type="dxa"/>
            </w:tcMar>
            <w:vAlign w:val="center"/>
          </w:tcPr>
          <w:p w14:paraId="79D40E86">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 10.7-（1）</w:t>
            </w:r>
          </w:p>
        </w:tc>
        <w:tc>
          <w:tcPr>
            <w:tcW w:w="3847" w:type="pct"/>
            <w:tcMar>
              <w:top w:w="0" w:type="dxa"/>
              <w:left w:w="70" w:type="dxa"/>
              <w:bottom w:w="0" w:type="dxa"/>
              <w:right w:w="70" w:type="dxa"/>
            </w:tcMar>
            <w:vAlign w:val="center"/>
          </w:tcPr>
          <w:p w14:paraId="0572F432">
            <w:pPr>
              <w:pStyle w:val="12"/>
              <w:widowControl/>
              <w:spacing w:before="0" w:beforeAutospacing="0" w:after="0" w:afterAutospacing="0" w:line="360" w:lineRule="auto"/>
              <w:rPr>
                <w:rFonts w:hint="eastAsia" w:ascii="宋体" w:hAnsi="宋体" w:cs="宋体"/>
                <w:color w:val="auto"/>
                <w:sz w:val="28"/>
                <w:szCs w:val="28"/>
                <w:highlight w:val="none"/>
              </w:rPr>
            </w:pPr>
            <w:r>
              <w:rPr>
                <w:rStyle w:val="17"/>
                <w:rFonts w:hint="eastAsia" w:ascii="宋体" w:hAnsi="宋体" w:cs="宋体"/>
                <w:color w:val="auto"/>
                <w:sz w:val="28"/>
                <w:szCs w:val="28"/>
                <w:highlight w:val="none"/>
              </w:rPr>
              <w:t>是否允许入围供应商将本项目的非主体、非关键性工作进行分包：</w:t>
            </w:r>
            <w:r>
              <w:rPr>
                <w:rStyle w:val="17"/>
                <w:rFonts w:hint="eastAsia" w:ascii="宋体" w:hAnsi="宋体" w:cs="宋体"/>
                <w:color w:val="auto"/>
                <w:sz w:val="28"/>
                <w:szCs w:val="28"/>
                <w:highlight w:val="none"/>
                <w:lang w:val="en-US"/>
              </w:rPr>
              <w:t>每个采购包均</w:t>
            </w:r>
            <w:r>
              <w:rPr>
                <w:rFonts w:hint="eastAsia" w:ascii="宋体" w:hAnsi="宋体" w:cs="宋体"/>
                <w:color w:val="auto"/>
                <w:sz w:val="28"/>
                <w:szCs w:val="28"/>
                <w:highlight w:val="none"/>
              </w:rPr>
              <w:t>不允许。</w:t>
            </w:r>
          </w:p>
        </w:tc>
      </w:tr>
      <w:tr w14:paraId="64494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311" w:type="pct"/>
            <w:tcMar>
              <w:top w:w="0" w:type="dxa"/>
              <w:left w:w="70" w:type="dxa"/>
              <w:bottom w:w="0" w:type="dxa"/>
              <w:right w:w="70" w:type="dxa"/>
            </w:tcMar>
            <w:vAlign w:val="center"/>
          </w:tcPr>
          <w:p w14:paraId="571995C8">
            <w:pPr>
              <w:pStyle w:val="12"/>
              <w:widowControl/>
              <w:wordWrap w:val="0"/>
              <w:spacing w:before="0" w:beforeAutospacing="0" w:after="0" w:afterAutospacing="0" w:line="36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4</w:t>
            </w:r>
          </w:p>
        </w:tc>
        <w:tc>
          <w:tcPr>
            <w:tcW w:w="770" w:type="pct"/>
            <w:tcMar>
              <w:top w:w="0" w:type="dxa"/>
              <w:left w:w="70" w:type="dxa"/>
              <w:bottom w:w="0" w:type="dxa"/>
              <w:right w:w="70" w:type="dxa"/>
            </w:tcMar>
            <w:vAlign w:val="center"/>
          </w:tcPr>
          <w:p w14:paraId="768DDEF7">
            <w:pPr>
              <w:pStyle w:val="12"/>
              <w:widowControl/>
              <w:spacing w:before="0" w:beforeAutospacing="0" w:after="0" w:afterAutospacing="0" w:line="36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10.8-（1）</w:t>
            </w:r>
          </w:p>
        </w:tc>
        <w:tc>
          <w:tcPr>
            <w:tcW w:w="3847" w:type="pct"/>
            <w:tcMar>
              <w:top w:w="0" w:type="dxa"/>
              <w:left w:w="70" w:type="dxa"/>
              <w:bottom w:w="0" w:type="dxa"/>
              <w:right w:w="70" w:type="dxa"/>
            </w:tcMar>
            <w:vAlign w:val="center"/>
          </w:tcPr>
          <w:p w14:paraId="32979C86">
            <w:pPr>
              <w:pStyle w:val="12"/>
              <w:widowControl/>
              <w:spacing w:before="0" w:beforeAutospacing="0" w:after="0" w:afterAutospacing="0" w:line="360" w:lineRule="auto"/>
              <w:rPr>
                <w:rFonts w:hint="eastAsia" w:ascii="宋体" w:hAnsi="宋体" w:cs="宋体"/>
                <w:color w:val="auto"/>
                <w:sz w:val="28"/>
                <w:szCs w:val="28"/>
                <w:highlight w:val="none"/>
              </w:rPr>
            </w:pPr>
            <w:r>
              <w:rPr>
                <w:rStyle w:val="17"/>
                <w:rFonts w:hint="eastAsia" w:ascii="宋体" w:hAnsi="宋体" w:cs="宋体"/>
                <w:color w:val="auto"/>
                <w:sz w:val="28"/>
                <w:szCs w:val="28"/>
                <w:highlight w:val="none"/>
                <w:lang w:val="en-US"/>
              </w:rPr>
              <w:t>每个采购包</w:t>
            </w:r>
            <w:r>
              <w:rPr>
                <w:rStyle w:val="17"/>
                <w:rFonts w:hint="eastAsia" w:ascii="宋体" w:hAnsi="宋体" w:cs="宋体"/>
                <w:color w:val="auto"/>
                <w:sz w:val="28"/>
                <w:szCs w:val="28"/>
                <w:highlight w:val="none"/>
              </w:rPr>
              <w:t>投标有效期</w:t>
            </w:r>
            <w:r>
              <w:rPr>
                <w:rFonts w:hint="eastAsia" w:ascii="宋体" w:hAnsi="宋体" w:cs="宋体"/>
                <w:color w:val="auto"/>
                <w:sz w:val="28"/>
                <w:szCs w:val="28"/>
                <w:highlight w:val="none"/>
              </w:rPr>
              <w:t>：投标截止时间起</w:t>
            </w:r>
            <w:r>
              <w:rPr>
                <w:rFonts w:hint="eastAsia" w:ascii="宋体" w:hAnsi="宋体" w:cs="宋体"/>
                <w:color w:val="auto"/>
                <w:sz w:val="28"/>
                <w:szCs w:val="28"/>
                <w:highlight w:val="none"/>
                <w:lang w:val="en-US" w:eastAsia="zh-CN"/>
              </w:rPr>
              <w:t>不少于</w:t>
            </w:r>
            <w:r>
              <w:rPr>
                <w:rFonts w:hint="eastAsia" w:ascii="宋体" w:hAnsi="宋体" w:cs="宋体"/>
                <w:color w:val="auto"/>
                <w:sz w:val="28"/>
                <w:szCs w:val="28"/>
                <w:highlight w:val="none"/>
              </w:rPr>
              <w:t>360个日历日。</w:t>
            </w:r>
          </w:p>
        </w:tc>
      </w:tr>
      <w:tr w14:paraId="65C95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311" w:type="pct"/>
            <w:tcMar>
              <w:top w:w="0" w:type="dxa"/>
              <w:left w:w="70" w:type="dxa"/>
              <w:bottom w:w="0" w:type="dxa"/>
              <w:right w:w="70" w:type="dxa"/>
            </w:tcMar>
            <w:vAlign w:val="center"/>
          </w:tcPr>
          <w:p w14:paraId="20C9F3D6">
            <w:pPr>
              <w:pStyle w:val="12"/>
              <w:widowControl/>
              <w:wordWrap w:val="0"/>
              <w:spacing w:before="0" w:beforeAutospacing="0" w:after="0" w:afterAutospacing="0" w:line="36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5</w:t>
            </w:r>
          </w:p>
        </w:tc>
        <w:tc>
          <w:tcPr>
            <w:tcW w:w="770" w:type="pct"/>
            <w:tcMar>
              <w:top w:w="0" w:type="dxa"/>
              <w:left w:w="70" w:type="dxa"/>
              <w:bottom w:w="0" w:type="dxa"/>
              <w:right w:w="70" w:type="dxa"/>
            </w:tcMar>
            <w:vAlign w:val="center"/>
          </w:tcPr>
          <w:p w14:paraId="21A39724">
            <w:pPr>
              <w:pStyle w:val="12"/>
              <w:widowControl/>
              <w:spacing w:before="0" w:beforeAutospacing="0" w:after="0" w:afterAutospacing="0" w:line="36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12.1</w:t>
            </w:r>
          </w:p>
        </w:tc>
        <w:tc>
          <w:tcPr>
            <w:tcW w:w="3847" w:type="pct"/>
            <w:tcMar>
              <w:top w:w="0" w:type="dxa"/>
              <w:left w:w="70" w:type="dxa"/>
              <w:bottom w:w="0" w:type="dxa"/>
              <w:right w:w="70" w:type="dxa"/>
            </w:tcMar>
            <w:vAlign w:val="center"/>
          </w:tcPr>
          <w:p w14:paraId="7AE6D761">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本项目框架协议期限为自签订之日起</w:t>
            </w:r>
            <w:r>
              <w:rPr>
                <w:rFonts w:hint="eastAsia" w:ascii="宋体" w:hAnsi="宋体" w:cs="宋体"/>
                <w:color w:val="auto"/>
                <w:sz w:val="28"/>
                <w:szCs w:val="28"/>
                <w:highlight w:val="none"/>
                <w:lang w:val="en-US" w:eastAsia="zh-CN"/>
              </w:rPr>
              <w:t>一</w:t>
            </w:r>
            <w:r>
              <w:rPr>
                <w:rFonts w:hint="eastAsia" w:ascii="宋体" w:hAnsi="宋体" w:cs="宋体"/>
                <w:color w:val="auto"/>
                <w:sz w:val="28"/>
                <w:szCs w:val="28"/>
                <w:highlight w:val="none"/>
              </w:rPr>
              <w:t>年。</w:t>
            </w:r>
          </w:p>
        </w:tc>
      </w:tr>
      <w:tr w14:paraId="2BEE8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311" w:type="pct"/>
            <w:tcMar>
              <w:top w:w="0" w:type="dxa"/>
              <w:left w:w="70" w:type="dxa"/>
              <w:bottom w:w="0" w:type="dxa"/>
              <w:right w:w="70" w:type="dxa"/>
            </w:tcMar>
            <w:vAlign w:val="center"/>
          </w:tcPr>
          <w:p w14:paraId="48D6E018">
            <w:pPr>
              <w:pStyle w:val="12"/>
              <w:widowControl/>
              <w:wordWrap w:val="0"/>
              <w:spacing w:before="0" w:beforeAutospacing="0" w:after="0" w:afterAutospacing="0" w:line="360" w:lineRule="auto"/>
              <w:jc w:val="center"/>
              <w:rPr>
                <w:rFonts w:hint="eastAsia" w:ascii="宋体" w:hAnsi="宋体" w:cs="宋体"/>
                <w:color w:val="auto"/>
                <w:sz w:val="28"/>
                <w:szCs w:val="28"/>
                <w:highlight w:val="none"/>
              </w:rPr>
            </w:pPr>
          </w:p>
        </w:tc>
        <w:tc>
          <w:tcPr>
            <w:tcW w:w="770" w:type="pct"/>
            <w:tcMar>
              <w:top w:w="0" w:type="dxa"/>
              <w:left w:w="70" w:type="dxa"/>
              <w:bottom w:w="0" w:type="dxa"/>
              <w:right w:w="70" w:type="dxa"/>
            </w:tcMar>
            <w:vAlign w:val="center"/>
          </w:tcPr>
          <w:p w14:paraId="08B49EA7">
            <w:pPr>
              <w:pStyle w:val="12"/>
              <w:widowControl/>
              <w:spacing w:before="0" w:beforeAutospacing="0" w:after="0" w:afterAutospacing="0" w:line="36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12.2</w:t>
            </w:r>
          </w:p>
        </w:tc>
        <w:tc>
          <w:tcPr>
            <w:tcW w:w="3847" w:type="pct"/>
            <w:tcMar>
              <w:top w:w="0" w:type="dxa"/>
              <w:left w:w="70" w:type="dxa"/>
              <w:bottom w:w="0" w:type="dxa"/>
              <w:right w:w="70" w:type="dxa"/>
            </w:tcMar>
            <w:vAlign w:val="center"/>
          </w:tcPr>
          <w:p w14:paraId="6AA27DF5">
            <w:pPr>
              <w:pStyle w:val="12"/>
              <w:widowControl/>
              <w:wordWrap w:val="0"/>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本项目确定第二阶段</w:t>
            </w:r>
            <w:r>
              <w:rPr>
                <w:rFonts w:hint="eastAsia" w:ascii="宋体" w:hAnsi="宋体" w:cs="宋体"/>
                <w:color w:val="auto"/>
                <w:sz w:val="28"/>
                <w:szCs w:val="28"/>
                <w:highlight w:val="none"/>
                <w:lang w:val="en-US" w:eastAsia="zh-CN"/>
              </w:rPr>
              <w:t>成交</w:t>
            </w:r>
            <w:r>
              <w:rPr>
                <w:rFonts w:hint="eastAsia" w:ascii="宋体" w:hAnsi="宋体" w:cs="宋体"/>
                <w:color w:val="auto"/>
                <w:sz w:val="28"/>
                <w:szCs w:val="28"/>
                <w:highlight w:val="none"/>
                <w:lang w:eastAsia="zh-CN"/>
              </w:rPr>
              <w:t>供应商</w:t>
            </w:r>
            <w:r>
              <w:rPr>
                <w:rFonts w:hint="eastAsia" w:ascii="宋体" w:hAnsi="宋体" w:cs="宋体"/>
                <w:color w:val="auto"/>
                <w:sz w:val="28"/>
                <w:szCs w:val="28"/>
                <w:highlight w:val="none"/>
              </w:rPr>
              <w:t>的方式：</w:t>
            </w:r>
            <w:r>
              <w:rPr>
                <w:rFonts w:hint="eastAsia" w:ascii="宋体" w:hAnsi="宋体" w:cs="宋体"/>
                <w:color w:val="auto"/>
                <w:sz w:val="28"/>
                <w:szCs w:val="28"/>
                <w:highlight w:val="none"/>
                <w:lang w:val="en-US" w:eastAsia="zh-CN"/>
              </w:rPr>
              <w:t>直接选定。</w:t>
            </w:r>
          </w:p>
        </w:tc>
      </w:tr>
      <w:tr w14:paraId="6A8F0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311" w:type="pct"/>
            <w:tcMar>
              <w:top w:w="50" w:type="dxa"/>
              <w:left w:w="100" w:type="dxa"/>
              <w:bottom w:w="50" w:type="dxa"/>
              <w:right w:w="100" w:type="dxa"/>
            </w:tcMar>
            <w:vAlign w:val="center"/>
          </w:tcPr>
          <w:p w14:paraId="0DC28ABC">
            <w:pPr>
              <w:pStyle w:val="12"/>
              <w:widowControl/>
              <w:wordWrap w:val="0"/>
              <w:spacing w:before="0" w:beforeAutospacing="0" w:after="0" w:afterAutospacing="0" w:line="36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6</w:t>
            </w:r>
          </w:p>
        </w:tc>
        <w:tc>
          <w:tcPr>
            <w:tcW w:w="770" w:type="pct"/>
            <w:tcMar>
              <w:top w:w="50" w:type="dxa"/>
              <w:left w:w="100" w:type="dxa"/>
              <w:bottom w:w="50" w:type="dxa"/>
              <w:right w:w="100" w:type="dxa"/>
            </w:tcMar>
            <w:vAlign w:val="center"/>
          </w:tcPr>
          <w:p w14:paraId="445DC94C">
            <w:pPr>
              <w:pStyle w:val="12"/>
              <w:widowControl/>
              <w:wordWrap w:val="0"/>
              <w:spacing w:before="0" w:beforeAutospacing="0" w:after="0" w:afterAutospacing="0" w:line="36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12.3</w:t>
            </w:r>
          </w:p>
        </w:tc>
        <w:tc>
          <w:tcPr>
            <w:tcW w:w="3847" w:type="pct"/>
            <w:tcMar>
              <w:top w:w="50" w:type="dxa"/>
              <w:left w:w="100" w:type="dxa"/>
              <w:bottom w:w="50" w:type="dxa"/>
              <w:right w:w="100" w:type="dxa"/>
            </w:tcMar>
            <w:vAlign w:val="center"/>
          </w:tcPr>
          <w:p w14:paraId="11BAD0C3">
            <w:pPr>
              <w:pStyle w:val="12"/>
              <w:widowControl/>
              <w:wordWrap w:val="0"/>
              <w:spacing w:before="0" w:beforeAutospacing="0" w:after="0" w:afterAutospacing="0" w:line="360" w:lineRule="auto"/>
              <w:rPr>
                <w:rFonts w:hint="eastAsia" w:ascii="宋体" w:hAnsi="宋体" w:cs="宋体"/>
                <w:color w:val="auto"/>
                <w:sz w:val="28"/>
                <w:szCs w:val="28"/>
                <w:highlight w:val="none"/>
              </w:rPr>
            </w:pPr>
            <w:r>
              <w:rPr>
                <w:rStyle w:val="17"/>
                <w:rFonts w:hint="eastAsia" w:ascii="宋体" w:hAnsi="宋体" w:cs="宋体"/>
                <w:color w:val="auto"/>
                <w:sz w:val="28"/>
                <w:szCs w:val="28"/>
                <w:highlight w:val="none"/>
              </w:rPr>
              <w:t>本项目入围供应商的确定（以采购包为单位）：</w:t>
            </w:r>
          </w:p>
          <w:p w14:paraId="6FCDD5F1">
            <w:pPr>
              <w:pStyle w:val="12"/>
              <w:widowControl/>
              <w:wordWrap w:val="0"/>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w:t>
            </w:r>
            <w:r>
              <w:rPr>
                <w:rFonts w:hint="eastAsia" w:ascii="宋体" w:hAnsi="宋体" w:cs="宋体"/>
                <w:color w:val="auto"/>
                <w:sz w:val="28"/>
                <w:szCs w:val="28"/>
                <w:highlight w:val="none"/>
                <w:lang w:val="en-US" w:eastAsia="zh-CN"/>
              </w:rPr>
              <w:t>征集</w:t>
            </w:r>
            <w:r>
              <w:rPr>
                <w:rFonts w:hint="eastAsia" w:ascii="宋体" w:hAnsi="宋体" w:cs="宋体"/>
                <w:color w:val="auto"/>
                <w:sz w:val="28"/>
                <w:szCs w:val="28"/>
                <w:highlight w:val="none"/>
              </w:rPr>
              <w:t>人应在政府采购招投标管理办法规定的时限内确定入围供应商。</w:t>
            </w:r>
          </w:p>
          <w:p w14:paraId="4579FBC6">
            <w:pPr>
              <w:pStyle w:val="12"/>
              <w:widowControl/>
              <w:wordWrap w:val="0"/>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（2）若出现入围供应商并列情形，则按照下列方式确定入围供应商：</w:t>
            </w:r>
          </w:p>
          <w:p w14:paraId="41EACEE4">
            <w:pPr>
              <w:pStyle w:val="12"/>
              <w:widowControl/>
              <w:wordWrap w:val="0"/>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①征集文件规定的方式：由评标委员会进行投票表决。</w:t>
            </w:r>
          </w:p>
          <w:p w14:paraId="2F327406">
            <w:pPr>
              <w:pStyle w:val="12"/>
              <w:widowControl/>
              <w:wordWrap w:val="0"/>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②若本款第①点规定方式为“无”，则按照下列方式确定：无。</w:t>
            </w:r>
          </w:p>
          <w:p w14:paraId="193974FB">
            <w:pPr>
              <w:pStyle w:val="12"/>
              <w:widowControl/>
              <w:wordWrap w:val="0"/>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③若本款第①、②点规定方式均为“无”，则按照下列方式确定：随机抽取。</w:t>
            </w:r>
          </w:p>
          <w:p w14:paraId="60082A27">
            <w:pPr>
              <w:pStyle w:val="12"/>
              <w:widowControl/>
              <w:wordWrap w:val="0"/>
              <w:spacing w:before="0" w:beforeAutospacing="0" w:after="0" w:afterAutospacing="0" w:line="360" w:lineRule="auto"/>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rPr>
              <w:t>（3）本项目</w:t>
            </w:r>
            <w:r>
              <w:rPr>
                <w:rFonts w:hint="eastAsia" w:ascii="宋体" w:hAnsi="宋体" w:cs="宋体"/>
                <w:color w:val="auto"/>
                <w:sz w:val="28"/>
                <w:szCs w:val="28"/>
                <w:highlight w:val="none"/>
                <w:lang w:val="en-US" w:eastAsia="zh-CN"/>
              </w:rPr>
              <w:t>采购包1、2的淘汰率为20%，入围供应商数量为提交响应文件且符合资格条件和实质性要求的供应商数量减去淘汰供应商数量。淘汰供应商数量确定方式如下：</w:t>
            </w:r>
          </w:p>
          <w:p w14:paraId="3121536A">
            <w:pPr>
              <w:pStyle w:val="12"/>
              <w:widowControl/>
              <w:wordWrap w:val="0"/>
              <w:spacing w:before="0" w:beforeAutospacing="0" w:after="0" w:afterAutospacing="0" w:line="360" w:lineRule="auto"/>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①通过符合资格条件、实质性要求的供应商仅为2家时，淘汰供应商数量为1家；</w:t>
            </w:r>
          </w:p>
          <w:p w14:paraId="751BABA1">
            <w:pPr>
              <w:pStyle w:val="12"/>
              <w:widowControl/>
              <w:wordWrap w:val="0"/>
              <w:spacing w:before="0" w:beforeAutospacing="0" w:after="0" w:afterAutospacing="0" w:line="360" w:lineRule="auto"/>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②通过符合资格条件、实质性要求的供应商大于2家时，按上述淘汰比例淘汰供应商，淘汰数量计算结果为非整数时向上取整。</w:t>
            </w:r>
          </w:p>
          <w:p w14:paraId="0139CBD7">
            <w:pPr>
              <w:pStyle w:val="12"/>
              <w:widowControl/>
              <w:wordWrap w:val="0"/>
              <w:spacing w:before="0" w:beforeAutospacing="0" w:after="0" w:afterAutospacing="0" w:line="360" w:lineRule="auto"/>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举例：通过符合资格条件、实质性要求的供应商数量为6家，淘汰率为20%，淘汰供应商数量为2家（6*20%=1.2，向上取整为2），入围供应商数量为4家。</w:t>
            </w:r>
          </w:p>
        </w:tc>
      </w:tr>
      <w:tr w14:paraId="0395F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311" w:type="pct"/>
            <w:vAlign w:val="center"/>
          </w:tcPr>
          <w:p w14:paraId="73F655CB">
            <w:pPr>
              <w:widowControl/>
              <w:wordWrap w:val="0"/>
              <w:spacing w:line="360" w:lineRule="auto"/>
              <w:jc w:val="center"/>
              <w:rPr>
                <w:rFonts w:hint="eastAsia" w:ascii="宋体" w:hAnsi="宋体" w:cs="宋体"/>
                <w:color w:val="auto"/>
                <w:sz w:val="28"/>
                <w:szCs w:val="28"/>
                <w:highlight w:val="none"/>
              </w:rPr>
            </w:pPr>
            <w:r>
              <w:rPr>
                <w:rFonts w:hint="eastAsia" w:ascii="宋体" w:hAnsi="宋体" w:cs="宋体"/>
                <w:color w:val="auto"/>
                <w:kern w:val="0"/>
                <w:sz w:val="28"/>
                <w:szCs w:val="28"/>
                <w:highlight w:val="none"/>
              </w:rPr>
              <w:t>7</w:t>
            </w:r>
          </w:p>
        </w:tc>
        <w:tc>
          <w:tcPr>
            <w:tcW w:w="770" w:type="pct"/>
            <w:vAlign w:val="center"/>
          </w:tcPr>
          <w:p w14:paraId="6CAE95B4">
            <w:pPr>
              <w:widowControl/>
              <w:wordWrap w:val="0"/>
              <w:spacing w:line="360" w:lineRule="auto"/>
              <w:jc w:val="center"/>
              <w:rPr>
                <w:rFonts w:hint="eastAsia" w:ascii="宋体" w:hAnsi="宋体" w:cs="宋体"/>
                <w:color w:val="auto"/>
                <w:sz w:val="28"/>
                <w:szCs w:val="28"/>
                <w:highlight w:val="none"/>
              </w:rPr>
            </w:pPr>
            <w:r>
              <w:rPr>
                <w:rFonts w:hint="eastAsia" w:ascii="宋体" w:hAnsi="宋体" w:cs="宋体"/>
                <w:color w:val="auto"/>
                <w:kern w:val="0"/>
                <w:sz w:val="28"/>
                <w:szCs w:val="28"/>
                <w:highlight w:val="none"/>
              </w:rPr>
              <w:t>13.2</w:t>
            </w:r>
          </w:p>
        </w:tc>
        <w:tc>
          <w:tcPr>
            <w:tcW w:w="3847" w:type="pct"/>
          </w:tcPr>
          <w:p w14:paraId="6820F3F1">
            <w:pPr>
              <w:widowControl/>
              <w:wordWrap w:val="0"/>
              <w:spacing w:line="360" w:lineRule="auto"/>
              <w:jc w:val="left"/>
              <w:rPr>
                <w:rFonts w:hint="eastAsia" w:ascii="宋体" w:hAnsi="宋体" w:cs="宋体"/>
                <w:color w:val="auto"/>
                <w:sz w:val="28"/>
                <w:szCs w:val="28"/>
                <w:highlight w:val="none"/>
              </w:rPr>
            </w:pPr>
            <w:r>
              <w:rPr>
                <w:rStyle w:val="17"/>
                <w:rFonts w:hint="eastAsia" w:ascii="宋体" w:hAnsi="宋体" w:cs="宋体"/>
                <w:color w:val="auto"/>
                <w:kern w:val="0"/>
                <w:sz w:val="28"/>
                <w:szCs w:val="28"/>
                <w:highlight w:val="none"/>
                <w:lang w:val="en-US"/>
              </w:rPr>
              <w:t>协议</w:t>
            </w:r>
            <w:r>
              <w:rPr>
                <w:rStyle w:val="17"/>
                <w:rFonts w:hint="eastAsia" w:ascii="宋体" w:hAnsi="宋体" w:cs="宋体"/>
                <w:color w:val="auto"/>
                <w:kern w:val="0"/>
                <w:sz w:val="28"/>
                <w:szCs w:val="28"/>
                <w:highlight w:val="none"/>
              </w:rPr>
              <w:t>签订时限：自入围通知发出之日起</w:t>
            </w:r>
            <w:r>
              <w:rPr>
                <w:rStyle w:val="17"/>
                <w:rFonts w:hint="eastAsia" w:ascii="宋体" w:hAnsi="宋体" w:cs="宋体"/>
                <w:color w:val="auto"/>
                <w:kern w:val="0"/>
                <w:sz w:val="28"/>
                <w:szCs w:val="28"/>
                <w:highlight w:val="none"/>
                <w:lang w:val="en-US"/>
              </w:rPr>
              <w:t>3</w:t>
            </w:r>
            <w:r>
              <w:rPr>
                <w:rStyle w:val="17"/>
                <w:rFonts w:hint="eastAsia" w:ascii="宋体" w:hAnsi="宋体" w:cs="宋体"/>
                <w:color w:val="auto"/>
                <w:kern w:val="0"/>
                <w:sz w:val="28"/>
                <w:szCs w:val="28"/>
                <w:highlight w:val="none"/>
              </w:rPr>
              <w:t>0个日历日内。</w:t>
            </w:r>
          </w:p>
        </w:tc>
      </w:tr>
      <w:tr w14:paraId="4CD76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311" w:type="pct"/>
            <w:tcMar>
              <w:top w:w="0" w:type="dxa"/>
              <w:left w:w="70" w:type="dxa"/>
              <w:bottom w:w="0" w:type="dxa"/>
              <w:right w:w="70" w:type="dxa"/>
            </w:tcMar>
            <w:vAlign w:val="center"/>
          </w:tcPr>
          <w:p w14:paraId="2A187556">
            <w:pPr>
              <w:pStyle w:val="12"/>
              <w:widowControl/>
              <w:wordWrap w:val="0"/>
              <w:spacing w:before="0" w:beforeAutospacing="0" w:after="0" w:afterAutospacing="0" w:line="36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8</w:t>
            </w:r>
          </w:p>
        </w:tc>
        <w:tc>
          <w:tcPr>
            <w:tcW w:w="770" w:type="pct"/>
            <w:tcMar>
              <w:top w:w="0" w:type="dxa"/>
              <w:left w:w="70" w:type="dxa"/>
              <w:bottom w:w="0" w:type="dxa"/>
              <w:right w:w="70" w:type="dxa"/>
            </w:tcMar>
            <w:vAlign w:val="center"/>
          </w:tcPr>
          <w:p w14:paraId="1CFE5AF4">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 15.1-（2）</w:t>
            </w:r>
          </w:p>
        </w:tc>
        <w:tc>
          <w:tcPr>
            <w:tcW w:w="3847" w:type="pct"/>
            <w:tcMar>
              <w:top w:w="0" w:type="dxa"/>
              <w:left w:w="70" w:type="dxa"/>
              <w:bottom w:w="0" w:type="dxa"/>
              <w:right w:w="70" w:type="dxa"/>
            </w:tcMar>
            <w:vAlign w:val="center"/>
          </w:tcPr>
          <w:p w14:paraId="5C62C41F">
            <w:pPr>
              <w:widowControl/>
              <w:spacing w:line="360" w:lineRule="auto"/>
              <w:jc w:val="left"/>
              <w:rPr>
                <w:rStyle w:val="17"/>
                <w:rFonts w:hint="eastAsia" w:ascii="宋体" w:hAnsi="宋体" w:cs="宋体"/>
                <w:color w:val="auto"/>
                <w:sz w:val="28"/>
                <w:szCs w:val="28"/>
                <w:highlight w:val="none"/>
              </w:rPr>
            </w:pPr>
            <w:r>
              <w:rPr>
                <w:rStyle w:val="17"/>
                <w:rFonts w:hint="eastAsia" w:ascii="宋体" w:hAnsi="宋体" w:cs="宋体"/>
                <w:color w:val="auto"/>
                <w:sz w:val="28"/>
                <w:szCs w:val="28"/>
                <w:highlight w:val="none"/>
              </w:rPr>
              <w:t>质疑函原件应采用下列方式之一提交：（1）邮件形式：将质疑函原件扫描发送至邮箱：邮箱</w:t>
            </w:r>
            <w:r>
              <w:rPr>
                <w:rStyle w:val="17"/>
                <w:rFonts w:hint="eastAsia" w:ascii="宋体" w:hAnsi="宋体" w:cs="宋体"/>
                <w:color w:val="auto"/>
                <w:szCs w:val="28"/>
                <w:highlight w:val="none"/>
              </w:rPr>
              <w:t>lmf@iport.com.cn</w:t>
            </w:r>
            <w:r>
              <w:rPr>
                <w:rStyle w:val="17"/>
                <w:rFonts w:hint="eastAsia" w:ascii="宋体" w:hAnsi="宋体" w:cs="宋体"/>
                <w:color w:val="auto"/>
                <w:sz w:val="28"/>
                <w:szCs w:val="28"/>
                <w:highlight w:val="none"/>
              </w:rPr>
              <w:t>收到质疑函的时间以邮箱显示的收到时间为准。质疑答复过程中需要核对原件的，质疑人应提供原件核查，否则相关资料可能不被认可。（2）快递形式：将质疑函原件快递至厦门市湖里区机场北路476号4楼，收件人：电话</w:t>
            </w:r>
            <w:r>
              <w:rPr>
                <w:rStyle w:val="17"/>
                <w:rFonts w:hint="eastAsia" w:ascii="宋体" w:hAnsi="宋体" w:cs="宋体"/>
                <w:color w:val="auto"/>
                <w:szCs w:val="28"/>
                <w:highlight w:val="none"/>
              </w:rPr>
              <w:t>0592-2218761</w:t>
            </w:r>
            <w:r>
              <w:rPr>
                <w:rStyle w:val="17"/>
                <w:rFonts w:hint="eastAsia" w:ascii="宋体" w:hAnsi="宋体" w:cs="宋体"/>
                <w:color w:val="auto"/>
                <w:sz w:val="28"/>
                <w:szCs w:val="28"/>
                <w:highlight w:val="none"/>
              </w:rPr>
              <w:t>，传真0592-5706660-6969。收到质疑函的时间以快递签收时间为准。（3）现场送达：将质疑函原件现场送至厦门市湖里区机场北路476号4楼经办人手中。收到质疑函的时间以前台签收时间为准。</w:t>
            </w:r>
          </w:p>
          <w:p w14:paraId="70AE7AA6">
            <w:pPr>
              <w:widowControl/>
              <w:wordWrap w:val="0"/>
              <w:spacing w:line="360" w:lineRule="auto"/>
              <w:jc w:val="left"/>
              <w:rPr>
                <w:rFonts w:hint="eastAsia" w:ascii="宋体" w:hAnsi="宋体" w:cs="宋体"/>
                <w:color w:val="auto"/>
                <w:sz w:val="28"/>
                <w:szCs w:val="28"/>
                <w:highlight w:val="none"/>
              </w:rPr>
            </w:pPr>
            <w:r>
              <w:rPr>
                <w:rStyle w:val="17"/>
                <w:rFonts w:hint="eastAsia" w:ascii="宋体" w:hAnsi="宋体" w:cs="宋体"/>
                <w:color w:val="auto"/>
                <w:sz w:val="28"/>
                <w:szCs w:val="28"/>
                <w:highlight w:val="none"/>
              </w:rPr>
              <w:t>注：质疑函须符合第三章第15条质疑的要求。</w:t>
            </w:r>
          </w:p>
        </w:tc>
      </w:tr>
      <w:tr w14:paraId="68940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311" w:type="pct"/>
            <w:tcMar>
              <w:top w:w="0" w:type="dxa"/>
              <w:left w:w="70" w:type="dxa"/>
              <w:bottom w:w="0" w:type="dxa"/>
              <w:right w:w="70" w:type="dxa"/>
            </w:tcMar>
            <w:vAlign w:val="center"/>
          </w:tcPr>
          <w:p w14:paraId="5EF60223">
            <w:pPr>
              <w:pStyle w:val="12"/>
              <w:widowControl/>
              <w:wordWrap w:val="0"/>
              <w:spacing w:before="0" w:beforeAutospacing="0" w:after="0" w:afterAutospacing="0" w:line="36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9</w:t>
            </w:r>
          </w:p>
        </w:tc>
        <w:tc>
          <w:tcPr>
            <w:tcW w:w="770" w:type="pct"/>
            <w:tcMar>
              <w:top w:w="0" w:type="dxa"/>
              <w:left w:w="70" w:type="dxa"/>
              <w:bottom w:w="0" w:type="dxa"/>
              <w:right w:w="70" w:type="dxa"/>
            </w:tcMar>
            <w:vAlign w:val="center"/>
          </w:tcPr>
          <w:p w14:paraId="57DB3BFB">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 </w:t>
            </w:r>
          </w:p>
          <w:p w14:paraId="2EBEB213">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   15.4</w:t>
            </w:r>
          </w:p>
          <w:p w14:paraId="1E1D59BB">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 </w:t>
            </w:r>
          </w:p>
          <w:p w14:paraId="42FBF05A">
            <w:pPr>
              <w:pStyle w:val="12"/>
              <w:widowControl/>
              <w:spacing w:before="0" w:beforeAutospacing="0" w:after="0" w:afterAutospacing="0" w:line="36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 </w:t>
            </w:r>
          </w:p>
        </w:tc>
        <w:tc>
          <w:tcPr>
            <w:tcW w:w="3847" w:type="pct"/>
            <w:tcMar>
              <w:top w:w="0" w:type="dxa"/>
              <w:left w:w="70" w:type="dxa"/>
              <w:bottom w:w="0" w:type="dxa"/>
              <w:right w:w="70" w:type="dxa"/>
            </w:tcMar>
            <w:vAlign w:val="center"/>
          </w:tcPr>
          <w:p w14:paraId="74AC15A8">
            <w:pPr>
              <w:pStyle w:val="12"/>
              <w:widowControl/>
              <w:wordWrap w:val="0"/>
              <w:spacing w:before="0" w:beforeAutospacing="0" w:after="0" w:afterAutospacing="0" w:line="360" w:lineRule="auto"/>
              <w:rPr>
                <w:rFonts w:hint="eastAsia" w:ascii="宋体" w:hAnsi="宋体" w:cs="宋体"/>
                <w:color w:val="auto"/>
                <w:sz w:val="28"/>
                <w:szCs w:val="28"/>
                <w:highlight w:val="none"/>
              </w:rPr>
            </w:pPr>
            <w:r>
              <w:rPr>
                <w:rStyle w:val="17"/>
                <w:rFonts w:hint="eastAsia" w:ascii="宋体" w:hAnsi="宋体" w:cs="宋体"/>
                <w:color w:val="auto"/>
                <w:sz w:val="28"/>
                <w:szCs w:val="28"/>
                <w:highlight w:val="none"/>
              </w:rPr>
              <w:t>征集文件的质疑</w:t>
            </w:r>
          </w:p>
          <w:p w14:paraId="2328A7D2">
            <w:pPr>
              <w:pStyle w:val="12"/>
              <w:widowControl/>
              <w:wordWrap w:val="0"/>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（1）潜在投标人可在质疑时效期间内对征集文件以书面形式提出质疑。</w:t>
            </w:r>
          </w:p>
          <w:p w14:paraId="22BBA913">
            <w:pPr>
              <w:pStyle w:val="12"/>
              <w:widowControl/>
              <w:wordWrap w:val="0"/>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（2）质疑时效期间：应在依法获取征集文件之日起7个工作日内向厦门万翔招标有限公司提出，依法获取征集文件的时间以厦门万翔招标有限公司记载的为准。</w:t>
            </w:r>
          </w:p>
          <w:p w14:paraId="5A0E6CD0">
            <w:pPr>
              <w:pStyle w:val="12"/>
              <w:widowControl/>
              <w:wordWrap w:val="0"/>
              <w:spacing w:before="0" w:beforeAutospacing="0" w:after="0" w:afterAutospacing="0" w:line="360" w:lineRule="auto"/>
              <w:rPr>
                <w:rFonts w:hint="eastAsia" w:ascii="宋体" w:hAnsi="宋体" w:cs="宋体"/>
                <w:color w:val="auto"/>
                <w:sz w:val="28"/>
                <w:szCs w:val="28"/>
                <w:highlight w:val="none"/>
              </w:rPr>
            </w:pPr>
            <w:r>
              <w:rPr>
                <w:rStyle w:val="17"/>
                <w:rFonts w:hint="eastAsia" w:ascii="宋体" w:hAnsi="宋体" w:cs="宋体"/>
                <w:color w:val="auto"/>
                <w:sz w:val="28"/>
                <w:szCs w:val="28"/>
                <w:highlight w:val="none"/>
              </w:rPr>
              <w:t>※除上述规定外，对征集文件提出的质疑还应符合征集文件第三章第15.1条的有关规定。</w:t>
            </w:r>
          </w:p>
        </w:tc>
      </w:tr>
      <w:tr w14:paraId="6EF05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311" w:type="pct"/>
            <w:tcMar>
              <w:top w:w="0" w:type="dxa"/>
              <w:left w:w="70" w:type="dxa"/>
              <w:bottom w:w="0" w:type="dxa"/>
              <w:right w:w="70" w:type="dxa"/>
            </w:tcMar>
            <w:vAlign w:val="center"/>
          </w:tcPr>
          <w:p w14:paraId="29564CBD">
            <w:pPr>
              <w:pStyle w:val="12"/>
              <w:widowControl/>
              <w:wordWrap w:val="0"/>
              <w:spacing w:before="0" w:beforeAutospacing="0" w:after="0" w:afterAutospacing="0" w:line="36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10</w:t>
            </w:r>
          </w:p>
        </w:tc>
        <w:tc>
          <w:tcPr>
            <w:tcW w:w="770" w:type="pct"/>
            <w:tcMar>
              <w:top w:w="0" w:type="dxa"/>
              <w:left w:w="70" w:type="dxa"/>
              <w:bottom w:w="0" w:type="dxa"/>
              <w:right w:w="70" w:type="dxa"/>
            </w:tcMar>
            <w:vAlign w:val="center"/>
          </w:tcPr>
          <w:p w14:paraId="5DB2F5E8">
            <w:pPr>
              <w:pStyle w:val="12"/>
              <w:widowControl/>
              <w:spacing w:before="0" w:beforeAutospacing="0" w:after="0" w:afterAutospacing="0" w:line="36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16.1</w:t>
            </w:r>
          </w:p>
        </w:tc>
        <w:tc>
          <w:tcPr>
            <w:tcW w:w="3847" w:type="pct"/>
            <w:tcMar>
              <w:top w:w="0" w:type="dxa"/>
              <w:left w:w="70" w:type="dxa"/>
              <w:bottom w:w="0" w:type="dxa"/>
              <w:right w:w="70" w:type="dxa"/>
            </w:tcMar>
            <w:vAlign w:val="center"/>
          </w:tcPr>
          <w:p w14:paraId="10C38474">
            <w:pPr>
              <w:pStyle w:val="12"/>
              <w:widowControl/>
              <w:spacing w:before="0" w:beforeAutospacing="0" w:after="0" w:afterAutospacing="0" w:line="360" w:lineRule="auto"/>
              <w:rPr>
                <w:rFonts w:hint="eastAsia" w:ascii="宋体" w:hAnsi="宋体" w:cs="宋体"/>
                <w:color w:val="auto"/>
                <w:sz w:val="28"/>
                <w:szCs w:val="28"/>
                <w:highlight w:val="none"/>
              </w:rPr>
            </w:pPr>
            <w:r>
              <w:rPr>
                <w:rStyle w:val="17"/>
                <w:rFonts w:hint="eastAsia" w:ascii="宋体" w:hAnsi="宋体" w:cs="宋体"/>
                <w:color w:val="auto"/>
                <w:sz w:val="28"/>
                <w:szCs w:val="28"/>
                <w:highlight w:val="none"/>
              </w:rPr>
              <w:t>监督管理部门：</w:t>
            </w:r>
            <w:r>
              <w:rPr>
                <w:rFonts w:hint="eastAsia" w:ascii="宋体" w:hAnsi="宋体" w:cs="宋体"/>
                <w:color w:val="auto"/>
                <w:sz w:val="28"/>
                <w:szCs w:val="28"/>
                <w:highlight w:val="none"/>
              </w:rPr>
              <w:t>厦门市财政局</w:t>
            </w:r>
            <w:r>
              <w:rPr>
                <w:rFonts w:hint="default" w:ascii="宋体" w:hAnsi="宋体" w:cs="宋体"/>
                <w:color w:val="auto"/>
                <w:sz w:val="28"/>
                <w:szCs w:val="28"/>
                <w:highlight w:val="none"/>
              </w:rPr>
              <w:t>0592-2858291</w:t>
            </w:r>
            <w:r>
              <w:rPr>
                <w:rStyle w:val="17"/>
                <w:rFonts w:hint="eastAsia" w:ascii="宋体" w:hAnsi="宋体" w:cs="宋体"/>
                <w:color w:val="auto"/>
                <w:sz w:val="28"/>
                <w:szCs w:val="28"/>
                <w:highlight w:val="none"/>
              </w:rPr>
              <w:t>（仅限依法进行政府采购的货物或服务类项目）</w:t>
            </w:r>
            <w:r>
              <w:rPr>
                <w:rFonts w:hint="eastAsia" w:ascii="宋体" w:hAnsi="宋体" w:cs="宋体"/>
                <w:color w:val="auto"/>
                <w:sz w:val="28"/>
                <w:szCs w:val="28"/>
                <w:highlight w:val="none"/>
              </w:rPr>
              <w:t>。</w:t>
            </w:r>
          </w:p>
        </w:tc>
      </w:tr>
      <w:tr w14:paraId="5BB68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311" w:type="pct"/>
            <w:tcMar>
              <w:top w:w="0" w:type="dxa"/>
              <w:left w:w="70" w:type="dxa"/>
              <w:bottom w:w="0" w:type="dxa"/>
              <w:right w:w="70" w:type="dxa"/>
            </w:tcMar>
            <w:vAlign w:val="center"/>
          </w:tcPr>
          <w:p w14:paraId="50C79EEC">
            <w:pPr>
              <w:pStyle w:val="12"/>
              <w:widowControl/>
              <w:wordWrap w:val="0"/>
              <w:spacing w:before="0" w:beforeAutospacing="0" w:after="0" w:afterAutospacing="0" w:line="36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11</w:t>
            </w:r>
          </w:p>
        </w:tc>
        <w:tc>
          <w:tcPr>
            <w:tcW w:w="770" w:type="pct"/>
            <w:tcMar>
              <w:top w:w="0" w:type="dxa"/>
              <w:left w:w="70" w:type="dxa"/>
              <w:bottom w:w="0" w:type="dxa"/>
              <w:right w:w="70" w:type="dxa"/>
            </w:tcMar>
            <w:vAlign w:val="center"/>
          </w:tcPr>
          <w:p w14:paraId="353D317C">
            <w:pPr>
              <w:pStyle w:val="12"/>
              <w:widowControl/>
              <w:spacing w:before="0" w:beforeAutospacing="0" w:after="0" w:afterAutospacing="0" w:line="36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18.1</w:t>
            </w:r>
          </w:p>
        </w:tc>
        <w:tc>
          <w:tcPr>
            <w:tcW w:w="3847" w:type="pct"/>
            <w:tcMar>
              <w:top w:w="0" w:type="dxa"/>
              <w:left w:w="70" w:type="dxa"/>
              <w:bottom w:w="0" w:type="dxa"/>
              <w:right w:w="70" w:type="dxa"/>
            </w:tcMar>
            <w:vAlign w:val="center"/>
          </w:tcPr>
          <w:p w14:paraId="74E1D05E">
            <w:pPr>
              <w:pStyle w:val="12"/>
              <w:widowControl/>
              <w:wordWrap w:val="0"/>
              <w:spacing w:before="0" w:beforeAutospacing="0" w:after="0" w:afterAutospacing="0" w:line="360" w:lineRule="auto"/>
              <w:rPr>
                <w:rFonts w:hint="eastAsia" w:ascii="宋体" w:hAnsi="宋体" w:cs="宋体"/>
                <w:color w:val="auto"/>
                <w:sz w:val="28"/>
                <w:szCs w:val="28"/>
                <w:highlight w:val="none"/>
              </w:rPr>
            </w:pPr>
            <w:r>
              <w:rPr>
                <w:rStyle w:val="17"/>
                <w:rFonts w:hint="eastAsia" w:ascii="宋体" w:hAnsi="宋体" w:cs="宋体"/>
                <w:color w:val="auto"/>
                <w:sz w:val="28"/>
                <w:szCs w:val="28"/>
                <w:highlight w:val="none"/>
              </w:rPr>
              <w:t>财政部和福建省财政厅指定的政府采购信息发布媒体（以下简称：“指定媒体”）：</w:t>
            </w:r>
          </w:p>
          <w:p w14:paraId="17034CCF">
            <w:pPr>
              <w:pStyle w:val="12"/>
              <w:widowControl/>
              <w:wordWrap w:val="0"/>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（1）中国政府采购网福建分网（福建省政府采购网），网址zfcg.czt.fujian.gov.cn。</w:t>
            </w:r>
          </w:p>
          <w:p w14:paraId="115211F5">
            <w:pPr>
              <w:pStyle w:val="12"/>
              <w:widowControl/>
              <w:wordWrap w:val="0"/>
              <w:spacing w:before="0" w:beforeAutospacing="0" w:after="0" w:afterAutospacing="0" w:line="360" w:lineRule="auto"/>
              <w:rPr>
                <w:rFonts w:hint="eastAsia" w:ascii="宋体" w:hAnsi="宋体" w:cs="宋体"/>
                <w:color w:val="auto"/>
                <w:sz w:val="28"/>
                <w:szCs w:val="28"/>
                <w:highlight w:val="none"/>
              </w:rPr>
            </w:pPr>
            <w:r>
              <w:rPr>
                <w:rStyle w:val="17"/>
                <w:rFonts w:hint="eastAsia" w:ascii="宋体" w:hAnsi="宋体" w:cs="宋体"/>
                <w:color w:val="auto"/>
                <w:sz w:val="28"/>
                <w:szCs w:val="28"/>
                <w:highlight w:val="none"/>
              </w:rPr>
              <w:t>※若出现上述指定媒体信息不一致情形，应以中国政府采购网福建分网（福建省政府采购网）发布的为准。</w:t>
            </w:r>
          </w:p>
        </w:tc>
      </w:tr>
      <w:tr w14:paraId="5715D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311" w:type="pct"/>
            <w:tcMar>
              <w:top w:w="0" w:type="dxa"/>
              <w:left w:w="70" w:type="dxa"/>
              <w:bottom w:w="0" w:type="dxa"/>
              <w:right w:w="70" w:type="dxa"/>
            </w:tcMar>
            <w:vAlign w:val="center"/>
          </w:tcPr>
          <w:p w14:paraId="3002B95B">
            <w:pPr>
              <w:pStyle w:val="12"/>
              <w:widowControl/>
              <w:wordWrap w:val="0"/>
              <w:spacing w:before="0" w:beforeAutospacing="0" w:after="0" w:afterAutospacing="0" w:line="36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12</w:t>
            </w:r>
          </w:p>
        </w:tc>
        <w:tc>
          <w:tcPr>
            <w:tcW w:w="770" w:type="pct"/>
            <w:tcMar>
              <w:top w:w="0" w:type="dxa"/>
              <w:left w:w="70" w:type="dxa"/>
              <w:bottom w:w="0" w:type="dxa"/>
              <w:right w:w="70" w:type="dxa"/>
            </w:tcMar>
            <w:vAlign w:val="center"/>
          </w:tcPr>
          <w:p w14:paraId="4A857677">
            <w:pPr>
              <w:pStyle w:val="12"/>
              <w:widowControl/>
              <w:spacing w:before="0" w:beforeAutospacing="0" w:after="0" w:afterAutospacing="0" w:line="36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19</w:t>
            </w:r>
          </w:p>
        </w:tc>
        <w:tc>
          <w:tcPr>
            <w:tcW w:w="3847" w:type="pct"/>
            <w:tcMar>
              <w:top w:w="0" w:type="dxa"/>
              <w:left w:w="70" w:type="dxa"/>
              <w:bottom w:w="0" w:type="dxa"/>
              <w:right w:w="70" w:type="dxa"/>
            </w:tcMar>
            <w:vAlign w:val="center"/>
          </w:tcPr>
          <w:p w14:paraId="0FACC4B1">
            <w:pPr>
              <w:widowControl/>
              <w:numPr>
                <w:ilvl w:val="0"/>
                <w:numId w:val="0"/>
              </w:numPr>
              <w:wordWrap w:val="0"/>
              <w:spacing w:before="0" w:beforeAutospacing="0" w:after="0" w:afterAutospacing="0" w:line="360" w:lineRule="auto"/>
              <w:rPr>
                <w:rFonts w:hint="eastAsia" w:ascii="宋体" w:hAnsi="宋体" w:cs="宋体"/>
                <w:color w:val="auto"/>
                <w:sz w:val="28"/>
                <w:szCs w:val="28"/>
                <w:highlight w:val="none"/>
              </w:rPr>
            </w:pPr>
            <w:r>
              <w:rPr>
                <w:rStyle w:val="17"/>
                <w:rFonts w:hint="eastAsia" w:ascii="宋体" w:hAnsi="宋体" w:cs="宋体"/>
                <w:color w:val="auto"/>
                <w:sz w:val="28"/>
                <w:szCs w:val="28"/>
                <w:highlight w:val="none"/>
              </w:rPr>
              <w:t>其他事项：</w:t>
            </w:r>
          </w:p>
          <w:p w14:paraId="355DFE5F">
            <w:pPr>
              <w:numPr>
                <w:ilvl w:val="-1"/>
                <w:numId w:val="0"/>
              </w:numPr>
              <w:spacing w:line="360" w:lineRule="auto"/>
              <w:rPr>
                <w:rFonts w:hint="eastAsia" w:ascii="宋体" w:hAnsi="宋体" w:cs="宋体"/>
                <w:color w:val="auto"/>
                <w:szCs w:val="28"/>
                <w:highlight w:val="none"/>
              </w:rPr>
            </w:pPr>
            <w:r>
              <w:rPr>
                <w:rStyle w:val="17"/>
                <w:rFonts w:hint="eastAsia" w:ascii="宋体" w:hAnsi="宋体" w:cs="宋体"/>
                <w:b w:val="0"/>
                <w:bCs/>
                <w:color w:val="auto"/>
                <w:sz w:val="28"/>
                <w:szCs w:val="28"/>
                <w:highlight w:val="none"/>
              </w:rPr>
              <w:t>(1)</w:t>
            </w:r>
            <w:r>
              <w:rPr>
                <w:rStyle w:val="17"/>
                <w:rFonts w:hint="eastAsia" w:ascii="宋体" w:hAnsi="宋体" w:cs="宋体"/>
                <w:b/>
                <w:bCs w:val="0"/>
                <w:color w:val="auto"/>
                <w:szCs w:val="28"/>
                <w:highlight w:val="none"/>
              </w:rPr>
              <w:t>本项目每个采购包代理服务费</w:t>
            </w:r>
            <w:r>
              <w:rPr>
                <w:rStyle w:val="17"/>
                <w:rFonts w:hint="eastAsia" w:ascii="宋体" w:hAnsi="宋体" w:cs="宋体"/>
                <w:bCs w:val="0"/>
                <w:color w:val="auto"/>
                <w:szCs w:val="28"/>
                <w:highlight w:val="none"/>
              </w:rPr>
              <w:t>由第二阶段授予采购合同的成交供应商支付。</w:t>
            </w:r>
            <w:r>
              <w:rPr>
                <w:rStyle w:val="17"/>
                <w:rFonts w:hint="eastAsia" w:ascii="宋体" w:hAnsi="宋体" w:cs="宋体"/>
                <w:color w:val="auto"/>
                <w:sz w:val="28"/>
                <w:szCs w:val="28"/>
                <w:highlight w:val="none"/>
              </w:rPr>
              <w:br w:type="textWrapping"/>
            </w:r>
            <w:r>
              <w:rPr>
                <w:rStyle w:val="17"/>
                <w:rFonts w:hint="eastAsia" w:ascii="宋体" w:hAnsi="宋体" w:cs="宋体"/>
                <w:b w:val="0"/>
                <w:bCs/>
                <w:color w:val="auto"/>
                <w:sz w:val="28"/>
                <w:szCs w:val="28"/>
                <w:highlight w:val="none"/>
              </w:rPr>
              <w:t>(2)</w:t>
            </w:r>
            <w:r>
              <w:rPr>
                <w:rFonts w:hint="eastAsia" w:ascii="宋体" w:hAnsi="宋体" w:eastAsia="宋体" w:cs="宋体"/>
                <w:color w:val="auto"/>
                <w:spacing w:val="0"/>
                <w:sz w:val="28"/>
                <w:szCs w:val="28"/>
                <w:highlight w:val="none"/>
              </w:rPr>
              <w:t>服务费收费标准：</w:t>
            </w:r>
            <w:r>
              <w:rPr>
                <w:rFonts w:hint="eastAsia" w:ascii="宋体" w:hAnsi="宋体" w:cs="宋体"/>
                <w:color w:val="auto"/>
                <w:szCs w:val="28"/>
                <w:highlight w:val="none"/>
              </w:rPr>
              <w:t>成交金额(万元)费率；[0―100]1.5%；（100－500]1.1%；（500-1000]0.8%；（1000-5000]0.5%；（5000-10000]0.25%；（10000-50000]0.05%；（50000-100000]0.035%。</w:t>
            </w:r>
          </w:p>
          <w:p w14:paraId="6717F058">
            <w:pPr>
              <w:numPr>
                <w:ilvl w:val="-1"/>
                <w:numId w:val="0"/>
              </w:numPr>
              <w:spacing w:line="360" w:lineRule="auto"/>
              <w:rPr>
                <w:rFonts w:hint="eastAsia" w:ascii="宋体" w:hAnsi="宋体" w:cs="宋体"/>
                <w:color w:val="auto"/>
                <w:szCs w:val="28"/>
                <w:highlight w:val="none"/>
              </w:rPr>
            </w:pPr>
            <w:r>
              <w:rPr>
                <w:rFonts w:hint="eastAsia" w:ascii="宋体" w:hAnsi="宋体" w:cs="宋体"/>
                <w:color w:val="auto"/>
                <w:szCs w:val="28"/>
                <w:highlight w:val="none"/>
              </w:rPr>
              <w:t>注：</w:t>
            </w:r>
          </w:p>
          <w:p w14:paraId="3462F921">
            <w:pPr>
              <w:numPr>
                <w:ilvl w:val="-1"/>
                <w:numId w:val="0"/>
              </w:numPr>
              <w:spacing w:line="360" w:lineRule="auto"/>
              <w:rPr>
                <w:rFonts w:hint="eastAsia" w:ascii="宋体" w:hAnsi="宋体" w:cs="宋体"/>
                <w:color w:val="auto"/>
                <w:szCs w:val="28"/>
                <w:highlight w:val="none"/>
              </w:rPr>
            </w:pPr>
            <w:r>
              <w:rPr>
                <w:rFonts w:hint="eastAsia" w:ascii="宋体" w:hAnsi="宋体" w:cs="宋体"/>
                <w:color w:val="auto"/>
                <w:szCs w:val="28"/>
                <w:highlight w:val="none"/>
              </w:rPr>
              <w:t>1、代理服务费的收取按差额定率累进法计算,由成交供应商支付。</w:t>
            </w:r>
          </w:p>
          <w:p w14:paraId="0170DD2C">
            <w:pPr>
              <w:numPr>
                <w:ilvl w:val="-1"/>
                <w:numId w:val="0"/>
              </w:numPr>
              <w:spacing w:line="360" w:lineRule="auto"/>
              <w:rPr>
                <w:rFonts w:hint="eastAsia" w:ascii="宋体" w:hAnsi="宋体" w:cs="宋体"/>
                <w:color w:val="auto"/>
                <w:szCs w:val="28"/>
                <w:highlight w:val="none"/>
              </w:rPr>
            </w:pPr>
            <w:r>
              <w:rPr>
                <w:rFonts w:hint="eastAsia" w:ascii="宋体" w:hAnsi="宋体" w:cs="宋体"/>
                <w:color w:val="auto"/>
                <w:szCs w:val="28"/>
                <w:highlight w:val="none"/>
              </w:rPr>
              <w:t>2、代理服务费按每批次《定货单》金额分别收取，定货单金额不予累加。成交供应商最迟在</w:t>
            </w:r>
            <w:r>
              <w:rPr>
                <w:rFonts w:hint="eastAsia" w:ascii="宋体" w:hAnsi="宋体" w:cs="宋体"/>
                <w:color w:val="auto"/>
                <w:szCs w:val="28"/>
                <w:highlight w:val="none"/>
                <w:lang w:eastAsia="zh-CN"/>
              </w:rPr>
              <w:t>征集人</w:t>
            </w:r>
            <w:r>
              <w:rPr>
                <w:rFonts w:hint="eastAsia" w:ascii="宋体" w:hAnsi="宋体" w:cs="宋体"/>
                <w:color w:val="auto"/>
                <w:szCs w:val="28"/>
                <w:highlight w:val="none"/>
              </w:rPr>
              <w:t>发出《定货单》之日起10个工作日内向采购代理机构以转账或汇款的方式缴交代理服务费。</w:t>
            </w:r>
          </w:p>
          <w:p w14:paraId="335DE8BC">
            <w:pPr>
              <w:numPr>
                <w:ilvl w:val="0"/>
                <w:numId w:val="0"/>
              </w:numPr>
              <w:spacing w:line="360" w:lineRule="auto"/>
              <w:rPr>
                <w:rFonts w:hint="eastAsia" w:ascii="宋体" w:hAnsi="宋体" w:cs="宋体"/>
                <w:color w:val="auto"/>
                <w:szCs w:val="28"/>
                <w:highlight w:val="none"/>
              </w:rPr>
            </w:pPr>
            <w:r>
              <w:rPr>
                <w:rFonts w:hint="eastAsia" w:ascii="宋体" w:hAnsi="宋体" w:cs="宋体"/>
                <w:color w:val="auto"/>
                <w:szCs w:val="28"/>
                <w:highlight w:val="none"/>
              </w:rPr>
              <w:t>3、</w:t>
            </w:r>
            <w:r>
              <w:rPr>
                <w:rFonts w:hint="eastAsia" w:ascii="宋体" w:hAnsi="宋体" w:eastAsia="宋体" w:cs="宋体"/>
                <w:color w:val="auto"/>
                <w:sz w:val="28"/>
                <w:szCs w:val="28"/>
                <w:highlight w:val="none"/>
                <w:lang w:val="en-US" w:eastAsia="zh-CN"/>
              </w:rPr>
              <w:t>经评审，所有采购标的均为中小企业（含个体工商户）制造的货物，或者监狱企业提供本单位制造的货物；或者残疾人福利性单位提供本单位制造的货物（或提供其他残疾人福利性单位制造的货物），代理服务费按照上述服务收费标准下浮10%进行支付</w:t>
            </w:r>
            <w:r>
              <w:rPr>
                <w:rFonts w:hint="eastAsia" w:ascii="宋体" w:hAnsi="宋体" w:cs="宋体"/>
                <w:color w:val="auto"/>
                <w:szCs w:val="28"/>
                <w:highlight w:val="none"/>
              </w:rPr>
              <w:t>。</w:t>
            </w:r>
          </w:p>
          <w:p w14:paraId="5851FF31">
            <w:pPr>
              <w:numPr>
                <w:ilvl w:val="0"/>
                <w:numId w:val="0"/>
              </w:numPr>
              <w:spacing w:line="360" w:lineRule="auto"/>
              <w:rPr>
                <w:rFonts w:hint="eastAsia" w:ascii="宋体" w:hAnsi="宋体" w:eastAsia="宋体" w:cs="宋体"/>
                <w:color w:val="auto"/>
                <w:spacing w:val="0"/>
                <w:sz w:val="28"/>
                <w:szCs w:val="28"/>
                <w:highlight w:val="none"/>
              </w:rPr>
            </w:pPr>
            <w:r>
              <w:rPr>
                <w:rFonts w:hint="eastAsia" w:ascii="宋体" w:hAnsi="宋体" w:eastAsia="宋体" w:cs="宋体"/>
                <w:color w:val="auto"/>
                <w:spacing w:val="0"/>
                <w:sz w:val="28"/>
                <w:szCs w:val="28"/>
                <w:highlight w:val="none"/>
                <w:lang w:val="en-US" w:eastAsia="zh-CN"/>
              </w:rPr>
              <w:t>4</w:t>
            </w:r>
            <w:r>
              <w:rPr>
                <w:rFonts w:hint="eastAsia" w:ascii="宋体" w:hAnsi="宋体" w:eastAsia="宋体" w:cs="宋体"/>
                <w:color w:val="auto"/>
                <w:spacing w:val="0"/>
                <w:sz w:val="28"/>
                <w:szCs w:val="28"/>
                <w:highlight w:val="none"/>
              </w:rPr>
              <w:t xml:space="preserve">、账户信息： 开户名：厦门万翔招标有限公司 开户行：建行厦门自贸试验区航空港支行 账号：35101570201052504219 </w:t>
            </w:r>
          </w:p>
          <w:p w14:paraId="453DBBEB">
            <w:pPr>
              <w:widowControl/>
              <w:numPr>
                <w:ilvl w:val="0"/>
                <w:numId w:val="0"/>
              </w:numPr>
              <w:wordWrap w:val="0"/>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pacing w:val="0"/>
                <w:sz w:val="28"/>
                <w:szCs w:val="28"/>
                <w:highlight w:val="none"/>
                <w:lang w:val="en-US" w:eastAsia="zh-CN"/>
              </w:rPr>
              <w:t>5</w:t>
            </w:r>
            <w:r>
              <w:rPr>
                <w:rFonts w:hint="eastAsia" w:ascii="宋体" w:hAnsi="宋体" w:eastAsia="宋体" w:cs="宋体"/>
                <w:color w:val="auto"/>
                <w:spacing w:val="0"/>
                <w:sz w:val="28"/>
                <w:szCs w:val="28"/>
                <w:highlight w:val="none"/>
              </w:rPr>
              <w:t>、服务费事宜联系人：陈小姐0592-5703367</w:t>
            </w:r>
          </w:p>
        </w:tc>
      </w:tr>
      <w:tr w14:paraId="68574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099" w:type="pct"/>
            <w:gridSpan w:val="2"/>
            <w:tcMar>
              <w:top w:w="50" w:type="dxa"/>
              <w:left w:w="100" w:type="dxa"/>
              <w:bottom w:w="50" w:type="dxa"/>
              <w:right w:w="100" w:type="dxa"/>
            </w:tcMar>
            <w:vAlign w:val="center"/>
          </w:tcPr>
          <w:p w14:paraId="364F6AB9">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     备注</w:t>
            </w:r>
          </w:p>
        </w:tc>
        <w:tc>
          <w:tcPr>
            <w:tcW w:w="3847" w:type="pct"/>
            <w:tcMar>
              <w:top w:w="50" w:type="dxa"/>
              <w:left w:w="100" w:type="dxa"/>
              <w:bottom w:w="50" w:type="dxa"/>
              <w:right w:w="100" w:type="dxa"/>
            </w:tcMar>
            <w:vAlign w:val="center"/>
          </w:tcPr>
          <w:p w14:paraId="634F9B7A">
            <w:pPr>
              <w:pStyle w:val="12"/>
              <w:widowControl/>
              <w:wordWrap w:val="0"/>
              <w:spacing w:before="0" w:beforeAutospacing="0" w:after="0" w:afterAutospacing="0" w:line="360" w:lineRule="auto"/>
              <w:rPr>
                <w:rFonts w:hint="eastAsia" w:ascii="宋体" w:hAnsi="宋体" w:cs="宋体"/>
                <w:color w:val="auto"/>
                <w:sz w:val="28"/>
                <w:szCs w:val="28"/>
                <w:highlight w:val="none"/>
              </w:rPr>
            </w:pPr>
            <w:r>
              <w:rPr>
                <w:rStyle w:val="17"/>
                <w:rFonts w:hint="eastAsia" w:ascii="宋体" w:hAnsi="宋体" w:cs="宋体"/>
                <w:color w:val="auto"/>
                <w:sz w:val="28"/>
                <w:szCs w:val="28"/>
                <w:highlight w:val="none"/>
              </w:rPr>
              <w:t>后有投标人须知前附表2，请勿遗漏。</w:t>
            </w:r>
          </w:p>
        </w:tc>
      </w:tr>
    </w:tbl>
    <w:p w14:paraId="4CA5662B">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 </w:t>
      </w:r>
    </w:p>
    <w:p w14:paraId="0161C044">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 </w:t>
      </w:r>
    </w:p>
    <w:p w14:paraId="142814A7">
      <w:pPr>
        <w:pStyle w:val="12"/>
        <w:widowControl/>
        <w:spacing w:before="0" w:beforeAutospacing="0" w:after="0" w:afterAutospacing="0" w:line="360" w:lineRule="auto"/>
        <w:jc w:val="center"/>
        <w:rPr>
          <w:rStyle w:val="17"/>
          <w:rFonts w:hint="eastAsia" w:ascii="宋体" w:hAnsi="宋体" w:cs="宋体"/>
          <w:color w:val="auto"/>
          <w:sz w:val="28"/>
          <w:szCs w:val="28"/>
          <w:highlight w:val="none"/>
        </w:rPr>
      </w:pPr>
    </w:p>
    <w:p w14:paraId="5BBCFB07">
      <w:pPr>
        <w:pStyle w:val="12"/>
        <w:widowControl/>
        <w:spacing w:before="0" w:beforeAutospacing="0" w:after="0" w:afterAutospacing="0" w:line="360" w:lineRule="auto"/>
        <w:jc w:val="center"/>
        <w:rPr>
          <w:rStyle w:val="17"/>
          <w:rFonts w:hint="eastAsia" w:ascii="宋体" w:hAnsi="宋体" w:cs="宋体"/>
          <w:color w:val="auto"/>
          <w:sz w:val="28"/>
          <w:szCs w:val="28"/>
          <w:highlight w:val="none"/>
        </w:rPr>
      </w:pPr>
    </w:p>
    <w:p w14:paraId="5B970053">
      <w:pPr>
        <w:pStyle w:val="12"/>
        <w:widowControl/>
        <w:spacing w:before="0" w:beforeAutospacing="0" w:after="0" w:afterAutospacing="0" w:line="360" w:lineRule="auto"/>
        <w:jc w:val="center"/>
        <w:rPr>
          <w:rStyle w:val="17"/>
          <w:rFonts w:hint="eastAsia" w:ascii="宋体" w:hAnsi="宋体" w:cs="宋体"/>
          <w:color w:val="auto"/>
          <w:sz w:val="28"/>
          <w:szCs w:val="28"/>
          <w:highlight w:val="none"/>
        </w:rPr>
      </w:pPr>
    </w:p>
    <w:p w14:paraId="2D18AF0B">
      <w:pPr>
        <w:pStyle w:val="12"/>
        <w:widowControl/>
        <w:spacing w:before="0" w:beforeAutospacing="0" w:after="0" w:afterAutospacing="0" w:line="360" w:lineRule="auto"/>
        <w:jc w:val="center"/>
        <w:outlineLvl w:val="1"/>
        <w:rPr>
          <w:rFonts w:hint="eastAsia" w:ascii="宋体" w:hAnsi="宋体" w:cs="宋体"/>
          <w:color w:val="auto"/>
          <w:sz w:val="28"/>
          <w:szCs w:val="28"/>
          <w:highlight w:val="none"/>
        </w:rPr>
      </w:pPr>
      <w:r>
        <w:rPr>
          <w:rStyle w:val="17"/>
          <w:rFonts w:hint="eastAsia" w:ascii="宋体" w:hAnsi="宋体" w:cs="宋体"/>
          <w:color w:val="auto"/>
          <w:sz w:val="28"/>
          <w:szCs w:val="28"/>
          <w:highlight w:val="none"/>
        </w:rPr>
        <w:t>二、投标人须知前附表2</w:t>
      </w:r>
    </w:p>
    <w:tbl>
      <w:tblPr>
        <w:tblStyle w:val="14"/>
        <w:tblW w:w="8639" w:type="dxa"/>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477"/>
        <w:gridCol w:w="8162"/>
      </w:tblGrid>
      <w:tr w14:paraId="63FCA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15" w:type="dxa"/>
          <w:jc w:val="center"/>
        </w:trPr>
        <w:tc>
          <w:tcPr>
            <w:tcW w:w="8579" w:type="dxa"/>
            <w:gridSpan w:val="2"/>
            <w:tcMar>
              <w:top w:w="0" w:type="dxa"/>
              <w:left w:w="70" w:type="dxa"/>
              <w:bottom w:w="0" w:type="dxa"/>
              <w:right w:w="70" w:type="dxa"/>
            </w:tcMar>
            <w:vAlign w:val="center"/>
          </w:tcPr>
          <w:p w14:paraId="0EC58FC3">
            <w:pPr>
              <w:pStyle w:val="12"/>
              <w:widowControl/>
              <w:spacing w:before="0" w:beforeAutospacing="0" w:after="0" w:afterAutospacing="0" w:line="360" w:lineRule="auto"/>
              <w:jc w:val="center"/>
              <w:rPr>
                <w:rFonts w:hint="eastAsia" w:ascii="宋体" w:hAnsi="宋体" w:cs="宋体"/>
                <w:color w:val="auto"/>
                <w:sz w:val="28"/>
                <w:szCs w:val="28"/>
                <w:highlight w:val="none"/>
              </w:rPr>
            </w:pPr>
            <w:r>
              <w:rPr>
                <w:rStyle w:val="17"/>
                <w:rFonts w:hint="eastAsia" w:ascii="宋体" w:hAnsi="宋体" w:cs="宋体"/>
                <w:color w:val="auto"/>
                <w:sz w:val="28"/>
                <w:szCs w:val="28"/>
                <w:highlight w:val="none"/>
              </w:rPr>
              <w:t>关于招标投标活动的专门规定</w:t>
            </w:r>
          </w:p>
        </w:tc>
      </w:tr>
      <w:tr w14:paraId="6787A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432" w:type="dxa"/>
            <w:tcMar>
              <w:top w:w="0" w:type="dxa"/>
              <w:left w:w="70" w:type="dxa"/>
              <w:bottom w:w="0" w:type="dxa"/>
              <w:right w:w="70" w:type="dxa"/>
            </w:tcMar>
            <w:vAlign w:val="center"/>
          </w:tcPr>
          <w:p w14:paraId="6F45B319">
            <w:pPr>
              <w:pStyle w:val="12"/>
              <w:widowControl/>
              <w:spacing w:before="0" w:beforeAutospacing="0" w:after="0" w:afterAutospacing="0" w:line="36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序号</w:t>
            </w:r>
          </w:p>
        </w:tc>
        <w:tc>
          <w:tcPr>
            <w:tcW w:w="8117" w:type="dxa"/>
            <w:tcMar>
              <w:top w:w="0" w:type="dxa"/>
              <w:left w:w="70" w:type="dxa"/>
              <w:bottom w:w="0" w:type="dxa"/>
              <w:right w:w="70" w:type="dxa"/>
            </w:tcMar>
            <w:vAlign w:val="center"/>
          </w:tcPr>
          <w:p w14:paraId="415BDB12">
            <w:pPr>
              <w:pStyle w:val="12"/>
              <w:widowControl/>
              <w:spacing w:before="0" w:beforeAutospacing="0" w:after="0" w:afterAutospacing="0" w:line="360" w:lineRule="auto"/>
              <w:ind w:left="280" w:leftChars="0" w:hanging="280" w:hangingChars="100"/>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编列内容</w:t>
            </w:r>
          </w:p>
        </w:tc>
      </w:tr>
      <w:tr w14:paraId="25F27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432" w:type="dxa"/>
            <w:tcMar>
              <w:top w:w="0" w:type="dxa"/>
              <w:left w:w="70" w:type="dxa"/>
              <w:bottom w:w="0" w:type="dxa"/>
              <w:right w:w="70" w:type="dxa"/>
            </w:tcMar>
            <w:vAlign w:val="center"/>
          </w:tcPr>
          <w:p w14:paraId="2E8361E3">
            <w:pPr>
              <w:pStyle w:val="12"/>
              <w:widowControl/>
              <w:spacing w:before="0" w:beforeAutospacing="0" w:after="0" w:afterAutospacing="0" w:line="36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1</w:t>
            </w:r>
          </w:p>
        </w:tc>
        <w:tc>
          <w:tcPr>
            <w:tcW w:w="8117" w:type="dxa"/>
            <w:tcMar>
              <w:top w:w="0" w:type="dxa"/>
              <w:left w:w="70" w:type="dxa"/>
              <w:bottom w:w="0" w:type="dxa"/>
              <w:right w:w="70" w:type="dxa"/>
            </w:tcMar>
            <w:vAlign w:val="center"/>
          </w:tcPr>
          <w:p w14:paraId="258EE55B">
            <w:pPr>
              <w:spacing w:line="360" w:lineRule="auto"/>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1</w:t>
            </w:r>
            <w:r>
              <w:rPr>
                <w:rFonts w:hint="eastAsia" w:ascii="宋体" w:hAnsi="宋体" w:cs="宋体"/>
                <w:color w:val="auto"/>
                <w:kern w:val="0"/>
                <w:sz w:val="28"/>
                <w:szCs w:val="28"/>
                <w:highlight w:val="none"/>
                <w:lang w:eastAsia="zh-CN"/>
              </w:rPr>
              <w:t>、</w:t>
            </w:r>
            <w:r>
              <w:rPr>
                <w:rFonts w:hint="eastAsia" w:ascii="宋体" w:hAnsi="宋体" w:cs="宋体"/>
                <w:color w:val="auto"/>
                <w:kern w:val="0"/>
                <w:sz w:val="28"/>
                <w:szCs w:val="28"/>
                <w:highlight w:val="none"/>
              </w:rPr>
              <w:t>全文中带有“★”的条款为关键性条款，对这些关键性条款的任何负偏离或不满足将导致该投标作无效投标处理。</w:t>
            </w:r>
          </w:p>
          <w:p w14:paraId="35998746">
            <w:pPr>
              <w:numPr>
                <w:ilvl w:val="0"/>
                <w:numId w:val="0"/>
              </w:numPr>
              <w:spacing w:line="360" w:lineRule="auto"/>
              <w:rPr>
                <w:rFonts w:hint="eastAsia" w:ascii="宋体" w:hAnsi="宋体" w:cs="宋体"/>
                <w:color w:val="auto"/>
                <w:kern w:val="0"/>
                <w:sz w:val="28"/>
                <w:szCs w:val="28"/>
                <w:highlight w:val="none"/>
              </w:rPr>
            </w:pPr>
            <w:r>
              <w:rPr>
                <w:rFonts w:hint="eastAsia" w:ascii="宋体" w:hAnsi="宋体" w:eastAsia="宋体" w:cs="宋体"/>
                <w:color w:val="auto"/>
                <w:kern w:val="0"/>
                <w:sz w:val="28"/>
                <w:szCs w:val="28"/>
                <w:highlight w:val="none"/>
                <w:lang w:val="en-US" w:eastAsia="zh-CN" w:bidi="ar-SA"/>
              </w:rPr>
              <w:t>2、</w:t>
            </w:r>
            <w:r>
              <w:rPr>
                <w:rFonts w:hint="eastAsia" w:ascii="宋体" w:hAnsi="宋体" w:cs="宋体"/>
                <w:color w:val="auto"/>
                <w:kern w:val="0"/>
                <w:sz w:val="28"/>
                <w:szCs w:val="28"/>
                <w:highlight w:val="none"/>
              </w:rPr>
              <w:t>若征集文件第五章所述内容与其它部分的条款发生理解冲突，则以第五章所述内容为准；如</w:t>
            </w:r>
            <w:r>
              <w:rPr>
                <w:rFonts w:hint="eastAsia" w:ascii="宋体" w:hAnsi="宋体" w:cs="宋体"/>
                <w:color w:val="auto"/>
                <w:kern w:val="0"/>
                <w:sz w:val="28"/>
                <w:szCs w:val="28"/>
                <w:highlight w:val="none"/>
                <w:lang w:eastAsia="zh-CN"/>
              </w:rPr>
              <w:t>征集文件</w:t>
            </w:r>
            <w:r>
              <w:rPr>
                <w:rFonts w:hint="eastAsia" w:ascii="宋体" w:hAnsi="宋体" w:cs="宋体"/>
                <w:color w:val="auto"/>
                <w:kern w:val="0"/>
                <w:sz w:val="28"/>
                <w:szCs w:val="28"/>
                <w:highlight w:val="none"/>
              </w:rPr>
              <w:t>发生变更，则相关条款的解释以更改通知为准。</w:t>
            </w:r>
          </w:p>
          <w:p w14:paraId="044E782B">
            <w:pPr>
              <w:numPr>
                <w:ilvl w:val="0"/>
                <w:numId w:val="0"/>
              </w:numPr>
              <w:spacing w:line="360" w:lineRule="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lang w:val="en-US" w:eastAsia="zh-CN" w:bidi="ar-SA"/>
              </w:rPr>
              <w:t>3、</w:t>
            </w:r>
            <w:r>
              <w:rPr>
                <w:rFonts w:hint="eastAsia" w:ascii="宋体" w:hAnsi="宋体" w:cs="宋体"/>
                <w:color w:val="auto"/>
                <w:kern w:val="0"/>
                <w:sz w:val="28"/>
                <w:szCs w:val="28"/>
                <w:highlight w:val="none"/>
              </w:rPr>
              <w:t>质疑函要求 供应商提出质疑应当提交质疑函和必要的证明材料。质疑函应当包括下列内容： (一)供应商的姓名或者名称名 称、地址、邮编、联系人及联系电话; (二)质疑项目的名称名 称、编号; (三)具体、明确的质疑事项和与质疑事项相关的请求; (四)事实依据; (五)必要的法律依据; (六)提出质疑的日期。 供应商为自然人的，应当由本人签字;供应商为法人或者其他组织的，应当由法定代表人、主要负责人，或者其授权代表签字或者盖章，并加盖公章。接收质疑：</w:t>
            </w:r>
            <w:r>
              <w:rPr>
                <w:rFonts w:hint="eastAsia" w:ascii="宋体" w:hAnsi="宋体" w:cs="宋体"/>
                <w:color w:val="auto"/>
                <w:kern w:val="0"/>
                <w:sz w:val="28"/>
                <w:szCs w:val="28"/>
                <w:highlight w:val="none"/>
                <w:lang w:val="en-US" w:eastAsia="zh-CN"/>
              </w:rPr>
              <w:t>刘</w:t>
            </w:r>
            <w:r>
              <w:rPr>
                <w:rFonts w:hint="eastAsia" w:ascii="宋体" w:hAnsi="宋体" w:cs="宋体"/>
                <w:color w:val="auto"/>
                <w:kern w:val="0"/>
                <w:sz w:val="28"/>
                <w:szCs w:val="28"/>
                <w:highlight w:val="none"/>
              </w:rPr>
              <w:t>经理，负责接收质疑，</w:t>
            </w:r>
            <w:r>
              <w:rPr>
                <w:rFonts w:hint="eastAsia" w:ascii="宋体" w:hAnsi="宋体" w:eastAsia="宋体" w:cs="宋体"/>
                <w:color w:val="auto"/>
                <w:kern w:val="0"/>
                <w:sz w:val="28"/>
                <w:szCs w:val="28"/>
                <w:highlight w:val="none"/>
              </w:rPr>
              <w:t>电话0592-2218761</w:t>
            </w:r>
          </w:p>
          <w:p w14:paraId="6B6CEFE4">
            <w:pPr>
              <w:widowControl/>
              <w:spacing w:line="360" w:lineRule="auto"/>
              <w:jc w:val="left"/>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，传真0592-5706660-6969，邮箱</w:t>
            </w:r>
            <w:r>
              <w:rPr>
                <w:rFonts w:hint="eastAsia" w:ascii="宋体" w:hAnsi="宋体" w:eastAsia="宋体" w:cs="宋体"/>
                <w:color w:val="auto"/>
                <w:kern w:val="0"/>
                <w:sz w:val="28"/>
                <w:szCs w:val="28"/>
                <w:highlight w:val="none"/>
              </w:rPr>
              <w:t>lmf@iport.com.cn</w:t>
            </w:r>
            <w:r>
              <w:rPr>
                <w:rFonts w:hint="eastAsia" w:ascii="宋体" w:hAnsi="宋体" w:cs="宋体"/>
                <w:color w:val="auto"/>
                <w:kern w:val="0"/>
                <w:sz w:val="28"/>
                <w:szCs w:val="28"/>
                <w:highlight w:val="none"/>
              </w:rPr>
              <w:t>，通讯地址：厦门市湖里区机场北路476号4楼。质疑函应采用下列方式之一提交：</w:t>
            </w:r>
          </w:p>
          <w:p w14:paraId="33501B84">
            <w:pPr>
              <w:widowControl/>
              <w:spacing w:line="360" w:lineRule="auto"/>
              <w:jc w:val="left"/>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（1）邮件形式：将质疑函原件扫描发送至邮箱：邮箱</w:t>
            </w:r>
            <w:r>
              <w:rPr>
                <w:rFonts w:hint="eastAsia" w:ascii="宋体" w:hAnsi="宋体" w:eastAsia="宋体" w:cs="宋体"/>
                <w:color w:val="auto"/>
                <w:kern w:val="0"/>
                <w:sz w:val="28"/>
                <w:szCs w:val="28"/>
                <w:highlight w:val="none"/>
              </w:rPr>
              <w:t>lmf</w:t>
            </w:r>
            <w:r>
              <w:rPr>
                <w:rFonts w:hint="eastAsia" w:ascii="宋体" w:hAnsi="宋体" w:cs="宋体"/>
                <w:color w:val="auto"/>
                <w:kern w:val="0"/>
                <w:sz w:val="28"/>
                <w:szCs w:val="28"/>
                <w:highlight w:val="none"/>
              </w:rPr>
              <w:t>@iport.com.cn收到质疑函的时间以邮箱显示的收到时间为准。质疑答复过程中需要核对原件的，质疑人应提供原件核查，否则相关资料可能不被认可。（2）快递形式：将质疑函原件快递至厦门市湖里区机场北路476号4楼，收件人：</w:t>
            </w:r>
            <w:r>
              <w:rPr>
                <w:rFonts w:hint="eastAsia" w:ascii="宋体" w:hAnsi="宋体" w:eastAsia="宋体" w:cs="宋体"/>
                <w:color w:val="auto"/>
                <w:kern w:val="0"/>
                <w:sz w:val="28"/>
                <w:szCs w:val="28"/>
                <w:highlight w:val="none"/>
                <w:lang w:val="en-US" w:eastAsia="zh-CN"/>
              </w:rPr>
              <w:t>刘</w:t>
            </w:r>
            <w:r>
              <w:rPr>
                <w:rFonts w:hint="eastAsia" w:ascii="宋体" w:hAnsi="宋体" w:eastAsia="宋体" w:cs="宋体"/>
                <w:color w:val="auto"/>
                <w:kern w:val="0"/>
                <w:sz w:val="28"/>
                <w:szCs w:val="28"/>
                <w:highlight w:val="none"/>
              </w:rPr>
              <w:t>经理，负责接收质疑，电话0592-2218761</w:t>
            </w:r>
            <w:r>
              <w:rPr>
                <w:rFonts w:hint="eastAsia" w:ascii="宋体" w:hAnsi="宋体" w:cs="宋体"/>
                <w:color w:val="auto"/>
                <w:kern w:val="0"/>
                <w:sz w:val="28"/>
                <w:szCs w:val="28"/>
                <w:highlight w:val="none"/>
              </w:rPr>
              <w:t>，传真0592-5706660-6969。收到质疑函的时间以快递签收时间为准。（3）现场送达：将质疑函原件现场送至厦门市湖里区机场北路476号4楼经办人手中。收到质疑函的时间以前台签收时间为准。</w:t>
            </w:r>
          </w:p>
          <w:p w14:paraId="180A25D7">
            <w:pPr>
              <w:widowControl/>
              <w:spacing w:line="360" w:lineRule="auto"/>
              <w:jc w:val="left"/>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注：提交质疑函须附上征集文件获取登记时间，质疑函须符合第三章第15条质疑的要求。</w:t>
            </w:r>
          </w:p>
          <w:p w14:paraId="749B6BCA">
            <w:pPr>
              <w:widowControl/>
              <w:spacing w:line="360" w:lineRule="auto"/>
              <w:jc w:val="left"/>
              <w:rPr>
                <w:rFonts w:hint="eastAsia" w:ascii="宋体" w:hAnsi="宋体" w:cs="宋体"/>
                <w:color w:val="auto"/>
                <w:kern w:val="0"/>
                <w:sz w:val="28"/>
                <w:szCs w:val="28"/>
                <w:highlight w:val="none"/>
              </w:rPr>
            </w:pPr>
            <w:r>
              <w:rPr>
                <w:rFonts w:hint="eastAsia" w:ascii="宋体" w:hAnsi="宋体" w:cs="宋体"/>
                <w:color w:val="auto"/>
                <w:sz w:val="28"/>
                <w:szCs w:val="28"/>
                <w:highlight w:val="none"/>
                <w:shd w:val="clear" w:color="auto" w:fill="FFFFFF"/>
                <w:lang w:val="en-US" w:eastAsia="zh-CN"/>
              </w:rPr>
              <w:t>4、</w:t>
            </w:r>
            <w:r>
              <w:rPr>
                <w:rFonts w:hint="eastAsia" w:ascii="宋体" w:hAnsi="宋体" w:cs="宋体"/>
                <w:color w:val="auto"/>
                <w:kern w:val="0"/>
                <w:sz w:val="28"/>
                <w:szCs w:val="28"/>
                <w:highlight w:val="none"/>
              </w:rPr>
              <w:t>供应商政府采购服务提示http://120.41.36.6/350200/article/9b8e96e277e341d2bc6beb55fdf99545/eaee38a2b14811eba3cafa163e51ef42/</w:t>
            </w:r>
          </w:p>
          <w:p w14:paraId="3B4E8A0A">
            <w:pPr>
              <w:widowControl/>
              <w:tabs>
                <w:tab w:val="left" w:pos="3828"/>
              </w:tabs>
              <w:snapToGrid w:val="0"/>
              <w:spacing w:line="360" w:lineRule="auto"/>
              <w:rPr>
                <w:rFonts w:hint="eastAsia" w:ascii="宋体" w:hAnsi="宋体" w:cs="宋体"/>
                <w:color w:val="auto"/>
                <w:kern w:val="0"/>
                <w:sz w:val="28"/>
                <w:szCs w:val="28"/>
                <w:highlight w:val="none"/>
                <w:shd w:val="clear" w:color="auto" w:fill="FFFFFF"/>
              </w:rPr>
            </w:pPr>
            <w:r>
              <w:rPr>
                <w:rFonts w:hint="eastAsia" w:ascii="宋体" w:hAnsi="宋体" w:cs="宋体"/>
                <w:color w:val="auto"/>
                <w:kern w:val="0"/>
                <w:sz w:val="28"/>
                <w:szCs w:val="28"/>
                <w:highlight w:val="none"/>
                <w:shd w:val="clear" w:color="auto" w:fill="FFFFFF"/>
                <w:lang w:val="en-US" w:eastAsia="zh-CN"/>
              </w:rPr>
              <w:t>5、</w:t>
            </w:r>
            <w:r>
              <w:rPr>
                <w:rFonts w:hint="eastAsia" w:ascii="宋体" w:hAnsi="宋体" w:cs="宋体"/>
                <w:color w:val="auto"/>
                <w:kern w:val="0"/>
                <w:sz w:val="28"/>
                <w:szCs w:val="28"/>
                <w:highlight w:val="none"/>
                <w:shd w:val="clear" w:color="auto" w:fill="FFFFFF"/>
              </w:rPr>
              <w:t>关于虚假投标的风险提示。《政府采购法》第七十七条规定：“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w:t>
            </w:r>
            <w:r>
              <w:rPr>
                <w:rFonts w:hint="eastAsia" w:ascii="宋体" w:hAnsi="宋体" w:cs="宋体"/>
                <w:color w:val="auto"/>
                <w:kern w:val="0"/>
                <w:sz w:val="28"/>
                <w:szCs w:val="28"/>
                <w:highlight w:val="none"/>
                <w:shd w:val="clear" w:color="auto" w:fill="FFFFFF"/>
                <w:lang w:eastAsia="zh-CN"/>
              </w:rPr>
              <w:t>入围</w:t>
            </w:r>
            <w:r>
              <w:rPr>
                <w:rFonts w:hint="eastAsia" w:ascii="宋体" w:hAnsi="宋体" w:cs="宋体"/>
                <w:color w:val="auto"/>
                <w:kern w:val="0"/>
                <w:sz w:val="28"/>
                <w:szCs w:val="28"/>
                <w:highlight w:val="none"/>
                <w:shd w:val="clear" w:color="auto" w:fill="FFFFFF"/>
              </w:rPr>
              <w:t>、成交的”。监管部门将严格按照上述法律规定，加强提供虚假材料谋取</w:t>
            </w:r>
            <w:r>
              <w:rPr>
                <w:rFonts w:hint="eastAsia" w:ascii="宋体" w:hAnsi="宋体" w:cs="宋体"/>
                <w:color w:val="auto"/>
                <w:kern w:val="0"/>
                <w:sz w:val="28"/>
                <w:szCs w:val="28"/>
                <w:highlight w:val="none"/>
                <w:shd w:val="clear" w:color="auto" w:fill="FFFFFF"/>
                <w:lang w:eastAsia="zh-CN"/>
              </w:rPr>
              <w:t>入围</w:t>
            </w:r>
            <w:r>
              <w:rPr>
                <w:rFonts w:hint="eastAsia" w:ascii="宋体" w:hAnsi="宋体" w:cs="宋体"/>
                <w:color w:val="auto"/>
                <w:kern w:val="0"/>
                <w:sz w:val="28"/>
                <w:szCs w:val="28"/>
                <w:highlight w:val="none"/>
                <w:shd w:val="clear" w:color="auto" w:fill="FFFFFF"/>
              </w:rPr>
              <w:t>的违法行为的执法力度。相关行政处罚案件，供应商可登陆中国政府采购网的“政府采购严重违法失信行为记录名单”查询，望引以为戒。　　</w:t>
            </w:r>
          </w:p>
          <w:p w14:paraId="69BAE2A8">
            <w:pPr>
              <w:pStyle w:val="12"/>
              <w:shd w:val="clear" w:color="auto" w:fill="FFFFFF"/>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shd w:val="clear" w:color="auto" w:fill="FFFFFF"/>
                <w:lang w:val="en-US" w:eastAsia="zh-CN"/>
              </w:rPr>
              <w:t>6、</w:t>
            </w:r>
            <w:r>
              <w:rPr>
                <w:rFonts w:hint="eastAsia" w:ascii="宋体" w:hAnsi="宋体" w:cs="宋体"/>
                <w:color w:val="auto"/>
                <w:sz w:val="28"/>
                <w:szCs w:val="28"/>
                <w:highlight w:val="none"/>
                <w:shd w:val="clear" w:color="auto" w:fill="FFFFFF"/>
              </w:rPr>
              <w:t>产品包装：执行关于印发《商品包装政府采购需求标准（试行）》、《快递包装政府采购需求标准（试行）》的通知财办库〔2020〕123号。　</w:t>
            </w:r>
          </w:p>
        </w:tc>
      </w:tr>
      <w:tr w14:paraId="65C82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432" w:type="dxa"/>
            <w:tcMar>
              <w:top w:w="0" w:type="dxa"/>
              <w:left w:w="70" w:type="dxa"/>
              <w:bottom w:w="0" w:type="dxa"/>
              <w:right w:w="70" w:type="dxa"/>
            </w:tcMar>
            <w:vAlign w:val="center"/>
          </w:tcPr>
          <w:p w14:paraId="4DA5B83D">
            <w:pPr>
              <w:pStyle w:val="12"/>
              <w:keepNext w:val="0"/>
              <w:keepLines w:val="0"/>
              <w:widowControl/>
              <w:suppressLineNumbers w:val="0"/>
              <w:spacing w:before="0" w:beforeAutospacing="0" w:after="0" w:afterAutospacing="0" w:line="360" w:lineRule="auto"/>
              <w:ind w:left="0" w:leftChars="0" w:right="0" w:rightChars="0"/>
              <w:jc w:val="center"/>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2</w:t>
            </w:r>
          </w:p>
        </w:tc>
        <w:tc>
          <w:tcPr>
            <w:tcW w:w="8117" w:type="dxa"/>
            <w:tcMar>
              <w:top w:w="0" w:type="dxa"/>
              <w:left w:w="70" w:type="dxa"/>
              <w:bottom w:w="0" w:type="dxa"/>
              <w:right w:w="70" w:type="dxa"/>
            </w:tcMar>
            <w:vAlign w:val="center"/>
          </w:tcPr>
          <w:p w14:paraId="6514CBAE">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rPr>
              <w:t>中小企业参加政府采购活动，应当出具《中小企业声明函》，否则不得享受相关中小企业扶持政策。</w:t>
            </w:r>
          </w:p>
          <w:p w14:paraId="62008C73">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rPr>
                <w:rFonts w:hint="eastAsia" w:ascii="宋体" w:hAnsi="宋体" w:eastAsia="宋体" w:cs="宋体"/>
                <w:b w:val="0"/>
                <w:color w:val="auto"/>
                <w:spacing w:val="0"/>
                <w:sz w:val="28"/>
                <w:szCs w:val="28"/>
                <w:highlight w:val="none"/>
              </w:rPr>
            </w:pPr>
            <w:r>
              <w:rPr>
                <w:rFonts w:hint="eastAsia" w:ascii="宋体" w:hAnsi="宋体" w:eastAsia="宋体" w:cs="宋体"/>
                <w:b w:val="0"/>
                <w:color w:val="auto"/>
                <w:spacing w:val="0"/>
                <w:sz w:val="28"/>
                <w:szCs w:val="28"/>
                <w:highlight w:val="none"/>
                <w:lang w:val="en-US" w:eastAsia="zh-CN"/>
              </w:rPr>
              <w:t>2、</w:t>
            </w:r>
            <w:r>
              <w:rPr>
                <w:rFonts w:hint="eastAsia" w:ascii="宋体" w:hAnsi="宋体" w:eastAsia="宋体" w:cs="宋体"/>
                <w:b w:val="0"/>
                <w:color w:val="auto"/>
                <w:spacing w:val="0"/>
                <w:sz w:val="28"/>
                <w:szCs w:val="28"/>
                <w:highlight w:val="none"/>
              </w:rPr>
              <w:t>投标产品为</w:t>
            </w:r>
            <w:r>
              <w:rPr>
                <w:rFonts w:hint="eastAsia" w:ascii="宋体" w:hAnsi="宋体" w:eastAsia="宋体" w:cs="宋体"/>
                <w:b w:val="0"/>
                <w:color w:val="auto"/>
                <w:sz w:val="28"/>
                <w:szCs w:val="28"/>
                <w:highlight w:val="none"/>
              </w:rPr>
              <w:t>小型企业或微型企业生产</w:t>
            </w:r>
            <w:r>
              <w:rPr>
                <w:rFonts w:hint="eastAsia" w:ascii="宋体" w:hAnsi="宋体" w:eastAsia="宋体" w:cs="宋体"/>
                <w:b w:val="0"/>
                <w:color w:val="auto"/>
                <w:spacing w:val="0"/>
                <w:sz w:val="28"/>
                <w:szCs w:val="28"/>
                <w:highlight w:val="none"/>
              </w:rPr>
              <w:t>：</w:t>
            </w:r>
          </w:p>
          <w:p w14:paraId="4F5C3E56">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rPr>
                <w:rFonts w:hint="eastAsia" w:ascii="宋体" w:hAnsi="宋体" w:eastAsia="宋体" w:cs="宋体"/>
                <w:b w:val="0"/>
                <w:color w:val="auto"/>
                <w:sz w:val="28"/>
                <w:szCs w:val="28"/>
                <w:highlight w:val="none"/>
              </w:rPr>
            </w:pPr>
            <w:r>
              <w:rPr>
                <w:rFonts w:hint="eastAsia" w:ascii="宋体" w:hAnsi="宋体" w:eastAsia="宋体" w:cs="宋体"/>
                <w:color w:val="auto"/>
                <w:sz w:val="28"/>
                <w:szCs w:val="28"/>
                <w:highlight w:val="none"/>
              </w:rPr>
              <w:t>投标人提供的货物既有中型企业制造，也有小微企业制造的，不享受办法规定的小微企业扶持政策。</w:t>
            </w:r>
          </w:p>
          <w:p w14:paraId="3E7034B3">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对其提供的小型或微型企业产品的投标报价给予</w:t>
            </w:r>
            <w:r>
              <w:rPr>
                <w:rFonts w:hint="eastAsia" w:ascii="宋体" w:hAnsi="宋体" w:eastAsia="宋体" w:cs="宋体"/>
                <w:color w:val="auto"/>
                <w:sz w:val="28"/>
                <w:szCs w:val="28"/>
                <w:highlight w:val="none"/>
                <w:lang w:val="en-US" w:eastAsia="zh-CN"/>
              </w:rPr>
              <w:t>15</w:t>
            </w:r>
            <w:r>
              <w:rPr>
                <w:rFonts w:hint="eastAsia" w:ascii="宋体" w:hAnsi="宋体" w:eastAsia="宋体" w:cs="宋体"/>
                <w:color w:val="auto"/>
                <w:sz w:val="28"/>
                <w:szCs w:val="28"/>
                <w:highlight w:val="none"/>
              </w:rPr>
              <w:t>%的扣除，扣除后的价格作为该投标人的评标价参与价格评分。</w:t>
            </w:r>
          </w:p>
          <w:p w14:paraId="3ED417EF">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6%的扣除，用扣除后的价格参加评审。</w:t>
            </w:r>
          </w:p>
          <w:p w14:paraId="36905761">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联合体各方均为小型、微型企业的，联合体视同为小型、微型企业。组成联合体的大中型企业和其他自然人、法人或者其他组织，与小型、微型企业之间不得存在投资关系。按照《财政部 司法部关于政府采购支持监狱企业发展有关问题的通知》（财库〔2014〕68号）有关规定，监狱企业视同小型、微型企业。</w:t>
            </w:r>
            <w:r>
              <w:rPr>
                <w:rFonts w:hint="eastAsia" w:ascii="宋体" w:hAnsi="宋体" w:eastAsia="宋体" w:cs="宋体"/>
                <w:color w:val="auto"/>
                <w:sz w:val="28"/>
                <w:szCs w:val="28"/>
                <w:highlight w:val="none"/>
                <w:lang w:eastAsia="zh-CN"/>
              </w:rPr>
              <w:t>根据《财政部 民政部 中国残疾人联合会关于促进残疾人就业政府采购政策的通知》（财库[2017]141号），残疾人福利性单位视同小型、微型企业。残疾人福利性单位属于小型、微型企业的，不重复享受政策。</w:t>
            </w:r>
          </w:p>
          <w:p w14:paraId="7037FDB2">
            <w:pPr>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leftChars="0" w:right="0" w:rightChars="0" w:firstLine="420" w:firstLineChars="0"/>
              <w:jc w:val="both"/>
              <w:rPr>
                <w:rFonts w:hint="eastAsia" w:ascii="宋体" w:hAnsi="宋体" w:cs="宋体"/>
                <w:color w:val="auto"/>
                <w:sz w:val="28"/>
                <w:szCs w:val="28"/>
                <w:highlight w:val="none"/>
                <w:shd w:val="clear" w:color="auto" w:fill="FFFFFF"/>
                <w:lang w:val="en-US" w:eastAsia="zh-CN"/>
              </w:rPr>
            </w:pPr>
            <w:r>
              <w:rPr>
                <w:rFonts w:hint="eastAsia" w:ascii="宋体" w:hAnsi="宋体" w:eastAsia="宋体" w:cs="宋体"/>
                <w:color w:val="auto"/>
                <w:sz w:val="28"/>
                <w:szCs w:val="28"/>
                <w:highlight w:val="none"/>
                <w:lang w:val="en-US" w:eastAsia="zh-CN"/>
              </w:rPr>
              <w:t>3、根据《</w:t>
            </w:r>
            <w:r>
              <w:rPr>
                <w:rStyle w:val="17"/>
                <w:rFonts w:hint="eastAsia" w:ascii="宋体" w:hAnsi="宋体" w:eastAsia="宋体" w:cs="宋体"/>
                <w:b w:val="0"/>
                <w:bCs w:val="0"/>
                <w:i w:val="0"/>
                <w:iCs w:val="0"/>
                <w:caps w:val="0"/>
                <w:color w:val="auto"/>
                <w:spacing w:val="0"/>
                <w:sz w:val="28"/>
                <w:szCs w:val="28"/>
                <w:highlight w:val="none"/>
                <w:shd w:val="clear" w:fill="FFFFFF"/>
              </w:rPr>
              <w:t>保障中小企业款项支付条例</w:t>
            </w:r>
            <w:r>
              <w:rPr>
                <w:rFonts w:hint="eastAsia" w:ascii="宋体" w:hAnsi="宋体" w:eastAsia="宋体" w:cs="宋体"/>
                <w:b w:val="0"/>
                <w:bCs w:val="0"/>
                <w:color w:val="auto"/>
                <w:sz w:val="28"/>
                <w:szCs w:val="28"/>
                <w:highlight w:val="none"/>
                <w:lang w:val="en-US" w:eastAsia="zh-CN"/>
              </w:rPr>
              <w:t>》</w:t>
            </w:r>
            <w:r>
              <w:rPr>
                <w:rStyle w:val="17"/>
                <w:rFonts w:hint="eastAsia" w:ascii="宋体" w:hAnsi="宋体" w:eastAsia="宋体" w:cs="宋体"/>
                <w:b w:val="0"/>
                <w:bCs w:val="0"/>
                <w:i w:val="0"/>
                <w:iCs w:val="0"/>
                <w:caps w:val="0"/>
                <w:color w:val="auto"/>
                <w:spacing w:val="0"/>
                <w:sz w:val="28"/>
                <w:szCs w:val="28"/>
                <w:highlight w:val="none"/>
                <w:shd w:val="clear" w:fill="FFFFFF"/>
              </w:rPr>
              <w:t>第九条</w:t>
            </w:r>
            <w:r>
              <w:rPr>
                <w:rFonts w:hint="eastAsia" w:ascii="宋体" w:hAnsi="宋体" w:eastAsia="宋体" w:cs="宋体"/>
                <w:i w:val="0"/>
                <w:iCs w:val="0"/>
                <w:caps w:val="0"/>
                <w:color w:val="auto"/>
                <w:spacing w:val="0"/>
                <w:sz w:val="28"/>
                <w:szCs w:val="28"/>
                <w:highlight w:val="none"/>
                <w:shd w:val="clear" w:fill="FFFFFF"/>
                <w:lang w:eastAsia="zh-CN"/>
              </w:rPr>
              <w:t>“</w:t>
            </w:r>
            <w:r>
              <w:rPr>
                <w:rFonts w:hint="eastAsia" w:ascii="宋体" w:hAnsi="宋体" w:eastAsia="宋体" w:cs="宋体"/>
                <w:i w:val="0"/>
                <w:iCs w:val="0"/>
                <w:caps w:val="0"/>
                <w:color w:val="auto"/>
                <w:spacing w:val="0"/>
                <w:sz w:val="28"/>
                <w:szCs w:val="28"/>
                <w:highlight w:val="none"/>
                <w:shd w:val="clear" w:fill="FFFFFF"/>
              </w:rPr>
              <w:t>大型企业从中小企业采购货物、工程、服务，应当自货物、工程、服务交付之日起60日内支付款项；合同另有约定的，从其约定，但应当按照行业规范、交易习惯合理约定付款期限并及时支付款项，不得约定以收到第三方付款作为向中小企业支付款项的条件或者按照第三方付款进度比例支付中小企业款项。</w:t>
            </w:r>
            <w:r>
              <w:rPr>
                <w:rFonts w:hint="eastAsia" w:ascii="宋体" w:hAnsi="宋体" w:eastAsia="宋体" w:cs="宋体"/>
                <w:i w:val="0"/>
                <w:iCs w:val="0"/>
                <w:caps w:val="0"/>
                <w:color w:val="auto"/>
                <w:spacing w:val="0"/>
                <w:sz w:val="28"/>
                <w:szCs w:val="28"/>
                <w:highlight w:val="none"/>
                <w:shd w:val="clear" w:fill="FFFFFF"/>
                <w:lang w:eastAsia="zh-CN"/>
              </w:rPr>
              <w:t>”</w:t>
            </w:r>
            <w:r>
              <w:rPr>
                <w:rFonts w:hint="eastAsia" w:ascii="宋体" w:hAnsi="宋体" w:eastAsia="宋体" w:cs="宋体"/>
                <w:color w:val="auto"/>
                <w:sz w:val="28"/>
                <w:szCs w:val="28"/>
                <w:highlight w:val="none"/>
                <w:lang w:val="en-US" w:eastAsia="zh-CN"/>
              </w:rPr>
              <w:t>规定</w:t>
            </w:r>
            <w:r>
              <w:rPr>
                <w:rFonts w:hint="eastAsia" w:ascii="宋体" w:hAnsi="宋体" w:eastAsia="宋体" w:cs="宋体"/>
                <w:i w:val="0"/>
                <w:iCs w:val="0"/>
                <w:caps w:val="0"/>
                <w:color w:val="auto"/>
                <w:spacing w:val="0"/>
                <w:sz w:val="28"/>
                <w:szCs w:val="28"/>
                <w:highlight w:val="none"/>
                <w:shd w:val="clear" w:fill="FFFFFF"/>
                <w:lang w:eastAsia="zh-CN"/>
              </w:rPr>
              <w:t>及</w:t>
            </w:r>
            <w:r>
              <w:rPr>
                <w:rStyle w:val="17"/>
                <w:rFonts w:hint="eastAsia" w:ascii="宋体" w:hAnsi="宋体" w:eastAsia="宋体" w:cs="宋体"/>
                <w:i w:val="0"/>
                <w:iCs w:val="0"/>
                <w:caps w:val="0"/>
                <w:color w:val="auto"/>
                <w:spacing w:val="0"/>
                <w:sz w:val="28"/>
                <w:szCs w:val="28"/>
                <w:highlight w:val="none"/>
                <w:shd w:val="clear" w:fill="FFFFFF"/>
              </w:rPr>
              <w:t>第十条</w:t>
            </w:r>
            <w:r>
              <w:rPr>
                <w:rFonts w:hint="eastAsia" w:ascii="宋体" w:hAnsi="宋体" w:eastAsia="宋体" w:cs="宋体"/>
                <w:i w:val="0"/>
                <w:iCs w:val="0"/>
                <w:caps w:val="0"/>
                <w:color w:val="auto"/>
                <w:spacing w:val="0"/>
                <w:sz w:val="28"/>
                <w:szCs w:val="28"/>
                <w:highlight w:val="none"/>
                <w:shd w:val="clear" w:fill="FFFFFF"/>
                <w:lang w:eastAsia="zh-CN"/>
              </w:rPr>
              <w:t>“</w:t>
            </w:r>
            <w:r>
              <w:rPr>
                <w:rFonts w:hint="eastAsia" w:ascii="宋体" w:hAnsi="宋体" w:eastAsia="宋体" w:cs="宋体"/>
                <w:i w:val="0"/>
                <w:iCs w:val="0"/>
                <w:caps w:val="0"/>
                <w:color w:val="auto"/>
                <w:spacing w:val="0"/>
                <w:sz w:val="28"/>
                <w:szCs w:val="28"/>
                <w:highlight w:val="none"/>
                <w:shd w:val="clear" w:fill="FFFFFF"/>
              </w:rPr>
              <w:t>机关、事业单位和大型企业与中小企业约定以货物、工程、服务交付后经检验或者验收合格作为支付中小企业款项条件的，付款期限应当自检验或者验收合格之日起算。</w:t>
            </w:r>
            <w:r>
              <w:rPr>
                <w:rFonts w:hint="eastAsia" w:ascii="宋体" w:hAnsi="宋体" w:eastAsia="宋体" w:cs="宋体"/>
                <w:i w:val="0"/>
                <w:iCs w:val="0"/>
                <w:caps w:val="0"/>
                <w:color w:val="auto"/>
                <w:spacing w:val="0"/>
                <w:sz w:val="28"/>
                <w:szCs w:val="28"/>
                <w:highlight w:val="none"/>
                <w:shd w:val="clear" w:fill="FFFFFF"/>
                <w:lang w:eastAsia="zh-CN"/>
              </w:rPr>
              <w:t>”</w:t>
            </w:r>
            <w:r>
              <w:rPr>
                <w:rFonts w:hint="eastAsia" w:ascii="宋体" w:hAnsi="宋体" w:eastAsia="宋体" w:cs="宋体"/>
                <w:color w:val="auto"/>
                <w:sz w:val="28"/>
                <w:szCs w:val="28"/>
                <w:highlight w:val="none"/>
                <w:lang w:val="en-US" w:eastAsia="zh-CN"/>
              </w:rPr>
              <w:t>规定，本项目经评审，所有采购标的均为中小企业（含个体工商户）制造的货物，或者监狱企业提供本单位制造的货物；或者残疾人福利性单位提供本单位制造的货物（或提供其他残疾人福利性单位制造的货物），</w:t>
            </w:r>
            <w:r>
              <w:rPr>
                <w:rFonts w:hint="eastAsia" w:ascii="宋体" w:hAnsi="宋体" w:cs="宋体"/>
                <w:color w:val="auto"/>
                <w:sz w:val="28"/>
                <w:szCs w:val="28"/>
                <w:highlight w:val="none"/>
                <w:lang w:eastAsia="zh-CN"/>
              </w:rPr>
              <w:t>成交</w:t>
            </w:r>
            <w:r>
              <w:rPr>
                <w:rFonts w:hint="default" w:ascii="宋体" w:hAnsi="宋体" w:cs="宋体"/>
                <w:color w:val="auto"/>
                <w:sz w:val="28"/>
                <w:szCs w:val="28"/>
                <w:highlight w:val="none"/>
                <w:lang w:eastAsia="zh-CN"/>
              </w:rPr>
              <w:t>供应商</w:t>
            </w:r>
            <w:r>
              <w:rPr>
                <w:rFonts w:hint="eastAsia" w:ascii="宋体" w:hAnsi="宋体" w:eastAsia="宋体" w:cs="宋体"/>
                <w:color w:val="auto"/>
                <w:kern w:val="2"/>
                <w:sz w:val="28"/>
                <w:szCs w:val="28"/>
                <w:highlight w:val="none"/>
                <w:lang w:val="en-GB" w:eastAsia="zh-CN" w:bidi="ar"/>
              </w:rPr>
              <w:t>选择自行完成仓储配送的</w:t>
            </w:r>
            <w:r>
              <w:rPr>
                <w:rFonts w:hint="eastAsia" w:ascii="宋体" w:hAnsi="宋体" w:eastAsia="宋体" w:cs="宋体"/>
                <w:color w:val="auto"/>
                <w:sz w:val="28"/>
                <w:szCs w:val="28"/>
                <w:highlight w:val="none"/>
                <w:lang w:val="en-GB"/>
              </w:rPr>
              <w:t>，该批次货物经安装调试完毕并经最终验收合格后，</w:t>
            </w:r>
            <w:r>
              <w:rPr>
                <w:rFonts w:hint="eastAsia" w:ascii="宋体" w:hAnsi="宋体" w:eastAsia="宋体" w:cs="宋体"/>
                <w:color w:val="auto"/>
                <w:sz w:val="28"/>
                <w:szCs w:val="28"/>
                <w:highlight w:val="none"/>
                <w:lang w:val="en-GB" w:eastAsia="zh-CN"/>
              </w:rPr>
              <w:t>征集人</w:t>
            </w:r>
            <w:r>
              <w:rPr>
                <w:rFonts w:hint="eastAsia" w:ascii="宋体" w:hAnsi="宋体" w:eastAsia="宋体" w:cs="宋体"/>
                <w:color w:val="auto"/>
                <w:sz w:val="28"/>
                <w:szCs w:val="28"/>
                <w:highlight w:val="none"/>
                <w:lang w:val="en-GB"/>
              </w:rPr>
              <w:t>凭</w:t>
            </w:r>
            <w:r>
              <w:rPr>
                <w:rFonts w:hint="eastAsia" w:ascii="宋体" w:hAnsi="宋体" w:eastAsia="宋体" w:cs="宋体"/>
                <w:color w:val="auto"/>
                <w:sz w:val="28"/>
                <w:szCs w:val="28"/>
                <w:highlight w:val="none"/>
                <w:lang w:val="en-GB" w:eastAsia="zh-CN"/>
              </w:rPr>
              <w:t>合同要求的</w:t>
            </w:r>
            <w:r>
              <w:rPr>
                <w:rFonts w:hint="eastAsia" w:ascii="宋体" w:hAnsi="宋体" w:eastAsia="宋体" w:cs="宋体"/>
                <w:color w:val="auto"/>
                <w:sz w:val="28"/>
                <w:szCs w:val="28"/>
                <w:highlight w:val="none"/>
                <w:lang w:val="en-GB"/>
              </w:rPr>
              <w:t>单证和文件在</w:t>
            </w:r>
            <w:sdt>
              <w:sdtPr>
                <w:rPr>
                  <w:rFonts w:hint="eastAsia" w:ascii="宋体" w:hAnsi="宋体" w:eastAsia="宋体" w:cs="宋体"/>
                  <w:color w:val="auto"/>
                  <w:sz w:val="28"/>
                  <w:szCs w:val="28"/>
                  <w:highlight w:val="none"/>
                  <w:lang w:val="en-US" w:eastAsia="zh-CN"/>
                </w:rPr>
                <w:id w:val="147455121"/>
                <w:placeholder>
                  <w:docPart w:val="{ca955d0b-6d9d-4f41-87eb-3b60505c1c8b}"/>
                </w:placeholder>
              </w:sdtPr>
              <w:sdtEndPr>
                <w:rPr>
                  <w:rFonts w:hint="eastAsia" w:ascii="宋体" w:hAnsi="宋体" w:eastAsia="宋体" w:cs="宋体"/>
                  <w:color w:val="auto"/>
                  <w:sz w:val="28"/>
                  <w:szCs w:val="28"/>
                  <w:highlight w:val="none"/>
                  <w:lang w:val="en-US" w:eastAsia="zh-CN"/>
                </w:rPr>
              </w:sdtEndPr>
              <w:sdtContent>
                <w:r>
                  <w:rPr>
                    <w:rFonts w:hint="eastAsia" w:ascii="宋体" w:hAnsi="宋体" w:eastAsia="宋体" w:cs="宋体"/>
                    <w:color w:val="auto"/>
                    <w:sz w:val="28"/>
                    <w:szCs w:val="28"/>
                    <w:highlight w:val="none"/>
                    <w:lang w:val="en-US" w:eastAsia="zh-CN"/>
                  </w:rPr>
                  <w:t>60</w:t>
                </w:r>
              </w:sdtContent>
            </w:sdt>
            <w:r>
              <w:rPr>
                <w:rFonts w:hint="eastAsia" w:ascii="宋体" w:hAnsi="宋体" w:eastAsia="宋体" w:cs="宋体"/>
                <w:color w:val="auto"/>
                <w:sz w:val="28"/>
                <w:szCs w:val="28"/>
                <w:highlight w:val="none"/>
                <w:lang w:val="en-GB"/>
              </w:rPr>
              <w:t>个日历日内</w:t>
            </w:r>
            <w:r>
              <w:rPr>
                <w:rFonts w:hint="eastAsia" w:ascii="宋体" w:hAnsi="宋体" w:eastAsia="宋体" w:cs="宋体"/>
                <w:color w:val="auto"/>
                <w:sz w:val="28"/>
                <w:szCs w:val="28"/>
                <w:highlight w:val="none"/>
                <w:lang w:val="en-GB" w:eastAsia="zh-CN"/>
              </w:rPr>
              <w:t>（账期核算时间从该批次货物经安装调试完毕且最终用户签署验收单之日开始）</w:t>
            </w:r>
            <w:r>
              <w:rPr>
                <w:rFonts w:hint="eastAsia" w:ascii="宋体" w:hAnsi="宋体" w:eastAsia="宋体" w:cs="宋体"/>
                <w:color w:val="auto"/>
                <w:sz w:val="28"/>
                <w:szCs w:val="28"/>
                <w:highlight w:val="none"/>
                <w:lang w:val="en-GB"/>
              </w:rPr>
              <w:t>向</w:t>
            </w:r>
            <w:r>
              <w:rPr>
                <w:rFonts w:hint="eastAsia" w:ascii="宋体" w:hAnsi="宋体" w:cs="宋体"/>
                <w:color w:val="auto"/>
                <w:sz w:val="28"/>
                <w:szCs w:val="28"/>
                <w:highlight w:val="none"/>
                <w:lang w:val="en-GB" w:eastAsia="zh-CN"/>
              </w:rPr>
              <w:t>成交</w:t>
            </w:r>
            <w:r>
              <w:rPr>
                <w:rFonts w:hint="eastAsia" w:ascii="宋体" w:hAnsi="宋体" w:eastAsia="宋体" w:cs="宋体"/>
                <w:color w:val="auto"/>
                <w:sz w:val="28"/>
                <w:szCs w:val="28"/>
                <w:highlight w:val="none"/>
                <w:lang w:val="en-GB" w:eastAsia="zh-CN"/>
              </w:rPr>
              <w:t>供应商</w:t>
            </w:r>
            <w:r>
              <w:rPr>
                <w:rFonts w:hint="eastAsia" w:ascii="宋体" w:hAnsi="宋体" w:eastAsia="宋体" w:cs="宋体"/>
                <w:color w:val="auto"/>
                <w:sz w:val="28"/>
                <w:szCs w:val="28"/>
                <w:highlight w:val="none"/>
                <w:lang w:val="en-GB"/>
              </w:rPr>
              <w:t>一次性付清该批次货款的</w:t>
            </w:r>
            <w:sdt>
              <w:sdtPr>
                <w:rPr>
                  <w:rFonts w:hint="eastAsia" w:ascii="宋体" w:hAnsi="宋体" w:eastAsia="宋体" w:cs="宋体"/>
                  <w:color w:val="auto"/>
                  <w:sz w:val="28"/>
                  <w:szCs w:val="28"/>
                  <w:highlight w:val="none"/>
                  <w:lang w:val="en-US" w:eastAsia="zh-CN"/>
                </w:rPr>
                <w:id w:val="147467950"/>
                <w:placeholder>
                  <w:docPart w:val="{aa65ef12-ee59-4cfd-bfcb-14e1cc005daf}"/>
                </w:placeholder>
              </w:sdtPr>
              <w:sdtEndPr>
                <w:rPr>
                  <w:rFonts w:hint="eastAsia" w:ascii="宋体" w:hAnsi="宋体" w:eastAsia="宋体" w:cs="宋体"/>
                  <w:color w:val="auto"/>
                  <w:sz w:val="28"/>
                  <w:szCs w:val="28"/>
                  <w:highlight w:val="none"/>
                  <w:lang w:val="en-US" w:eastAsia="zh-CN"/>
                </w:rPr>
              </w:sdtEndPr>
              <w:sdtContent>
                <w:r>
                  <w:rPr>
                    <w:rFonts w:hint="eastAsia" w:ascii="宋体" w:hAnsi="宋体" w:eastAsia="宋体" w:cs="宋体"/>
                    <w:color w:val="auto"/>
                    <w:sz w:val="28"/>
                    <w:szCs w:val="28"/>
                    <w:highlight w:val="none"/>
                    <w:lang w:val="en-GB"/>
                  </w:rPr>
                  <w:t>全款</w:t>
                </w:r>
              </w:sdtContent>
            </w:sdt>
            <w:r>
              <w:rPr>
                <w:rFonts w:hint="eastAsia" w:ascii="宋体" w:hAnsi="宋体" w:eastAsia="宋体" w:cs="宋体"/>
                <w:color w:val="auto"/>
                <w:sz w:val="28"/>
                <w:szCs w:val="28"/>
                <w:highlight w:val="none"/>
                <w:lang w:val="en-GB"/>
              </w:rPr>
              <w:t>。</w:t>
            </w:r>
          </w:p>
        </w:tc>
      </w:tr>
    </w:tbl>
    <w:p w14:paraId="1EC36B22">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 </w:t>
      </w:r>
    </w:p>
    <w:p w14:paraId="130BE076">
      <w:pPr>
        <w:pStyle w:val="12"/>
        <w:widowControl/>
        <w:spacing w:before="0" w:beforeAutospacing="0" w:after="0" w:afterAutospacing="0" w:line="36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 </w:t>
      </w:r>
    </w:p>
    <w:p w14:paraId="5197FC71">
      <w:pPr>
        <w:pStyle w:val="12"/>
        <w:widowControl/>
        <w:spacing w:before="0" w:beforeAutospacing="0" w:after="0" w:afterAutospacing="0" w:line="360" w:lineRule="auto"/>
        <w:jc w:val="center"/>
        <w:rPr>
          <w:rFonts w:hint="eastAsia" w:ascii="宋体" w:hAnsi="宋体" w:cs="宋体"/>
          <w:color w:val="auto"/>
          <w:sz w:val="28"/>
          <w:szCs w:val="28"/>
          <w:highlight w:val="none"/>
        </w:rPr>
      </w:pPr>
    </w:p>
    <w:p w14:paraId="35EFB117">
      <w:pPr>
        <w:pStyle w:val="12"/>
        <w:widowControl/>
        <w:spacing w:before="0" w:beforeAutospacing="0" w:after="0" w:afterAutospacing="0" w:line="360" w:lineRule="auto"/>
        <w:jc w:val="center"/>
        <w:rPr>
          <w:rFonts w:hint="eastAsia" w:ascii="宋体" w:hAnsi="宋体" w:cs="宋体"/>
          <w:color w:val="auto"/>
          <w:sz w:val="28"/>
          <w:szCs w:val="28"/>
          <w:highlight w:val="none"/>
        </w:rPr>
      </w:pPr>
    </w:p>
    <w:p w14:paraId="4D86C465">
      <w:pPr>
        <w:pStyle w:val="12"/>
        <w:widowControl/>
        <w:spacing w:before="50" w:beforeAutospacing="0" w:after="50" w:afterAutospacing="0"/>
        <w:jc w:val="center"/>
        <w:rPr>
          <w:rStyle w:val="17"/>
          <w:rFonts w:hint="eastAsia" w:ascii="宋体" w:hAnsi="宋体" w:cs="宋体"/>
          <w:color w:val="auto"/>
          <w:sz w:val="28"/>
          <w:szCs w:val="28"/>
          <w:highlight w:val="none"/>
        </w:rPr>
      </w:pPr>
    </w:p>
    <w:p w14:paraId="4C918938">
      <w:pPr>
        <w:pStyle w:val="12"/>
        <w:widowControl/>
        <w:spacing w:before="50" w:beforeAutospacing="0" w:after="50" w:afterAutospacing="0"/>
        <w:jc w:val="center"/>
        <w:outlineLvl w:val="0"/>
        <w:rPr>
          <w:rFonts w:ascii="宋体" w:hAnsi="宋体" w:cs="宋体"/>
          <w:color w:val="auto"/>
          <w:sz w:val="28"/>
          <w:szCs w:val="28"/>
          <w:highlight w:val="none"/>
        </w:rPr>
      </w:pPr>
      <w:r>
        <w:rPr>
          <w:rStyle w:val="17"/>
          <w:rFonts w:hint="eastAsia" w:ascii="宋体" w:hAnsi="宋体" w:cs="宋体"/>
          <w:color w:val="auto"/>
          <w:sz w:val="28"/>
          <w:szCs w:val="28"/>
          <w:highlight w:val="none"/>
        </w:rPr>
        <w:t>第三章</w:t>
      </w:r>
      <w:r>
        <w:rPr>
          <w:rStyle w:val="17"/>
          <w:rFonts w:hint="default" w:ascii="宋体" w:hAnsi="宋体" w:cs="宋体"/>
          <w:color w:val="auto"/>
          <w:sz w:val="28"/>
          <w:szCs w:val="28"/>
          <w:highlight w:val="none"/>
        </w:rPr>
        <w:t xml:space="preserve">  </w:t>
      </w:r>
      <w:r>
        <w:rPr>
          <w:rStyle w:val="17"/>
          <w:rFonts w:hint="eastAsia" w:ascii="宋体" w:hAnsi="宋体" w:cs="宋体"/>
          <w:color w:val="auto"/>
          <w:sz w:val="28"/>
          <w:szCs w:val="28"/>
          <w:highlight w:val="none"/>
        </w:rPr>
        <w:t>投标人须知</w:t>
      </w:r>
    </w:p>
    <w:p w14:paraId="271BBA30">
      <w:pPr>
        <w:pStyle w:val="12"/>
        <w:widowControl/>
        <w:spacing w:before="50" w:beforeAutospacing="0" w:after="50" w:afterAutospacing="0"/>
        <w:rPr>
          <w:rFonts w:ascii="宋体" w:hAnsi="宋体" w:cs="宋体"/>
          <w:color w:val="auto"/>
          <w:sz w:val="28"/>
          <w:szCs w:val="28"/>
          <w:highlight w:val="none"/>
        </w:rPr>
      </w:pPr>
      <w:r>
        <w:rPr>
          <w:rFonts w:hint="eastAsia" w:ascii="宋体" w:hAnsi="宋体" w:cs="宋体"/>
          <w:color w:val="auto"/>
          <w:sz w:val="28"/>
          <w:szCs w:val="28"/>
          <w:highlight w:val="none"/>
        </w:rPr>
        <w:t> </w:t>
      </w:r>
    </w:p>
    <w:p w14:paraId="14FD15DB">
      <w:pPr>
        <w:pStyle w:val="12"/>
        <w:widowControl/>
        <w:spacing w:before="0" w:beforeAutospacing="0" w:after="0" w:afterAutospacing="0" w:line="360" w:lineRule="auto"/>
        <w:jc w:val="center"/>
        <w:outlineLvl w:val="1"/>
        <w:rPr>
          <w:rFonts w:hint="eastAsia" w:ascii="宋体" w:hAnsi="宋体" w:cs="宋体"/>
          <w:color w:val="auto"/>
          <w:sz w:val="28"/>
          <w:szCs w:val="28"/>
          <w:highlight w:val="none"/>
        </w:rPr>
      </w:pPr>
      <w:r>
        <w:rPr>
          <w:rStyle w:val="17"/>
          <w:rFonts w:hint="eastAsia" w:ascii="宋体" w:hAnsi="宋体" w:cs="宋体"/>
          <w:color w:val="auto"/>
          <w:sz w:val="28"/>
          <w:szCs w:val="28"/>
          <w:highlight w:val="none"/>
        </w:rPr>
        <w:t>一、总则</w:t>
      </w:r>
    </w:p>
    <w:p w14:paraId="7F0D8140">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1、适用范围</w:t>
      </w:r>
    </w:p>
    <w:p w14:paraId="463C2709">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1.1适用于征集文件载明项目的政府采购活动（以下简称：“本次采购活动”）。</w:t>
      </w:r>
    </w:p>
    <w:p w14:paraId="53764A57">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2、定义</w:t>
      </w:r>
    </w:p>
    <w:p w14:paraId="6EFC7DDC">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2.1“采购标的”指征集文件载明的需要采购的货物或服务。</w:t>
      </w:r>
    </w:p>
    <w:p w14:paraId="6C2F4375">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2.2“潜在投标人”指按照征集文件第一章第</w:t>
      </w:r>
      <w:r>
        <w:rPr>
          <w:rFonts w:hint="eastAsia" w:ascii="宋体" w:hAnsi="宋体" w:cs="宋体"/>
          <w:color w:val="auto"/>
          <w:sz w:val="28"/>
          <w:szCs w:val="28"/>
          <w:highlight w:val="none"/>
          <w:lang w:val="en-US" w:eastAsia="zh-CN"/>
        </w:rPr>
        <w:t>8</w:t>
      </w:r>
      <w:r>
        <w:rPr>
          <w:rFonts w:hint="eastAsia" w:ascii="宋体" w:hAnsi="宋体" w:cs="宋体"/>
          <w:color w:val="auto"/>
          <w:sz w:val="28"/>
          <w:szCs w:val="28"/>
          <w:highlight w:val="none"/>
        </w:rPr>
        <w:t>条规定获取征集文件且有意向参加本项目投标的供应商。</w:t>
      </w:r>
    </w:p>
    <w:p w14:paraId="39F74E64">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2.3“投标人”指按照征集文件第一章第</w:t>
      </w:r>
      <w:r>
        <w:rPr>
          <w:rFonts w:hint="eastAsia" w:ascii="宋体" w:hAnsi="宋体" w:cs="宋体"/>
          <w:color w:val="auto"/>
          <w:sz w:val="28"/>
          <w:szCs w:val="28"/>
          <w:highlight w:val="none"/>
          <w:lang w:val="en-US" w:eastAsia="zh-CN"/>
        </w:rPr>
        <w:t>8</w:t>
      </w:r>
      <w:r>
        <w:rPr>
          <w:rFonts w:hint="eastAsia" w:ascii="宋体" w:hAnsi="宋体" w:cs="宋体"/>
          <w:color w:val="auto"/>
          <w:sz w:val="28"/>
          <w:szCs w:val="28"/>
          <w:highlight w:val="none"/>
        </w:rPr>
        <w:t>条规定获取征集文件并参加本项目投标的供应商。</w:t>
      </w:r>
    </w:p>
    <w:p w14:paraId="2F7657EF">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2.4“单位负责人”指单位法定代表人或法律、法规规定代表单位行使职权的主要负责人。</w:t>
      </w:r>
    </w:p>
    <w:p w14:paraId="25A310BE">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2.5“投标人代表”指投标人的单位负责人或“单位负责人授权书”中载明的接受授权方。</w:t>
      </w:r>
    </w:p>
    <w:p w14:paraId="16473C6D">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 </w:t>
      </w:r>
    </w:p>
    <w:p w14:paraId="66788739">
      <w:pPr>
        <w:pStyle w:val="12"/>
        <w:widowControl/>
        <w:spacing w:before="0" w:beforeAutospacing="0" w:after="0" w:afterAutospacing="0" w:line="360" w:lineRule="auto"/>
        <w:jc w:val="center"/>
        <w:outlineLvl w:val="1"/>
        <w:rPr>
          <w:rFonts w:hint="eastAsia" w:ascii="宋体" w:hAnsi="宋体" w:cs="宋体"/>
          <w:color w:val="auto"/>
          <w:sz w:val="28"/>
          <w:szCs w:val="28"/>
          <w:highlight w:val="none"/>
        </w:rPr>
      </w:pPr>
      <w:r>
        <w:rPr>
          <w:rStyle w:val="17"/>
          <w:rFonts w:hint="eastAsia" w:ascii="宋体" w:hAnsi="宋体" w:cs="宋体"/>
          <w:color w:val="auto"/>
          <w:sz w:val="28"/>
          <w:szCs w:val="28"/>
          <w:highlight w:val="none"/>
        </w:rPr>
        <w:t>二、投标人</w:t>
      </w:r>
    </w:p>
    <w:p w14:paraId="0087A00D">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3、合格投标人</w:t>
      </w:r>
    </w:p>
    <w:p w14:paraId="32B8EFE1">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3.1一般规定</w:t>
      </w:r>
    </w:p>
    <w:p w14:paraId="452788DC">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（1）投标人应遵守政府采购法及实施条例、政府采购招投标管理办法、政府采购质疑和投诉办法及财政部、福建省财政厅有关政府采购文件的规定，同时还应遵守有关法律、法规和规章的强制性规定。</w:t>
      </w:r>
    </w:p>
    <w:p w14:paraId="3B80A0BE">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（2）投标人的资格要求：详见征集文件第一章。</w:t>
      </w:r>
    </w:p>
    <w:p w14:paraId="29782FFA">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3.2若本项目接受联合体投标且投标人为联合体，则联合体各方应遵守本章第3.1条规定，同时还应遵守下列规定：</w:t>
      </w:r>
    </w:p>
    <w:p w14:paraId="19D72C3B">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（1）联合体各方应提交联合体协议，联合体协议应符合征集文件规定。</w:t>
      </w:r>
    </w:p>
    <w:p w14:paraId="23C4DDAB">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（2）联合体各方不得再单独参加或与其他供应商另外组成联合体参加同一合同项下的投标。</w:t>
      </w:r>
    </w:p>
    <w:p w14:paraId="6E9899C0">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（3）联合体各方应共同与</w:t>
      </w:r>
      <w:r>
        <w:rPr>
          <w:rFonts w:hint="eastAsia" w:ascii="宋体" w:hAnsi="宋体" w:cs="宋体"/>
          <w:color w:val="auto"/>
          <w:sz w:val="28"/>
          <w:szCs w:val="28"/>
          <w:highlight w:val="none"/>
          <w:lang w:eastAsia="zh-CN"/>
        </w:rPr>
        <w:t>征集人</w:t>
      </w:r>
      <w:r>
        <w:rPr>
          <w:rFonts w:hint="eastAsia" w:ascii="宋体" w:hAnsi="宋体" w:cs="宋体"/>
          <w:color w:val="auto"/>
          <w:sz w:val="28"/>
          <w:szCs w:val="28"/>
          <w:highlight w:val="none"/>
        </w:rPr>
        <w:t>签订政府采购合同，就政府采购合同约定的事项对</w:t>
      </w:r>
      <w:r>
        <w:rPr>
          <w:rFonts w:hint="eastAsia" w:ascii="宋体" w:hAnsi="宋体" w:cs="宋体"/>
          <w:color w:val="auto"/>
          <w:sz w:val="28"/>
          <w:szCs w:val="28"/>
          <w:highlight w:val="none"/>
          <w:lang w:eastAsia="zh-CN"/>
        </w:rPr>
        <w:t>征集人</w:t>
      </w:r>
      <w:r>
        <w:rPr>
          <w:rFonts w:hint="eastAsia" w:ascii="宋体" w:hAnsi="宋体" w:cs="宋体"/>
          <w:color w:val="auto"/>
          <w:sz w:val="28"/>
          <w:szCs w:val="28"/>
          <w:highlight w:val="none"/>
        </w:rPr>
        <w:t>承担连带责任。</w:t>
      </w:r>
    </w:p>
    <w:p w14:paraId="2C8F202F">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4、投标费用</w:t>
      </w:r>
    </w:p>
    <w:p w14:paraId="0793B9BA">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4.1除征集文件另有规定外，投标人应自行承担其参加本项目投标所涉及的一切费用。</w:t>
      </w:r>
    </w:p>
    <w:p w14:paraId="3C99D141">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 </w:t>
      </w:r>
    </w:p>
    <w:p w14:paraId="7452A653">
      <w:pPr>
        <w:pStyle w:val="12"/>
        <w:widowControl/>
        <w:spacing w:before="0" w:beforeAutospacing="0" w:after="0" w:afterAutospacing="0" w:line="360" w:lineRule="auto"/>
        <w:jc w:val="center"/>
        <w:outlineLvl w:val="1"/>
        <w:rPr>
          <w:rFonts w:hint="eastAsia" w:ascii="宋体" w:hAnsi="宋体" w:cs="宋体"/>
          <w:color w:val="auto"/>
          <w:sz w:val="28"/>
          <w:szCs w:val="28"/>
          <w:highlight w:val="none"/>
        </w:rPr>
      </w:pPr>
      <w:r>
        <w:rPr>
          <w:rStyle w:val="17"/>
          <w:rFonts w:hint="eastAsia" w:ascii="宋体" w:hAnsi="宋体" w:cs="宋体"/>
          <w:color w:val="auto"/>
          <w:sz w:val="28"/>
          <w:szCs w:val="28"/>
          <w:highlight w:val="none"/>
        </w:rPr>
        <w:t>三、招标</w:t>
      </w:r>
    </w:p>
    <w:p w14:paraId="0EE41FA9">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5、征集文件</w:t>
      </w:r>
    </w:p>
    <w:p w14:paraId="57047D9C">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5.1征集文件由下述部分组成：</w:t>
      </w:r>
    </w:p>
    <w:p w14:paraId="6F7639E5">
      <w:pPr>
        <w:pStyle w:val="12"/>
        <w:widowControl/>
        <w:numPr>
          <w:ilvl w:val="0"/>
          <w:numId w:val="1"/>
        </w:numPr>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参加征集活动的邀请</w:t>
      </w:r>
    </w:p>
    <w:p w14:paraId="160B9439">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（2）投标人须知前附表（表1、2）</w:t>
      </w:r>
    </w:p>
    <w:p w14:paraId="46793890">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（3）投标人须知</w:t>
      </w:r>
    </w:p>
    <w:p w14:paraId="08AC4740">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（4）资格审查与评标</w:t>
      </w:r>
    </w:p>
    <w:p w14:paraId="53DA34CE">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（5）征集内容及要求</w:t>
      </w:r>
    </w:p>
    <w:p w14:paraId="2D02DD7C">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（6）框架协议</w:t>
      </w:r>
    </w:p>
    <w:p w14:paraId="09DA484A">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（7）政府采购合同</w:t>
      </w:r>
    </w:p>
    <w:p w14:paraId="3F5B4002">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（8）响应文件格式</w:t>
      </w:r>
    </w:p>
    <w:p w14:paraId="3AEA7FDC">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（9）按照征集文件规定作为征集文件组成部分的其他内容（若有）</w:t>
      </w:r>
    </w:p>
    <w:p w14:paraId="6CDC72F0">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5.2征集文件的澄清或修改</w:t>
      </w:r>
    </w:p>
    <w:p w14:paraId="7DDD2256">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（1）</w:t>
      </w:r>
      <w:r>
        <w:rPr>
          <w:rFonts w:hint="eastAsia" w:ascii="宋体" w:hAnsi="宋体" w:cs="宋体"/>
          <w:color w:val="auto"/>
          <w:sz w:val="28"/>
          <w:szCs w:val="28"/>
          <w:highlight w:val="none"/>
          <w:u w:val="single"/>
        </w:rPr>
        <w:t>厦门万翔招标有限公司</w:t>
      </w:r>
      <w:r>
        <w:rPr>
          <w:rFonts w:hint="eastAsia" w:ascii="宋体" w:hAnsi="宋体" w:cs="宋体"/>
          <w:color w:val="auto"/>
          <w:sz w:val="28"/>
          <w:szCs w:val="28"/>
          <w:highlight w:val="none"/>
        </w:rPr>
        <w:t>可对已发出的征集文件进行必要的澄清或修改，但不得对征集文件载明的采购标的和投标人的资格要求进行改变。</w:t>
      </w:r>
    </w:p>
    <w:p w14:paraId="7E315569">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（2）除本章第5.2条第（3）款规定情形外，澄清或修改的内容可能影响响应文件编制的，</w:t>
      </w:r>
      <w:r>
        <w:rPr>
          <w:rFonts w:hint="eastAsia" w:ascii="宋体" w:hAnsi="宋体" w:cs="宋体"/>
          <w:color w:val="auto"/>
          <w:sz w:val="28"/>
          <w:szCs w:val="28"/>
          <w:highlight w:val="none"/>
          <w:u w:val="single"/>
        </w:rPr>
        <w:t>厦门万翔招标有限公司</w:t>
      </w:r>
      <w:r>
        <w:rPr>
          <w:rFonts w:hint="eastAsia" w:ascii="宋体" w:hAnsi="宋体" w:cs="宋体"/>
          <w:color w:val="auto"/>
          <w:sz w:val="28"/>
          <w:szCs w:val="28"/>
          <w:highlight w:val="none"/>
        </w:rPr>
        <w:t>将在投标截止时间至少15个日历日前，在征集文件载明的指定媒体以更正公告的形式发布澄清或修改的内容。不足15个日历日的，</w:t>
      </w:r>
      <w:r>
        <w:rPr>
          <w:rFonts w:hint="eastAsia" w:ascii="宋体" w:hAnsi="宋体" w:cs="宋体"/>
          <w:color w:val="auto"/>
          <w:sz w:val="28"/>
          <w:szCs w:val="28"/>
          <w:highlight w:val="none"/>
          <w:u w:val="single"/>
        </w:rPr>
        <w:t>厦门万翔招标有限公司</w:t>
      </w:r>
      <w:r>
        <w:rPr>
          <w:rFonts w:hint="eastAsia" w:ascii="宋体" w:hAnsi="宋体" w:cs="宋体"/>
          <w:color w:val="auto"/>
          <w:sz w:val="28"/>
          <w:szCs w:val="28"/>
          <w:highlight w:val="none"/>
        </w:rPr>
        <w:t>将顺延投标截止时间及开标时间，</w:t>
      </w:r>
      <w:r>
        <w:rPr>
          <w:rFonts w:hint="eastAsia" w:ascii="宋体" w:hAnsi="宋体" w:cs="宋体"/>
          <w:color w:val="auto"/>
          <w:sz w:val="28"/>
          <w:szCs w:val="28"/>
          <w:highlight w:val="none"/>
          <w:u w:val="single"/>
        </w:rPr>
        <w:t>厦门万翔招标有限公司</w:t>
      </w:r>
      <w:r>
        <w:rPr>
          <w:rFonts w:hint="eastAsia" w:ascii="宋体" w:hAnsi="宋体" w:cs="宋体"/>
          <w:color w:val="auto"/>
          <w:sz w:val="28"/>
          <w:szCs w:val="28"/>
          <w:highlight w:val="none"/>
        </w:rPr>
        <w:t>和投标人受原投标截止时间及开标时间制约的所有权利和义务均延长至新的投标截止时间及开标时间。</w:t>
      </w:r>
    </w:p>
    <w:p w14:paraId="6DC63270">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（3）澄清或修改的内容可能改变征集文件载明的采购标的和投标人的资格要求的，本次采购活动结束，</w:t>
      </w:r>
      <w:r>
        <w:rPr>
          <w:rFonts w:hint="eastAsia" w:ascii="宋体" w:hAnsi="宋体" w:cs="宋体"/>
          <w:color w:val="auto"/>
          <w:sz w:val="28"/>
          <w:szCs w:val="28"/>
          <w:highlight w:val="none"/>
          <w:u w:val="single"/>
        </w:rPr>
        <w:t>厦门万翔招标有限公司</w:t>
      </w:r>
      <w:r>
        <w:rPr>
          <w:rFonts w:hint="eastAsia" w:ascii="宋体" w:hAnsi="宋体" w:cs="宋体"/>
          <w:color w:val="auto"/>
          <w:sz w:val="28"/>
          <w:szCs w:val="28"/>
          <w:highlight w:val="none"/>
        </w:rPr>
        <w:t>将依法组织后续采购活动（包括但不限于：重新招标、采用其他方式采购等）。</w:t>
      </w:r>
    </w:p>
    <w:p w14:paraId="73DE27C7">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6、现场考察或开标前答疑会</w:t>
      </w:r>
    </w:p>
    <w:p w14:paraId="351C7105">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6.1是否组织现场考察或召开开标前答疑会：详见征集文件第二章。</w:t>
      </w:r>
    </w:p>
    <w:p w14:paraId="55A44CA7">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7、更正公告</w:t>
      </w:r>
    </w:p>
    <w:p w14:paraId="2185BE2C">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7.1若</w:t>
      </w:r>
      <w:r>
        <w:rPr>
          <w:rFonts w:hint="eastAsia" w:ascii="宋体" w:hAnsi="宋体" w:cs="宋体"/>
          <w:color w:val="auto"/>
          <w:sz w:val="28"/>
          <w:szCs w:val="28"/>
          <w:highlight w:val="none"/>
          <w:u w:val="single"/>
        </w:rPr>
        <w:t>厦门万翔招标有限公司</w:t>
      </w:r>
      <w:r>
        <w:rPr>
          <w:rFonts w:hint="eastAsia" w:ascii="宋体" w:hAnsi="宋体" w:cs="宋体"/>
          <w:color w:val="auto"/>
          <w:sz w:val="28"/>
          <w:szCs w:val="28"/>
          <w:highlight w:val="none"/>
        </w:rPr>
        <w:t>发布更正公告，则更正公告及其所发布的内容或信息（包括但不限于：征集文件的澄清或修改、现场考察或答疑会的有关事宜等）</w:t>
      </w:r>
      <w:r>
        <w:rPr>
          <w:rStyle w:val="17"/>
          <w:rFonts w:hint="eastAsia" w:ascii="宋体" w:hAnsi="宋体" w:cs="宋体"/>
          <w:color w:val="auto"/>
          <w:sz w:val="28"/>
          <w:szCs w:val="28"/>
          <w:highlight w:val="none"/>
        </w:rPr>
        <w:t>作为征集文件组成部分</w:t>
      </w:r>
      <w:r>
        <w:rPr>
          <w:rFonts w:hint="eastAsia" w:ascii="宋体" w:hAnsi="宋体" w:cs="宋体"/>
          <w:color w:val="auto"/>
          <w:sz w:val="28"/>
          <w:szCs w:val="28"/>
          <w:highlight w:val="none"/>
        </w:rPr>
        <w:t>，对投标人具有约束力。</w:t>
      </w:r>
    </w:p>
    <w:p w14:paraId="368BF858">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7.2更正公告作为</w:t>
      </w:r>
      <w:r>
        <w:rPr>
          <w:rFonts w:hint="eastAsia" w:ascii="宋体" w:hAnsi="宋体" w:cs="宋体"/>
          <w:color w:val="auto"/>
          <w:sz w:val="28"/>
          <w:szCs w:val="28"/>
          <w:highlight w:val="none"/>
          <w:u w:val="single"/>
        </w:rPr>
        <w:t>厦门万翔招标有限公司</w:t>
      </w:r>
      <w:r>
        <w:rPr>
          <w:rFonts w:hint="eastAsia" w:ascii="宋体" w:hAnsi="宋体" w:cs="宋体"/>
          <w:color w:val="auto"/>
          <w:sz w:val="28"/>
          <w:szCs w:val="28"/>
          <w:highlight w:val="none"/>
        </w:rPr>
        <w:t>通知所有潜在投标人的书面形式。</w:t>
      </w:r>
    </w:p>
    <w:p w14:paraId="0D17AD38">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8、终止公告</w:t>
      </w:r>
    </w:p>
    <w:p w14:paraId="2EF69F0C">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8.1若出现因重大变故导致采购任务取消情形，厦门万翔招标有限公司可终止招标并发布终止公告。</w:t>
      </w:r>
    </w:p>
    <w:p w14:paraId="10BE66C8">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8.2终止公告作为厦门万翔招标有限公司通知所有潜在投标人的书面形式。</w:t>
      </w:r>
    </w:p>
    <w:p w14:paraId="01E22A5C">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 </w:t>
      </w:r>
    </w:p>
    <w:p w14:paraId="3E7BD280">
      <w:pPr>
        <w:pStyle w:val="12"/>
        <w:widowControl/>
        <w:spacing w:before="0" w:beforeAutospacing="0" w:after="0" w:afterAutospacing="0" w:line="360" w:lineRule="auto"/>
        <w:jc w:val="center"/>
        <w:outlineLvl w:val="1"/>
        <w:rPr>
          <w:rFonts w:hint="eastAsia" w:ascii="宋体" w:hAnsi="宋体" w:cs="宋体"/>
          <w:color w:val="auto"/>
          <w:sz w:val="28"/>
          <w:szCs w:val="28"/>
          <w:highlight w:val="none"/>
        </w:rPr>
      </w:pPr>
      <w:r>
        <w:rPr>
          <w:rStyle w:val="17"/>
          <w:rFonts w:hint="eastAsia" w:ascii="宋体" w:hAnsi="宋体" w:cs="宋体"/>
          <w:color w:val="auto"/>
          <w:sz w:val="28"/>
          <w:szCs w:val="28"/>
          <w:highlight w:val="none"/>
        </w:rPr>
        <w:t>四、投标</w:t>
      </w:r>
    </w:p>
    <w:p w14:paraId="58C7AB50">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9、投标</w:t>
      </w:r>
    </w:p>
    <w:p w14:paraId="1B9D7015">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9.1投标人可对征集文件载明的全部或部分采购包进行投标。</w:t>
      </w:r>
    </w:p>
    <w:p w14:paraId="34BF9542">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9.2投标人应对同一个采购包内的所有内容进行完整投标，否则</w:t>
      </w:r>
      <w:r>
        <w:rPr>
          <w:rStyle w:val="17"/>
          <w:rFonts w:hint="eastAsia" w:ascii="宋体" w:hAnsi="宋体" w:cs="宋体"/>
          <w:color w:val="auto"/>
          <w:sz w:val="28"/>
          <w:szCs w:val="28"/>
          <w:highlight w:val="none"/>
        </w:rPr>
        <w:t>投标无效</w:t>
      </w:r>
      <w:r>
        <w:rPr>
          <w:rFonts w:hint="eastAsia" w:ascii="宋体" w:hAnsi="宋体" w:cs="宋体"/>
          <w:color w:val="auto"/>
          <w:sz w:val="28"/>
          <w:szCs w:val="28"/>
          <w:highlight w:val="none"/>
        </w:rPr>
        <w:t>。</w:t>
      </w:r>
    </w:p>
    <w:p w14:paraId="322658F5">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9.3投标人代表只能接受一个投标人的授权参加投标，否则</w:t>
      </w:r>
      <w:r>
        <w:rPr>
          <w:rStyle w:val="17"/>
          <w:rFonts w:hint="eastAsia" w:ascii="宋体" w:hAnsi="宋体" w:cs="宋体"/>
          <w:color w:val="auto"/>
          <w:sz w:val="28"/>
          <w:szCs w:val="28"/>
          <w:highlight w:val="none"/>
        </w:rPr>
        <w:t>投标无效</w:t>
      </w:r>
      <w:r>
        <w:rPr>
          <w:rFonts w:hint="eastAsia" w:ascii="宋体" w:hAnsi="宋体" w:cs="宋体"/>
          <w:color w:val="auto"/>
          <w:sz w:val="28"/>
          <w:szCs w:val="28"/>
          <w:highlight w:val="none"/>
        </w:rPr>
        <w:t>。</w:t>
      </w:r>
    </w:p>
    <w:p w14:paraId="0F55624C">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9.4单位负责人为同一人或存在直接控股、管理关系的不同供应商，不得同时参加同一合同项下的投标，否则</w:t>
      </w:r>
      <w:r>
        <w:rPr>
          <w:rStyle w:val="17"/>
          <w:rFonts w:hint="eastAsia" w:ascii="宋体" w:hAnsi="宋体" w:cs="宋体"/>
          <w:color w:val="auto"/>
          <w:sz w:val="28"/>
          <w:szCs w:val="28"/>
          <w:highlight w:val="none"/>
        </w:rPr>
        <w:t>投标无效</w:t>
      </w:r>
      <w:r>
        <w:rPr>
          <w:rFonts w:hint="eastAsia" w:ascii="宋体" w:hAnsi="宋体" w:cs="宋体"/>
          <w:color w:val="auto"/>
          <w:sz w:val="28"/>
          <w:szCs w:val="28"/>
          <w:highlight w:val="none"/>
        </w:rPr>
        <w:t>。</w:t>
      </w:r>
    </w:p>
    <w:p w14:paraId="595DA1B9">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9.5为本项目提供整体设计、规范编制或项目管理、监理、检测等服务的供应商，不得参加本项目除整体设计、规范编制和项目管理、监理、检测等服务外的采购活动，否则</w:t>
      </w:r>
      <w:r>
        <w:rPr>
          <w:rStyle w:val="17"/>
          <w:rFonts w:hint="eastAsia" w:ascii="宋体" w:hAnsi="宋体" w:cs="宋体"/>
          <w:color w:val="auto"/>
          <w:sz w:val="28"/>
          <w:szCs w:val="28"/>
          <w:highlight w:val="none"/>
        </w:rPr>
        <w:t>投标无效</w:t>
      </w:r>
      <w:r>
        <w:rPr>
          <w:rFonts w:hint="eastAsia" w:ascii="宋体" w:hAnsi="宋体" w:cs="宋体"/>
          <w:color w:val="auto"/>
          <w:sz w:val="28"/>
          <w:szCs w:val="28"/>
          <w:highlight w:val="none"/>
        </w:rPr>
        <w:t>。</w:t>
      </w:r>
    </w:p>
    <w:p w14:paraId="7BDB036A">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9.6列入失信被执行人、重大税收违法案件当事人名单、政府采购严重违法失信行为记录名单及其他不符合政府采购法第二十二条规定条件的供应商，不得参加投标，否则</w:t>
      </w:r>
      <w:r>
        <w:rPr>
          <w:rStyle w:val="17"/>
          <w:rFonts w:hint="eastAsia" w:ascii="宋体" w:hAnsi="宋体" w:cs="宋体"/>
          <w:color w:val="auto"/>
          <w:sz w:val="28"/>
          <w:szCs w:val="28"/>
          <w:highlight w:val="none"/>
        </w:rPr>
        <w:t>投标无效</w:t>
      </w:r>
      <w:r>
        <w:rPr>
          <w:rFonts w:hint="eastAsia" w:ascii="宋体" w:hAnsi="宋体" w:cs="宋体"/>
          <w:color w:val="auto"/>
          <w:sz w:val="28"/>
          <w:szCs w:val="28"/>
          <w:highlight w:val="none"/>
        </w:rPr>
        <w:t>。</w:t>
      </w:r>
    </w:p>
    <w:p w14:paraId="17340500">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9.7有下列情形之一的，视为投标人串通投标，</w:t>
      </w:r>
      <w:r>
        <w:rPr>
          <w:rStyle w:val="17"/>
          <w:rFonts w:hint="eastAsia" w:ascii="宋体" w:hAnsi="宋体" w:cs="宋体"/>
          <w:color w:val="auto"/>
          <w:sz w:val="28"/>
          <w:szCs w:val="28"/>
          <w:highlight w:val="none"/>
        </w:rPr>
        <w:t>其投标无效：</w:t>
      </w:r>
    </w:p>
    <w:p w14:paraId="3300B0AA">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（1）不同投标人的投标文件由同一单位或个人编制；</w:t>
      </w:r>
    </w:p>
    <w:p w14:paraId="7B5ACFEC">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（2）不同投标人委托同一单位或个人办理投标事宜；</w:t>
      </w:r>
    </w:p>
    <w:p w14:paraId="724B32B4">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（3）不同投标人的投标文件载明的项目管理成员或联系人员为同一人；</w:t>
      </w:r>
    </w:p>
    <w:p w14:paraId="6CC2238A">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（4）不同投标人的投标文件异常一致或投标报价呈规律性差异；</w:t>
      </w:r>
    </w:p>
    <w:p w14:paraId="76D1A29E">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（5）不同投标人的投标文件相互混装；</w:t>
      </w:r>
    </w:p>
    <w:p w14:paraId="4F6EEB74">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（6）不同投标人的投标保证金从同一单位或个人的账户转出；</w:t>
      </w:r>
    </w:p>
    <w:p w14:paraId="6F386D00">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（7）有关法律、法规和规章及征集文件规定的其他串通投标情形。</w:t>
      </w:r>
    </w:p>
    <w:p w14:paraId="0099307C">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10、响应文件</w:t>
      </w:r>
    </w:p>
    <w:p w14:paraId="65002BEC">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10.1响应文件的编制</w:t>
      </w:r>
    </w:p>
    <w:p w14:paraId="660AB6D6">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（1）投标人应先仔细阅读征集文件的全部内容后，再进行响应文件的编制。</w:t>
      </w:r>
    </w:p>
    <w:p w14:paraId="0CCA5714">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（2）响应文件应按照本章第10.2条规定编制其组成部分。</w:t>
      </w:r>
    </w:p>
    <w:p w14:paraId="6036CB6F">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（3）响应文件应满足征集文件提出的实质性要求和条件，并保证其所提交的全部资料是不可割离且真实、有效、准确、完整和不具有任何误导性的，否则造成不利后果由投标人承担责任。</w:t>
      </w:r>
    </w:p>
    <w:p w14:paraId="10C1D453">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10.2响应文件由下述部分组成：</w:t>
      </w:r>
    </w:p>
    <w:p w14:paraId="4F2CEA80">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（1）资格及资信证明部分</w:t>
      </w:r>
    </w:p>
    <w:p w14:paraId="6AFFC12A">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①投标函</w:t>
      </w:r>
    </w:p>
    <w:p w14:paraId="7DCD5C86">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②投标人的资格及资信证明文件</w:t>
      </w:r>
    </w:p>
    <w:p w14:paraId="39988674">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③投标保证金</w:t>
      </w:r>
    </w:p>
    <w:p w14:paraId="6341FFD3">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（2）报价部分</w:t>
      </w:r>
    </w:p>
    <w:p w14:paraId="68FB5BD2">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①开标一览表</w:t>
      </w:r>
    </w:p>
    <w:p w14:paraId="2B62B2EC">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②征集文件规定的价格扣除证明材料（若有）</w:t>
      </w:r>
    </w:p>
    <w:p w14:paraId="45FCE4E2">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（3）技术商务部分</w:t>
      </w:r>
    </w:p>
    <w:p w14:paraId="65F27321">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①标的说明一览表</w:t>
      </w:r>
    </w:p>
    <w:p w14:paraId="5826620E">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②技术和服务要求响应表</w:t>
      </w:r>
    </w:p>
    <w:p w14:paraId="2B5AF0E4">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③商务条件响应表</w:t>
      </w:r>
    </w:p>
    <w:p w14:paraId="74802E34">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④投标人提交的其他资料（若有）</w:t>
      </w:r>
    </w:p>
    <w:p w14:paraId="46C70A59">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10.3响应文件的语言</w:t>
      </w:r>
    </w:p>
    <w:p w14:paraId="33FBA1BD">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（1）除征集文件另有规定外，响应文件应使用中文文本，若有不同文本，以中文文本为准。</w:t>
      </w:r>
    </w:p>
    <w:p w14:paraId="74A89A9D">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2）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25041D92">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10.4响应文件的份数：详见征集文件第二章。</w:t>
      </w:r>
    </w:p>
    <w:p w14:paraId="145EA2A5">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10.5响应文件的格式</w:t>
      </w:r>
    </w:p>
    <w:p w14:paraId="0C820723">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（1）除征集文件另有规定外，响应文件应使用征集文件第七章规定的格式。</w:t>
      </w:r>
    </w:p>
    <w:p w14:paraId="5E2D3CCF">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（2）除征集文件另有规定外，响应文件应使用不能擦去的墨料或墨水打印、书写或复印。</w:t>
      </w:r>
    </w:p>
    <w:p w14:paraId="1F210D48">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（3）除征集文件另有规定外，响应文件应使用人民币作为计量货币。</w:t>
      </w:r>
    </w:p>
    <w:p w14:paraId="0AF83E94">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（4）除征集文件另有规定外，签署、盖章应遵守下列规定：</w:t>
      </w:r>
    </w:p>
    <w:p w14:paraId="2DB8458B">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①响应文件应加盖投标人的单位公章。若投标人代表为单位授权的委托代理人，应提供“单位授权书”。</w:t>
      </w:r>
    </w:p>
    <w:p w14:paraId="640104FF">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②响应文件应没有涂改或行间插字，除非这些改动是根据</w:t>
      </w:r>
      <w:r>
        <w:rPr>
          <w:rFonts w:hint="eastAsia" w:ascii="宋体" w:hAnsi="宋体" w:cs="宋体"/>
          <w:color w:val="auto"/>
          <w:sz w:val="28"/>
          <w:szCs w:val="28"/>
          <w:highlight w:val="none"/>
          <w:u w:val="single"/>
        </w:rPr>
        <w:t>厦门万翔招标有限公司</w:t>
      </w:r>
      <w:r>
        <w:rPr>
          <w:rFonts w:hint="eastAsia" w:ascii="宋体" w:hAnsi="宋体" w:cs="宋体"/>
          <w:color w:val="auto"/>
          <w:sz w:val="28"/>
          <w:szCs w:val="28"/>
          <w:highlight w:val="none"/>
        </w:rPr>
        <w:t>的指示进行的，或是为改正投标人造成的应修改的错误而进行的。若有前述改动，应按照下列规定之一对改动处进行处理：</w:t>
      </w:r>
    </w:p>
    <w:p w14:paraId="2299890F">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a.投标人代表签字确认；</w:t>
      </w:r>
    </w:p>
    <w:p w14:paraId="4DFE7A09">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b.加盖投标人的单位公章或校正章。</w:t>
      </w:r>
    </w:p>
    <w:p w14:paraId="4D6FE49C">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10.6投标报价</w:t>
      </w:r>
    </w:p>
    <w:p w14:paraId="3B766089">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（1）投标报价超出最高限价将导致</w:t>
      </w:r>
      <w:r>
        <w:rPr>
          <w:rStyle w:val="17"/>
          <w:rFonts w:hint="eastAsia" w:ascii="宋体" w:hAnsi="宋体" w:cs="宋体"/>
          <w:color w:val="auto"/>
          <w:sz w:val="28"/>
          <w:szCs w:val="28"/>
          <w:highlight w:val="none"/>
        </w:rPr>
        <w:t>投标无效。</w:t>
      </w:r>
    </w:p>
    <w:p w14:paraId="35868303">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（2）最高限价由</w:t>
      </w:r>
      <w:r>
        <w:rPr>
          <w:rFonts w:hint="eastAsia" w:ascii="宋体" w:hAnsi="宋体" w:cs="宋体"/>
          <w:color w:val="auto"/>
          <w:sz w:val="28"/>
          <w:szCs w:val="28"/>
          <w:highlight w:val="none"/>
          <w:lang w:eastAsia="zh-CN"/>
        </w:rPr>
        <w:t>征集人</w:t>
      </w:r>
      <w:r>
        <w:rPr>
          <w:rFonts w:hint="eastAsia" w:ascii="宋体" w:hAnsi="宋体" w:cs="宋体"/>
          <w:color w:val="auto"/>
          <w:sz w:val="28"/>
          <w:szCs w:val="28"/>
          <w:highlight w:val="none"/>
        </w:rPr>
        <w:t>根据价格测算情况，在预算金额的额度内合理设定。</w:t>
      </w:r>
    </w:p>
    <w:p w14:paraId="77B712FD">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（3）除征集文件另有规定外，响应文件不能出现任何选择性的投标报价，即每一个采购包和品目号的采购标的都只能有一个投标报价。任何选择性的投标报价将导致</w:t>
      </w:r>
      <w:r>
        <w:rPr>
          <w:rStyle w:val="17"/>
          <w:rFonts w:hint="eastAsia" w:ascii="宋体" w:hAnsi="宋体" w:cs="宋体"/>
          <w:color w:val="auto"/>
          <w:sz w:val="28"/>
          <w:szCs w:val="28"/>
          <w:highlight w:val="none"/>
        </w:rPr>
        <w:t>投标无效。</w:t>
      </w:r>
    </w:p>
    <w:p w14:paraId="51CD23A1">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10.7分包</w:t>
      </w:r>
    </w:p>
    <w:p w14:paraId="53EFB157">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（1）是否允许入围供应商将本项目的非主体、非关键性工作进行分包：详见征集文件第二章。</w:t>
      </w:r>
    </w:p>
    <w:p w14:paraId="707A99CA">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（2）若允许入围供应商将本项目的非主体、非关键性工作进行分包且投标人拟在</w:t>
      </w:r>
      <w:r>
        <w:rPr>
          <w:rFonts w:hint="eastAsia" w:ascii="宋体" w:hAnsi="宋体" w:cs="宋体"/>
          <w:color w:val="auto"/>
          <w:sz w:val="28"/>
          <w:szCs w:val="28"/>
          <w:highlight w:val="none"/>
          <w:lang w:eastAsia="zh-CN"/>
        </w:rPr>
        <w:t>入围</w:t>
      </w:r>
      <w:r>
        <w:rPr>
          <w:rFonts w:hint="eastAsia" w:ascii="宋体" w:hAnsi="宋体" w:cs="宋体"/>
          <w:color w:val="auto"/>
          <w:sz w:val="28"/>
          <w:szCs w:val="28"/>
          <w:highlight w:val="none"/>
        </w:rPr>
        <w:t>后进行分包，则应在响应文件中提供分包意向协议，同时投标人应在响应文件中载明分包承担主体，分包承担主体应具备相应资质条件（若有）且不得再次分包。</w:t>
      </w:r>
    </w:p>
    <w:p w14:paraId="6EEC7A9B">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（3）征集文件允许入围供应商将非主体、非关键性工作进行分包的项目，有下列情形之一的，入围供应商不得分包：</w:t>
      </w:r>
    </w:p>
    <w:p w14:paraId="6EBF8BEB">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①响应文件中未载明分包承担主体；</w:t>
      </w:r>
    </w:p>
    <w:p w14:paraId="5E2502A0">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②响应文件载明的分包承担主体不具备相应资质条件；</w:t>
      </w:r>
    </w:p>
    <w:p w14:paraId="0364277F">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③响应文件载明的分包承担主体拟再次分包；</w:t>
      </w:r>
    </w:p>
    <w:p w14:paraId="10C15385">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  ④享受中小企业扶持政策获得政府采购合同的，小微企业不得将合同分包给大中型企业，中型企业不得将合同分包给大型企业。</w:t>
      </w:r>
    </w:p>
    <w:p w14:paraId="7262E953">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10.8投标有效期</w:t>
      </w:r>
    </w:p>
    <w:p w14:paraId="3A02A1D0">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（1）征集文件载明的投标有效期：详见征集文件第二章。</w:t>
      </w:r>
    </w:p>
    <w:p w14:paraId="7DC331A2">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（2）响应文件承诺的投标有效期不得少于征集文件载明的投标有效期，否则</w:t>
      </w:r>
      <w:r>
        <w:rPr>
          <w:rStyle w:val="17"/>
          <w:rFonts w:hint="eastAsia" w:ascii="宋体" w:hAnsi="宋体" w:cs="宋体"/>
          <w:color w:val="auto"/>
          <w:sz w:val="28"/>
          <w:szCs w:val="28"/>
          <w:highlight w:val="none"/>
        </w:rPr>
        <w:t>投标无效</w:t>
      </w:r>
      <w:r>
        <w:rPr>
          <w:rFonts w:hint="eastAsia" w:ascii="宋体" w:hAnsi="宋体" w:cs="宋体"/>
          <w:color w:val="auto"/>
          <w:sz w:val="28"/>
          <w:szCs w:val="28"/>
          <w:highlight w:val="none"/>
        </w:rPr>
        <w:t>。</w:t>
      </w:r>
    </w:p>
    <w:p w14:paraId="017862C9">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（3）根据本次采购活动的需要，</w:t>
      </w:r>
      <w:r>
        <w:rPr>
          <w:rFonts w:hint="eastAsia" w:ascii="宋体" w:hAnsi="宋体" w:cs="宋体"/>
          <w:color w:val="auto"/>
          <w:sz w:val="28"/>
          <w:szCs w:val="28"/>
          <w:highlight w:val="none"/>
          <w:u w:val="single"/>
        </w:rPr>
        <w:t>厦门万翔招标有限公司</w:t>
      </w:r>
      <w:r>
        <w:rPr>
          <w:rFonts w:hint="eastAsia" w:ascii="宋体" w:hAnsi="宋体" w:cs="宋体"/>
          <w:color w:val="auto"/>
          <w:sz w:val="28"/>
          <w:szCs w:val="28"/>
          <w:highlight w:val="none"/>
        </w:rPr>
        <w:t>可于投标有效期届满之前书面要求投标人延长投标有效期，投标人应在</w:t>
      </w:r>
      <w:r>
        <w:rPr>
          <w:rFonts w:hint="eastAsia" w:ascii="宋体" w:hAnsi="宋体" w:cs="宋体"/>
          <w:color w:val="auto"/>
          <w:sz w:val="28"/>
          <w:szCs w:val="28"/>
          <w:highlight w:val="none"/>
          <w:u w:val="single"/>
        </w:rPr>
        <w:t>厦门万翔招标有限公司</w:t>
      </w:r>
      <w:r>
        <w:rPr>
          <w:rFonts w:hint="eastAsia" w:ascii="宋体" w:hAnsi="宋体" w:cs="宋体"/>
          <w:color w:val="auto"/>
          <w:sz w:val="28"/>
          <w:szCs w:val="28"/>
          <w:highlight w:val="none"/>
        </w:rPr>
        <w:t>规定的期限内以书面形式予以答复。对于延长投标有效期的要求，投标人可以拒绝也可以接受，投标人答复不明确或逾期未答复的，均视为拒绝该要求。对于接受延长投标有效期的投标人，既不要求也不允许修改响应文件。</w:t>
      </w:r>
    </w:p>
    <w:p w14:paraId="5BADAEDC">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10.9投标保证金</w:t>
      </w:r>
    </w:p>
    <w:p w14:paraId="32592036">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（1）投标保证金作为投标人按照征集文件规定履行相应投标责任、义务的约束及担保。</w:t>
      </w:r>
    </w:p>
    <w:p w14:paraId="743FC437">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（2）投标保证金的有效期应与响应文件承诺的投标有效期保持一致，否则</w:t>
      </w:r>
      <w:r>
        <w:rPr>
          <w:rStyle w:val="17"/>
          <w:rFonts w:hint="eastAsia" w:ascii="宋体" w:hAnsi="宋体" w:cs="宋体"/>
          <w:color w:val="auto"/>
          <w:sz w:val="28"/>
          <w:szCs w:val="28"/>
          <w:highlight w:val="none"/>
        </w:rPr>
        <w:t>投标无效</w:t>
      </w:r>
      <w:r>
        <w:rPr>
          <w:rFonts w:hint="eastAsia" w:ascii="宋体" w:hAnsi="宋体" w:cs="宋体"/>
          <w:color w:val="auto"/>
          <w:sz w:val="28"/>
          <w:szCs w:val="28"/>
          <w:highlight w:val="none"/>
        </w:rPr>
        <w:t>。</w:t>
      </w:r>
    </w:p>
    <w:p w14:paraId="25C423A8">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（3）提交</w:t>
      </w:r>
    </w:p>
    <w:p w14:paraId="460F797D">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①投标人应从其银行账户</w:t>
      </w:r>
      <w:r>
        <w:rPr>
          <w:rStyle w:val="17"/>
          <w:rFonts w:hint="eastAsia" w:ascii="宋体" w:hAnsi="宋体" w:cs="宋体"/>
          <w:color w:val="auto"/>
          <w:sz w:val="28"/>
          <w:szCs w:val="28"/>
          <w:highlight w:val="none"/>
        </w:rPr>
        <w:t>（存款账户）</w:t>
      </w:r>
      <w:r>
        <w:rPr>
          <w:rFonts w:hint="eastAsia" w:ascii="宋体" w:hAnsi="宋体" w:cs="宋体"/>
          <w:color w:val="auto"/>
          <w:sz w:val="28"/>
          <w:szCs w:val="28"/>
          <w:highlight w:val="none"/>
        </w:rPr>
        <w:t>按照下列方式：</w:t>
      </w:r>
      <w:r>
        <w:rPr>
          <w:rStyle w:val="17"/>
          <w:rFonts w:hint="eastAsia" w:ascii="宋体" w:hAnsi="宋体" w:cs="宋体"/>
          <w:color w:val="auto"/>
          <w:sz w:val="28"/>
          <w:szCs w:val="28"/>
          <w:highlight w:val="none"/>
        </w:rPr>
        <w:t>公对公转账方式</w:t>
      </w:r>
      <w:r>
        <w:rPr>
          <w:rFonts w:hint="eastAsia" w:ascii="宋体" w:hAnsi="宋体" w:cs="宋体"/>
          <w:color w:val="auto"/>
          <w:sz w:val="28"/>
          <w:szCs w:val="28"/>
          <w:highlight w:val="none"/>
        </w:rPr>
        <w:t>向征集文件载明的投标保证金账户提交投标保证金，具体金额详见征集文件第一章。</w:t>
      </w:r>
    </w:p>
    <w:p w14:paraId="33A0810A">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②投标保证金应于投标截止时间前到达征集文件载明的投标保证金账户，否则视为投标保证金未提交</w:t>
      </w:r>
      <w:r>
        <w:rPr>
          <w:rStyle w:val="17"/>
          <w:rFonts w:hint="eastAsia" w:ascii="宋体" w:hAnsi="宋体" w:cs="宋体"/>
          <w:color w:val="auto"/>
          <w:sz w:val="28"/>
          <w:szCs w:val="28"/>
          <w:highlight w:val="none"/>
        </w:rPr>
        <w:t>。</w:t>
      </w:r>
    </w:p>
    <w:p w14:paraId="7BCA93AC">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③若本项目接受联合体投标且投标人为联合体，则联合体中的牵头方应按照本章第10.9条第（3）款第①、②点规定提交投标保证金。</w:t>
      </w:r>
    </w:p>
    <w:p w14:paraId="0D730B37">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Style w:val="17"/>
          <w:rFonts w:hint="eastAsia" w:ascii="宋体" w:hAnsi="宋体" w:cs="宋体"/>
          <w:color w:val="auto"/>
          <w:sz w:val="28"/>
          <w:szCs w:val="28"/>
          <w:highlight w:val="none"/>
        </w:rPr>
        <w:t>※除征集文件另有规定外，未按照上述规定提交投标保证金将导致资格审查不合格。</w:t>
      </w:r>
    </w:p>
    <w:p w14:paraId="23F44872">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（4）退还</w:t>
      </w:r>
    </w:p>
    <w:p w14:paraId="49797162">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①在投标截止时间前撤回已提交的响应文件的投标人，其投标保证金将在</w:t>
      </w:r>
      <w:r>
        <w:rPr>
          <w:rFonts w:hint="eastAsia" w:ascii="宋体" w:hAnsi="宋体" w:cs="宋体"/>
          <w:color w:val="auto"/>
          <w:sz w:val="28"/>
          <w:szCs w:val="28"/>
          <w:highlight w:val="none"/>
          <w:u w:val="single"/>
        </w:rPr>
        <w:t>厦门万翔招标有限公司</w:t>
      </w:r>
      <w:r>
        <w:rPr>
          <w:rFonts w:hint="eastAsia" w:ascii="宋体" w:hAnsi="宋体" w:cs="宋体"/>
          <w:color w:val="auto"/>
          <w:sz w:val="28"/>
          <w:szCs w:val="28"/>
          <w:highlight w:val="none"/>
        </w:rPr>
        <w:t>收到投标人书面撤回通知之日起5个工作日内退回原账户。</w:t>
      </w:r>
    </w:p>
    <w:p w14:paraId="4A8BA3CF">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②未入围供应商的投标保证金将在入围通知书发出之日起5个工作日内退回原账户。</w:t>
      </w:r>
    </w:p>
    <w:p w14:paraId="4A8AC674">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③入围供应商的投标保证金将在政府采购合同签订之日起5个工作日内退回原账户</w:t>
      </w:r>
      <w:r>
        <w:rPr>
          <w:rStyle w:val="17"/>
          <w:rFonts w:hint="eastAsia" w:ascii="宋体" w:hAnsi="宋体" w:cs="宋体"/>
          <w:color w:val="auto"/>
          <w:sz w:val="28"/>
          <w:szCs w:val="28"/>
          <w:highlight w:val="none"/>
        </w:rPr>
        <w:t>。</w:t>
      </w:r>
    </w:p>
    <w:p w14:paraId="28DD7EB0">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④终止招标的，</w:t>
      </w:r>
      <w:r>
        <w:rPr>
          <w:rFonts w:hint="eastAsia" w:ascii="宋体" w:hAnsi="宋体" w:cs="宋体"/>
          <w:color w:val="auto"/>
          <w:sz w:val="28"/>
          <w:szCs w:val="28"/>
          <w:highlight w:val="none"/>
          <w:u w:val="single"/>
        </w:rPr>
        <w:t>厦门万翔招标有限公司</w:t>
      </w:r>
      <w:r>
        <w:rPr>
          <w:rFonts w:hint="eastAsia" w:ascii="宋体" w:hAnsi="宋体" w:cs="宋体"/>
          <w:color w:val="auto"/>
          <w:sz w:val="28"/>
          <w:szCs w:val="28"/>
          <w:highlight w:val="none"/>
        </w:rPr>
        <w:t>将在终止公告发布之日起5个工作日内退回已收取的投标保证金及其在银行产生的孳息。</w:t>
      </w:r>
    </w:p>
    <w:p w14:paraId="2C21A61C">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⑤除征集文件另有规定外，质疑或投诉涉及的投标人，若投标保证金尚未退还，则待质疑或投诉处理完毕后不计利息原额退还。</w:t>
      </w:r>
    </w:p>
    <w:p w14:paraId="2FBD30A6">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Style w:val="17"/>
          <w:rFonts w:hint="eastAsia" w:ascii="宋体" w:hAnsi="宋体" w:cs="宋体"/>
          <w:color w:val="auto"/>
          <w:sz w:val="28"/>
          <w:szCs w:val="28"/>
          <w:highlight w:val="none"/>
        </w:rPr>
        <w:t>※本章第10.9条第（4）款第①、②、③点规定的投标保证金退还时限不包括因投标人自身原因导致无法及时退还而增加的时间。</w:t>
      </w:r>
    </w:p>
    <w:p w14:paraId="049BE444">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5）若出现本章第10.8条第（3）款规定情形，对于拒绝延长投标有效期的投标人，投标保证金仍可退还。对于接受延长投标有效期的投标人，相应延长投标保证金有效期，征集文件关于退还和不予退还投标保证金的规定继续适用。</w:t>
      </w:r>
    </w:p>
    <w:p w14:paraId="7FDB8863">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（6）有下列情形之一的，投标保证金将不予退还：</w:t>
      </w:r>
    </w:p>
    <w:p w14:paraId="64DABE98">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①投标人串通投标；</w:t>
      </w:r>
    </w:p>
    <w:p w14:paraId="0332EC83">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②投标人提供虚假材料；</w:t>
      </w:r>
    </w:p>
    <w:p w14:paraId="75357055">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③投标人采取不正当手段诋毁、排挤其他投标人；</w:t>
      </w:r>
    </w:p>
    <w:p w14:paraId="2DF5D901">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④投标截止时间后，投标人在投标有效期内撤销响应文件；</w:t>
      </w:r>
    </w:p>
    <w:p w14:paraId="32A8841E">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⑤征集文件规定的其他不予退还情形；</w:t>
      </w:r>
    </w:p>
    <w:p w14:paraId="0C466003">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⑥入围供应商有下列情形之一的：</w:t>
      </w:r>
    </w:p>
    <w:p w14:paraId="640F9B62">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a.除不可抗力外，因入围供应商自身原因未在入围通知书要求的期限内与</w:t>
      </w:r>
      <w:r>
        <w:rPr>
          <w:rFonts w:hint="eastAsia" w:ascii="宋体" w:hAnsi="宋体" w:cs="宋体"/>
          <w:color w:val="auto"/>
          <w:sz w:val="28"/>
          <w:szCs w:val="28"/>
          <w:highlight w:val="none"/>
          <w:lang w:eastAsia="zh-CN"/>
        </w:rPr>
        <w:t>征集人</w:t>
      </w:r>
      <w:r>
        <w:rPr>
          <w:rFonts w:hint="eastAsia" w:ascii="宋体" w:hAnsi="宋体" w:cs="宋体"/>
          <w:color w:val="auto"/>
          <w:sz w:val="28"/>
          <w:szCs w:val="28"/>
          <w:highlight w:val="none"/>
        </w:rPr>
        <w:t>签订政府采购合同；</w:t>
      </w:r>
    </w:p>
    <w:p w14:paraId="7C2FE219">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b.未按照征集文件、响应文件的约定签订政府采购合同或提交履约保证金。</w:t>
      </w:r>
    </w:p>
    <w:p w14:paraId="09BB3786">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Style w:val="17"/>
          <w:rFonts w:hint="eastAsia" w:ascii="宋体" w:hAnsi="宋体" w:cs="宋体"/>
          <w:color w:val="auto"/>
          <w:sz w:val="28"/>
          <w:szCs w:val="28"/>
          <w:highlight w:val="none"/>
        </w:rPr>
        <w:t>※若上述投标保证金不予退还情形给征集人（采购代理机构）造成损失，则投标人还要承担相应的赔偿责任。</w:t>
      </w:r>
    </w:p>
    <w:p w14:paraId="22300312">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10.10响应文件的提交</w:t>
      </w:r>
    </w:p>
    <w:p w14:paraId="50EF18E2">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（1）一个投标人只能提交一个响应文件，并按照征集文件第一章规定将其送达。</w:t>
      </w:r>
    </w:p>
    <w:p w14:paraId="2C571BBD">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10.11响应文件的补充、修改或撤回</w:t>
      </w:r>
    </w:p>
    <w:p w14:paraId="2CDCAAD0">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（1）投标截止时间前，投标人可对所提交的响应文件进行补充、修改或撤回，并书面通知</w:t>
      </w:r>
      <w:r>
        <w:rPr>
          <w:rFonts w:hint="eastAsia" w:ascii="宋体" w:hAnsi="宋体" w:cs="宋体"/>
          <w:color w:val="auto"/>
          <w:sz w:val="28"/>
          <w:szCs w:val="28"/>
          <w:highlight w:val="none"/>
          <w:u w:val="single"/>
        </w:rPr>
        <w:t>厦门万翔招标有限公司</w:t>
      </w:r>
      <w:r>
        <w:rPr>
          <w:rFonts w:hint="eastAsia" w:ascii="宋体" w:hAnsi="宋体" w:cs="宋体"/>
          <w:color w:val="auto"/>
          <w:sz w:val="28"/>
          <w:szCs w:val="28"/>
          <w:highlight w:val="none"/>
        </w:rPr>
        <w:t>。</w:t>
      </w:r>
    </w:p>
    <w:p w14:paraId="65FA0A72">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（2）补充、修改的内容应按照本章第10.5条第（4）款规定进行签署、盖章，并按照本章第10.10条规定提交，</w:t>
      </w:r>
      <w:r>
        <w:rPr>
          <w:rStyle w:val="17"/>
          <w:rFonts w:hint="eastAsia" w:ascii="宋体" w:hAnsi="宋体" w:cs="宋体"/>
          <w:color w:val="auto"/>
          <w:sz w:val="28"/>
          <w:szCs w:val="28"/>
          <w:highlight w:val="none"/>
        </w:rPr>
        <w:t>否则将被拒收。</w:t>
      </w:r>
    </w:p>
    <w:p w14:paraId="6B956D68">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Style w:val="17"/>
          <w:rFonts w:hint="eastAsia" w:ascii="宋体" w:hAnsi="宋体" w:cs="宋体"/>
          <w:color w:val="auto"/>
          <w:sz w:val="28"/>
          <w:szCs w:val="28"/>
          <w:highlight w:val="none"/>
        </w:rPr>
        <w:t>※按照上述规定提交的补充、修改内容作为响应文件组成部分。</w:t>
      </w:r>
    </w:p>
    <w:p w14:paraId="595C41C2">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10.12除征集文件另有规定外，有下列情形之一的，</w:t>
      </w:r>
      <w:r>
        <w:rPr>
          <w:rStyle w:val="17"/>
          <w:rFonts w:hint="eastAsia" w:ascii="宋体" w:hAnsi="宋体" w:cs="宋体"/>
          <w:color w:val="auto"/>
          <w:sz w:val="28"/>
          <w:szCs w:val="28"/>
          <w:highlight w:val="none"/>
        </w:rPr>
        <w:t>投标无效</w:t>
      </w:r>
      <w:r>
        <w:rPr>
          <w:rFonts w:hint="eastAsia" w:ascii="宋体" w:hAnsi="宋体" w:cs="宋体"/>
          <w:color w:val="auto"/>
          <w:sz w:val="28"/>
          <w:szCs w:val="28"/>
          <w:highlight w:val="none"/>
        </w:rPr>
        <w:t>：</w:t>
      </w:r>
    </w:p>
    <w:p w14:paraId="0E6BAB21">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（1）响应文件未按照征集文件要求签署、盖章；</w:t>
      </w:r>
    </w:p>
    <w:p w14:paraId="359F8C15">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（2）不符合征集文件中规定的资格要求；</w:t>
      </w:r>
    </w:p>
    <w:p w14:paraId="5D273530">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（3）投标报价超过征集文件中规定的预算金额或最高限价；</w:t>
      </w:r>
    </w:p>
    <w:p w14:paraId="07363FB8">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（4）响应文件含有</w:t>
      </w:r>
      <w:r>
        <w:rPr>
          <w:rFonts w:hint="eastAsia" w:ascii="宋体" w:hAnsi="宋体" w:cs="宋体"/>
          <w:color w:val="auto"/>
          <w:sz w:val="28"/>
          <w:szCs w:val="28"/>
          <w:highlight w:val="none"/>
          <w:lang w:eastAsia="zh-CN"/>
        </w:rPr>
        <w:t>征集人</w:t>
      </w:r>
      <w:r>
        <w:rPr>
          <w:rFonts w:hint="eastAsia" w:ascii="宋体" w:hAnsi="宋体" w:cs="宋体"/>
          <w:color w:val="auto"/>
          <w:sz w:val="28"/>
          <w:szCs w:val="28"/>
          <w:highlight w:val="none"/>
        </w:rPr>
        <w:t>不能接受的附加条件；</w:t>
      </w:r>
    </w:p>
    <w:p w14:paraId="59BD8932">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（5）有关法律、法规和规章及征集文件规定的其他无效情形。</w:t>
      </w:r>
    </w:p>
    <w:p w14:paraId="5907CBE2">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 </w:t>
      </w:r>
    </w:p>
    <w:p w14:paraId="6D3E564E">
      <w:pPr>
        <w:pStyle w:val="12"/>
        <w:widowControl/>
        <w:spacing w:before="0" w:beforeAutospacing="0" w:after="0" w:afterAutospacing="0" w:line="360" w:lineRule="auto"/>
        <w:jc w:val="center"/>
        <w:outlineLvl w:val="1"/>
        <w:rPr>
          <w:rFonts w:hint="eastAsia" w:ascii="宋体" w:hAnsi="宋体" w:cs="宋体"/>
          <w:color w:val="auto"/>
          <w:sz w:val="28"/>
          <w:szCs w:val="28"/>
          <w:highlight w:val="none"/>
        </w:rPr>
      </w:pPr>
      <w:r>
        <w:rPr>
          <w:rStyle w:val="17"/>
          <w:rFonts w:hint="eastAsia" w:ascii="宋体" w:hAnsi="宋体" w:cs="宋体"/>
          <w:color w:val="auto"/>
          <w:sz w:val="28"/>
          <w:szCs w:val="28"/>
          <w:highlight w:val="none"/>
        </w:rPr>
        <w:t>五、开标</w:t>
      </w:r>
    </w:p>
    <w:p w14:paraId="052B7EC9">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11、开标</w:t>
      </w:r>
    </w:p>
    <w:p w14:paraId="1A82BE3B">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11.1</w:t>
      </w:r>
      <w:r>
        <w:rPr>
          <w:rFonts w:hint="eastAsia" w:ascii="宋体" w:hAnsi="宋体" w:cs="宋体"/>
          <w:color w:val="auto"/>
          <w:sz w:val="28"/>
          <w:szCs w:val="28"/>
          <w:highlight w:val="none"/>
          <w:u w:val="single"/>
        </w:rPr>
        <w:t>厦门万翔招标有限公司</w:t>
      </w:r>
      <w:r>
        <w:rPr>
          <w:rFonts w:hint="eastAsia" w:ascii="宋体" w:hAnsi="宋体" w:cs="宋体"/>
          <w:color w:val="auto"/>
          <w:sz w:val="28"/>
          <w:szCs w:val="28"/>
          <w:highlight w:val="none"/>
        </w:rPr>
        <w:t>将在征集文件载明的开标时间及地点主持召开开标会，并邀请投标人参加。</w:t>
      </w:r>
    </w:p>
    <w:p w14:paraId="0A3F568E">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11.2开标会的主持人、唱标人、记录人及其他工作人员（若有）均由</w:t>
      </w:r>
      <w:r>
        <w:rPr>
          <w:rFonts w:hint="eastAsia" w:ascii="宋体" w:hAnsi="宋体" w:cs="宋体"/>
          <w:color w:val="auto"/>
          <w:sz w:val="28"/>
          <w:szCs w:val="28"/>
          <w:highlight w:val="none"/>
          <w:u w:val="single"/>
        </w:rPr>
        <w:t>厦门万翔招标有限公司</w:t>
      </w:r>
      <w:r>
        <w:rPr>
          <w:rFonts w:hint="eastAsia" w:ascii="宋体" w:hAnsi="宋体" w:cs="宋体"/>
          <w:color w:val="auto"/>
          <w:sz w:val="28"/>
          <w:szCs w:val="28"/>
          <w:highlight w:val="none"/>
        </w:rPr>
        <w:t>派出，现场监督人员（若有）可由有关方面派出。</w:t>
      </w:r>
    </w:p>
    <w:p w14:paraId="726B521A">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11.3参加现场开标会的投标人应签到。</w:t>
      </w:r>
    </w:p>
    <w:p w14:paraId="2C9D9B13">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11.4开标会应遵守下列规定：</w:t>
      </w:r>
    </w:p>
    <w:p w14:paraId="72C800A4">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（1）首先由主持人宣布开标会须知，然后由投标人代表对响应文件的密封情况进行检查，经确认无误后，由工作人员对密封的响应文件当众拆封。</w:t>
      </w:r>
    </w:p>
    <w:p w14:paraId="75CE0BC3">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2）唱标时，唱标人将依次宣布“投标人名称”、“各投标人关于响应文件补充、修改或撤回的书面通知（若有）”、“各投标人的投标报价”和征集文件规定的需要宣布的其他内容（包括但不限于：开标一览表中的内容、唱标人认为需要宣布的内容等）。</w:t>
      </w:r>
    </w:p>
    <w:p w14:paraId="59B0B3AB">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（3）记录人对唱标人宣布的内容作开标记录。</w:t>
      </w:r>
    </w:p>
    <w:p w14:paraId="6668B20C">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4）唱标结束后，投标人代表应对开标记录进行签字确认。投标人代表的签字确认，视为投标人对开标过程和开标记录予以认可。投标人代表拒绝签字确认且无正当理由，亦视为投标人对开标过程和开标记录予以认可。</w:t>
      </w:r>
    </w:p>
    <w:p w14:paraId="1EE0CBEA">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（5）投标人代表对开标过程和开标记录有疑义，以及认为</w:t>
      </w:r>
      <w:r>
        <w:rPr>
          <w:rFonts w:hint="eastAsia" w:ascii="宋体" w:hAnsi="宋体" w:cs="宋体"/>
          <w:color w:val="auto"/>
          <w:sz w:val="28"/>
          <w:szCs w:val="28"/>
          <w:highlight w:val="none"/>
          <w:lang w:eastAsia="zh-CN"/>
        </w:rPr>
        <w:t>征集人</w:t>
      </w:r>
      <w:r>
        <w:rPr>
          <w:rFonts w:hint="eastAsia" w:ascii="宋体" w:hAnsi="宋体" w:cs="宋体"/>
          <w:color w:val="auto"/>
          <w:sz w:val="28"/>
          <w:szCs w:val="28"/>
          <w:highlight w:val="none"/>
        </w:rPr>
        <w:t>（采购代理机构）相关工作人员有需要回避情形的，应当场提出询问或回避申请。否则，视为投标人对开标过程和开标记录予以认可。</w:t>
      </w:r>
    </w:p>
    <w:p w14:paraId="72E6713C">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（6）若投标人未参加开标会（包括但不限于投标人派出的人员不是投标人代表），视同其对开标过程和开标记录予以认可。</w:t>
      </w:r>
    </w:p>
    <w:p w14:paraId="5A215093">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Style w:val="17"/>
          <w:rFonts w:hint="eastAsia" w:ascii="宋体" w:hAnsi="宋体" w:cs="宋体"/>
          <w:color w:val="auto"/>
          <w:sz w:val="28"/>
          <w:szCs w:val="28"/>
          <w:highlight w:val="none"/>
        </w:rPr>
        <w:t>※若出现本章第11.4条第（4）、（5）、（6）款规定情形之一</w:t>
      </w:r>
      <w:r>
        <w:rPr>
          <w:rFonts w:hint="eastAsia" w:ascii="宋体" w:hAnsi="宋体" w:cs="宋体"/>
          <w:color w:val="auto"/>
          <w:sz w:val="28"/>
          <w:szCs w:val="28"/>
          <w:highlight w:val="none"/>
        </w:rPr>
        <w:t>，</w:t>
      </w:r>
      <w:r>
        <w:rPr>
          <w:rStyle w:val="17"/>
          <w:rFonts w:hint="eastAsia" w:ascii="宋体" w:hAnsi="宋体" w:cs="宋体"/>
          <w:color w:val="auto"/>
          <w:sz w:val="28"/>
          <w:szCs w:val="28"/>
          <w:highlight w:val="none"/>
        </w:rPr>
        <w:t>则投标人不得在开标会后就开标过程和开标记录涉及或可能涉及的有关事由（包括但不限于：“投标报价”、“响应文件的格式”、“响应文件的提交”、“响应文件的补充、修改或撤回”等）向</w:t>
      </w:r>
      <w:r>
        <w:rPr>
          <w:rFonts w:hint="eastAsia" w:ascii="宋体" w:hAnsi="宋体" w:cs="宋体"/>
          <w:color w:val="auto"/>
          <w:sz w:val="28"/>
          <w:szCs w:val="28"/>
          <w:highlight w:val="none"/>
          <w:u w:val="single"/>
        </w:rPr>
        <w:t>厦门万翔招标有限公司</w:t>
      </w:r>
      <w:r>
        <w:rPr>
          <w:rStyle w:val="17"/>
          <w:rFonts w:hint="eastAsia" w:ascii="宋体" w:hAnsi="宋体" w:cs="宋体"/>
          <w:color w:val="auto"/>
          <w:sz w:val="28"/>
          <w:szCs w:val="28"/>
          <w:highlight w:val="none"/>
        </w:rPr>
        <w:t>提出任何疑义或要求（包括质疑）。</w:t>
      </w:r>
    </w:p>
    <w:p w14:paraId="7DBEFAF9">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11.5投标截止时间后，参加投标的投标人不足</w:t>
      </w:r>
      <w:r>
        <w:rPr>
          <w:rFonts w:hint="eastAsia" w:ascii="宋体" w:hAnsi="宋体" w:cs="宋体"/>
          <w:color w:val="auto"/>
          <w:sz w:val="28"/>
          <w:szCs w:val="28"/>
          <w:highlight w:val="none"/>
          <w:lang w:val="en-US" w:eastAsia="zh-CN"/>
        </w:rPr>
        <w:t>两</w:t>
      </w:r>
      <w:r>
        <w:rPr>
          <w:rFonts w:hint="eastAsia" w:ascii="宋体" w:hAnsi="宋体" w:cs="宋体"/>
          <w:color w:val="auto"/>
          <w:sz w:val="28"/>
          <w:szCs w:val="28"/>
          <w:highlight w:val="none"/>
        </w:rPr>
        <w:t>家的，不进行开标。同时，本次采购活动结束，</w:t>
      </w:r>
      <w:r>
        <w:rPr>
          <w:rFonts w:hint="eastAsia" w:ascii="宋体" w:hAnsi="宋体" w:cs="宋体"/>
          <w:color w:val="auto"/>
          <w:sz w:val="28"/>
          <w:szCs w:val="28"/>
          <w:highlight w:val="none"/>
          <w:u w:val="single"/>
        </w:rPr>
        <w:t>厦门万翔招标有限公司</w:t>
      </w:r>
      <w:r>
        <w:rPr>
          <w:rFonts w:hint="eastAsia" w:ascii="宋体" w:hAnsi="宋体" w:cs="宋体"/>
          <w:color w:val="auto"/>
          <w:sz w:val="28"/>
          <w:szCs w:val="28"/>
          <w:highlight w:val="none"/>
        </w:rPr>
        <w:t>将依法组织后续采购活动（包括但不限于：重新招标、采用其他方式采购等）。</w:t>
      </w:r>
    </w:p>
    <w:p w14:paraId="4BD7032A">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11.6投标截止时间后撤销投标的处理</w:t>
      </w:r>
      <w:r>
        <w:rPr>
          <w:rFonts w:hint="eastAsia" w:ascii="宋体" w:hAnsi="宋体" w:cs="宋体"/>
          <w:color w:val="auto"/>
          <w:sz w:val="28"/>
          <w:szCs w:val="28"/>
          <w:highlight w:val="none"/>
        </w:rPr>
        <w:br w:type="textWrapping"/>
      </w:r>
      <w:r>
        <w:rPr>
          <w:rFonts w:hint="eastAsia" w:ascii="宋体" w:hAnsi="宋体" w:cs="宋体"/>
          <w:color w:val="auto"/>
          <w:sz w:val="28"/>
          <w:szCs w:val="28"/>
          <w:highlight w:val="none"/>
        </w:rPr>
        <w:t>  投标截止时间后，投标人在投标有效期内撤销投标的，其撤销投标的行为无效。    </w:t>
      </w:r>
      <w:r>
        <w:rPr>
          <w:rFonts w:hint="eastAsia" w:ascii="宋体" w:hAnsi="宋体" w:cs="宋体"/>
          <w:color w:val="auto"/>
          <w:sz w:val="28"/>
          <w:szCs w:val="28"/>
          <w:highlight w:val="none"/>
        </w:rPr>
        <w:br w:type="textWrapping"/>
      </w:r>
    </w:p>
    <w:p w14:paraId="429C9456">
      <w:pPr>
        <w:pStyle w:val="12"/>
        <w:widowControl/>
        <w:spacing w:before="0" w:beforeAutospacing="0" w:after="0" w:afterAutospacing="0" w:line="360" w:lineRule="auto"/>
        <w:jc w:val="center"/>
        <w:outlineLvl w:val="1"/>
        <w:rPr>
          <w:rFonts w:hint="eastAsia" w:ascii="宋体" w:hAnsi="宋体" w:cs="宋体"/>
          <w:color w:val="auto"/>
          <w:sz w:val="28"/>
          <w:szCs w:val="28"/>
          <w:highlight w:val="none"/>
        </w:rPr>
      </w:pPr>
      <w:r>
        <w:rPr>
          <w:rStyle w:val="17"/>
          <w:rFonts w:hint="eastAsia" w:ascii="宋体" w:hAnsi="宋体" w:cs="宋体"/>
          <w:color w:val="auto"/>
          <w:sz w:val="28"/>
          <w:szCs w:val="28"/>
          <w:highlight w:val="none"/>
        </w:rPr>
        <w:t>六、入围与框架协议</w:t>
      </w:r>
    </w:p>
    <w:p w14:paraId="434E2F3B">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12、</w:t>
      </w:r>
      <w:r>
        <w:rPr>
          <w:rStyle w:val="17"/>
          <w:rFonts w:hint="eastAsia" w:ascii="宋体" w:hAnsi="宋体" w:cs="宋体"/>
          <w:color w:val="auto"/>
          <w:sz w:val="28"/>
          <w:szCs w:val="28"/>
          <w:highlight w:val="none"/>
        </w:rPr>
        <w:t>入围</w:t>
      </w:r>
    </w:p>
    <w:p w14:paraId="7AECAD0E">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12.1本项目入围供应商的确定：详见征集文件第二章。</w:t>
      </w:r>
    </w:p>
    <w:p w14:paraId="1C271DBA">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12.3</w:t>
      </w:r>
      <w:r>
        <w:rPr>
          <w:rStyle w:val="17"/>
          <w:rFonts w:hint="eastAsia" w:ascii="宋体" w:hAnsi="宋体" w:cs="宋体"/>
          <w:color w:val="auto"/>
          <w:sz w:val="28"/>
          <w:szCs w:val="28"/>
          <w:highlight w:val="none"/>
        </w:rPr>
        <w:t>入围结果</w:t>
      </w:r>
      <w:r>
        <w:rPr>
          <w:rFonts w:hint="eastAsia" w:ascii="宋体" w:hAnsi="宋体" w:cs="宋体"/>
          <w:color w:val="auto"/>
          <w:sz w:val="28"/>
          <w:szCs w:val="28"/>
          <w:highlight w:val="none"/>
        </w:rPr>
        <w:t>公告</w:t>
      </w:r>
    </w:p>
    <w:p w14:paraId="6CBF0044">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（1）入围供应商确定之日起2个工作日内，</w:t>
      </w:r>
      <w:r>
        <w:rPr>
          <w:rFonts w:hint="eastAsia" w:ascii="宋体" w:hAnsi="宋体" w:cs="宋体"/>
          <w:color w:val="auto"/>
          <w:sz w:val="28"/>
          <w:szCs w:val="28"/>
          <w:highlight w:val="none"/>
          <w:u w:val="single"/>
        </w:rPr>
        <w:t>厦门万翔招标有限公司</w:t>
      </w:r>
      <w:r>
        <w:rPr>
          <w:rFonts w:hint="eastAsia" w:ascii="宋体" w:hAnsi="宋体" w:cs="宋体"/>
          <w:color w:val="auto"/>
          <w:sz w:val="28"/>
          <w:szCs w:val="28"/>
          <w:highlight w:val="none"/>
        </w:rPr>
        <w:t>将在征集文件载明的指定媒体以入围结果公告的形式发布入围结果。</w:t>
      </w:r>
    </w:p>
    <w:p w14:paraId="387A0762">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（2）入围结果公告的公告期限为1个工作日。</w:t>
      </w:r>
    </w:p>
    <w:p w14:paraId="3714DBC2">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12.4入围通知书</w:t>
      </w:r>
    </w:p>
    <w:p w14:paraId="0F61D341">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（1）入围结果公告发布的同时，</w:t>
      </w:r>
      <w:r>
        <w:rPr>
          <w:rFonts w:hint="eastAsia" w:ascii="宋体" w:hAnsi="宋体" w:cs="宋体"/>
          <w:color w:val="auto"/>
          <w:sz w:val="28"/>
          <w:szCs w:val="28"/>
          <w:highlight w:val="none"/>
          <w:u w:val="single"/>
        </w:rPr>
        <w:t>厦门万翔招标有限公司</w:t>
      </w:r>
      <w:r>
        <w:rPr>
          <w:rFonts w:hint="eastAsia" w:ascii="宋体" w:hAnsi="宋体" w:cs="宋体"/>
          <w:color w:val="auto"/>
          <w:sz w:val="28"/>
          <w:szCs w:val="28"/>
          <w:highlight w:val="none"/>
        </w:rPr>
        <w:t>将向入围供应商发出入围通知书。</w:t>
      </w:r>
    </w:p>
    <w:p w14:paraId="27CAC15B">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（2）入围通知书发出后，征集人不得违法改变结果，入围供应商无正当理由不得放弃入围。</w:t>
      </w:r>
    </w:p>
    <w:p w14:paraId="7523E979">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13、框架协议、政府采购合同</w:t>
      </w:r>
    </w:p>
    <w:p w14:paraId="40A8FEDE">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13.1签订框架协议、政府采购合同应遵守政府采购法及实施条例的规定，不得对征集文件确定的事项和入围供应商的响应文件作实质性修改。征集人不得向入围供应商提出任何不合理的要求作为框架协议的签订条件。</w:t>
      </w:r>
    </w:p>
    <w:p w14:paraId="01529A96">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13.2签订时限：征集人在入围通知书发出之日起</w:t>
      </w:r>
      <w:r>
        <w:rPr>
          <w:rFonts w:hint="eastAsia" w:ascii="宋体" w:hAnsi="宋体" w:cs="宋体"/>
          <w:color w:val="auto"/>
          <w:sz w:val="28"/>
          <w:szCs w:val="28"/>
          <w:highlight w:val="none"/>
          <w:lang w:val="en-US" w:eastAsia="zh-CN"/>
        </w:rPr>
        <w:t>3</w:t>
      </w:r>
      <w:r>
        <w:rPr>
          <w:rFonts w:hint="eastAsia" w:ascii="宋体" w:hAnsi="宋体" w:cs="宋体"/>
          <w:color w:val="auto"/>
          <w:sz w:val="28"/>
          <w:szCs w:val="28"/>
          <w:highlight w:val="none"/>
        </w:rPr>
        <w:t>0日内和入围供应商签订框架协议，并在框架协议签订后7个工作日内，将框架协议副本报本级财政部门备案。 </w:t>
      </w:r>
    </w:p>
    <w:p w14:paraId="3A0C92BE">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13.3政府采购合同的履行、违约责任和解决争议的方法等适用民法典。</w:t>
      </w:r>
    </w:p>
    <w:p w14:paraId="3C3E95CD">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13.4</w:t>
      </w:r>
      <w:r>
        <w:rPr>
          <w:rFonts w:hint="eastAsia" w:ascii="宋体" w:hAnsi="宋体" w:cs="宋体"/>
          <w:color w:val="auto"/>
          <w:sz w:val="28"/>
          <w:szCs w:val="28"/>
          <w:highlight w:val="none"/>
          <w:lang w:eastAsia="zh-CN"/>
        </w:rPr>
        <w:t>征集人</w:t>
      </w:r>
      <w:r>
        <w:rPr>
          <w:rFonts w:hint="eastAsia" w:ascii="宋体" w:hAnsi="宋体" w:cs="宋体"/>
          <w:color w:val="auto"/>
          <w:sz w:val="28"/>
          <w:szCs w:val="28"/>
          <w:highlight w:val="none"/>
        </w:rPr>
        <w:t>与入围供应商应根据政府采购合同的约定依法履行合同义务。</w:t>
      </w:r>
    </w:p>
    <w:p w14:paraId="227EC898">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13.5政府采购合同履行过程中，</w:t>
      </w:r>
      <w:r>
        <w:rPr>
          <w:rFonts w:hint="eastAsia" w:ascii="宋体" w:hAnsi="宋体" w:cs="宋体"/>
          <w:color w:val="auto"/>
          <w:sz w:val="28"/>
          <w:szCs w:val="28"/>
          <w:highlight w:val="none"/>
          <w:lang w:eastAsia="zh-CN"/>
        </w:rPr>
        <w:t>征集人</w:t>
      </w:r>
      <w:r>
        <w:rPr>
          <w:rFonts w:hint="eastAsia" w:ascii="宋体" w:hAnsi="宋体" w:cs="宋体"/>
          <w:color w:val="auto"/>
          <w:sz w:val="28"/>
          <w:szCs w:val="28"/>
          <w:highlight w:val="none"/>
        </w:rPr>
        <w:t>若需追加与合同标的相同的货物或服务，则追加采购金额不得超过原合同采购金额的10%。</w:t>
      </w:r>
    </w:p>
    <w:p w14:paraId="4C8F8BF3">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13.6入围供应商在政府采购合同履行过程中应遵守有关法律、法规和规章的强制性规定（即使前述强制性规定有可能在征集文件中未予列明）。 </w:t>
      </w:r>
    </w:p>
    <w:p w14:paraId="51D3A9AF">
      <w:pPr>
        <w:pStyle w:val="12"/>
        <w:widowControl/>
        <w:spacing w:before="0" w:beforeAutospacing="0" w:after="0" w:afterAutospacing="0" w:line="360" w:lineRule="auto"/>
        <w:jc w:val="center"/>
        <w:outlineLvl w:val="1"/>
        <w:rPr>
          <w:rFonts w:hint="eastAsia" w:ascii="宋体" w:hAnsi="宋体" w:cs="宋体"/>
          <w:color w:val="auto"/>
          <w:sz w:val="28"/>
          <w:szCs w:val="28"/>
          <w:highlight w:val="none"/>
        </w:rPr>
      </w:pPr>
      <w:r>
        <w:rPr>
          <w:rStyle w:val="17"/>
          <w:rFonts w:hint="eastAsia" w:ascii="宋体" w:hAnsi="宋体" w:cs="宋体"/>
          <w:color w:val="auto"/>
          <w:sz w:val="28"/>
          <w:szCs w:val="28"/>
          <w:highlight w:val="none"/>
        </w:rPr>
        <w:t>七、询问、质疑与投诉</w:t>
      </w:r>
    </w:p>
    <w:p w14:paraId="0B2CF936">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14、询问</w:t>
      </w:r>
    </w:p>
    <w:p w14:paraId="388DF4C9">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14.1潜在投标人或投标人对本次采购活动的有关事项若有疑问，可向厦门万翔招标有限公司提出询问，厦门万翔招标有限公司将按照政府采购法及实施条例的有关规定进行答复。</w:t>
      </w:r>
    </w:p>
    <w:p w14:paraId="6CB38F6B">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15、质疑</w:t>
      </w:r>
    </w:p>
    <w:p w14:paraId="4458C27D">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15.1针对同一采购程序环节的质疑应在政府采购法及实施条例的时限内一次性提出，对一个项目的不同采购包提出质疑的，应当将各采购包质疑事项集中在一份质疑函中提出，并同时符合下列条件：</w:t>
      </w:r>
    </w:p>
    <w:p w14:paraId="7260AA35">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（1）对征集文件提出质疑的，质疑人应为潜在投标人，且两者的身份、名称等均应保持一致。对采购过程、结果提出质疑的，质疑人应为投标人，且两者的身份、名称等均应保持一致。</w:t>
      </w:r>
    </w:p>
    <w:p w14:paraId="3A7E4B39">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（2）质疑人应按照征集文件第二章规定方式提交质疑函。</w:t>
      </w:r>
    </w:p>
    <w:p w14:paraId="5DD69D43">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（3）质疑函应包括下列主要内容：</w:t>
      </w:r>
    </w:p>
    <w:p w14:paraId="0E0CC77C">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①质疑人的基本信息，至少包括：全称、地址、邮政编码等；</w:t>
      </w:r>
    </w:p>
    <w:p w14:paraId="72E778AC">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②所质疑项目的基本信息，至少包括：项目编号、项目名称等；</w:t>
      </w:r>
    </w:p>
    <w:p w14:paraId="1A6E50A3">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③所质疑的具体事项（以下简称：“质疑事项”）；</w:t>
      </w:r>
    </w:p>
    <w:p w14:paraId="72B6E98E">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④针对质疑事项提出的明确请求，前述明确请求指质疑人提出质疑的目的以及希望厦门万翔招标有限公司对其质疑作出的处理结果，如：暂停招标投标活动、修改征集文件、停止或纠正违法违规行为、</w:t>
      </w:r>
      <w:r>
        <w:rPr>
          <w:rFonts w:hint="eastAsia" w:ascii="宋体" w:hAnsi="宋体" w:cs="宋体"/>
          <w:color w:val="auto"/>
          <w:sz w:val="28"/>
          <w:szCs w:val="28"/>
          <w:highlight w:val="none"/>
          <w:lang w:eastAsia="zh-CN"/>
        </w:rPr>
        <w:t>入围</w:t>
      </w:r>
      <w:r>
        <w:rPr>
          <w:rFonts w:hint="eastAsia" w:ascii="宋体" w:hAnsi="宋体" w:cs="宋体"/>
          <w:color w:val="auto"/>
          <w:sz w:val="28"/>
          <w:szCs w:val="28"/>
          <w:highlight w:val="none"/>
        </w:rPr>
        <w:t>结果无效、废标、重新招标等；</w:t>
      </w:r>
    </w:p>
    <w:p w14:paraId="5877B0DF">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⑤针对质疑事项导致质疑人自身权益受到损害的必要证明材料，至少包括：</w:t>
      </w:r>
    </w:p>
    <w:p w14:paraId="5E279D92">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a.质疑人代表的身份证明材料：</w:t>
      </w:r>
    </w:p>
    <w:p w14:paraId="7A385B88">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3AFD4BC6">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a2若本项目接受自然人投标且质疑人为自然人的，提供本人的身份证复印件。</w:t>
      </w:r>
    </w:p>
    <w:p w14:paraId="7382611F">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b.其他证明材料（即事实依据和必要的法律依据）包括但不限于下列材料：</w:t>
      </w:r>
    </w:p>
    <w:p w14:paraId="5F22375B">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b1所质疑的具体事项是与自已有利害关系的证明材料；</w:t>
      </w:r>
    </w:p>
    <w:p w14:paraId="78575F74">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b2质疑函所述事实存在的证明材料，如：</w:t>
      </w:r>
      <w:r>
        <w:rPr>
          <w:rFonts w:hint="eastAsia" w:ascii="宋体" w:hAnsi="宋体" w:cs="宋体"/>
          <w:color w:val="auto"/>
          <w:sz w:val="28"/>
          <w:szCs w:val="28"/>
          <w:highlight w:val="none"/>
          <w:lang w:eastAsia="zh-CN"/>
        </w:rPr>
        <w:t>征集文件</w:t>
      </w:r>
      <w:r>
        <w:rPr>
          <w:rFonts w:hint="eastAsia" w:ascii="宋体" w:hAnsi="宋体" w:cs="宋体"/>
          <w:color w:val="auto"/>
          <w:sz w:val="28"/>
          <w:szCs w:val="28"/>
          <w:highlight w:val="none"/>
        </w:rPr>
        <w:t>、采购过程或</w:t>
      </w:r>
      <w:r>
        <w:rPr>
          <w:rFonts w:hint="eastAsia" w:ascii="宋体" w:hAnsi="宋体" w:cs="宋体"/>
          <w:color w:val="auto"/>
          <w:sz w:val="28"/>
          <w:szCs w:val="28"/>
          <w:highlight w:val="none"/>
          <w:lang w:eastAsia="zh-CN"/>
        </w:rPr>
        <w:t>入围</w:t>
      </w:r>
      <w:r>
        <w:rPr>
          <w:rFonts w:hint="eastAsia" w:ascii="宋体" w:hAnsi="宋体" w:cs="宋体"/>
          <w:color w:val="auto"/>
          <w:sz w:val="28"/>
          <w:szCs w:val="28"/>
          <w:highlight w:val="none"/>
        </w:rPr>
        <w:t>结果违法违规或不符合</w:t>
      </w:r>
      <w:r>
        <w:rPr>
          <w:rFonts w:hint="eastAsia" w:ascii="宋体" w:hAnsi="宋体" w:cs="宋体"/>
          <w:color w:val="auto"/>
          <w:sz w:val="28"/>
          <w:szCs w:val="28"/>
          <w:highlight w:val="none"/>
          <w:lang w:eastAsia="zh-CN"/>
        </w:rPr>
        <w:t>征集文件</w:t>
      </w:r>
      <w:r>
        <w:rPr>
          <w:rFonts w:hint="eastAsia" w:ascii="宋体" w:hAnsi="宋体" w:cs="宋体"/>
          <w:color w:val="auto"/>
          <w:sz w:val="28"/>
          <w:szCs w:val="28"/>
          <w:highlight w:val="none"/>
        </w:rPr>
        <w:t>要求等证明材料；</w:t>
      </w:r>
    </w:p>
    <w:p w14:paraId="600B2BEA">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b3依法应终止采购程序的证明材料；</w:t>
      </w:r>
    </w:p>
    <w:p w14:paraId="34772D52">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b4应重新采购的证明材料；</w:t>
      </w:r>
    </w:p>
    <w:p w14:paraId="3AFF5A1E">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b5</w:t>
      </w:r>
      <w:r>
        <w:rPr>
          <w:rFonts w:hint="eastAsia" w:ascii="宋体" w:hAnsi="宋体" w:cs="宋体"/>
          <w:color w:val="auto"/>
          <w:sz w:val="28"/>
          <w:szCs w:val="28"/>
          <w:highlight w:val="none"/>
          <w:lang w:eastAsia="zh-CN"/>
        </w:rPr>
        <w:t>征集文件</w:t>
      </w:r>
      <w:r>
        <w:rPr>
          <w:rFonts w:hint="eastAsia" w:ascii="宋体" w:hAnsi="宋体" w:cs="宋体"/>
          <w:color w:val="auto"/>
          <w:sz w:val="28"/>
          <w:szCs w:val="28"/>
          <w:highlight w:val="none"/>
        </w:rPr>
        <w:t>、采购过程或</w:t>
      </w:r>
      <w:r>
        <w:rPr>
          <w:rFonts w:hint="eastAsia" w:ascii="宋体" w:hAnsi="宋体" w:cs="宋体"/>
          <w:color w:val="auto"/>
          <w:sz w:val="28"/>
          <w:szCs w:val="28"/>
          <w:highlight w:val="none"/>
          <w:lang w:eastAsia="zh-CN"/>
        </w:rPr>
        <w:t>入围</w:t>
      </w:r>
      <w:r>
        <w:rPr>
          <w:rFonts w:hint="eastAsia" w:ascii="宋体" w:hAnsi="宋体" w:cs="宋体"/>
          <w:color w:val="auto"/>
          <w:sz w:val="28"/>
          <w:szCs w:val="28"/>
          <w:highlight w:val="none"/>
        </w:rPr>
        <w:t>、成交结果损害自已合法权益的证明材料等；</w:t>
      </w:r>
    </w:p>
    <w:p w14:paraId="157CAFC4">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b6若质疑的具体事项按照有关法律、法规和规章规定处于保密阶段，则应提供信息或证明材料为合法或公开渠道获得的有效证据（若证据无法有效表明信息或证明材料为合法或公开渠道获得，则前述信息或证明材料</w:t>
      </w:r>
      <w:r>
        <w:rPr>
          <w:rStyle w:val="17"/>
          <w:rFonts w:hint="eastAsia" w:ascii="宋体" w:hAnsi="宋体" w:cs="宋体"/>
          <w:color w:val="auto"/>
          <w:sz w:val="28"/>
          <w:szCs w:val="28"/>
          <w:highlight w:val="none"/>
        </w:rPr>
        <w:t>视为无效</w:t>
      </w:r>
      <w:r>
        <w:rPr>
          <w:rFonts w:hint="eastAsia" w:ascii="宋体" w:hAnsi="宋体" w:cs="宋体"/>
          <w:color w:val="auto"/>
          <w:sz w:val="28"/>
          <w:szCs w:val="28"/>
          <w:highlight w:val="none"/>
        </w:rPr>
        <w:t>）。</w:t>
      </w:r>
      <w:r>
        <w:rPr>
          <w:rFonts w:hint="eastAsia" w:ascii="宋体" w:hAnsi="宋体" w:cs="宋体"/>
          <w:color w:val="auto"/>
          <w:sz w:val="28"/>
          <w:szCs w:val="28"/>
          <w:highlight w:val="none"/>
        </w:rPr>
        <w:br w:type="textWrapping"/>
      </w:r>
      <w:r>
        <w:rPr>
          <w:rFonts w:hint="eastAsia" w:ascii="宋体" w:hAnsi="宋体" w:cs="宋体"/>
          <w:color w:val="auto"/>
          <w:sz w:val="28"/>
          <w:szCs w:val="28"/>
          <w:highlight w:val="none"/>
        </w:rPr>
        <w:t>   ⑥质疑人代表及其联系方法的信息，至少包括：姓名、手机、电子信箱、邮寄地址等。</w:t>
      </w:r>
      <w:r>
        <w:rPr>
          <w:rFonts w:hint="eastAsia" w:ascii="宋体" w:hAnsi="宋体" w:cs="宋体"/>
          <w:color w:val="auto"/>
          <w:sz w:val="28"/>
          <w:szCs w:val="28"/>
          <w:highlight w:val="none"/>
        </w:rPr>
        <w:br w:type="textWrapping"/>
      </w:r>
      <w:r>
        <w:rPr>
          <w:rFonts w:hint="eastAsia" w:ascii="宋体" w:hAnsi="宋体" w:cs="宋体"/>
          <w:color w:val="auto"/>
          <w:sz w:val="28"/>
          <w:szCs w:val="28"/>
          <w:highlight w:val="none"/>
        </w:rPr>
        <w:t>   ⑦提出质疑的日期。</w:t>
      </w:r>
    </w:p>
    <w:p w14:paraId="53FE3856">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Style w:val="17"/>
          <w:rFonts w:hint="eastAsia" w:ascii="宋体" w:hAnsi="宋体" w:cs="宋体"/>
          <w:color w:val="auto"/>
          <w:sz w:val="28"/>
          <w:szCs w:val="28"/>
          <w:highlight w:val="none"/>
        </w:rPr>
        <w:t>※质疑人为法人或其他组织的，质疑函应由单位负责人或委托代理人签字或盖章，并加盖投标人的单位公章。质疑人为自然人的，质疑函应由本人签字。</w:t>
      </w:r>
    </w:p>
    <w:p w14:paraId="17DF6981">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15.2对不符合本章第15.1条规定的质疑，将按照下列规定进行处理：</w:t>
      </w:r>
    </w:p>
    <w:p w14:paraId="561016D9">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（1）不符合其中第（1）、（2）条规定的，书面告知质疑人不予受理及其理由。</w:t>
      </w:r>
    </w:p>
    <w:p w14:paraId="23BFD3F0">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（2）不符合其中第（3）条规定的，书面告知质疑人修改、补充后在规定时限内重新提交质疑函。</w:t>
      </w:r>
    </w:p>
    <w:p w14:paraId="094B9C60">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15.3对符合本章第15.1条规定的质疑，将按照政府采购法及实施条例、政府采购质疑和投诉办法的有关规定进行答复。</w:t>
      </w:r>
    </w:p>
    <w:p w14:paraId="4EA4990C">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15.4征集文件的质疑：详见征集文件第二章。</w:t>
      </w:r>
    </w:p>
    <w:p w14:paraId="5FB4FBB1">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16、投诉</w:t>
      </w:r>
    </w:p>
    <w:p w14:paraId="3146C687">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16.1若对质疑答复不满意或质疑答复未在答复期限内作出，质疑人可在答复期限届满之日起15个工作日内按照政府采购质疑和投诉办法的有关规定向征集文件第二章载明的本项目监督管理部门提起投诉。</w:t>
      </w:r>
    </w:p>
    <w:p w14:paraId="57693853">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16.2投诉应有明确的请求和必要的证明材料，投诉的事项不得超出已质疑事项的范围。 </w:t>
      </w:r>
    </w:p>
    <w:p w14:paraId="15B61540">
      <w:pPr>
        <w:pStyle w:val="12"/>
        <w:widowControl/>
        <w:spacing w:before="0" w:beforeAutospacing="0" w:after="0" w:afterAutospacing="0" w:line="360" w:lineRule="auto"/>
        <w:jc w:val="center"/>
        <w:outlineLvl w:val="1"/>
        <w:rPr>
          <w:rFonts w:hint="eastAsia" w:ascii="宋体" w:hAnsi="宋体" w:cs="宋体"/>
          <w:color w:val="auto"/>
          <w:sz w:val="28"/>
          <w:szCs w:val="28"/>
          <w:highlight w:val="none"/>
        </w:rPr>
      </w:pPr>
      <w:r>
        <w:rPr>
          <w:rStyle w:val="17"/>
          <w:rFonts w:hint="eastAsia" w:ascii="宋体" w:hAnsi="宋体" w:cs="宋体"/>
          <w:color w:val="auto"/>
          <w:sz w:val="28"/>
          <w:szCs w:val="28"/>
          <w:highlight w:val="none"/>
        </w:rPr>
        <w:t>八、政府采购政策</w:t>
      </w:r>
    </w:p>
    <w:p w14:paraId="5A2970D9">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17、政府采购政策由财政部根据国家的经济和社会发展政策并会同国家有关部委制定，包括但不限于下列具体政策要求：</w:t>
      </w:r>
    </w:p>
    <w:p w14:paraId="2FED63CF">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17.1进口产品指通过中国海关报关验放进入中国境内且产自关境外的产品，其中：</w:t>
      </w:r>
    </w:p>
    <w:p w14:paraId="46D4BEC2">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14DDF685">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（2）凡在海关特殊监管区域内企业生产或加工（包括从境外进口料件）销往境内其他地区的产品，不作为政府采购项下进口产品。</w:t>
      </w:r>
    </w:p>
    <w:p w14:paraId="167C16C8">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（3）对从境外进入海关特殊监管区域，再经办理报关手续后从海关特殊监管区进入境内其他地区的产品，认定为进口产品。</w:t>
      </w:r>
    </w:p>
    <w:p w14:paraId="31BA644A">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（4）征集文件列明不允许或未列明允许进口产品参加投标的，均视为拒绝进口产品参加投标。</w:t>
      </w:r>
    </w:p>
    <w:p w14:paraId="03C49236">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r>
        <w:rPr>
          <w:rFonts w:hint="eastAsia" w:ascii="宋体" w:hAnsi="宋体" w:cs="宋体"/>
          <w:color w:val="auto"/>
          <w:sz w:val="28"/>
          <w:szCs w:val="28"/>
          <w:highlight w:val="none"/>
          <w:lang w:eastAsia="zh-CN"/>
        </w:rPr>
        <w:t>征集人</w:t>
      </w:r>
      <w:r>
        <w:rPr>
          <w:rFonts w:hint="eastAsia" w:ascii="宋体" w:hAnsi="宋体" w:cs="宋体"/>
          <w:color w:val="auto"/>
          <w:sz w:val="28"/>
          <w:szCs w:val="28"/>
          <w:highlight w:val="none"/>
        </w:rPr>
        <w:t>拟采购的产品属于品目清单范围的，</w:t>
      </w:r>
      <w:r>
        <w:rPr>
          <w:rFonts w:hint="eastAsia" w:ascii="宋体" w:hAnsi="宋体" w:cs="宋体"/>
          <w:color w:val="auto"/>
          <w:sz w:val="28"/>
          <w:szCs w:val="28"/>
          <w:highlight w:val="none"/>
          <w:lang w:eastAsia="zh-CN"/>
        </w:rPr>
        <w:t>征集人</w:t>
      </w:r>
      <w:r>
        <w:rPr>
          <w:rFonts w:hint="eastAsia" w:ascii="宋体" w:hAnsi="宋体" w:cs="宋体"/>
          <w:color w:val="auto"/>
          <w:sz w:val="28"/>
          <w:szCs w:val="28"/>
          <w:highlight w:val="none"/>
        </w:rPr>
        <w:t>及其委托的采购代理机构应当依据国家确定的认证机构出具的、处于有效期之内的节能产品、环境标志产品认证证书，对获得证书的产品实施政府优先采购或强制采购。</w:t>
      </w:r>
    </w:p>
    <w:p w14:paraId="17CD6CB9">
      <w:pPr>
        <w:pStyle w:val="12"/>
        <w:widowControl/>
        <w:spacing w:before="0" w:beforeAutospacing="0" w:after="0" w:afterAutospacing="0" w:line="360" w:lineRule="auto"/>
        <w:rPr>
          <w:rFonts w:hint="eastAsia" w:ascii="宋体" w:hAnsi="宋体" w:cs="宋体"/>
          <w:dstrike/>
          <w:color w:val="auto"/>
          <w:sz w:val="28"/>
          <w:szCs w:val="28"/>
          <w:highlight w:val="none"/>
        </w:rPr>
      </w:pPr>
    </w:p>
    <w:p w14:paraId="4B987168">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17.</w:t>
      </w:r>
      <w:r>
        <w:rPr>
          <w:rFonts w:hint="eastAsia" w:ascii="宋体" w:hAnsi="宋体" w:cs="宋体"/>
          <w:color w:val="auto"/>
          <w:sz w:val="28"/>
          <w:szCs w:val="28"/>
          <w:highlight w:val="none"/>
          <w:lang w:val="en-US" w:eastAsia="zh-CN"/>
        </w:rPr>
        <w:t>3</w:t>
      </w:r>
      <w:r>
        <w:rPr>
          <w:rFonts w:hint="eastAsia" w:ascii="宋体" w:hAnsi="宋体" w:cs="宋体"/>
          <w:color w:val="auto"/>
          <w:sz w:val="28"/>
          <w:szCs w:val="28"/>
          <w:highlight w:val="none"/>
        </w:rPr>
        <w:t>符合财政部、工信部文件（财库〔2020〕46号）规定的小型、微型企业可享受扶持政策（如：预留采购份额、价格评审优惠、优先采购、缩短付款时间）。符合财政部、司法部文件（财库[2014]68号）规定的监狱企业（以下简称：“监狱企业”）亦可享受前述扶持政策。符合财政部、民政部、中国残联文件（财库[2017]141号）规定的残疾人福利性单位（以下简称：</w:t>
      </w:r>
      <w:r>
        <w:rPr>
          <w:rStyle w:val="17"/>
          <w:rFonts w:hint="eastAsia" w:ascii="宋体" w:hAnsi="宋体" w:cs="宋体"/>
          <w:color w:val="auto"/>
          <w:sz w:val="28"/>
          <w:szCs w:val="28"/>
          <w:highlight w:val="none"/>
        </w:rPr>
        <w:t>“残疾人福利性单位”</w:t>
      </w:r>
      <w:r>
        <w:rPr>
          <w:rFonts w:hint="eastAsia" w:ascii="宋体" w:hAnsi="宋体" w:cs="宋体"/>
          <w:color w:val="auto"/>
          <w:sz w:val="28"/>
          <w:szCs w:val="28"/>
          <w:highlight w:val="none"/>
        </w:rPr>
        <w:t>）亦可享受前述扶持政策。其中：</w:t>
      </w:r>
    </w:p>
    <w:p w14:paraId="611A3D67">
      <w:pPr>
        <w:pStyle w:val="12"/>
        <w:widowControl/>
        <w:spacing w:before="0" w:beforeAutospacing="0" w:after="0" w:afterAutospacing="0" w:line="360" w:lineRule="auto"/>
        <w:ind w:firstLine="160"/>
        <w:rPr>
          <w:rFonts w:hint="eastAsia" w:ascii="宋体" w:hAnsi="宋体" w:cs="宋体"/>
          <w:color w:val="auto"/>
          <w:sz w:val="28"/>
          <w:szCs w:val="28"/>
          <w:highlight w:val="none"/>
        </w:rPr>
      </w:pPr>
      <w:r>
        <w:rPr>
          <w:rFonts w:hint="eastAsia" w:ascii="宋体" w:hAnsi="宋体" w:cs="宋体"/>
          <w:color w:val="auto"/>
          <w:sz w:val="28"/>
          <w:szCs w:val="28"/>
          <w:highlight w:val="none"/>
        </w:rPr>
        <w:t>（1）中小企业指符合下列条件的中型、小型、微型企业：</w:t>
      </w:r>
    </w:p>
    <w:p w14:paraId="0C2F6588">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229967B7">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②符合中小企业划分标准的个体工商户，在政府采购活动中视同中小企业。</w:t>
      </w:r>
    </w:p>
    <w:p w14:paraId="3C338CA0">
      <w:pPr>
        <w:pStyle w:val="12"/>
        <w:widowControl/>
        <w:spacing w:before="0" w:beforeAutospacing="0" w:after="0" w:afterAutospacing="0" w:line="360" w:lineRule="auto"/>
        <w:ind w:firstLine="160"/>
        <w:rPr>
          <w:rFonts w:hint="eastAsia" w:ascii="宋体" w:hAnsi="宋体" w:cs="宋体"/>
          <w:color w:val="auto"/>
          <w:sz w:val="28"/>
          <w:szCs w:val="28"/>
          <w:highlight w:val="none"/>
        </w:rPr>
      </w:pPr>
      <w:r>
        <w:rPr>
          <w:rFonts w:hint="eastAsia" w:ascii="宋体" w:hAnsi="宋体" w:cs="宋体"/>
          <w:color w:val="auto"/>
          <w:sz w:val="28"/>
          <w:szCs w:val="28"/>
          <w:highlight w:val="none"/>
        </w:rPr>
        <w:t>（2）在政府采购活动中，供应商提供的货物、工程或者服务符合下列情形的，享受本办法规定的中小企业扶持政策：</w:t>
      </w:r>
    </w:p>
    <w:p w14:paraId="02281511">
      <w:pPr>
        <w:widowControl/>
        <w:spacing w:before="50" w:beforeAutospacing="0" w:after="50" w:afterAutospacing="0"/>
        <w:rPr>
          <w:rFonts w:hint="eastAsia" w:ascii="宋体" w:hAnsi="宋体" w:cs="宋体"/>
          <w:color w:val="auto"/>
          <w:sz w:val="28"/>
          <w:szCs w:val="28"/>
          <w:highlight w:val="none"/>
        </w:rPr>
      </w:pPr>
      <w:r>
        <w:rPr>
          <w:rFonts w:hint="eastAsia" w:ascii="宋体" w:hAnsi="宋体" w:cs="宋体"/>
          <w:color w:val="auto"/>
          <w:sz w:val="28"/>
          <w:szCs w:val="28"/>
          <w:highlight w:val="none"/>
        </w:rPr>
        <w:t>①</w:t>
      </w:r>
      <w:r>
        <w:rPr>
          <w:rFonts w:hint="eastAsia"/>
          <w:color w:val="auto"/>
          <w:highlight w:val="none"/>
        </w:rPr>
        <w:t>在货物</w:t>
      </w:r>
      <w:r>
        <w:rPr>
          <w:rFonts w:hint="eastAsia"/>
          <w:color w:val="auto"/>
          <w:highlight w:val="none"/>
          <w:lang w:val="en-US" w:eastAsia="zh-CN"/>
        </w:rPr>
        <w:t>采购项目</w:t>
      </w:r>
      <w:r>
        <w:rPr>
          <w:rFonts w:hint="eastAsia"/>
          <w:color w:val="auto"/>
          <w:highlight w:val="none"/>
        </w:rPr>
        <w:t>中，货物由中小企业制造，即货物由中小企业生产且使用该中小企业商号或者注册商标</w:t>
      </w:r>
      <w:r>
        <w:rPr>
          <w:rFonts w:hint="eastAsia"/>
          <w:color w:val="auto"/>
          <w:highlight w:val="none"/>
          <w:lang w:eastAsia="zh-CN"/>
        </w:rPr>
        <w:t>；</w:t>
      </w:r>
    </w:p>
    <w:p w14:paraId="39968FEC">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②在工程采购项目中，工程由中小企业承建，即工程施工单位为中小企业；</w:t>
      </w:r>
    </w:p>
    <w:p w14:paraId="5D598601">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③在服务采购项目中，服务由中小企业承接，即提供服务的人员为中小企业依照《中华人民共和国劳动合同法》 订立劳动合同的从业人员。</w:t>
      </w:r>
    </w:p>
    <w:p w14:paraId="30D48F11">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在货物采购项目中，供应商提供的货物既有中小企业制造货物，也有大型企业制造货物的，不享受本办法规定的中小企业扶持政策。</w:t>
      </w:r>
    </w:p>
    <w:p w14:paraId="12E31AB2">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以联合体形式参加政府采购活动，联合体各方均为中小企业的，联合体视同中小企业。其中，联合体各方均为小微企业的，联合体视同小微企业。</w:t>
      </w:r>
    </w:p>
    <w:p w14:paraId="62FDEF12">
      <w:pPr>
        <w:pStyle w:val="12"/>
        <w:widowControl/>
        <w:spacing w:before="0" w:beforeAutospacing="0" w:after="0" w:afterAutospacing="0" w:line="360" w:lineRule="auto"/>
        <w:ind w:firstLine="160"/>
        <w:rPr>
          <w:rFonts w:hint="eastAsia" w:ascii="宋体" w:hAnsi="宋体" w:cs="宋体"/>
          <w:color w:val="auto"/>
          <w:sz w:val="28"/>
          <w:szCs w:val="28"/>
          <w:highlight w:val="none"/>
        </w:rPr>
      </w:pPr>
      <w:r>
        <w:rPr>
          <w:rFonts w:hint="eastAsia" w:ascii="宋体" w:hAnsi="宋体" w:cs="宋体"/>
          <w:color w:val="auto"/>
          <w:sz w:val="28"/>
          <w:szCs w:val="28"/>
          <w:highlight w:val="none"/>
        </w:rPr>
        <w:t>（3）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264DBACE">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①监狱企业参加采购活动时，应提供由省级以上监狱管理局、戒毒管理局（含新疆生产建设兵团）出具的属于监狱企业的证明文件。</w:t>
      </w:r>
    </w:p>
    <w:p w14:paraId="1997F60D">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②监狱企业视同小型、微型企业。</w:t>
      </w:r>
    </w:p>
    <w:p w14:paraId="4ABC47D2">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（4）残疾人福利性单位指同时符合下列条件的单位：</w:t>
      </w:r>
    </w:p>
    <w:p w14:paraId="6F3C99BF">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①安置的残疾人占本单位在职职工人数的比例不低于25%（含25%），并且安置的残疾人人数不少于10人（含10人）；</w:t>
      </w:r>
    </w:p>
    <w:p w14:paraId="26DE87E8">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②依法与安置的每位残疾人签订了一年以上（含一年）的劳动合同或服务协议；</w:t>
      </w:r>
    </w:p>
    <w:p w14:paraId="313BD8D0">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③为安置的每位残疾人按月足额缴纳了基本养老保险、基本医疗保险、失业保险、工伤保险和生育保险等社会保险费；</w:t>
      </w:r>
    </w:p>
    <w:p w14:paraId="70E4477A">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④通过银行等金融机构向安置的每位残疾人，按月支付了不低于单位所在区县适用的经省级人民政府批准的月最低工资标准的工资；</w:t>
      </w:r>
    </w:p>
    <w:p w14:paraId="7CDAD663">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⑤提供本单位制造的货物、承担的工程或服务，或提供其他残疾人福利性单位制造的货物（不包括使用非残疾人福利性单位注册商标的货物）。</w:t>
      </w:r>
    </w:p>
    <w:p w14:paraId="4D5245BC">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7A356860">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Style w:val="17"/>
          <w:rFonts w:hint="eastAsia" w:ascii="宋体" w:hAnsi="宋体" w:cs="宋体"/>
          <w:color w:val="auto"/>
          <w:sz w:val="28"/>
          <w:szCs w:val="28"/>
          <w:highlight w:val="none"/>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76A84A26">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17.</w:t>
      </w:r>
      <w:r>
        <w:rPr>
          <w:rFonts w:hint="eastAsia" w:ascii="宋体" w:hAnsi="宋体" w:cs="宋体"/>
          <w:color w:val="auto"/>
          <w:sz w:val="28"/>
          <w:szCs w:val="28"/>
          <w:highlight w:val="none"/>
          <w:lang w:val="en-US" w:eastAsia="zh-CN"/>
        </w:rPr>
        <w:t>4</w:t>
      </w:r>
      <w:r>
        <w:rPr>
          <w:rFonts w:hint="eastAsia" w:ascii="宋体" w:hAnsi="宋体" w:cs="宋体"/>
          <w:color w:val="auto"/>
          <w:sz w:val="28"/>
          <w:szCs w:val="28"/>
          <w:highlight w:val="none"/>
        </w:rPr>
        <w:t>信用记录指由财政部确定的有关网站提供的相关主体信用信息。信用记录的查询及使用应符合财政部文件（财库[2016]125号）规定。</w:t>
      </w:r>
    </w:p>
    <w:p w14:paraId="558C73AB">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17.</w:t>
      </w:r>
      <w:r>
        <w:rPr>
          <w:rFonts w:hint="eastAsia" w:ascii="宋体" w:hAnsi="宋体" w:cs="宋体"/>
          <w:color w:val="auto"/>
          <w:sz w:val="28"/>
          <w:szCs w:val="28"/>
          <w:highlight w:val="none"/>
          <w:lang w:val="en-US" w:eastAsia="zh-CN"/>
        </w:rPr>
        <w:t>5</w:t>
      </w:r>
      <w:r>
        <w:rPr>
          <w:rFonts w:hint="eastAsia" w:ascii="宋体" w:hAnsi="宋体" w:cs="宋体"/>
          <w:color w:val="auto"/>
          <w:sz w:val="28"/>
          <w:szCs w:val="28"/>
          <w:highlight w:val="none"/>
        </w:rPr>
        <w:t>为落实政府采购政策需满足的要求：详见征集文件第一章。 </w:t>
      </w:r>
    </w:p>
    <w:p w14:paraId="5333415F">
      <w:pPr>
        <w:pStyle w:val="12"/>
        <w:widowControl/>
        <w:spacing w:before="0" w:beforeAutospacing="0" w:after="0" w:afterAutospacing="0" w:line="360" w:lineRule="auto"/>
        <w:jc w:val="center"/>
        <w:rPr>
          <w:rStyle w:val="17"/>
          <w:rFonts w:hint="eastAsia" w:ascii="宋体" w:hAnsi="宋体" w:eastAsia="宋体" w:cs="宋体"/>
          <w:color w:val="auto"/>
          <w:sz w:val="28"/>
          <w:szCs w:val="28"/>
          <w:highlight w:val="none"/>
        </w:rPr>
      </w:pPr>
    </w:p>
    <w:p w14:paraId="49BA51D7">
      <w:pPr>
        <w:pStyle w:val="12"/>
        <w:widowControl/>
        <w:spacing w:before="0" w:beforeAutospacing="0" w:after="0" w:afterAutospacing="0" w:line="360" w:lineRule="auto"/>
        <w:jc w:val="center"/>
        <w:outlineLvl w:val="1"/>
        <w:rPr>
          <w:rFonts w:hint="eastAsia" w:ascii="宋体" w:hAnsi="宋体" w:cs="宋体"/>
          <w:color w:val="auto"/>
          <w:sz w:val="28"/>
          <w:szCs w:val="28"/>
          <w:highlight w:val="none"/>
        </w:rPr>
      </w:pPr>
      <w:r>
        <w:rPr>
          <w:rStyle w:val="17"/>
          <w:rFonts w:hint="eastAsia" w:ascii="宋体" w:hAnsi="宋体" w:cs="宋体"/>
          <w:color w:val="auto"/>
          <w:sz w:val="28"/>
          <w:szCs w:val="28"/>
          <w:highlight w:val="none"/>
        </w:rPr>
        <w:t>九、本项目的有关信息</w:t>
      </w:r>
    </w:p>
    <w:p w14:paraId="736CD84E">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18、本项目的有关信息，包括但不限于：征集公告、更正公告（若有）、征集文件、征集文件的澄清或修改（若有）、入围结果公告、终止公告（若有）、废标公告（若有）等都将在征集文件载明的指定媒体发布。</w:t>
      </w:r>
    </w:p>
    <w:p w14:paraId="08AA3516">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18.1指定媒体：详见征集文件第二章。</w:t>
      </w:r>
    </w:p>
    <w:p w14:paraId="22BA6A17">
      <w:pPr>
        <w:pStyle w:val="12"/>
        <w:widowControl/>
        <w:spacing w:before="0" w:beforeAutospacing="0" w:after="0" w:afterAutospacing="0" w:line="360" w:lineRule="auto"/>
        <w:jc w:val="left"/>
        <w:rPr>
          <w:rStyle w:val="17"/>
          <w:rFonts w:hint="eastAsia" w:ascii="宋体" w:hAnsi="宋体" w:eastAsia="宋体" w:cs="宋体"/>
          <w:color w:val="auto"/>
          <w:sz w:val="28"/>
          <w:szCs w:val="28"/>
          <w:highlight w:val="none"/>
        </w:rPr>
      </w:pPr>
      <w:r>
        <w:rPr>
          <w:rFonts w:hint="eastAsia" w:ascii="宋体" w:hAnsi="宋体" w:cs="宋体"/>
          <w:color w:val="auto"/>
          <w:sz w:val="28"/>
          <w:szCs w:val="28"/>
          <w:highlight w:val="none"/>
        </w:rPr>
        <w:t>18.2本项目的潜在投标人或投标人应随时关注指定媒体，否则产生不利后果由其自行承担。 </w:t>
      </w:r>
    </w:p>
    <w:p w14:paraId="4ECBF749">
      <w:pPr>
        <w:pStyle w:val="12"/>
        <w:widowControl/>
        <w:spacing w:before="0" w:beforeAutospacing="0" w:after="0" w:afterAutospacing="0" w:line="360" w:lineRule="auto"/>
        <w:jc w:val="center"/>
        <w:outlineLvl w:val="1"/>
        <w:rPr>
          <w:rFonts w:hint="eastAsia" w:ascii="宋体" w:hAnsi="宋体" w:cs="宋体"/>
          <w:color w:val="auto"/>
          <w:sz w:val="28"/>
          <w:szCs w:val="28"/>
          <w:highlight w:val="none"/>
        </w:rPr>
      </w:pPr>
      <w:r>
        <w:rPr>
          <w:rStyle w:val="17"/>
          <w:rFonts w:hint="eastAsia" w:ascii="宋体" w:hAnsi="宋体" w:cs="宋体"/>
          <w:color w:val="auto"/>
          <w:sz w:val="28"/>
          <w:szCs w:val="28"/>
          <w:highlight w:val="none"/>
        </w:rPr>
        <w:t>十、其他事项</w:t>
      </w:r>
    </w:p>
    <w:p w14:paraId="77A243C5">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19、其他事项：</w:t>
      </w:r>
      <w:r>
        <w:rPr>
          <w:rFonts w:hint="eastAsia" w:ascii="宋体" w:hAnsi="宋体" w:cs="宋体"/>
          <w:color w:val="auto"/>
          <w:sz w:val="28"/>
          <w:szCs w:val="28"/>
          <w:highlight w:val="none"/>
        </w:rPr>
        <w:br w:type="textWrapping"/>
      </w:r>
      <w:r>
        <w:rPr>
          <w:rFonts w:hint="eastAsia" w:ascii="宋体" w:hAnsi="宋体" w:cs="宋体"/>
          <w:color w:val="auto"/>
          <w:sz w:val="28"/>
          <w:szCs w:val="28"/>
          <w:highlight w:val="none"/>
        </w:rPr>
        <w:t>  19.1本项目中如涉及商品包装和快递包装的，其包装需求标准应不低于《关于印发〈商品包装政府采购需求标准(试行)〉、〈快递包装政府采购需求标准(试行)〉的通知》（财办库〔2020〕 123号）规定的包装要求，其他包装需求详见征集文件具体规定。</w:t>
      </w:r>
      <w:r>
        <w:rPr>
          <w:rFonts w:hint="eastAsia" w:ascii="宋体" w:hAnsi="宋体" w:cs="宋体"/>
          <w:color w:val="auto"/>
          <w:sz w:val="28"/>
          <w:szCs w:val="28"/>
          <w:highlight w:val="none"/>
          <w:lang w:eastAsia="zh-CN"/>
        </w:rPr>
        <w:t>征集人</w:t>
      </w:r>
      <w:r>
        <w:rPr>
          <w:rFonts w:hint="eastAsia" w:ascii="宋体" w:hAnsi="宋体" w:cs="宋体"/>
          <w:color w:val="auto"/>
          <w:sz w:val="28"/>
          <w:szCs w:val="28"/>
          <w:highlight w:val="none"/>
        </w:rPr>
        <w:t>、</w:t>
      </w:r>
      <w:r>
        <w:rPr>
          <w:rFonts w:hint="eastAsia" w:ascii="宋体" w:hAnsi="宋体" w:cs="宋体"/>
          <w:color w:val="auto"/>
          <w:sz w:val="28"/>
          <w:szCs w:val="28"/>
          <w:highlight w:val="none"/>
          <w:lang w:val="en-US" w:eastAsia="zh-CN"/>
        </w:rPr>
        <w:t>成交</w:t>
      </w:r>
      <w:r>
        <w:rPr>
          <w:rFonts w:hint="eastAsia" w:ascii="宋体" w:hAnsi="宋体" w:cs="宋体"/>
          <w:color w:val="auto"/>
          <w:sz w:val="28"/>
          <w:szCs w:val="28"/>
          <w:highlight w:val="none"/>
        </w:rPr>
        <w:t>供应商双方签订合同及验收环节，应包含上述包装要求的条款。</w:t>
      </w:r>
    </w:p>
    <w:p w14:paraId="262FA475">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   19.2其他：详见征集文件第二章。</w:t>
      </w:r>
    </w:p>
    <w:p w14:paraId="470084D2">
      <w:pPr>
        <w:pStyle w:val="12"/>
        <w:widowControl/>
        <w:spacing w:before="0" w:beforeAutospacing="0" w:after="0" w:afterAutospacing="0" w:line="360" w:lineRule="auto"/>
        <w:ind w:firstLine="0" w:firstLineChars="0"/>
        <w:jc w:val="center"/>
        <w:outlineLvl w:val="0"/>
        <w:rPr>
          <w:rFonts w:hint="eastAsia" w:ascii="宋体" w:hAnsi="宋体" w:cs="宋体"/>
          <w:color w:val="auto"/>
          <w:sz w:val="28"/>
          <w:szCs w:val="28"/>
          <w:highlight w:val="none"/>
        </w:rPr>
      </w:pPr>
      <w:r>
        <w:rPr>
          <w:rStyle w:val="17"/>
          <w:rFonts w:hint="eastAsia" w:ascii="宋体" w:hAnsi="宋体" w:cs="宋体"/>
          <w:color w:val="auto"/>
          <w:sz w:val="28"/>
          <w:szCs w:val="28"/>
          <w:highlight w:val="none"/>
        </w:rPr>
        <w:t>第四章</w:t>
      </w:r>
      <w:r>
        <w:rPr>
          <w:rStyle w:val="17"/>
          <w:rFonts w:hint="default" w:ascii="宋体" w:hAnsi="宋体" w:cs="宋体"/>
          <w:color w:val="auto"/>
          <w:sz w:val="28"/>
          <w:szCs w:val="28"/>
          <w:highlight w:val="none"/>
        </w:rPr>
        <w:t xml:space="preserve">  </w:t>
      </w:r>
      <w:r>
        <w:rPr>
          <w:rStyle w:val="17"/>
          <w:rFonts w:hint="eastAsia" w:ascii="宋体" w:hAnsi="宋体" w:cs="宋体"/>
          <w:color w:val="auto"/>
          <w:sz w:val="28"/>
          <w:szCs w:val="28"/>
          <w:highlight w:val="none"/>
        </w:rPr>
        <w:t>资格审查与评标</w:t>
      </w:r>
    </w:p>
    <w:p w14:paraId="7D59BF7D">
      <w:pPr>
        <w:pStyle w:val="12"/>
        <w:widowControl/>
        <w:spacing w:before="0" w:beforeAutospacing="0" w:after="0" w:afterAutospacing="0" w:line="360" w:lineRule="auto"/>
        <w:jc w:val="center"/>
        <w:outlineLvl w:val="1"/>
        <w:rPr>
          <w:rFonts w:hint="eastAsia" w:ascii="宋体" w:hAnsi="宋体" w:cs="宋体"/>
          <w:color w:val="auto"/>
          <w:sz w:val="28"/>
          <w:szCs w:val="28"/>
          <w:highlight w:val="none"/>
        </w:rPr>
      </w:pPr>
      <w:r>
        <w:rPr>
          <w:rStyle w:val="17"/>
          <w:rFonts w:hint="eastAsia" w:ascii="宋体" w:hAnsi="宋体" w:cs="宋体"/>
          <w:color w:val="auto"/>
          <w:sz w:val="28"/>
          <w:szCs w:val="28"/>
          <w:highlight w:val="none"/>
        </w:rPr>
        <w:t>一、资格审查</w:t>
      </w:r>
    </w:p>
    <w:p w14:paraId="0BDED716">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1、开标结束后，由</w:t>
      </w:r>
      <w:r>
        <w:rPr>
          <w:rFonts w:hint="eastAsia" w:ascii="宋体" w:hAnsi="宋体" w:cs="宋体"/>
          <w:color w:val="auto"/>
          <w:sz w:val="28"/>
          <w:szCs w:val="28"/>
          <w:highlight w:val="none"/>
          <w:u w:val="single"/>
        </w:rPr>
        <w:t>厦门万翔招标有限公司</w:t>
      </w:r>
      <w:r>
        <w:rPr>
          <w:rFonts w:hint="eastAsia" w:ascii="宋体" w:hAnsi="宋体" w:cs="宋体"/>
          <w:color w:val="auto"/>
          <w:sz w:val="28"/>
          <w:szCs w:val="28"/>
          <w:highlight w:val="none"/>
        </w:rPr>
        <w:t>负责评标委员会的组建及资格审查工作的组织。</w:t>
      </w:r>
    </w:p>
    <w:p w14:paraId="2E420403">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1.1资格审查小组由</w:t>
      </w:r>
      <w:r>
        <w:rPr>
          <w:rFonts w:hint="eastAsia" w:ascii="宋体" w:hAnsi="宋体" w:cs="宋体"/>
          <w:color w:val="auto"/>
          <w:sz w:val="28"/>
          <w:szCs w:val="28"/>
          <w:highlight w:val="none"/>
          <w:lang w:val="en-US" w:eastAsia="zh-CN"/>
        </w:rPr>
        <w:t>5</w:t>
      </w:r>
      <w:r>
        <w:rPr>
          <w:rFonts w:hint="eastAsia" w:ascii="宋体" w:hAnsi="宋体" w:cs="宋体"/>
          <w:color w:val="auto"/>
          <w:sz w:val="28"/>
          <w:szCs w:val="28"/>
          <w:highlight w:val="none"/>
        </w:rPr>
        <w:t>人组成，并负责具体审查事务，其中：由征集人派出的征集人代表至少</w:t>
      </w:r>
      <w:r>
        <w:rPr>
          <w:rFonts w:hint="eastAsia" w:ascii="宋体" w:hAnsi="宋体" w:cs="宋体"/>
          <w:color w:val="auto"/>
          <w:sz w:val="28"/>
          <w:szCs w:val="28"/>
          <w:highlight w:val="none"/>
          <w:u w:val="single"/>
          <w:lang w:val="en-US" w:eastAsia="zh-CN"/>
        </w:rPr>
        <w:t>2</w:t>
      </w:r>
      <w:r>
        <w:rPr>
          <w:rFonts w:hint="eastAsia" w:ascii="宋体" w:hAnsi="宋体" w:cs="宋体"/>
          <w:color w:val="auto"/>
          <w:sz w:val="28"/>
          <w:szCs w:val="28"/>
          <w:highlight w:val="none"/>
        </w:rPr>
        <w:t>人，由</w:t>
      </w:r>
      <w:r>
        <w:rPr>
          <w:rFonts w:hint="eastAsia" w:ascii="宋体" w:hAnsi="宋体" w:cs="宋体"/>
          <w:color w:val="auto"/>
          <w:sz w:val="28"/>
          <w:szCs w:val="28"/>
          <w:highlight w:val="none"/>
          <w:u w:val="single"/>
        </w:rPr>
        <w:t>厦门万翔招标有限公司</w:t>
      </w:r>
      <w:r>
        <w:rPr>
          <w:rFonts w:hint="eastAsia" w:ascii="宋体" w:hAnsi="宋体" w:cs="宋体"/>
          <w:color w:val="auto"/>
          <w:sz w:val="28"/>
          <w:szCs w:val="28"/>
          <w:highlight w:val="none"/>
        </w:rPr>
        <w:t>派出的工作人员至少</w:t>
      </w:r>
      <w:r>
        <w:rPr>
          <w:rFonts w:hint="eastAsia" w:ascii="宋体" w:hAnsi="宋体" w:cs="宋体"/>
          <w:color w:val="auto"/>
          <w:sz w:val="28"/>
          <w:szCs w:val="28"/>
          <w:highlight w:val="none"/>
          <w:u w:val="single"/>
          <w:lang w:val="en-US" w:eastAsia="zh-CN"/>
        </w:rPr>
        <w:t>2</w:t>
      </w:r>
      <w:r>
        <w:rPr>
          <w:rFonts w:hint="eastAsia" w:ascii="宋体" w:hAnsi="宋体" w:cs="宋体"/>
          <w:color w:val="auto"/>
          <w:sz w:val="28"/>
          <w:szCs w:val="28"/>
          <w:highlight w:val="none"/>
        </w:rPr>
        <w:t>人，其余</w:t>
      </w:r>
      <w:r>
        <w:rPr>
          <w:rFonts w:hint="eastAsia" w:ascii="宋体" w:hAnsi="宋体" w:cs="宋体"/>
          <w:color w:val="auto"/>
          <w:sz w:val="28"/>
          <w:szCs w:val="28"/>
          <w:highlight w:val="none"/>
          <w:u w:val="single"/>
          <w:lang w:val="en-US" w:eastAsia="zh-CN"/>
        </w:rPr>
        <w:t>1</w:t>
      </w:r>
      <w:r>
        <w:rPr>
          <w:rFonts w:hint="eastAsia" w:ascii="宋体" w:hAnsi="宋体" w:cs="宋体"/>
          <w:color w:val="auto"/>
          <w:sz w:val="28"/>
          <w:szCs w:val="28"/>
          <w:highlight w:val="none"/>
        </w:rPr>
        <w:t>人可为征集人代表或</w:t>
      </w:r>
      <w:r>
        <w:rPr>
          <w:rFonts w:hint="eastAsia" w:ascii="宋体" w:hAnsi="宋体" w:cs="宋体"/>
          <w:color w:val="auto"/>
          <w:sz w:val="28"/>
          <w:szCs w:val="28"/>
          <w:highlight w:val="none"/>
          <w:u w:val="single"/>
        </w:rPr>
        <w:t>厦门万翔招标有限公司</w:t>
      </w:r>
      <w:r>
        <w:rPr>
          <w:rFonts w:hint="eastAsia" w:ascii="宋体" w:hAnsi="宋体" w:cs="宋体"/>
          <w:color w:val="auto"/>
          <w:sz w:val="28"/>
          <w:szCs w:val="28"/>
          <w:highlight w:val="none"/>
        </w:rPr>
        <w:t>的工作人员。</w:t>
      </w:r>
    </w:p>
    <w:p w14:paraId="75007D6A">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1.2资格审查的依据是征集文件和响应文件。</w:t>
      </w:r>
    </w:p>
    <w:p w14:paraId="3CA1594A">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1.3资格审查的范围及内容：响应文件（资格及资信证明部分），具体如下：</w:t>
      </w:r>
    </w:p>
    <w:p w14:paraId="551E7BB4">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  （1）“投标函”；</w:t>
      </w:r>
      <w:r>
        <w:rPr>
          <w:rFonts w:hint="eastAsia" w:ascii="宋体" w:hAnsi="宋体" w:cs="宋体"/>
          <w:color w:val="auto"/>
          <w:sz w:val="28"/>
          <w:szCs w:val="28"/>
          <w:highlight w:val="none"/>
        </w:rPr>
        <w:br w:type="textWrapping"/>
      </w:r>
      <w:r>
        <w:rPr>
          <w:rFonts w:hint="eastAsia" w:ascii="宋体" w:hAnsi="宋体" w:cs="宋体"/>
          <w:color w:val="auto"/>
          <w:sz w:val="28"/>
          <w:szCs w:val="28"/>
          <w:highlight w:val="none"/>
        </w:rPr>
        <w:t>  （2）“投标人的资格及资信证明文件”</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包1、包2</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rPr>
        <w:br w:type="textWrapping"/>
      </w:r>
      <w:r>
        <w:rPr>
          <w:rFonts w:hint="eastAsia" w:ascii="宋体" w:hAnsi="宋体" w:cs="宋体"/>
          <w:color w:val="auto"/>
          <w:sz w:val="28"/>
          <w:szCs w:val="28"/>
          <w:highlight w:val="none"/>
        </w:rPr>
        <w:t>   ①一般资格证明文件：</w:t>
      </w:r>
    </w:p>
    <w:tbl>
      <w:tblPr>
        <w:tblStyle w:val="14"/>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3752"/>
        <w:gridCol w:w="4584"/>
      </w:tblGrid>
      <w:tr w14:paraId="727874C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2250" w:type="pct"/>
            <w:tcBorders>
              <w:top w:val="outset" w:color="auto" w:sz="6" w:space="0"/>
              <w:left w:val="outset" w:color="auto" w:sz="6" w:space="0"/>
              <w:bottom w:val="outset" w:color="auto" w:sz="6" w:space="0"/>
              <w:right w:val="outset" w:color="auto" w:sz="6" w:space="0"/>
            </w:tcBorders>
            <w:vAlign w:val="center"/>
          </w:tcPr>
          <w:p w14:paraId="21FE10EF">
            <w:pPr>
              <w:widowControl/>
              <w:spacing w:line="360" w:lineRule="auto"/>
              <w:jc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rPr>
              <w:t>明细</w:t>
            </w:r>
          </w:p>
        </w:tc>
        <w:tc>
          <w:tcPr>
            <w:tcW w:w="2749" w:type="pct"/>
            <w:tcBorders>
              <w:top w:val="outset" w:color="auto" w:sz="6" w:space="0"/>
              <w:left w:val="outset" w:color="auto" w:sz="6" w:space="0"/>
              <w:bottom w:val="outset" w:color="auto" w:sz="6" w:space="0"/>
              <w:right w:val="outset" w:color="auto" w:sz="6" w:space="0"/>
            </w:tcBorders>
            <w:vAlign w:val="center"/>
          </w:tcPr>
          <w:p w14:paraId="2698BFF1">
            <w:pPr>
              <w:widowControl/>
              <w:spacing w:line="360" w:lineRule="auto"/>
              <w:jc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rPr>
              <w:t>描述</w:t>
            </w:r>
          </w:p>
        </w:tc>
      </w:tr>
      <w:tr w14:paraId="6FBED4B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2250" w:type="pct"/>
            <w:tcBorders>
              <w:top w:val="outset" w:color="auto" w:sz="6" w:space="0"/>
              <w:left w:val="outset" w:color="auto" w:sz="6" w:space="0"/>
              <w:bottom w:val="outset" w:color="auto" w:sz="6" w:space="0"/>
              <w:right w:val="outset" w:color="auto" w:sz="6" w:space="0"/>
            </w:tcBorders>
            <w:vAlign w:val="center"/>
          </w:tcPr>
          <w:p w14:paraId="426E9BA9">
            <w:pPr>
              <w:widowControl/>
              <w:spacing w:line="360" w:lineRule="auto"/>
              <w:jc w:val="left"/>
              <w:rPr>
                <w:rFonts w:hint="eastAsia" w:ascii="宋体" w:hAnsi="宋体" w:cs="宋体"/>
                <w:color w:val="auto"/>
                <w:sz w:val="28"/>
                <w:szCs w:val="28"/>
                <w:highlight w:val="none"/>
              </w:rPr>
            </w:pPr>
            <w:r>
              <w:rPr>
                <w:rFonts w:hint="eastAsia" w:ascii="宋体" w:hAnsi="宋体" w:cs="宋体"/>
                <w:color w:val="auto"/>
                <w:kern w:val="0"/>
                <w:sz w:val="28"/>
                <w:szCs w:val="28"/>
                <w:highlight w:val="none"/>
              </w:rPr>
              <w:t>（1）单位授权书</w:t>
            </w:r>
          </w:p>
        </w:tc>
        <w:tc>
          <w:tcPr>
            <w:tcW w:w="2749" w:type="pct"/>
            <w:tcBorders>
              <w:top w:val="outset" w:color="auto" w:sz="6" w:space="0"/>
              <w:left w:val="outset" w:color="auto" w:sz="6" w:space="0"/>
              <w:bottom w:val="outset" w:color="auto" w:sz="6" w:space="0"/>
              <w:right w:val="outset" w:color="auto" w:sz="6" w:space="0"/>
            </w:tcBorders>
            <w:vAlign w:val="center"/>
          </w:tcPr>
          <w:p w14:paraId="57735B62">
            <w:pPr>
              <w:widowControl/>
              <w:spacing w:line="360" w:lineRule="auto"/>
              <w:jc w:val="left"/>
              <w:rPr>
                <w:rFonts w:hint="eastAsia" w:ascii="宋体" w:hAnsi="宋体" w:cs="宋体"/>
                <w:color w:val="auto"/>
                <w:sz w:val="28"/>
                <w:szCs w:val="28"/>
                <w:highlight w:val="none"/>
              </w:rPr>
            </w:pPr>
            <w:r>
              <w:rPr>
                <w:rFonts w:hint="eastAsia" w:ascii="宋体" w:hAnsi="宋体" w:cs="宋体"/>
                <w:color w:val="auto"/>
                <w:kern w:val="0"/>
                <w:sz w:val="28"/>
                <w:szCs w:val="28"/>
                <w:highlight w:val="none"/>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359C304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2250" w:type="pct"/>
            <w:tcBorders>
              <w:top w:val="outset" w:color="auto" w:sz="6" w:space="0"/>
              <w:left w:val="outset" w:color="auto" w:sz="6" w:space="0"/>
              <w:bottom w:val="outset" w:color="auto" w:sz="6" w:space="0"/>
              <w:right w:val="outset" w:color="auto" w:sz="6" w:space="0"/>
            </w:tcBorders>
            <w:vAlign w:val="center"/>
          </w:tcPr>
          <w:p w14:paraId="354A5C5F">
            <w:pPr>
              <w:widowControl/>
              <w:spacing w:line="360" w:lineRule="auto"/>
              <w:jc w:val="left"/>
              <w:rPr>
                <w:rFonts w:hint="eastAsia" w:ascii="宋体" w:hAnsi="宋体" w:cs="宋体"/>
                <w:color w:val="auto"/>
                <w:sz w:val="28"/>
                <w:szCs w:val="28"/>
                <w:highlight w:val="none"/>
              </w:rPr>
            </w:pPr>
            <w:r>
              <w:rPr>
                <w:rFonts w:hint="eastAsia" w:ascii="宋体" w:hAnsi="宋体" w:cs="宋体"/>
                <w:color w:val="auto"/>
                <w:kern w:val="0"/>
                <w:sz w:val="28"/>
                <w:szCs w:val="28"/>
                <w:highlight w:val="none"/>
              </w:rPr>
              <w:t>（2）营业执照等证明文件</w:t>
            </w:r>
          </w:p>
        </w:tc>
        <w:tc>
          <w:tcPr>
            <w:tcW w:w="2749" w:type="pct"/>
            <w:tcBorders>
              <w:top w:val="outset" w:color="auto" w:sz="6" w:space="0"/>
              <w:left w:val="outset" w:color="auto" w:sz="6" w:space="0"/>
              <w:bottom w:val="outset" w:color="auto" w:sz="6" w:space="0"/>
              <w:right w:val="outset" w:color="auto" w:sz="6" w:space="0"/>
            </w:tcBorders>
            <w:vAlign w:val="center"/>
          </w:tcPr>
          <w:p w14:paraId="6E0D30E1">
            <w:pPr>
              <w:widowControl/>
              <w:spacing w:line="360" w:lineRule="auto"/>
              <w:jc w:val="left"/>
              <w:rPr>
                <w:rFonts w:hint="eastAsia" w:ascii="宋体" w:hAnsi="宋体" w:cs="宋体"/>
                <w:color w:val="auto"/>
                <w:sz w:val="28"/>
                <w:szCs w:val="28"/>
                <w:highlight w:val="none"/>
              </w:rPr>
            </w:pPr>
            <w:r>
              <w:rPr>
                <w:rFonts w:hint="eastAsia" w:ascii="宋体" w:hAnsi="宋体" w:cs="宋体"/>
                <w:color w:val="auto"/>
                <w:kern w:val="0"/>
                <w:sz w:val="28"/>
                <w:szCs w:val="28"/>
                <w:highlight w:val="none"/>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310B5D0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2250" w:type="pct"/>
            <w:tcBorders>
              <w:top w:val="outset" w:color="auto" w:sz="6" w:space="0"/>
              <w:left w:val="outset" w:color="auto" w:sz="6" w:space="0"/>
              <w:bottom w:val="outset" w:color="auto" w:sz="6" w:space="0"/>
              <w:right w:val="outset" w:color="auto" w:sz="6" w:space="0"/>
            </w:tcBorders>
            <w:vAlign w:val="center"/>
          </w:tcPr>
          <w:p w14:paraId="15F0A003">
            <w:pPr>
              <w:widowControl/>
              <w:spacing w:line="360" w:lineRule="auto"/>
              <w:jc w:val="left"/>
              <w:rPr>
                <w:rFonts w:hint="eastAsia" w:ascii="宋体" w:hAnsi="宋体" w:cs="宋体"/>
                <w:color w:val="auto"/>
                <w:sz w:val="28"/>
                <w:szCs w:val="28"/>
                <w:highlight w:val="none"/>
              </w:rPr>
            </w:pPr>
            <w:r>
              <w:rPr>
                <w:rFonts w:hint="eastAsia" w:ascii="宋体" w:hAnsi="宋体" w:cs="宋体"/>
                <w:color w:val="auto"/>
                <w:kern w:val="0"/>
                <w:sz w:val="28"/>
                <w:szCs w:val="28"/>
                <w:highlight w:val="none"/>
              </w:rPr>
              <w:t>（3）提供财务状况报告（财务报告或资信证明）</w:t>
            </w:r>
          </w:p>
        </w:tc>
        <w:tc>
          <w:tcPr>
            <w:tcW w:w="2749" w:type="pct"/>
            <w:tcBorders>
              <w:top w:val="outset" w:color="auto" w:sz="6" w:space="0"/>
              <w:left w:val="outset" w:color="auto" w:sz="6" w:space="0"/>
              <w:bottom w:val="outset" w:color="auto" w:sz="6" w:space="0"/>
              <w:right w:val="outset" w:color="auto" w:sz="6" w:space="0"/>
            </w:tcBorders>
            <w:vAlign w:val="center"/>
          </w:tcPr>
          <w:p w14:paraId="1271A756">
            <w:pPr>
              <w:widowControl/>
              <w:spacing w:line="360" w:lineRule="auto"/>
              <w:jc w:val="left"/>
              <w:rPr>
                <w:rFonts w:hint="eastAsia" w:ascii="宋体" w:hAnsi="宋体" w:cs="宋体"/>
                <w:color w:val="auto"/>
                <w:sz w:val="28"/>
                <w:szCs w:val="28"/>
                <w:highlight w:val="none"/>
              </w:rPr>
            </w:pPr>
            <w:r>
              <w:rPr>
                <w:rFonts w:hint="eastAsia" w:ascii="宋体" w:hAnsi="宋体" w:cs="宋体"/>
                <w:color w:val="auto"/>
                <w:kern w:val="0"/>
                <w:sz w:val="28"/>
                <w:szCs w:val="28"/>
                <w:highlight w:val="none"/>
              </w:rPr>
              <w:t>①投标人提供的财务报告复印件（成立年限按照投标截止时间推算）应符合下列规定： a.成立年限满1年及以上的投标人，提供经审计的上一年度的年度财务报告</w:t>
            </w:r>
            <w:r>
              <w:rPr>
                <w:rFonts w:hint="eastAsia" w:ascii="宋体" w:hAnsi="宋体" w:eastAsia="宋体" w:cs="宋体"/>
                <w:color w:val="auto"/>
                <w:kern w:val="0"/>
                <w:sz w:val="28"/>
                <w:szCs w:val="28"/>
                <w:highlight w:val="none"/>
              </w:rPr>
              <w:t>（</w:t>
            </w:r>
            <w:r>
              <w:rPr>
                <w:rFonts w:hint="eastAsia" w:ascii="宋体" w:hAnsi="宋体" w:cs="宋体"/>
                <w:color w:val="auto"/>
                <w:kern w:val="0"/>
                <w:sz w:val="28"/>
                <w:szCs w:val="28"/>
                <w:highlight w:val="none"/>
                <w:lang w:val="en-US" w:eastAsia="zh-CN"/>
              </w:rPr>
              <w:t>投标人</w:t>
            </w:r>
            <w:r>
              <w:rPr>
                <w:rFonts w:hint="eastAsia" w:ascii="宋体" w:hAnsi="宋体" w:eastAsia="宋体" w:cs="宋体"/>
                <w:color w:val="auto"/>
                <w:kern w:val="0"/>
                <w:sz w:val="28"/>
                <w:szCs w:val="28"/>
                <w:highlight w:val="none"/>
              </w:rPr>
              <w:t>上一年度的财务报告尚未完成编制且</w:t>
            </w:r>
            <w:r>
              <w:rPr>
                <w:rFonts w:hint="eastAsia" w:ascii="宋体" w:hAnsi="宋体" w:cs="宋体"/>
                <w:color w:val="auto"/>
                <w:kern w:val="0"/>
                <w:sz w:val="28"/>
                <w:szCs w:val="28"/>
                <w:highlight w:val="none"/>
                <w:lang w:val="en-US" w:eastAsia="zh-CN"/>
              </w:rPr>
              <w:t>投标</w:t>
            </w:r>
            <w:r>
              <w:rPr>
                <w:rFonts w:hint="eastAsia" w:ascii="宋体" w:hAnsi="宋体" w:eastAsia="宋体" w:cs="宋体"/>
                <w:color w:val="auto"/>
                <w:kern w:val="0"/>
                <w:sz w:val="28"/>
                <w:szCs w:val="28"/>
                <w:highlight w:val="none"/>
              </w:rPr>
              <w:t>截止时间在每年1月1日至4月30日的，可提供上上年度经审计的年度财务报告。）</w:t>
            </w:r>
            <w:r>
              <w:rPr>
                <w:rFonts w:hint="eastAsia" w:ascii="宋体" w:hAnsi="宋体" w:cs="宋体"/>
                <w:color w:val="auto"/>
                <w:kern w:val="0"/>
                <w:sz w:val="28"/>
                <w:szCs w:val="28"/>
                <w:highlight w:val="none"/>
              </w:rPr>
              <w:t>。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1ED69FA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2250" w:type="pct"/>
            <w:tcBorders>
              <w:top w:val="outset" w:color="auto" w:sz="6" w:space="0"/>
              <w:left w:val="outset" w:color="auto" w:sz="6" w:space="0"/>
              <w:bottom w:val="outset" w:color="auto" w:sz="6" w:space="0"/>
              <w:right w:val="outset" w:color="auto" w:sz="6" w:space="0"/>
            </w:tcBorders>
            <w:vAlign w:val="center"/>
          </w:tcPr>
          <w:p w14:paraId="324017E2">
            <w:pPr>
              <w:widowControl/>
              <w:spacing w:line="360" w:lineRule="auto"/>
              <w:jc w:val="left"/>
              <w:rPr>
                <w:rFonts w:hint="eastAsia" w:ascii="宋体" w:hAnsi="宋体" w:cs="宋体"/>
                <w:color w:val="auto"/>
                <w:sz w:val="28"/>
                <w:szCs w:val="28"/>
                <w:highlight w:val="none"/>
              </w:rPr>
            </w:pPr>
            <w:r>
              <w:rPr>
                <w:rFonts w:hint="eastAsia" w:ascii="宋体" w:hAnsi="宋体" w:cs="宋体"/>
                <w:color w:val="auto"/>
                <w:kern w:val="0"/>
                <w:sz w:val="28"/>
                <w:szCs w:val="28"/>
                <w:highlight w:val="none"/>
              </w:rPr>
              <w:t>（4）依法缴纳税收证明材料</w:t>
            </w:r>
          </w:p>
        </w:tc>
        <w:tc>
          <w:tcPr>
            <w:tcW w:w="2749" w:type="pct"/>
            <w:tcBorders>
              <w:top w:val="outset" w:color="auto" w:sz="6" w:space="0"/>
              <w:left w:val="outset" w:color="auto" w:sz="6" w:space="0"/>
              <w:bottom w:val="outset" w:color="auto" w:sz="6" w:space="0"/>
              <w:right w:val="outset" w:color="auto" w:sz="6" w:space="0"/>
            </w:tcBorders>
            <w:vAlign w:val="center"/>
          </w:tcPr>
          <w:p w14:paraId="2BC79F25">
            <w:pPr>
              <w:widowControl/>
              <w:spacing w:line="360" w:lineRule="auto"/>
              <w:jc w:val="left"/>
              <w:rPr>
                <w:rFonts w:hint="eastAsia" w:ascii="宋体" w:hAnsi="宋体" w:cs="宋体"/>
                <w:color w:val="auto"/>
                <w:sz w:val="28"/>
                <w:szCs w:val="28"/>
                <w:highlight w:val="none"/>
              </w:rPr>
            </w:pPr>
            <w:r>
              <w:rPr>
                <w:rFonts w:hint="eastAsia" w:ascii="宋体" w:hAnsi="宋体" w:cs="宋体"/>
                <w:color w:val="auto"/>
                <w:kern w:val="0"/>
                <w:sz w:val="28"/>
                <w:szCs w:val="28"/>
                <w:highlight w:val="none"/>
              </w:rPr>
              <w:t>①投标人提供的税收凭据复印件应符合下列规定： a.投标截止时间前（不含投标截止时间的当月）已依法缴纳税收的投标人，提供投标截止时间前六个月（不含投标截止时间的当月）中任一月份的税收凭据复印件。 b.投标截止时间的当月成立且已依法缴纳税收的投标人，提供投标截止时间当月的税收凭据复印件。 c.投标截止时间的当月成立但因税务机关原因导致其尚未依法缴纳税收的投标人，提供依法缴纳税收承诺书（格式自拟），该承诺书视同税收凭据。</w:t>
            </w:r>
          </w:p>
        </w:tc>
      </w:tr>
      <w:tr w14:paraId="4E4A9F1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2250" w:type="pct"/>
            <w:tcBorders>
              <w:top w:val="outset" w:color="auto" w:sz="6" w:space="0"/>
              <w:left w:val="outset" w:color="auto" w:sz="6" w:space="0"/>
              <w:bottom w:val="outset" w:color="auto" w:sz="6" w:space="0"/>
              <w:right w:val="outset" w:color="auto" w:sz="6" w:space="0"/>
            </w:tcBorders>
            <w:vAlign w:val="center"/>
          </w:tcPr>
          <w:p w14:paraId="04EA6E18">
            <w:pPr>
              <w:widowControl/>
              <w:spacing w:line="360" w:lineRule="auto"/>
              <w:jc w:val="left"/>
              <w:rPr>
                <w:rFonts w:hint="eastAsia" w:ascii="宋体" w:hAnsi="宋体" w:cs="宋体"/>
                <w:color w:val="auto"/>
                <w:sz w:val="28"/>
                <w:szCs w:val="28"/>
                <w:highlight w:val="none"/>
              </w:rPr>
            </w:pPr>
            <w:r>
              <w:rPr>
                <w:rFonts w:hint="eastAsia" w:ascii="宋体" w:hAnsi="宋体" w:cs="宋体"/>
                <w:color w:val="auto"/>
                <w:kern w:val="0"/>
                <w:sz w:val="28"/>
                <w:szCs w:val="28"/>
                <w:highlight w:val="none"/>
              </w:rPr>
              <w:t>（5）依法缴纳社会保障资金证明材料</w:t>
            </w:r>
          </w:p>
        </w:tc>
        <w:tc>
          <w:tcPr>
            <w:tcW w:w="2749" w:type="pct"/>
            <w:tcBorders>
              <w:top w:val="outset" w:color="auto" w:sz="6" w:space="0"/>
              <w:left w:val="outset" w:color="auto" w:sz="6" w:space="0"/>
              <w:bottom w:val="outset" w:color="auto" w:sz="6" w:space="0"/>
              <w:right w:val="outset" w:color="auto" w:sz="6" w:space="0"/>
            </w:tcBorders>
            <w:vAlign w:val="center"/>
          </w:tcPr>
          <w:p w14:paraId="5A5C1A3E">
            <w:pPr>
              <w:widowControl/>
              <w:spacing w:line="360" w:lineRule="auto"/>
              <w:jc w:val="left"/>
              <w:rPr>
                <w:rFonts w:hint="eastAsia" w:ascii="宋体" w:hAnsi="宋体" w:cs="宋体"/>
                <w:color w:val="auto"/>
                <w:sz w:val="28"/>
                <w:szCs w:val="28"/>
                <w:highlight w:val="none"/>
              </w:rPr>
            </w:pPr>
            <w:r>
              <w:rPr>
                <w:rFonts w:hint="eastAsia" w:ascii="宋体" w:hAnsi="宋体" w:cs="宋体"/>
                <w:color w:val="auto"/>
                <w:kern w:val="0"/>
                <w:sz w:val="28"/>
                <w:szCs w:val="28"/>
                <w:highlight w:val="none"/>
              </w:rPr>
              <w:t>①投标人提供的社会保险凭据复印件应符合下列规定： a.投标截止时间前（不含投标截止时间的当月）已依法缴纳社会保障资金的投标人，提供投标截止时间前六个月（不含投标截止时间的当月）中任一月份的社会保险凭据复印件。 b.投标截止时间的当月成立且已依法缴纳社会保障资金的投标人，提供投标截止时间当月的社会保险凭据复印件。 c.投标截止标截止时间的当月成立但因税务机关/社会保障资金管理机关原因导致其尚未依法缴纳社会保障资金的投标人，提供依法缴纳社会保障资金承诺书（格式自拟），该承诺书视同社会保险凭据。</w:t>
            </w:r>
          </w:p>
        </w:tc>
      </w:tr>
      <w:tr w14:paraId="29875C5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2250" w:type="pct"/>
            <w:tcBorders>
              <w:top w:val="outset" w:color="auto" w:sz="6" w:space="0"/>
              <w:left w:val="outset" w:color="auto" w:sz="6" w:space="0"/>
              <w:bottom w:val="outset" w:color="auto" w:sz="6" w:space="0"/>
              <w:right w:val="outset" w:color="auto" w:sz="6" w:space="0"/>
            </w:tcBorders>
            <w:vAlign w:val="center"/>
          </w:tcPr>
          <w:p w14:paraId="33E72C66">
            <w:pPr>
              <w:widowControl/>
              <w:spacing w:line="360" w:lineRule="auto"/>
              <w:jc w:val="left"/>
              <w:rPr>
                <w:rFonts w:hint="eastAsia" w:ascii="宋体" w:hAnsi="宋体" w:cs="宋体"/>
                <w:color w:val="auto"/>
                <w:sz w:val="28"/>
                <w:szCs w:val="28"/>
                <w:highlight w:val="none"/>
              </w:rPr>
            </w:pPr>
            <w:r>
              <w:rPr>
                <w:rFonts w:hint="eastAsia" w:ascii="宋体" w:hAnsi="宋体" w:cs="宋体"/>
                <w:color w:val="auto"/>
                <w:kern w:val="0"/>
                <w:sz w:val="28"/>
                <w:szCs w:val="28"/>
                <w:highlight w:val="none"/>
              </w:rPr>
              <w:t>（6）具备履行合同所必需设备和专业技术能力的声明函(若有)</w:t>
            </w:r>
          </w:p>
        </w:tc>
        <w:tc>
          <w:tcPr>
            <w:tcW w:w="2749" w:type="pct"/>
            <w:tcBorders>
              <w:top w:val="outset" w:color="auto" w:sz="6" w:space="0"/>
              <w:left w:val="outset" w:color="auto" w:sz="6" w:space="0"/>
              <w:bottom w:val="outset" w:color="auto" w:sz="6" w:space="0"/>
              <w:right w:val="outset" w:color="auto" w:sz="6" w:space="0"/>
            </w:tcBorders>
            <w:vAlign w:val="center"/>
          </w:tcPr>
          <w:p w14:paraId="11AC7786">
            <w:pPr>
              <w:widowControl/>
              <w:spacing w:line="360" w:lineRule="auto"/>
              <w:jc w:val="left"/>
              <w:rPr>
                <w:rFonts w:hint="eastAsia" w:ascii="宋体" w:hAnsi="宋体" w:cs="宋体"/>
                <w:color w:val="auto"/>
                <w:sz w:val="28"/>
                <w:szCs w:val="28"/>
                <w:highlight w:val="none"/>
              </w:rPr>
            </w:pPr>
            <w:r>
              <w:rPr>
                <w:rFonts w:hint="eastAsia" w:ascii="宋体" w:hAnsi="宋体" w:cs="宋体"/>
                <w:color w:val="auto"/>
                <w:kern w:val="0"/>
                <w:sz w:val="28"/>
                <w:szCs w:val="28"/>
                <w:highlight w:val="none"/>
              </w:rPr>
              <w:t>①征集文件未要求投标人提供“具备履行合同所必需的设备和专业技术能力专项证明材料”的，投标人应提供本声明函。 ②征集文件要求投标人提供“具备履行合同所必需的设备和专业技术能力专项证明材料”的，投标人可不提供本声明函。</w:t>
            </w:r>
          </w:p>
        </w:tc>
      </w:tr>
      <w:tr w14:paraId="30713AB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2250" w:type="pct"/>
            <w:tcBorders>
              <w:top w:val="outset" w:color="auto" w:sz="6" w:space="0"/>
              <w:left w:val="outset" w:color="auto" w:sz="6" w:space="0"/>
              <w:bottom w:val="outset" w:color="auto" w:sz="6" w:space="0"/>
              <w:right w:val="outset" w:color="auto" w:sz="6" w:space="0"/>
            </w:tcBorders>
            <w:vAlign w:val="center"/>
          </w:tcPr>
          <w:p w14:paraId="7D499C8A">
            <w:pPr>
              <w:widowControl/>
              <w:spacing w:line="360" w:lineRule="auto"/>
              <w:jc w:val="left"/>
              <w:rPr>
                <w:rFonts w:hint="eastAsia" w:ascii="宋体" w:hAnsi="宋体" w:cs="宋体"/>
                <w:color w:val="auto"/>
                <w:sz w:val="28"/>
                <w:szCs w:val="28"/>
                <w:highlight w:val="none"/>
              </w:rPr>
            </w:pPr>
            <w:r>
              <w:rPr>
                <w:rFonts w:hint="eastAsia" w:ascii="宋体" w:hAnsi="宋体" w:cs="宋体"/>
                <w:color w:val="auto"/>
                <w:kern w:val="0"/>
                <w:sz w:val="28"/>
                <w:szCs w:val="28"/>
                <w:highlight w:val="none"/>
              </w:rPr>
              <w:t>（7）参加采购活动前三年内在经营活动中没有重大违法记录的声明</w:t>
            </w:r>
          </w:p>
        </w:tc>
        <w:tc>
          <w:tcPr>
            <w:tcW w:w="2749" w:type="pct"/>
            <w:tcBorders>
              <w:top w:val="outset" w:color="auto" w:sz="6" w:space="0"/>
              <w:left w:val="outset" w:color="auto" w:sz="6" w:space="0"/>
              <w:bottom w:val="outset" w:color="auto" w:sz="6" w:space="0"/>
              <w:right w:val="outset" w:color="auto" w:sz="6" w:space="0"/>
            </w:tcBorders>
            <w:vAlign w:val="center"/>
          </w:tcPr>
          <w:p w14:paraId="1FBA90F1">
            <w:pPr>
              <w:widowControl/>
              <w:spacing w:line="360" w:lineRule="auto"/>
              <w:jc w:val="left"/>
              <w:rPr>
                <w:rFonts w:hint="eastAsia" w:ascii="宋体" w:hAnsi="宋体" w:cs="宋体"/>
                <w:color w:val="auto"/>
                <w:sz w:val="28"/>
                <w:szCs w:val="28"/>
                <w:highlight w:val="none"/>
              </w:rPr>
            </w:pPr>
            <w:r>
              <w:rPr>
                <w:rFonts w:hint="eastAsia" w:ascii="宋体" w:hAnsi="宋体" w:cs="宋体"/>
                <w:color w:val="auto"/>
                <w:kern w:val="0"/>
                <w:sz w:val="28"/>
                <w:szCs w:val="28"/>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70A9172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2250" w:type="pct"/>
            <w:tcBorders>
              <w:top w:val="outset" w:color="auto" w:sz="6" w:space="0"/>
              <w:left w:val="outset" w:color="auto" w:sz="6" w:space="0"/>
              <w:bottom w:val="outset" w:color="auto" w:sz="6" w:space="0"/>
              <w:right w:val="outset" w:color="auto" w:sz="6" w:space="0"/>
            </w:tcBorders>
            <w:vAlign w:val="center"/>
          </w:tcPr>
          <w:p w14:paraId="55915C62">
            <w:pPr>
              <w:widowControl/>
              <w:spacing w:line="360" w:lineRule="auto"/>
              <w:jc w:val="left"/>
              <w:rPr>
                <w:rFonts w:hint="eastAsia" w:ascii="宋体" w:hAnsi="宋体" w:eastAsia="宋体" w:cs="宋体"/>
                <w:color w:val="auto"/>
                <w:kern w:val="0"/>
                <w:sz w:val="28"/>
                <w:szCs w:val="28"/>
                <w:highlight w:val="none"/>
                <w:lang w:val="en-US" w:eastAsia="zh-CN"/>
              </w:rPr>
            </w:pPr>
            <w:r>
              <w:rPr>
                <w:rFonts w:hint="eastAsia" w:ascii="宋体" w:hAnsi="宋体" w:cs="宋体"/>
                <w:color w:val="auto"/>
                <w:kern w:val="0"/>
                <w:sz w:val="28"/>
                <w:szCs w:val="28"/>
                <w:highlight w:val="none"/>
                <w:lang w:eastAsia="zh-CN"/>
              </w:rPr>
              <w:t>（</w:t>
            </w:r>
            <w:r>
              <w:rPr>
                <w:rFonts w:hint="eastAsia" w:ascii="宋体" w:hAnsi="宋体" w:cs="宋体"/>
                <w:color w:val="auto"/>
                <w:kern w:val="0"/>
                <w:sz w:val="28"/>
                <w:szCs w:val="28"/>
                <w:highlight w:val="none"/>
                <w:lang w:val="en-US" w:eastAsia="zh-CN"/>
              </w:rPr>
              <w:t>8</w:t>
            </w:r>
            <w:r>
              <w:rPr>
                <w:rFonts w:hint="eastAsia" w:ascii="宋体" w:hAnsi="宋体" w:cs="宋体"/>
                <w:color w:val="auto"/>
                <w:kern w:val="0"/>
                <w:sz w:val="28"/>
                <w:szCs w:val="28"/>
                <w:highlight w:val="none"/>
                <w:lang w:eastAsia="zh-CN"/>
              </w:rPr>
              <w:t>）</w:t>
            </w:r>
            <w:r>
              <w:rPr>
                <w:rFonts w:hint="eastAsia" w:ascii="宋体" w:hAnsi="宋体" w:cs="宋体"/>
                <w:color w:val="auto"/>
                <w:kern w:val="0"/>
                <w:sz w:val="28"/>
                <w:szCs w:val="28"/>
                <w:highlight w:val="none"/>
                <w:lang w:val="en-US" w:eastAsia="zh-CN"/>
              </w:rPr>
              <w:t>资格承诺函（若有）</w:t>
            </w:r>
          </w:p>
        </w:tc>
        <w:tc>
          <w:tcPr>
            <w:tcW w:w="2749" w:type="pct"/>
            <w:tcBorders>
              <w:top w:val="outset" w:color="auto" w:sz="6" w:space="0"/>
              <w:left w:val="outset" w:color="auto" w:sz="6" w:space="0"/>
              <w:bottom w:val="outset" w:color="auto" w:sz="6" w:space="0"/>
              <w:right w:val="outset" w:color="auto" w:sz="6" w:space="0"/>
            </w:tcBorders>
            <w:vAlign w:val="center"/>
          </w:tcPr>
          <w:p w14:paraId="5702DF70">
            <w:pPr>
              <w:widowControl/>
              <w:numPr>
                <w:ilvl w:val="0"/>
                <w:numId w:val="0"/>
              </w:numPr>
              <w:spacing w:line="360" w:lineRule="auto"/>
              <w:jc w:val="left"/>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lang w:val="en-US" w:eastAsia="zh-CN"/>
              </w:rPr>
              <w:t>本项目采用资格承诺制，供应商也可以提供</w:t>
            </w:r>
            <w:r>
              <w:rPr>
                <w:rFonts w:hint="eastAsia" w:ascii="宋体" w:hAnsi="宋体" w:cs="宋体"/>
                <w:color w:val="auto"/>
                <w:kern w:val="0"/>
                <w:sz w:val="28"/>
                <w:szCs w:val="28"/>
                <w:highlight w:val="none"/>
              </w:rPr>
              <w:t>福建省政府采购供应商资格承诺函</w:t>
            </w:r>
            <w:r>
              <w:rPr>
                <w:rFonts w:hint="eastAsia" w:ascii="宋体" w:hAnsi="宋体" w:cs="宋体"/>
                <w:color w:val="auto"/>
                <w:kern w:val="0"/>
                <w:sz w:val="28"/>
                <w:szCs w:val="28"/>
                <w:highlight w:val="none"/>
                <w:lang w:eastAsia="zh-CN"/>
              </w:rPr>
              <w:t>（</w:t>
            </w:r>
            <w:r>
              <w:rPr>
                <w:rFonts w:hint="eastAsia" w:ascii="宋体" w:hAnsi="宋体" w:cs="宋体"/>
                <w:color w:val="auto"/>
                <w:kern w:val="0"/>
                <w:sz w:val="28"/>
                <w:szCs w:val="28"/>
                <w:highlight w:val="none"/>
                <w:lang w:val="en-US" w:eastAsia="zh-CN"/>
              </w:rPr>
              <w:t>格式见附件</w:t>
            </w:r>
            <w:r>
              <w:rPr>
                <w:rFonts w:hint="eastAsia" w:ascii="宋体" w:hAnsi="宋体" w:cs="宋体"/>
                <w:color w:val="auto"/>
                <w:kern w:val="0"/>
                <w:sz w:val="28"/>
                <w:szCs w:val="28"/>
                <w:highlight w:val="none"/>
                <w:lang w:eastAsia="zh-CN"/>
              </w:rPr>
              <w:t>），</w:t>
            </w:r>
            <w:r>
              <w:rPr>
                <w:rFonts w:hint="eastAsia" w:ascii="宋体" w:hAnsi="宋体" w:cs="宋体"/>
                <w:color w:val="auto"/>
                <w:kern w:val="0"/>
                <w:sz w:val="28"/>
                <w:szCs w:val="28"/>
                <w:highlight w:val="none"/>
                <w:lang w:val="en-US" w:eastAsia="zh-CN"/>
              </w:rPr>
              <w:t>提供</w:t>
            </w:r>
            <w:r>
              <w:rPr>
                <w:rFonts w:hint="eastAsia" w:ascii="宋体" w:hAnsi="宋体" w:cs="宋体"/>
                <w:color w:val="auto"/>
                <w:kern w:val="0"/>
                <w:sz w:val="28"/>
                <w:szCs w:val="28"/>
                <w:highlight w:val="none"/>
              </w:rPr>
              <w:t>资格承诺函</w:t>
            </w:r>
            <w:r>
              <w:rPr>
                <w:rFonts w:hint="eastAsia" w:ascii="宋体" w:hAnsi="宋体" w:cs="宋体"/>
                <w:color w:val="auto"/>
                <w:kern w:val="0"/>
                <w:sz w:val="28"/>
                <w:szCs w:val="28"/>
                <w:highlight w:val="none"/>
                <w:lang w:val="en-US" w:eastAsia="zh-CN"/>
              </w:rPr>
              <w:t>则不用提供前述（3-7）项材料，若未提供资格承诺函，则需按要求提供（3-7）项材料。</w:t>
            </w:r>
          </w:p>
        </w:tc>
      </w:tr>
      <w:tr w14:paraId="12B54C6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2250" w:type="pct"/>
            <w:tcBorders>
              <w:top w:val="outset" w:color="auto" w:sz="6" w:space="0"/>
              <w:left w:val="outset" w:color="auto" w:sz="6" w:space="0"/>
              <w:bottom w:val="outset" w:color="auto" w:sz="6" w:space="0"/>
              <w:right w:val="outset" w:color="auto" w:sz="6" w:space="0"/>
            </w:tcBorders>
            <w:vAlign w:val="center"/>
          </w:tcPr>
          <w:p w14:paraId="1C9CAAD1">
            <w:pPr>
              <w:widowControl/>
              <w:spacing w:line="360" w:lineRule="auto"/>
              <w:jc w:val="left"/>
              <w:rPr>
                <w:rFonts w:hint="eastAsia" w:ascii="宋体" w:hAnsi="宋体" w:cs="宋体"/>
                <w:color w:val="auto"/>
                <w:sz w:val="28"/>
                <w:szCs w:val="28"/>
                <w:highlight w:val="none"/>
              </w:rPr>
            </w:pPr>
            <w:r>
              <w:rPr>
                <w:rFonts w:hint="eastAsia" w:ascii="宋体" w:hAnsi="宋体" w:cs="宋体"/>
                <w:color w:val="auto"/>
                <w:kern w:val="0"/>
                <w:sz w:val="28"/>
                <w:szCs w:val="28"/>
                <w:highlight w:val="none"/>
              </w:rPr>
              <w:t>（</w:t>
            </w:r>
            <w:r>
              <w:rPr>
                <w:rFonts w:hint="eastAsia" w:ascii="宋体" w:hAnsi="宋体" w:cs="宋体"/>
                <w:color w:val="auto"/>
                <w:kern w:val="0"/>
                <w:sz w:val="28"/>
                <w:szCs w:val="28"/>
                <w:highlight w:val="none"/>
                <w:lang w:val="en-US" w:eastAsia="zh-CN"/>
              </w:rPr>
              <w:t>9</w:t>
            </w:r>
            <w:r>
              <w:rPr>
                <w:rFonts w:hint="eastAsia" w:ascii="宋体" w:hAnsi="宋体" w:cs="宋体"/>
                <w:color w:val="auto"/>
                <w:kern w:val="0"/>
                <w:sz w:val="28"/>
                <w:szCs w:val="28"/>
                <w:highlight w:val="none"/>
              </w:rPr>
              <w:t>）信用记录查询结果</w:t>
            </w:r>
          </w:p>
        </w:tc>
        <w:tc>
          <w:tcPr>
            <w:tcW w:w="2749" w:type="pct"/>
            <w:tcBorders>
              <w:top w:val="outset" w:color="auto" w:sz="6" w:space="0"/>
              <w:left w:val="outset" w:color="auto" w:sz="6" w:space="0"/>
              <w:bottom w:val="outset" w:color="auto" w:sz="6" w:space="0"/>
              <w:right w:val="outset" w:color="auto" w:sz="6" w:space="0"/>
            </w:tcBorders>
            <w:vAlign w:val="center"/>
          </w:tcPr>
          <w:p w14:paraId="089E3AD5">
            <w:pPr>
              <w:widowControl/>
              <w:spacing w:line="360" w:lineRule="auto"/>
              <w:jc w:val="left"/>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信用记录按照下列规定执行：信用记录的查询及审查：</w:t>
            </w:r>
            <w:r>
              <w:rPr>
                <w:rFonts w:hint="eastAsia" w:ascii="宋体" w:hAnsi="宋体" w:cs="宋体"/>
                <w:b/>
                <w:bCs/>
                <w:color w:val="auto"/>
                <w:kern w:val="0"/>
                <w:sz w:val="28"/>
                <w:szCs w:val="28"/>
                <w:highlight w:val="none"/>
                <w:lang w:val="en-US" w:eastAsia="zh-CN"/>
              </w:rPr>
              <w:t>1</w:t>
            </w:r>
            <w:r>
              <w:rPr>
                <w:rFonts w:hint="eastAsia" w:ascii="宋体" w:hAnsi="宋体" w:cs="宋体"/>
                <w:b/>
                <w:bCs/>
                <w:color w:val="auto"/>
                <w:kern w:val="0"/>
                <w:sz w:val="28"/>
                <w:szCs w:val="28"/>
                <w:highlight w:val="none"/>
              </w:rPr>
              <w:t>由资格审查小组评审当日通过“信用中国”网站（www.creditchina.gov.cn）、中国政府采购网（www.ccgp.gov.cn）、</w:t>
            </w:r>
            <w:r>
              <w:rPr>
                <w:rFonts w:hint="eastAsia" w:ascii="宋体" w:hAnsi="宋体" w:cs="宋体"/>
                <w:b/>
                <w:bCs/>
                <w:color w:val="auto"/>
                <w:kern w:val="0"/>
                <w:sz w:val="28"/>
                <w:szCs w:val="28"/>
                <w:highlight w:val="none"/>
                <w:lang w:eastAsia="zh-CN"/>
              </w:rPr>
              <w:t>信用中国(福建厦门)（credit.xm.gov.cn）</w:t>
            </w:r>
            <w:r>
              <w:rPr>
                <w:rFonts w:hint="eastAsia" w:ascii="宋体" w:hAnsi="宋体" w:cs="宋体"/>
                <w:b/>
                <w:bCs/>
                <w:color w:val="auto"/>
                <w:kern w:val="0"/>
                <w:sz w:val="28"/>
                <w:szCs w:val="28"/>
                <w:highlight w:val="none"/>
              </w:rPr>
              <w:t>查询并打印投标人信用记录（以下简称：“资格审查小组的查询结果”）。②</w:t>
            </w:r>
            <w:r>
              <w:rPr>
                <w:rFonts w:hint="eastAsia" w:ascii="宋体" w:hAnsi="宋体" w:eastAsia="宋体" w:cs="宋体"/>
                <w:b/>
                <w:bCs/>
                <w:color w:val="auto"/>
                <w:spacing w:val="0"/>
                <w:kern w:val="0"/>
                <w:sz w:val="28"/>
                <w:szCs w:val="28"/>
                <w:highlight w:val="none"/>
                <w:lang w:val="en-US" w:eastAsia="zh-CN"/>
              </w:rPr>
              <w:t>经查询，投标人</w:t>
            </w:r>
            <w:r>
              <w:rPr>
                <w:rFonts w:hint="eastAsia" w:ascii="宋体" w:hAnsi="宋体" w:eastAsia="宋体" w:cs="宋体"/>
                <w:b/>
                <w:bCs/>
                <w:color w:val="auto"/>
                <w:kern w:val="0"/>
                <w:sz w:val="28"/>
                <w:szCs w:val="28"/>
                <w:highlight w:val="none"/>
              </w:rPr>
              <w:t>（包括联合体各方，联合体成员存在不良记录的，视同联合体存在不良信用记录，认定联合体资格审查不合格）</w:t>
            </w:r>
            <w:r>
              <w:rPr>
                <w:rFonts w:hint="eastAsia" w:ascii="宋体" w:hAnsi="宋体" w:eastAsia="宋体" w:cs="宋体"/>
                <w:b/>
                <w:bCs/>
                <w:color w:val="auto"/>
                <w:spacing w:val="0"/>
                <w:kern w:val="0"/>
                <w:sz w:val="28"/>
                <w:szCs w:val="28"/>
                <w:highlight w:val="none"/>
                <w:lang w:val="en-US" w:eastAsia="zh-CN"/>
              </w:rPr>
              <w:t>参加本项目采购活动(投标截止时间)前三年内被列入失信被执行人名单、重大税收违法案件当事人名单、政府采购严重违法失信行为记录名单及其他重大违法记录且相关信用惩戒期限未满的，其资格审查不合格</w:t>
            </w:r>
            <w:r>
              <w:rPr>
                <w:rFonts w:hint="eastAsia" w:ascii="宋体" w:hAnsi="宋体" w:cs="宋体"/>
                <w:b/>
                <w:bCs/>
                <w:color w:val="auto"/>
                <w:kern w:val="0"/>
                <w:sz w:val="28"/>
                <w:szCs w:val="28"/>
                <w:highlight w:val="none"/>
              </w:rPr>
              <w:t>。③投标人无需自行提供信用记录查询结果。</w:t>
            </w:r>
          </w:p>
          <w:p w14:paraId="50F18714">
            <w:pPr>
              <w:widowControl/>
              <w:spacing w:line="360" w:lineRule="auto"/>
              <w:jc w:val="left"/>
              <w:rPr>
                <w:rFonts w:hint="eastAsia" w:ascii="宋体" w:hAnsi="宋体" w:cs="宋体"/>
                <w:b/>
                <w:bCs/>
                <w:color w:val="auto"/>
                <w:kern w:val="0"/>
                <w:sz w:val="28"/>
                <w:szCs w:val="28"/>
                <w:highlight w:val="none"/>
              </w:rPr>
            </w:pPr>
            <w:r>
              <w:rPr>
                <w:rFonts w:hint="eastAsia" w:ascii="宋体" w:hAnsi="宋体" w:cs="宋体"/>
                <w:b/>
                <w:bCs/>
                <w:color w:val="auto"/>
                <w:kern w:val="0"/>
                <w:szCs w:val="28"/>
                <w:highlight w:val="none"/>
              </w:rPr>
              <w:t>2、截止时点：查询供应商截止</w:t>
            </w:r>
            <w:r>
              <w:rPr>
                <w:rFonts w:hint="eastAsia" w:ascii="宋体" w:hAnsi="宋体" w:cs="宋体"/>
                <w:b/>
                <w:bCs/>
                <w:color w:val="auto"/>
                <w:kern w:val="0"/>
                <w:szCs w:val="28"/>
                <w:highlight w:val="none"/>
                <w:lang w:val="en-US" w:eastAsia="zh-CN"/>
              </w:rPr>
              <w:t>评审</w:t>
            </w:r>
            <w:r>
              <w:rPr>
                <w:rFonts w:hint="eastAsia" w:ascii="宋体" w:hAnsi="宋体" w:cs="宋体"/>
                <w:b/>
                <w:bCs/>
                <w:color w:val="auto"/>
                <w:kern w:val="0"/>
                <w:szCs w:val="28"/>
                <w:highlight w:val="none"/>
              </w:rPr>
              <w:t>当天前三年内的信用信息。 3、查询记录和证据留存方式：将查询结果网页打印后随采购文件一并存档。 4、信用信息的使用规则：（1）查询结果显示供应商存在不良信用记录（包含列入失信被执行人、重大税收违法案件当事人名单、政府采购严重违法失信行为记录名单及其他不符合《中华人民共和国政府采购法》第二十二条规定条件）的，其资格审查不合格。（2）因查询渠道网站原因导致查无供应商信息的，不认定供应商资格审查不合格；评审结束后，通过其他渠道发现供应商存在不良信用记录的，不认定为资格审查错误，将依照有关规定进行调查处理。 5、供应商无需提供信用信息查询结果。若供应商自行提供查询结果的，仍以评审当天查询结果为准。</w:t>
            </w:r>
          </w:p>
        </w:tc>
      </w:tr>
    </w:tbl>
    <w:p w14:paraId="1DBB7B03">
      <w:pPr>
        <w:widowControl/>
        <w:spacing w:line="360" w:lineRule="auto"/>
        <w:jc w:val="left"/>
        <w:rPr>
          <w:rFonts w:hint="eastAsia" w:ascii="宋体" w:hAnsi="宋体" w:cs="宋体"/>
          <w:color w:val="auto"/>
          <w:sz w:val="28"/>
          <w:szCs w:val="28"/>
          <w:highlight w:val="none"/>
        </w:rPr>
      </w:pPr>
      <w:r>
        <w:rPr>
          <w:rFonts w:hint="eastAsia" w:ascii="宋体" w:hAnsi="宋体" w:cs="宋体"/>
          <w:color w:val="auto"/>
          <w:sz w:val="28"/>
          <w:szCs w:val="28"/>
          <w:highlight w:val="none"/>
        </w:rPr>
        <w:t>※备注说明</w:t>
      </w:r>
    </w:p>
    <w:p w14:paraId="092902EA">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①投标人应根据自身实际情况提供上述资格要求的证明材料，格式可参考征集文件第七章提供。</w:t>
      </w:r>
    </w:p>
    <w:p w14:paraId="57ECB8E9">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②投标人提供的相应证明材料复印件均应符合：内容完整、清晰、整洁，并由投标人加盖其单位公章。</w:t>
      </w:r>
    </w:p>
    <w:p w14:paraId="2A937984">
      <w:pPr>
        <w:pStyle w:val="12"/>
        <w:widowControl/>
        <w:spacing w:before="0" w:beforeAutospacing="0" w:after="0" w:afterAutospacing="0" w:line="360" w:lineRule="auto"/>
        <w:rPr>
          <w:rFonts w:hint="eastAsia" w:ascii="宋体" w:hAnsi="宋体" w:cs="宋体"/>
          <w:color w:val="auto"/>
          <w:sz w:val="28"/>
          <w:szCs w:val="28"/>
          <w:highlight w:val="none"/>
        </w:rPr>
      </w:pPr>
    </w:p>
    <w:p w14:paraId="1FCAE029">
      <w:pPr>
        <w:widowControl/>
        <w:spacing w:line="360" w:lineRule="auto"/>
        <w:jc w:val="left"/>
        <w:rPr>
          <w:rFonts w:hint="eastAsia" w:ascii="宋体" w:hAnsi="宋体" w:cs="宋体"/>
          <w:color w:val="auto"/>
          <w:sz w:val="28"/>
          <w:szCs w:val="28"/>
          <w:highlight w:val="none"/>
        </w:rPr>
      </w:pPr>
      <w:r>
        <w:rPr>
          <w:rFonts w:hint="eastAsia" w:ascii="宋体" w:hAnsi="宋体" w:cs="宋体"/>
          <w:color w:val="auto"/>
          <w:kern w:val="0"/>
          <w:sz w:val="28"/>
          <w:szCs w:val="28"/>
          <w:highlight w:val="none"/>
        </w:rPr>
        <w:t>  （3）投标保证金。</w:t>
      </w:r>
    </w:p>
    <w:p w14:paraId="1A7523A0">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1.4有下列情形之一的，</w:t>
      </w:r>
      <w:r>
        <w:rPr>
          <w:rStyle w:val="17"/>
          <w:rFonts w:hint="eastAsia" w:ascii="宋体" w:hAnsi="宋体" w:cs="宋体"/>
          <w:color w:val="auto"/>
          <w:sz w:val="28"/>
          <w:szCs w:val="28"/>
          <w:highlight w:val="none"/>
        </w:rPr>
        <w:t>资格审查不合格：</w:t>
      </w:r>
      <w:r>
        <w:rPr>
          <w:rStyle w:val="17"/>
          <w:rFonts w:hint="eastAsia" w:ascii="宋体" w:hAnsi="宋体" w:cs="宋体"/>
          <w:color w:val="auto"/>
          <w:sz w:val="28"/>
          <w:szCs w:val="28"/>
          <w:highlight w:val="none"/>
        </w:rPr>
        <w:br w:type="textWrapping"/>
      </w:r>
      <w:r>
        <w:rPr>
          <w:rFonts w:hint="eastAsia" w:ascii="宋体" w:hAnsi="宋体" w:cs="宋体"/>
          <w:color w:val="auto"/>
          <w:sz w:val="28"/>
          <w:szCs w:val="28"/>
          <w:highlight w:val="none"/>
        </w:rPr>
        <w:t>  （1）一般情形：</w:t>
      </w:r>
    </w:p>
    <w:tbl>
      <w:tblPr>
        <w:tblStyle w:val="14"/>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8336"/>
      </w:tblGrid>
      <w:tr w14:paraId="21B49FA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5000" w:type="pct"/>
            <w:tcBorders>
              <w:top w:val="outset" w:color="auto" w:sz="6" w:space="0"/>
              <w:left w:val="outset" w:color="auto" w:sz="6" w:space="0"/>
              <w:bottom w:val="outset" w:color="auto" w:sz="6" w:space="0"/>
              <w:right w:val="outset" w:color="auto" w:sz="6" w:space="0"/>
            </w:tcBorders>
            <w:vAlign w:val="center"/>
          </w:tcPr>
          <w:p w14:paraId="713D6BAF">
            <w:pPr>
              <w:widowControl/>
              <w:spacing w:line="360" w:lineRule="auto"/>
              <w:jc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rPr>
              <w:t>明细</w:t>
            </w:r>
          </w:p>
        </w:tc>
      </w:tr>
      <w:tr w14:paraId="30C42D0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vAlign w:val="center"/>
          </w:tcPr>
          <w:p w14:paraId="551261AC">
            <w:pPr>
              <w:widowControl/>
              <w:spacing w:line="360" w:lineRule="auto"/>
              <w:jc w:val="left"/>
              <w:rPr>
                <w:rFonts w:hint="eastAsia" w:ascii="宋体" w:hAnsi="宋体" w:cs="宋体"/>
                <w:color w:val="auto"/>
                <w:sz w:val="28"/>
                <w:szCs w:val="28"/>
                <w:highlight w:val="none"/>
              </w:rPr>
            </w:pPr>
            <w:r>
              <w:rPr>
                <w:rFonts w:hint="eastAsia" w:ascii="宋体" w:hAnsi="宋体" w:cs="宋体"/>
                <w:color w:val="auto"/>
                <w:kern w:val="0"/>
                <w:sz w:val="28"/>
                <w:szCs w:val="28"/>
                <w:highlight w:val="none"/>
              </w:rPr>
              <w:t>未按照征集文件规定提交投标函</w:t>
            </w:r>
          </w:p>
        </w:tc>
      </w:tr>
      <w:tr w14:paraId="5862E77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vAlign w:val="center"/>
          </w:tcPr>
          <w:p w14:paraId="522F16FD">
            <w:pPr>
              <w:widowControl/>
              <w:spacing w:line="360" w:lineRule="auto"/>
              <w:jc w:val="left"/>
              <w:rPr>
                <w:rFonts w:hint="eastAsia" w:ascii="宋体" w:hAnsi="宋体" w:cs="宋体"/>
                <w:color w:val="auto"/>
                <w:sz w:val="28"/>
                <w:szCs w:val="28"/>
                <w:highlight w:val="none"/>
              </w:rPr>
            </w:pPr>
            <w:r>
              <w:rPr>
                <w:rFonts w:hint="eastAsia" w:ascii="宋体" w:hAnsi="宋体" w:cs="宋体"/>
                <w:color w:val="auto"/>
                <w:kern w:val="0"/>
                <w:sz w:val="28"/>
                <w:szCs w:val="28"/>
                <w:highlight w:val="none"/>
              </w:rPr>
              <w:t>未按照征集文件规定提交投标人的资格及资信文件</w:t>
            </w:r>
          </w:p>
        </w:tc>
      </w:tr>
      <w:tr w14:paraId="149104E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vAlign w:val="center"/>
          </w:tcPr>
          <w:p w14:paraId="1418110E">
            <w:pPr>
              <w:widowControl/>
              <w:spacing w:line="360" w:lineRule="auto"/>
              <w:jc w:val="left"/>
              <w:rPr>
                <w:rFonts w:hint="eastAsia" w:ascii="宋体" w:hAnsi="宋体" w:cs="宋体"/>
                <w:color w:val="auto"/>
                <w:sz w:val="28"/>
                <w:szCs w:val="28"/>
                <w:highlight w:val="none"/>
              </w:rPr>
            </w:pPr>
            <w:r>
              <w:rPr>
                <w:rFonts w:hint="eastAsia" w:ascii="宋体" w:hAnsi="宋体" w:cs="宋体"/>
                <w:color w:val="auto"/>
                <w:kern w:val="0"/>
                <w:sz w:val="28"/>
                <w:szCs w:val="28"/>
                <w:highlight w:val="none"/>
              </w:rPr>
              <w:t>未按照征集文件规定提交投标保证金</w:t>
            </w:r>
          </w:p>
        </w:tc>
      </w:tr>
    </w:tbl>
    <w:p w14:paraId="5CB9DB11">
      <w:pPr>
        <w:widowControl/>
        <w:numPr>
          <w:ilvl w:val="0"/>
          <w:numId w:val="1"/>
        </w:numPr>
        <w:spacing w:line="360" w:lineRule="auto"/>
        <w:ind w:firstLine="320"/>
        <w:jc w:val="left"/>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本项目规定的其他情形：</w:t>
      </w:r>
    </w:p>
    <w:tbl>
      <w:tblPr>
        <w:tblStyle w:val="14"/>
        <w:tblW w:w="5007" w:type="pct"/>
        <w:tblCellSpacing w:w="0" w:type="dxa"/>
        <w:tblInd w:w="47"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2391"/>
        <w:gridCol w:w="5957"/>
      </w:tblGrid>
      <w:tr w14:paraId="69DB5A9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1432" w:type="pct"/>
            <w:vAlign w:val="center"/>
          </w:tcPr>
          <w:p w14:paraId="3D4DB934">
            <w:pPr>
              <w:widowControl/>
              <w:spacing w:line="360" w:lineRule="auto"/>
              <w:jc w:val="center"/>
              <w:rPr>
                <w:rFonts w:hint="eastAsia" w:ascii="宋体" w:hAnsi="宋体" w:cs="宋体"/>
                <w:b/>
                <w:bCs/>
                <w:color w:val="auto"/>
                <w:sz w:val="24"/>
                <w:highlight w:val="none"/>
              </w:rPr>
            </w:pPr>
            <w:r>
              <w:rPr>
                <w:rFonts w:hint="eastAsia" w:ascii="宋体" w:hAnsi="宋体" w:cs="宋体"/>
                <w:b/>
                <w:bCs/>
                <w:color w:val="auto"/>
                <w:kern w:val="0"/>
                <w:sz w:val="24"/>
                <w:highlight w:val="none"/>
              </w:rPr>
              <w:t>明细</w:t>
            </w:r>
          </w:p>
        </w:tc>
        <w:tc>
          <w:tcPr>
            <w:tcW w:w="3567" w:type="pct"/>
            <w:vAlign w:val="center"/>
          </w:tcPr>
          <w:p w14:paraId="70456450">
            <w:pPr>
              <w:widowControl/>
              <w:spacing w:line="360" w:lineRule="auto"/>
              <w:jc w:val="center"/>
              <w:rPr>
                <w:rFonts w:hint="eastAsia" w:ascii="宋体" w:hAnsi="宋体" w:cs="宋体"/>
                <w:b/>
                <w:bCs/>
                <w:color w:val="auto"/>
                <w:sz w:val="24"/>
                <w:highlight w:val="none"/>
              </w:rPr>
            </w:pPr>
            <w:r>
              <w:rPr>
                <w:rFonts w:hint="eastAsia" w:ascii="宋体" w:hAnsi="宋体" w:cs="宋体"/>
                <w:b/>
                <w:bCs/>
                <w:color w:val="auto"/>
                <w:kern w:val="0"/>
                <w:sz w:val="24"/>
                <w:highlight w:val="none"/>
              </w:rPr>
              <w:t>描述</w:t>
            </w:r>
          </w:p>
        </w:tc>
      </w:tr>
      <w:tr w14:paraId="22AC5EC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1432" w:type="pct"/>
            <w:tcBorders>
              <w:top w:val="single" w:color="auto" w:sz="4" w:space="0"/>
              <w:left w:val="single" w:color="auto" w:sz="4" w:space="0"/>
              <w:bottom w:val="single" w:color="auto" w:sz="4" w:space="0"/>
              <w:right w:val="single" w:color="auto" w:sz="4" w:space="0"/>
            </w:tcBorders>
            <w:vAlign w:val="center"/>
          </w:tcPr>
          <w:p w14:paraId="09235BAB">
            <w:pPr>
              <w:widowControl/>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联合体投标</w:t>
            </w:r>
          </w:p>
        </w:tc>
        <w:tc>
          <w:tcPr>
            <w:tcW w:w="3567" w:type="pct"/>
            <w:tcBorders>
              <w:top w:val="single" w:color="auto" w:sz="4" w:space="0"/>
              <w:left w:val="single" w:color="auto" w:sz="4" w:space="0"/>
              <w:bottom w:val="single" w:color="auto" w:sz="4" w:space="0"/>
              <w:right w:val="single" w:color="auto" w:sz="4" w:space="0"/>
            </w:tcBorders>
            <w:vAlign w:val="center"/>
          </w:tcPr>
          <w:p w14:paraId="0CE23B48">
            <w:pPr>
              <w:widowControl/>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本</w:t>
            </w:r>
            <w:r>
              <w:rPr>
                <w:rFonts w:hint="eastAsia" w:ascii="宋体" w:hAnsi="宋体" w:cs="宋体"/>
                <w:b/>
                <w:bCs/>
                <w:color w:val="auto"/>
                <w:kern w:val="0"/>
                <w:sz w:val="24"/>
                <w:highlight w:val="none"/>
                <w:lang w:val="en-US" w:eastAsia="zh-CN"/>
              </w:rPr>
              <w:t>采购包</w:t>
            </w:r>
            <w:r>
              <w:rPr>
                <w:rFonts w:hint="eastAsia" w:ascii="宋体" w:hAnsi="宋体" w:cs="宋体"/>
                <w:b/>
                <w:bCs/>
                <w:color w:val="auto"/>
                <w:kern w:val="0"/>
                <w:sz w:val="24"/>
                <w:highlight w:val="none"/>
              </w:rPr>
              <w:t>不接受联合体投标</w:t>
            </w:r>
          </w:p>
        </w:tc>
      </w:tr>
      <w:tr w14:paraId="4AA79EC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1432" w:type="pct"/>
            <w:tcBorders>
              <w:top w:val="single" w:color="auto" w:sz="4" w:space="0"/>
              <w:left w:val="single" w:color="auto" w:sz="4" w:space="0"/>
              <w:bottom w:val="single" w:color="auto" w:sz="4" w:space="0"/>
              <w:right w:val="single" w:color="auto" w:sz="4" w:space="0"/>
            </w:tcBorders>
            <w:vAlign w:val="center"/>
          </w:tcPr>
          <w:p w14:paraId="75F19CD3">
            <w:pPr>
              <w:widowControl/>
              <w:spacing w:line="360" w:lineRule="auto"/>
              <w:jc w:val="center"/>
              <w:rPr>
                <w:rFonts w:hint="eastAsia" w:ascii="宋体" w:hAnsi="宋体" w:eastAsia="宋体" w:cs="宋体"/>
                <w:b/>
                <w:bCs/>
                <w:color w:val="auto"/>
                <w:kern w:val="0"/>
                <w:sz w:val="24"/>
                <w:highlight w:val="none"/>
                <w:lang w:val="en-US" w:eastAsia="zh-CN"/>
              </w:rPr>
            </w:pPr>
            <w:r>
              <w:rPr>
                <w:rFonts w:hint="eastAsia" w:ascii="宋体" w:hAnsi="宋体" w:cs="宋体"/>
                <w:b/>
                <w:bCs/>
                <w:color w:val="auto"/>
                <w:kern w:val="0"/>
                <w:sz w:val="24"/>
                <w:highlight w:val="none"/>
                <w:lang w:val="en-US" w:eastAsia="zh-CN"/>
              </w:rPr>
              <w:t>其它</w:t>
            </w:r>
          </w:p>
        </w:tc>
        <w:tc>
          <w:tcPr>
            <w:tcW w:w="3567" w:type="pct"/>
            <w:tcBorders>
              <w:top w:val="single" w:color="auto" w:sz="4" w:space="0"/>
              <w:left w:val="single" w:color="auto" w:sz="4" w:space="0"/>
              <w:bottom w:val="single" w:color="auto" w:sz="4" w:space="0"/>
              <w:right w:val="single" w:color="auto" w:sz="4" w:space="0"/>
            </w:tcBorders>
            <w:vAlign w:val="center"/>
          </w:tcPr>
          <w:p w14:paraId="65098A9E">
            <w:pPr>
              <w:widowControl/>
              <w:spacing w:line="360" w:lineRule="auto"/>
              <w:jc w:val="left"/>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★1、</w:t>
            </w:r>
            <w:r>
              <w:rPr>
                <w:rFonts w:hint="eastAsia" w:ascii="宋体" w:hAnsi="宋体" w:cs="宋体"/>
                <w:b/>
                <w:bCs/>
                <w:color w:val="auto"/>
                <w:kern w:val="0"/>
                <w:sz w:val="24"/>
                <w:highlight w:val="none"/>
                <w:lang w:val="zh-CN"/>
              </w:rPr>
              <w:t>投标人应为生产者（制造商）或者生产者（制造商）唯一授权供应商，投标人为生产者（制造商）唯一授权供应商时，投标人需要出具生产厂家的唯一授权函。</w:t>
            </w:r>
          </w:p>
        </w:tc>
      </w:tr>
    </w:tbl>
    <w:p w14:paraId="058CCDA3">
      <w:pPr>
        <w:pStyle w:val="12"/>
        <w:widowControl/>
        <w:spacing w:before="0" w:beforeAutospacing="0" w:after="0" w:afterAutospacing="0" w:line="360" w:lineRule="auto"/>
        <w:rPr>
          <w:rFonts w:hint="eastAsia" w:ascii="宋体" w:hAnsi="宋体" w:cs="宋体"/>
          <w:color w:val="auto"/>
          <w:sz w:val="28"/>
          <w:szCs w:val="28"/>
          <w:highlight w:val="none"/>
        </w:rPr>
      </w:pPr>
    </w:p>
    <w:p w14:paraId="7A8A8352">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6E3857E3">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2、资格审查情况不得私自外泄，有关信息由</w:t>
      </w:r>
      <w:r>
        <w:rPr>
          <w:rFonts w:hint="eastAsia" w:ascii="宋体" w:hAnsi="宋体" w:cs="宋体"/>
          <w:color w:val="auto"/>
          <w:sz w:val="28"/>
          <w:szCs w:val="28"/>
          <w:highlight w:val="none"/>
          <w:u w:val="single"/>
        </w:rPr>
        <w:t>厦门万翔招标有限公司</w:t>
      </w:r>
      <w:r>
        <w:rPr>
          <w:rFonts w:hint="eastAsia" w:ascii="宋体" w:hAnsi="宋体" w:cs="宋体"/>
          <w:color w:val="auto"/>
          <w:sz w:val="28"/>
          <w:szCs w:val="28"/>
          <w:highlight w:val="none"/>
        </w:rPr>
        <w:t>统一对外发布。</w:t>
      </w:r>
    </w:p>
    <w:p w14:paraId="45AAABBA">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3、资格审查合格的投标人不足</w:t>
      </w:r>
      <w:r>
        <w:rPr>
          <w:rFonts w:hint="eastAsia" w:ascii="宋体" w:hAnsi="宋体" w:cs="宋体"/>
          <w:color w:val="auto"/>
          <w:sz w:val="28"/>
          <w:szCs w:val="28"/>
          <w:highlight w:val="none"/>
          <w:lang w:val="en-US" w:eastAsia="zh-CN"/>
        </w:rPr>
        <w:t>两</w:t>
      </w:r>
      <w:r>
        <w:rPr>
          <w:rFonts w:hint="eastAsia" w:ascii="宋体" w:hAnsi="宋体" w:cs="宋体"/>
          <w:color w:val="auto"/>
          <w:sz w:val="28"/>
          <w:szCs w:val="28"/>
          <w:highlight w:val="none"/>
        </w:rPr>
        <w:t>家的</w:t>
      </w:r>
      <w:r>
        <w:rPr>
          <w:rFonts w:hint="eastAsia" w:ascii="宋体" w:hAnsi="宋体" w:cs="宋体"/>
          <w:color w:val="auto"/>
          <w:sz w:val="28"/>
          <w:szCs w:val="28"/>
          <w:highlight w:val="none"/>
        </w:rPr>
        <w:t>，不进行评标。同时，本次采购活动结束，</w:t>
      </w:r>
      <w:r>
        <w:rPr>
          <w:rFonts w:hint="eastAsia" w:ascii="宋体" w:hAnsi="宋体" w:cs="宋体"/>
          <w:color w:val="auto"/>
          <w:sz w:val="28"/>
          <w:szCs w:val="28"/>
          <w:highlight w:val="none"/>
          <w:u w:val="single"/>
        </w:rPr>
        <w:t>厦门万翔招标有限公司</w:t>
      </w:r>
      <w:r>
        <w:rPr>
          <w:rFonts w:hint="eastAsia" w:ascii="宋体" w:hAnsi="宋体" w:cs="宋体"/>
          <w:color w:val="auto"/>
          <w:sz w:val="28"/>
          <w:szCs w:val="28"/>
          <w:highlight w:val="none"/>
        </w:rPr>
        <w:t>将依法组织后续采购活动（包括但不限于：重新招标、采用其他方式采购等）。 </w:t>
      </w:r>
    </w:p>
    <w:p w14:paraId="0375E1DA">
      <w:pPr>
        <w:pStyle w:val="12"/>
        <w:widowControl/>
        <w:spacing w:before="0" w:beforeAutospacing="0" w:after="0" w:afterAutospacing="0" w:line="360" w:lineRule="auto"/>
        <w:jc w:val="center"/>
        <w:outlineLvl w:val="1"/>
        <w:rPr>
          <w:rFonts w:hint="eastAsia" w:ascii="宋体" w:hAnsi="宋体" w:cs="宋体"/>
          <w:color w:val="auto"/>
          <w:sz w:val="28"/>
          <w:szCs w:val="28"/>
          <w:highlight w:val="none"/>
        </w:rPr>
      </w:pPr>
      <w:r>
        <w:rPr>
          <w:rStyle w:val="17"/>
          <w:rFonts w:hint="eastAsia" w:ascii="宋体" w:hAnsi="宋体" w:cs="宋体"/>
          <w:color w:val="auto"/>
          <w:sz w:val="28"/>
          <w:szCs w:val="28"/>
          <w:highlight w:val="none"/>
        </w:rPr>
        <w:t>二、评标</w:t>
      </w:r>
    </w:p>
    <w:p w14:paraId="20EC0098">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4、资格审查结束后，由厦门万翔招标有限公司负责评标委员会的组建及评标工作的组织。</w:t>
      </w:r>
    </w:p>
    <w:p w14:paraId="16FED7C2">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5、评标委员会</w:t>
      </w:r>
    </w:p>
    <w:p w14:paraId="18E9708A">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5.1评标委员会共</w:t>
      </w:r>
      <w:r>
        <w:rPr>
          <w:rFonts w:hint="eastAsia" w:ascii="宋体" w:hAnsi="宋体" w:cs="宋体"/>
          <w:color w:val="auto"/>
          <w:sz w:val="28"/>
          <w:szCs w:val="28"/>
          <w:highlight w:val="none"/>
          <w:u w:val="single"/>
          <w:lang w:val="en-US" w:eastAsia="zh-CN"/>
        </w:rPr>
        <w:t>7</w:t>
      </w:r>
      <w:r>
        <w:rPr>
          <w:rFonts w:hint="eastAsia" w:ascii="宋体" w:hAnsi="宋体" w:cs="宋体"/>
          <w:color w:val="auto"/>
          <w:sz w:val="28"/>
          <w:szCs w:val="28"/>
          <w:highlight w:val="none"/>
        </w:rPr>
        <w:t>人（以下简称“评委”）组成，由福建省政府采购评审专家库产生的评标专家</w:t>
      </w:r>
      <w:r>
        <w:rPr>
          <w:rFonts w:hint="eastAsia" w:ascii="宋体" w:hAnsi="宋体" w:cs="宋体"/>
          <w:color w:val="auto"/>
          <w:sz w:val="28"/>
          <w:szCs w:val="28"/>
          <w:highlight w:val="none"/>
          <w:u w:val="single"/>
          <w:lang w:val="en-US" w:eastAsia="zh-CN"/>
        </w:rPr>
        <w:t>7</w:t>
      </w:r>
      <w:r>
        <w:rPr>
          <w:rFonts w:hint="eastAsia" w:ascii="宋体" w:hAnsi="宋体" w:cs="宋体"/>
          <w:color w:val="auto"/>
          <w:sz w:val="28"/>
          <w:szCs w:val="28"/>
          <w:highlight w:val="none"/>
        </w:rPr>
        <w:t>人。</w:t>
      </w:r>
    </w:p>
    <w:p w14:paraId="30AE5F84">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5.2评标委员会负责具体评标事务，并按照下列原则依法独立履行有关职责：</w:t>
      </w:r>
    </w:p>
    <w:p w14:paraId="1CC6449F">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（1）评标应保护国家利益、社会公共利益和各方当事人合法权益，提高采购效益，保证项目质量。</w:t>
      </w:r>
    </w:p>
    <w:p w14:paraId="1465C16A">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（2）评标应遵循公平、公正、科学、严谨和择优原则。</w:t>
      </w:r>
    </w:p>
    <w:p w14:paraId="18FEDEFA">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（3）评标的依据是征集文件和响应文件。</w:t>
      </w:r>
    </w:p>
    <w:p w14:paraId="7B57C5EE">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（4）应按照征集文件规定确定入围供应商。</w:t>
      </w:r>
    </w:p>
    <w:p w14:paraId="06B6DBB4">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（5）评标应遵守下列评标纪律：</w:t>
      </w:r>
    </w:p>
    <w:p w14:paraId="0FB94FF2">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①评标情况不得私自外泄，有关信息由</w:t>
      </w:r>
      <w:r>
        <w:rPr>
          <w:rFonts w:hint="eastAsia" w:ascii="宋体" w:hAnsi="宋体" w:cs="宋体"/>
          <w:color w:val="auto"/>
          <w:sz w:val="28"/>
          <w:szCs w:val="28"/>
          <w:highlight w:val="none"/>
          <w:u w:val="single"/>
        </w:rPr>
        <w:t>厦门万翔招标有限公司</w:t>
      </w:r>
      <w:r>
        <w:rPr>
          <w:rFonts w:hint="eastAsia" w:ascii="宋体" w:hAnsi="宋体" w:cs="宋体"/>
          <w:color w:val="auto"/>
          <w:sz w:val="28"/>
          <w:szCs w:val="28"/>
          <w:highlight w:val="none"/>
        </w:rPr>
        <w:t>统一对外发布。</w:t>
      </w:r>
    </w:p>
    <w:p w14:paraId="2B050FD5">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②对</w:t>
      </w:r>
      <w:r>
        <w:rPr>
          <w:rFonts w:hint="eastAsia" w:ascii="宋体" w:hAnsi="宋体" w:cs="宋体"/>
          <w:color w:val="auto"/>
          <w:sz w:val="28"/>
          <w:szCs w:val="28"/>
          <w:highlight w:val="none"/>
          <w:u w:val="single"/>
        </w:rPr>
        <w:t>厦门万翔招标有限公司</w:t>
      </w:r>
      <w:r>
        <w:rPr>
          <w:rFonts w:hint="eastAsia" w:ascii="宋体" w:hAnsi="宋体" w:cs="宋体"/>
          <w:color w:val="auto"/>
          <w:sz w:val="28"/>
          <w:szCs w:val="28"/>
          <w:highlight w:val="none"/>
        </w:rPr>
        <w:t>或投标人提供的</w:t>
      </w:r>
      <w:r>
        <w:rPr>
          <w:rFonts w:hint="eastAsia" w:ascii="宋体" w:hAnsi="宋体" w:cs="宋体"/>
          <w:color w:val="auto"/>
          <w:sz w:val="28"/>
          <w:szCs w:val="28"/>
          <w:highlight w:val="none"/>
          <w:lang w:val="en-US" w:eastAsia="zh-CN"/>
        </w:rPr>
        <w:t>需</w:t>
      </w:r>
      <w:r>
        <w:rPr>
          <w:rFonts w:hint="eastAsia" w:ascii="宋体" w:hAnsi="宋体" w:cs="宋体"/>
          <w:color w:val="auto"/>
          <w:sz w:val="28"/>
          <w:szCs w:val="28"/>
          <w:highlight w:val="none"/>
        </w:rPr>
        <w:t>保密的资料，不得摘记翻印和外传。</w:t>
      </w:r>
    </w:p>
    <w:p w14:paraId="2C097FFE">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③不得收受投标人或有关人员的任何礼物，不得串联鼓动其他人袒护某投标人。若与投标人存在利害关系，则应主动声明并回避。</w:t>
      </w:r>
    </w:p>
    <w:p w14:paraId="05228268">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④全体评委应按照征集文件规定进行评标，一切认定事项应查有实据且不得弄虚作假。</w:t>
      </w:r>
    </w:p>
    <w:p w14:paraId="4B91D46D">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⑤评标中应充分发扬民主，确定入围供应商后要服从评标报告。</w:t>
      </w:r>
    </w:p>
    <w:p w14:paraId="1DE08533">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Style w:val="17"/>
          <w:rFonts w:hint="eastAsia" w:ascii="宋体" w:hAnsi="宋体" w:cs="宋体"/>
          <w:color w:val="auto"/>
          <w:sz w:val="28"/>
          <w:szCs w:val="28"/>
          <w:highlight w:val="none"/>
        </w:rPr>
        <w:t>※对违反评标纪律的评委，将取消其评委资格，对评标工作造成严重损失者将予以通报批评乃至追究法律责任。</w:t>
      </w:r>
    </w:p>
    <w:p w14:paraId="00A5C06E">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6、评标程序</w:t>
      </w:r>
    </w:p>
    <w:p w14:paraId="6B7B2844">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6.1评标前的准备工作</w:t>
      </w:r>
    </w:p>
    <w:p w14:paraId="66D3BEF8">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（1）全体评委应认真审阅征集文件，了解评委应履行或遵守的职责、义务和评标纪律。</w:t>
      </w:r>
    </w:p>
    <w:p w14:paraId="2DB98697">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（2）参加评标委员会的征集人代表可对本项目的背景和采购需求进行介绍，介绍材料应以书面形式提交（随</w:t>
      </w:r>
      <w:r>
        <w:rPr>
          <w:rFonts w:hint="eastAsia" w:ascii="宋体" w:hAnsi="宋体" w:cs="宋体"/>
          <w:color w:val="auto"/>
          <w:sz w:val="28"/>
          <w:szCs w:val="28"/>
          <w:highlight w:val="none"/>
          <w:lang w:eastAsia="zh-CN"/>
        </w:rPr>
        <w:t>征集文件</w:t>
      </w:r>
      <w:r>
        <w:rPr>
          <w:rFonts w:hint="eastAsia" w:ascii="宋体" w:hAnsi="宋体" w:cs="宋体"/>
          <w:color w:val="auto"/>
          <w:sz w:val="28"/>
          <w:szCs w:val="28"/>
          <w:highlight w:val="none"/>
        </w:rPr>
        <w:t>一并存档），介绍内容不得含有歧视性、倾向性意见，不得超出征集文件所述范围。</w:t>
      </w:r>
    </w:p>
    <w:p w14:paraId="5807403E">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6.2符合性审查</w:t>
      </w:r>
    </w:p>
    <w:p w14:paraId="60196428">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（1）评标委员会依据征集文件的实质性要求，对通过资格审查的投标人的响应文件进行符合性审查，以确定其是否满足征集文件的实质性要求。</w:t>
      </w:r>
    </w:p>
    <w:p w14:paraId="2BD6D6FA">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（2）满足征集文件的实质性要求指响应文件对征集文件实质性要求的响应不存在重大偏差或保留。</w:t>
      </w:r>
    </w:p>
    <w:p w14:paraId="6173F56F">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3）重大偏差或保留指影响到征集文件规定的合同范围、合同履行及影响关键质量和性能，或限制了征集人的权利，或反对、减少投标人的义务，而纠正这些重大偏差或保留将影响到其他提交实质性响应投标的投标人的公平竞争地位。</w:t>
      </w:r>
    </w:p>
    <w:p w14:paraId="2A3A2164">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4）评标委员会审查判断响应文件是否满足征集文件的实质性要求仅基于响应文件本身而不寻求其他的外部证据。未满足征集文件实质性要求的响应文件将被评标委员会否决（即符合性审查不合格），被否决的响应文件不能通过补充、修改（澄清、说明或补正）等方式重新成为满足征集文件实质性要求的响应文件。</w:t>
      </w:r>
    </w:p>
    <w:p w14:paraId="0283F133">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（5）评标委员会对所有投标人都执行相同的程序和标准。</w:t>
      </w:r>
    </w:p>
    <w:p w14:paraId="4E63AFC1">
      <w:pPr>
        <w:pStyle w:val="12"/>
        <w:widowControl/>
        <w:spacing w:before="0" w:beforeAutospacing="0" w:after="0" w:afterAutospacing="0" w:line="360" w:lineRule="auto"/>
        <w:ind w:firstLine="320"/>
        <w:rPr>
          <w:rStyle w:val="17"/>
          <w:rFonts w:hint="eastAsia" w:ascii="宋体" w:hAnsi="宋体" w:cs="宋体"/>
          <w:color w:val="auto"/>
          <w:sz w:val="28"/>
          <w:szCs w:val="28"/>
          <w:highlight w:val="none"/>
        </w:rPr>
      </w:pPr>
      <w:r>
        <w:rPr>
          <w:rFonts w:hint="eastAsia" w:ascii="宋体" w:hAnsi="宋体" w:cs="宋体"/>
          <w:color w:val="auto"/>
          <w:sz w:val="28"/>
          <w:szCs w:val="28"/>
          <w:highlight w:val="none"/>
        </w:rPr>
        <w:t>（6）有下列情形之一的，</w:t>
      </w:r>
      <w:r>
        <w:rPr>
          <w:rStyle w:val="17"/>
          <w:rFonts w:hint="eastAsia" w:ascii="宋体" w:hAnsi="宋体" w:cs="宋体"/>
          <w:color w:val="auto"/>
          <w:sz w:val="28"/>
          <w:szCs w:val="28"/>
          <w:highlight w:val="none"/>
        </w:rPr>
        <w:t>符合性审查不合格：</w:t>
      </w:r>
    </w:p>
    <w:p w14:paraId="2A0FD880">
      <w:pPr>
        <w:pStyle w:val="12"/>
        <w:widowControl/>
        <w:spacing w:before="0" w:beforeAutospacing="0" w:after="0" w:afterAutospacing="0" w:line="360" w:lineRule="auto"/>
        <w:ind w:firstLine="320"/>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①项目一般情形：</w:t>
      </w:r>
      <w:r>
        <w:rPr>
          <w:rFonts w:hint="eastAsia" w:ascii="宋体" w:hAnsi="宋体" w:cs="宋体"/>
          <w:color w:val="auto"/>
          <w:sz w:val="28"/>
          <w:szCs w:val="28"/>
          <w:highlight w:val="none"/>
          <w:lang w:val="en-US" w:eastAsia="zh-CN"/>
        </w:rPr>
        <w:t>包1、包2</w:t>
      </w:r>
    </w:p>
    <w:tbl>
      <w:tblPr>
        <w:tblStyle w:val="14"/>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8336"/>
      </w:tblGrid>
      <w:tr w14:paraId="5B3A33B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5000" w:type="pct"/>
            <w:tcBorders>
              <w:top w:val="outset" w:color="auto" w:sz="6" w:space="0"/>
              <w:left w:val="outset" w:color="auto" w:sz="6" w:space="0"/>
              <w:bottom w:val="outset" w:color="auto" w:sz="6" w:space="0"/>
              <w:right w:val="outset" w:color="auto" w:sz="6" w:space="0"/>
            </w:tcBorders>
            <w:vAlign w:val="center"/>
          </w:tcPr>
          <w:p w14:paraId="6FA690B9">
            <w:pPr>
              <w:widowControl/>
              <w:spacing w:line="360" w:lineRule="auto"/>
              <w:jc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rPr>
              <w:t>明细</w:t>
            </w:r>
          </w:p>
        </w:tc>
      </w:tr>
      <w:tr w14:paraId="16027F9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vAlign w:val="center"/>
          </w:tcPr>
          <w:p w14:paraId="72C6ADE2">
            <w:pPr>
              <w:widowControl/>
              <w:spacing w:line="360" w:lineRule="auto"/>
              <w:jc w:val="left"/>
              <w:rPr>
                <w:rFonts w:hint="eastAsia" w:ascii="宋体" w:hAnsi="宋体" w:cs="宋体"/>
                <w:color w:val="auto"/>
                <w:sz w:val="28"/>
                <w:szCs w:val="28"/>
                <w:highlight w:val="none"/>
              </w:rPr>
            </w:pPr>
            <w:r>
              <w:rPr>
                <w:rFonts w:hint="eastAsia" w:ascii="宋体" w:hAnsi="宋体" w:cs="宋体"/>
                <w:color w:val="auto"/>
                <w:kern w:val="0"/>
                <w:sz w:val="28"/>
                <w:szCs w:val="28"/>
                <w:highlight w:val="none"/>
              </w:rPr>
              <w:t>违反征集文件中载明“投标无效”条款的规定；</w:t>
            </w:r>
          </w:p>
        </w:tc>
      </w:tr>
      <w:tr w14:paraId="5DC7EC7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vAlign w:val="center"/>
          </w:tcPr>
          <w:p w14:paraId="536F59C4">
            <w:pPr>
              <w:widowControl/>
              <w:spacing w:line="360" w:lineRule="auto"/>
              <w:jc w:val="left"/>
              <w:rPr>
                <w:rFonts w:hint="eastAsia" w:ascii="宋体" w:hAnsi="宋体" w:cs="宋体"/>
                <w:color w:val="auto"/>
                <w:sz w:val="28"/>
                <w:szCs w:val="28"/>
                <w:highlight w:val="none"/>
              </w:rPr>
            </w:pPr>
            <w:r>
              <w:rPr>
                <w:rFonts w:hint="eastAsia" w:ascii="宋体" w:hAnsi="宋体" w:cs="宋体"/>
                <w:color w:val="auto"/>
                <w:kern w:val="0"/>
                <w:sz w:val="28"/>
                <w:szCs w:val="28"/>
                <w:highlight w:val="none"/>
              </w:rPr>
              <w:t>属于征集文件第三章第10.12条规定的投标无效情形；</w:t>
            </w:r>
          </w:p>
        </w:tc>
      </w:tr>
      <w:tr w14:paraId="730E7B3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vAlign w:val="center"/>
          </w:tcPr>
          <w:p w14:paraId="045C10F0">
            <w:pPr>
              <w:widowControl/>
              <w:spacing w:line="360" w:lineRule="auto"/>
              <w:jc w:val="left"/>
              <w:rPr>
                <w:rFonts w:hint="eastAsia" w:ascii="宋体" w:hAnsi="宋体" w:cs="宋体"/>
                <w:color w:val="auto"/>
                <w:sz w:val="28"/>
                <w:szCs w:val="28"/>
                <w:highlight w:val="none"/>
              </w:rPr>
            </w:pPr>
            <w:r>
              <w:rPr>
                <w:rFonts w:hint="eastAsia" w:ascii="宋体" w:hAnsi="宋体" w:cs="宋体"/>
                <w:color w:val="auto"/>
                <w:kern w:val="0"/>
                <w:sz w:val="28"/>
                <w:szCs w:val="28"/>
                <w:highlight w:val="none"/>
              </w:rPr>
              <w:t>响应文件对征集文件实质性要求的响应存在重大偏离或保留。</w:t>
            </w:r>
          </w:p>
        </w:tc>
      </w:tr>
    </w:tbl>
    <w:p w14:paraId="473A16B8">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②本项目规定的其他情形：</w:t>
      </w:r>
    </w:p>
    <w:p w14:paraId="5BA4CF6F">
      <w:pPr>
        <w:spacing w:line="360" w:lineRule="auto"/>
        <w:rPr>
          <w:rFonts w:hint="eastAsia" w:ascii="宋体" w:hAnsi="宋体" w:eastAsia="宋体" w:cs="宋体"/>
          <w:color w:val="auto"/>
          <w:szCs w:val="28"/>
          <w:highlight w:val="none"/>
          <w:lang w:val="en-US" w:eastAsia="zh-CN"/>
        </w:rPr>
      </w:pPr>
      <w:r>
        <w:rPr>
          <w:rFonts w:hint="eastAsia" w:ascii="宋体" w:hAnsi="宋体" w:cs="宋体"/>
          <w:color w:val="auto"/>
          <w:sz w:val="28"/>
          <w:szCs w:val="28"/>
          <w:highlight w:val="none"/>
        </w:rPr>
        <w:t>包：1</w:t>
      </w:r>
      <w:r>
        <w:rPr>
          <w:rFonts w:hint="eastAsia" w:ascii="宋体" w:hAnsi="宋体" w:cs="宋体"/>
          <w:color w:val="auto"/>
          <w:sz w:val="28"/>
          <w:szCs w:val="28"/>
          <w:highlight w:val="none"/>
          <w:lang w:val="en-US" w:eastAsia="zh-CN"/>
        </w:rPr>
        <w:t>/2</w:t>
      </w:r>
    </w:p>
    <w:tbl>
      <w:tblPr>
        <w:tblStyle w:val="14"/>
        <w:tblW w:w="5000" w:type="pct"/>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8336"/>
      </w:tblGrid>
      <w:tr w14:paraId="6B76114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jc w:val="center"/>
        </w:trPr>
        <w:tc>
          <w:tcPr>
            <w:tcW w:w="5000" w:type="pct"/>
            <w:tcBorders>
              <w:top w:val="outset" w:color="auto" w:sz="6" w:space="0"/>
              <w:left w:val="outset" w:color="auto" w:sz="6" w:space="0"/>
              <w:bottom w:val="outset" w:color="auto" w:sz="6" w:space="0"/>
              <w:right w:val="outset" w:color="auto" w:sz="6" w:space="0"/>
            </w:tcBorders>
            <w:vAlign w:val="center"/>
          </w:tcPr>
          <w:p w14:paraId="11D99063">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明细</w:t>
            </w:r>
          </w:p>
        </w:tc>
      </w:tr>
      <w:tr w14:paraId="34EB583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jc w:val="center"/>
        </w:trPr>
        <w:tc>
          <w:tcPr>
            <w:tcW w:w="5000" w:type="pct"/>
            <w:tcBorders>
              <w:top w:val="outset" w:color="auto" w:sz="6" w:space="0"/>
              <w:left w:val="outset" w:color="auto" w:sz="6" w:space="0"/>
              <w:bottom w:val="outset" w:color="auto" w:sz="6" w:space="0"/>
              <w:right w:val="outset" w:color="auto" w:sz="6" w:space="0"/>
            </w:tcBorders>
            <w:vAlign w:val="center"/>
          </w:tcPr>
          <w:p w14:paraId="60429F21">
            <w:pPr>
              <w:keepNext w:val="0"/>
              <w:keepLines w:val="0"/>
              <w:suppressLineNumbers w:val="0"/>
              <w:tabs>
                <w:tab w:val="left" w:pos="2123"/>
              </w:tabs>
              <w:spacing w:before="0" w:beforeAutospacing="0" w:after="0" w:afterAutospacing="0" w:line="360" w:lineRule="auto"/>
              <w:ind w:left="0" w:right="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（1）技术要求</w:t>
            </w:r>
          </w:p>
          <w:p w14:paraId="02795100">
            <w:pPr>
              <w:keepNext w:val="0"/>
              <w:keepLines w:val="0"/>
              <w:suppressLineNumbers w:val="0"/>
              <w:tabs>
                <w:tab w:val="left" w:pos="2123"/>
              </w:tabs>
              <w:spacing w:before="0" w:beforeAutospacing="0" w:after="0" w:afterAutospacing="0" w:line="360" w:lineRule="auto"/>
              <w:ind w:left="0" w:right="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eastAsia="zh-CN"/>
              </w:rPr>
              <w:t>包</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lang w:eastAsia="zh-CN"/>
              </w:rPr>
              <w:t>触控一体机</w:t>
            </w:r>
          </w:p>
          <w:p w14:paraId="6A2BC94A">
            <w:pPr>
              <w:keepNext w:val="0"/>
              <w:keepLines w:val="0"/>
              <w:suppressLineNumbers w:val="0"/>
              <w:tabs>
                <w:tab w:val="left" w:pos="2123"/>
              </w:tabs>
              <w:spacing w:before="0" w:beforeAutospacing="0" w:after="0" w:afterAutospacing="0" w:line="360" w:lineRule="auto"/>
              <w:ind w:left="0" w:leftChars="0" w:right="0" w:firstLine="0" w:firstLineChars="0"/>
              <w:rPr>
                <w:rFonts w:hint="eastAsia" w:ascii="宋体" w:hAnsi="宋体" w:eastAsia="宋体" w:cs="宋体"/>
                <w:b/>
                <w:bCs/>
                <w:color w:val="auto"/>
                <w:sz w:val="24"/>
                <w:szCs w:val="24"/>
                <w:highlight w:val="none"/>
                <w:lang w:val="en-US" w:eastAsia="zh-CN"/>
              </w:rPr>
            </w:pPr>
            <w:r>
              <w:rPr>
                <w:rFonts w:hint="eastAsia" w:ascii="宋体" w:hAnsi="宋体" w:eastAsia="宋体" w:cs="宋体"/>
                <w:b/>
                <w:bCs/>
                <w:i w:val="0"/>
                <w:iCs w:val="0"/>
                <w:color w:val="auto"/>
                <w:kern w:val="0"/>
                <w:sz w:val="24"/>
                <w:szCs w:val="24"/>
                <w:highlight w:val="none"/>
                <w:u w:val="none"/>
                <w:lang w:val="en-US" w:eastAsia="zh-CN" w:bidi="ar"/>
              </w:rPr>
              <w:t>品目号1-1 65寸触控一体机“一、整机参数”</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1、屏幕类型：LED背光( A级或A级以上硬屏，不接受A-及以下标准 ) ，设备带厚度≤4mm的防眩钢化玻璃，硬度≥莫氏7级或者石墨硬度≥9H。符合国家标准 GB 40070-2021 《儿童青少年学习用品近视防控卫生要求》。显示尺寸规格：65英寸（允许正偏差1%以内），显示比例：16:9（允许正负偏差0.1%以内），可视角度≥178度，分辨率≥ 3840(H)×2160(V)。随机附件：书写笔、教鞭。</w:t>
            </w:r>
          </w:p>
        </w:tc>
      </w:tr>
      <w:tr w14:paraId="3AD2D4C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jc w:val="center"/>
        </w:trPr>
        <w:tc>
          <w:tcPr>
            <w:tcW w:w="5000" w:type="pct"/>
            <w:tcBorders>
              <w:top w:val="outset" w:color="auto" w:sz="6" w:space="0"/>
              <w:left w:val="outset" w:color="auto" w:sz="6" w:space="0"/>
              <w:bottom w:val="outset" w:color="auto" w:sz="6" w:space="0"/>
              <w:right w:val="outset" w:color="auto" w:sz="6" w:space="0"/>
            </w:tcBorders>
            <w:vAlign w:val="center"/>
          </w:tcPr>
          <w:p w14:paraId="1B946EAA">
            <w:pPr>
              <w:keepNext w:val="0"/>
              <w:keepLines w:val="0"/>
              <w:suppressLineNumbers w:val="0"/>
              <w:tabs>
                <w:tab w:val="left" w:pos="2123"/>
              </w:tabs>
              <w:spacing w:before="0" w:beforeAutospacing="0" w:after="0" w:afterAutospacing="0" w:line="360" w:lineRule="auto"/>
              <w:ind w:left="0" w:leftChars="0" w:right="0" w:firstLine="0" w:firstLineChars="0"/>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2、采用金属材质边框；支持内置摄像头，摄像头有效像素≥1300万。摄像头要求内嵌在触控一体机中，无任何可见外接线材及模块化拼接痕迹。内置扬声器，位于设备正面，朝前发声额定总功率≥40W。</w:t>
            </w:r>
          </w:p>
        </w:tc>
      </w:tr>
      <w:tr w14:paraId="19D34A5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jc w:val="center"/>
        </w:trPr>
        <w:tc>
          <w:tcPr>
            <w:tcW w:w="5000" w:type="pct"/>
            <w:tcBorders>
              <w:top w:val="outset" w:color="auto" w:sz="6" w:space="0"/>
              <w:left w:val="outset" w:color="auto" w:sz="6" w:space="0"/>
              <w:bottom w:val="outset" w:color="auto" w:sz="6" w:space="0"/>
              <w:right w:val="outset" w:color="auto" w:sz="6" w:space="0"/>
            </w:tcBorders>
            <w:vAlign w:val="center"/>
          </w:tcPr>
          <w:p w14:paraId="71F23513">
            <w:pPr>
              <w:keepNext w:val="0"/>
              <w:keepLines w:val="0"/>
              <w:suppressLineNumbers w:val="0"/>
              <w:tabs>
                <w:tab w:val="left" w:pos="2123"/>
              </w:tabs>
              <w:spacing w:before="0" w:beforeAutospacing="0" w:after="0" w:afterAutospacing="0" w:line="360" w:lineRule="auto"/>
              <w:ind w:left="0" w:leftChars="0" w:right="0" w:firstLine="0" w:firstLineChars="0"/>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8、Wi-Fi：内置无线网卡802.11b/g/n/ac，支持Wifi 6及以上标准。整机支持蓝牙Bluetooth 5.2及以上标准。</w:t>
            </w:r>
          </w:p>
        </w:tc>
      </w:tr>
      <w:tr w14:paraId="795AF19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jc w:val="center"/>
        </w:trPr>
        <w:tc>
          <w:tcPr>
            <w:tcW w:w="5000" w:type="pct"/>
            <w:tcBorders>
              <w:top w:val="outset" w:color="auto" w:sz="6" w:space="0"/>
              <w:left w:val="outset" w:color="auto" w:sz="6" w:space="0"/>
              <w:bottom w:val="outset" w:color="auto" w:sz="6" w:space="0"/>
              <w:right w:val="outset" w:color="auto" w:sz="6" w:space="0"/>
            </w:tcBorders>
            <w:vAlign w:val="center"/>
          </w:tcPr>
          <w:p w14:paraId="24773576">
            <w:pPr>
              <w:keepNext w:val="0"/>
              <w:keepLines w:val="0"/>
              <w:suppressLineNumbers w:val="0"/>
              <w:tabs>
                <w:tab w:val="left" w:pos="2123"/>
              </w:tabs>
              <w:spacing w:before="0" w:beforeAutospacing="0" w:after="0" w:afterAutospacing="0" w:line="360" w:lineRule="auto"/>
              <w:ind w:left="0" w:leftChars="0" w:right="0" w:firstLine="0" w:firstLineChars="0"/>
              <w:rPr>
                <w:rFonts w:hint="eastAsia" w:ascii="宋体" w:hAnsi="宋体" w:eastAsia="宋体" w:cs="宋体"/>
                <w:b/>
                <w:bCs/>
                <w:color w:val="auto"/>
                <w:sz w:val="24"/>
                <w:szCs w:val="24"/>
                <w:highlight w:val="none"/>
              </w:rPr>
            </w:pPr>
            <w:r>
              <w:rPr>
                <w:rFonts w:hint="eastAsia" w:ascii="宋体" w:hAnsi="宋体" w:eastAsia="宋体" w:cs="宋体"/>
                <w:b/>
                <w:bCs/>
                <w:i w:val="0"/>
                <w:iCs w:val="0"/>
                <w:color w:val="auto"/>
                <w:kern w:val="0"/>
                <w:sz w:val="24"/>
                <w:szCs w:val="24"/>
                <w:highlight w:val="none"/>
                <w:u w:val="none"/>
                <w:lang w:val="en-US" w:eastAsia="zh-CN" w:bidi="ar"/>
              </w:rPr>
              <w:t>“二、内置系统”：</w:t>
            </w:r>
            <w:r>
              <w:rPr>
                <w:rFonts w:hint="eastAsia" w:ascii="宋体" w:hAnsi="宋体" w:eastAsia="宋体" w:cs="宋体"/>
                <w:b/>
                <w:bCs/>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1、PC类型：采用插拔式模块化电脑，外部无任何可见连接线。不可提供背包式外挂PC。CPU配置要求符合中国信息安全测评中心/国家保密科技测评中心发布的安全可靠测评公告要求，处理器核数≥8核，主频≥3.0GHz,内存配置要求不低于DDR4 16G，硬盘配置要求不低于SSD 512G，预装正版符合安全可靠测评要求的操作系统（操作系统版本根据客户需求提供）。</w:t>
            </w:r>
          </w:p>
        </w:tc>
      </w:tr>
      <w:tr w14:paraId="5A669DE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jc w:val="center"/>
        </w:trPr>
        <w:tc>
          <w:tcPr>
            <w:tcW w:w="5000" w:type="pct"/>
            <w:tcBorders>
              <w:top w:val="outset" w:color="auto" w:sz="6" w:space="0"/>
              <w:left w:val="outset" w:color="auto" w:sz="6" w:space="0"/>
              <w:bottom w:val="outset" w:color="auto" w:sz="6" w:space="0"/>
              <w:right w:val="outset" w:color="auto" w:sz="6" w:space="0"/>
            </w:tcBorders>
            <w:vAlign w:val="center"/>
          </w:tcPr>
          <w:p w14:paraId="3A350E62">
            <w:pPr>
              <w:keepNext w:val="0"/>
              <w:keepLines w:val="0"/>
              <w:suppressLineNumbers w:val="0"/>
              <w:tabs>
                <w:tab w:val="left" w:pos="2123"/>
              </w:tabs>
              <w:spacing w:before="0" w:beforeAutospacing="0" w:after="0" w:afterAutospacing="0" w:line="360" w:lineRule="auto"/>
              <w:ind w:left="0" w:leftChars="0" w:right="0" w:firstLine="0" w:firstLineChars="0"/>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val="en-US" w:eastAsia="zh-CN" w:bidi="ar-SA"/>
              </w:rPr>
              <w:t>★</w:t>
            </w:r>
            <w:r>
              <w:rPr>
                <w:rStyle w:val="22"/>
                <w:rFonts w:hint="eastAsia" w:ascii="宋体" w:hAnsi="宋体" w:eastAsia="宋体" w:cs="宋体"/>
                <w:b/>
                <w:bCs/>
                <w:color w:val="auto"/>
                <w:sz w:val="24"/>
                <w:szCs w:val="24"/>
                <w:highlight w:val="none"/>
                <w:lang w:val="en-US" w:eastAsia="zh-CN" w:bidi="ar"/>
              </w:rPr>
              <w:t>3、具有与教育部现行教学大纲相配套的资源库网站或者云平台，能实时通过网络下载各科课件资源（涵盖小学、初中及高中课程）。配套电子白板功能，支持书写、批注、绘图、画板、板擦及辅助教具功能。实配套集中管理功能，实现远程关机、重启等，并查看设备的状态和基本信息；配套还原功能，每次重启可还原到初始系统状态,支持软件一键静默安装；支持无人使用自动保护设备、多场景屏幕锁。</w:t>
            </w:r>
          </w:p>
        </w:tc>
      </w:tr>
      <w:tr w14:paraId="3A6AB71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jc w:val="center"/>
        </w:trPr>
        <w:tc>
          <w:tcPr>
            <w:tcW w:w="5000" w:type="pct"/>
            <w:tcBorders>
              <w:top w:val="outset" w:color="auto" w:sz="6" w:space="0"/>
              <w:left w:val="outset" w:color="auto" w:sz="6" w:space="0"/>
              <w:bottom w:val="outset" w:color="auto" w:sz="6" w:space="0"/>
              <w:right w:val="outset" w:color="auto" w:sz="6" w:space="0"/>
            </w:tcBorders>
            <w:vAlign w:val="center"/>
          </w:tcPr>
          <w:p w14:paraId="741FF7DD">
            <w:pPr>
              <w:keepNext w:val="0"/>
              <w:keepLines w:val="0"/>
              <w:suppressLineNumbers w:val="0"/>
              <w:tabs>
                <w:tab w:val="left" w:pos="2123"/>
              </w:tabs>
              <w:spacing w:before="0" w:beforeAutospacing="0" w:after="0" w:afterAutospacing="0" w:line="360" w:lineRule="auto"/>
              <w:ind w:left="0" w:leftChars="0" w:right="0" w:firstLine="0" w:firstLineChars="0"/>
              <w:rPr>
                <w:rFonts w:hint="eastAsia" w:ascii="宋体" w:hAnsi="宋体" w:eastAsia="宋体" w:cs="宋体"/>
                <w:b/>
                <w:bCs/>
                <w:color w:val="auto"/>
                <w:sz w:val="24"/>
                <w:szCs w:val="24"/>
                <w:highlight w:val="none"/>
              </w:rPr>
            </w:pPr>
            <w:r>
              <w:rPr>
                <w:rFonts w:hint="eastAsia" w:ascii="宋体" w:hAnsi="宋体" w:eastAsia="宋体" w:cs="宋体"/>
                <w:b/>
                <w:bCs/>
                <w:i w:val="0"/>
                <w:iCs w:val="0"/>
                <w:color w:val="auto"/>
                <w:kern w:val="0"/>
                <w:sz w:val="24"/>
                <w:szCs w:val="24"/>
                <w:highlight w:val="none"/>
                <w:u w:val="none"/>
                <w:lang w:val="en-US" w:eastAsia="zh-CN" w:bidi="ar"/>
              </w:rPr>
              <w:t>品目号1-2 75寸触控一体机“一、整机参数”：</w:t>
            </w:r>
            <w:r>
              <w:rPr>
                <w:rFonts w:hint="eastAsia" w:ascii="宋体" w:hAnsi="宋体" w:eastAsia="宋体" w:cs="宋体"/>
                <w:b/>
                <w:bCs/>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1、屏幕类型：LED背光( A级或A级以上硬屏，不接受A-及以下标准 ) ，设备带厚度≤4mm的防眩钢化玻璃，硬度≥莫氏7级或者石墨硬度≥9H。符合国家标准 GB 40070-2021 《儿童青少年学习用品近视防控卫生要求》。显示尺寸规格：75英寸（允许正偏差1%以内），显示比例：16:9（允许正负偏差0.1%以内），可视角度≥178度，分辨率≥ 3840(H)×2160(V)。随机附件：书写笔、教鞭。</w:t>
            </w:r>
          </w:p>
        </w:tc>
      </w:tr>
      <w:tr w14:paraId="1334CFD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jc w:val="center"/>
        </w:trPr>
        <w:tc>
          <w:tcPr>
            <w:tcW w:w="5000" w:type="pct"/>
            <w:tcBorders>
              <w:top w:val="outset" w:color="auto" w:sz="6" w:space="0"/>
              <w:left w:val="outset" w:color="auto" w:sz="6" w:space="0"/>
              <w:bottom w:val="outset" w:color="auto" w:sz="6" w:space="0"/>
              <w:right w:val="outset" w:color="auto" w:sz="6" w:space="0"/>
            </w:tcBorders>
            <w:vAlign w:val="center"/>
          </w:tcPr>
          <w:p w14:paraId="4B5051C8">
            <w:pPr>
              <w:keepNext w:val="0"/>
              <w:keepLines w:val="0"/>
              <w:suppressLineNumbers w:val="0"/>
              <w:tabs>
                <w:tab w:val="left" w:pos="2123"/>
              </w:tabs>
              <w:spacing w:before="0" w:beforeAutospacing="0" w:after="0" w:afterAutospacing="0" w:line="360" w:lineRule="auto"/>
              <w:ind w:left="0" w:leftChars="0" w:right="0" w:firstLine="0" w:firstLineChars="0"/>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2、采用金属材质边框；支持内置摄像头，摄像头有效像素≥1300万。摄像头要求内嵌在触控一体机中，无任何可见外接线材及模块化拼接痕迹。内置扬声器，位于设备正面，朝前发声额定总功率≥40W。</w:t>
            </w:r>
          </w:p>
        </w:tc>
      </w:tr>
      <w:tr w14:paraId="400766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jc w:val="center"/>
        </w:trPr>
        <w:tc>
          <w:tcPr>
            <w:tcW w:w="5000" w:type="pct"/>
            <w:tcBorders>
              <w:top w:val="outset" w:color="auto" w:sz="6" w:space="0"/>
              <w:left w:val="outset" w:color="auto" w:sz="6" w:space="0"/>
              <w:bottom w:val="outset" w:color="auto" w:sz="6" w:space="0"/>
              <w:right w:val="outset" w:color="auto" w:sz="6" w:space="0"/>
            </w:tcBorders>
            <w:vAlign w:val="center"/>
          </w:tcPr>
          <w:p w14:paraId="65EACE0F">
            <w:pPr>
              <w:keepNext w:val="0"/>
              <w:keepLines w:val="0"/>
              <w:suppressLineNumbers w:val="0"/>
              <w:tabs>
                <w:tab w:val="left" w:pos="2123"/>
              </w:tabs>
              <w:spacing w:before="0" w:beforeAutospacing="0" w:after="0" w:afterAutospacing="0" w:line="360" w:lineRule="auto"/>
              <w:ind w:left="0" w:leftChars="0" w:right="0" w:firstLine="0" w:firstLineChars="0"/>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8、Wi-Fi：内置无线网卡802.11b/g/n/ac，支持Wifi 6及以上标准。整机支持蓝牙Bluetooth 5.2及以上标准。</w:t>
            </w:r>
          </w:p>
        </w:tc>
      </w:tr>
      <w:tr w14:paraId="02AB68E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jc w:val="center"/>
        </w:trPr>
        <w:tc>
          <w:tcPr>
            <w:tcW w:w="5000" w:type="pct"/>
            <w:tcBorders>
              <w:top w:val="outset" w:color="auto" w:sz="6" w:space="0"/>
              <w:left w:val="outset" w:color="auto" w:sz="6" w:space="0"/>
              <w:bottom w:val="outset" w:color="auto" w:sz="6" w:space="0"/>
              <w:right w:val="outset" w:color="auto" w:sz="6" w:space="0"/>
            </w:tcBorders>
            <w:vAlign w:val="center"/>
          </w:tcPr>
          <w:p w14:paraId="0D2E044E">
            <w:pPr>
              <w:keepNext w:val="0"/>
              <w:keepLines w:val="0"/>
              <w:suppressLineNumbers w:val="0"/>
              <w:tabs>
                <w:tab w:val="left" w:pos="2123"/>
              </w:tabs>
              <w:spacing w:before="0" w:beforeAutospacing="0" w:after="0" w:afterAutospacing="0" w:line="360" w:lineRule="auto"/>
              <w:ind w:left="0" w:leftChars="0" w:right="0" w:firstLine="0" w:firstLineChars="0"/>
              <w:rPr>
                <w:rFonts w:hint="eastAsia" w:ascii="宋体" w:hAnsi="宋体" w:eastAsia="宋体" w:cs="宋体"/>
                <w:b/>
                <w:bCs/>
                <w:color w:val="auto"/>
                <w:sz w:val="24"/>
                <w:szCs w:val="24"/>
                <w:highlight w:val="none"/>
              </w:rPr>
            </w:pPr>
            <w:r>
              <w:rPr>
                <w:rFonts w:hint="eastAsia" w:ascii="宋体" w:hAnsi="宋体" w:eastAsia="宋体" w:cs="宋体"/>
                <w:b/>
                <w:bCs/>
                <w:i w:val="0"/>
                <w:iCs w:val="0"/>
                <w:color w:val="auto"/>
                <w:kern w:val="0"/>
                <w:sz w:val="24"/>
                <w:szCs w:val="24"/>
                <w:highlight w:val="none"/>
                <w:u w:val="none"/>
                <w:lang w:val="en-US" w:eastAsia="zh-CN" w:bidi="ar"/>
              </w:rPr>
              <w:t>“二、内置系统”：</w:t>
            </w:r>
            <w:r>
              <w:rPr>
                <w:rFonts w:hint="eastAsia" w:ascii="宋体" w:hAnsi="宋体" w:eastAsia="宋体" w:cs="宋体"/>
                <w:b/>
                <w:bCs/>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1、PC类型：采用插拔式模块化电脑，外部无任何可见连接线。不可提供背包式外挂PC。CPU配置要求符合中国信息安全测评中心/国家保密科技测评中心发布的安全可靠测评公告要求，处理器核数≥8核，主频≥3.0GHz,内存配置要求不低于DDR4 16G，硬盘配置要求不低于SSD 512G，预装正版符合安全可靠测评要求的操作系统（操作系统版本根据客户需求提供）。</w:t>
            </w:r>
          </w:p>
        </w:tc>
      </w:tr>
      <w:tr w14:paraId="094471F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jc w:val="center"/>
        </w:trPr>
        <w:tc>
          <w:tcPr>
            <w:tcW w:w="5000" w:type="pct"/>
            <w:tcBorders>
              <w:top w:val="outset" w:color="auto" w:sz="6" w:space="0"/>
              <w:left w:val="outset" w:color="auto" w:sz="6" w:space="0"/>
              <w:bottom w:val="outset" w:color="auto" w:sz="6" w:space="0"/>
              <w:right w:val="outset" w:color="auto" w:sz="6" w:space="0"/>
            </w:tcBorders>
            <w:vAlign w:val="center"/>
          </w:tcPr>
          <w:p w14:paraId="01BD574A">
            <w:pPr>
              <w:keepNext w:val="0"/>
              <w:keepLines w:val="0"/>
              <w:suppressLineNumbers w:val="0"/>
              <w:tabs>
                <w:tab w:val="left" w:pos="2123"/>
              </w:tabs>
              <w:spacing w:before="0" w:beforeAutospacing="0" w:after="0" w:afterAutospacing="0" w:line="360" w:lineRule="auto"/>
              <w:ind w:left="0" w:leftChars="0" w:right="0" w:firstLine="0" w:firstLineChars="0"/>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val="en-US" w:eastAsia="zh-CN" w:bidi="ar-SA"/>
              </w:rPr>
              <w:t>★</w:t>
            </w:r>
            <w:r>
              <w:rPr>
                <w:rStyle w:val="22"/>
                <w:rFonts w:hint="eastAsia" w:ascii="宋体" w:hAnsi="宋体" w:eastAsia="宋体" w:cs="宋体"/>
                <w:b/>
                <w:bCs/>
                <w:color w:val="auto"/>
                <w:sz w:val="24"/>
                <w:szCs w:val="24"/>
                <w:highlight w:val="none"/>
                <w:lang w:val="en-US" w:eastAsia="zh-CN" w:bidi="ar"/>
              </w:rPr>
              <w:t>3、具有与教育部现行教学大纲相配套的资源库网站或者云平台，能实时通过网络下载各科课件资源（涵盖小学、初中及高中课程）。配套电子白板功能，支持书写、批注、绘图、画板、板擦及辅助教具功能。实配套集中管理功能，实现远程关机、重启等，并查看设备的状态和基本信息；配套还原功能，每次重启可还原到初始系统状态,支持软件一键静默安装；支持无人使用自动保护设备、多场景屏幕锁。</w:t>
            </w:r>
          </w:p>
        </w:tc>
      </w:tr>
      <w:tr w14:paraId="17038ED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jc w:val="center"/>
        </w:trPr>
        <w:tc>
          <w:tcPr>
            <w:tcW w:w="5000" w:type="pct"/>
            <w:tcBorders>
              <w:top w:val="outset" w:color="auto" w:sz="6" w:space="0"/>
              <w:left w:val="outset" w:color="auto" w:sz="6" w:space="0"/>
              <w:bottom w:val="outset" w:color="auto" w:sz="6" w:space="0"/>
              <w:right w:val="outset" w:color="auto" w:sz="6" w:space="0"/>
            </w:tcBorders>
            <w:vAlign w:val="center"/>
          </w:tcPr>
          <w:p w14:paraId="60571831">
            <w:pPr>
              <w:keepNext w:val="0"/>
              <w:keepLines w:val="0"/>
              <w:suppressLineNumbers w:val="0"/>
              <w:tabs>
                <w:tab w:val="left" w:pos="2123"/>
              </w:tabs>
              <w:spacing w:before="0" w:beforeAutospacing="0" w:after="0" w:afterAutospacing="0" w:line="360" w:lineRule="auto"/>
              <w:ind w:left="0" w:leftChars="0" w:right="0" w:firstLine="0" w:firstLineChars="0"/>
              <w:rPr>
                <w:rFonts w:hint="eastAsia" w:ascii="宋体" w:hAnsi="宋体" w:eastAsia="宋体" w:cs="宋体"/>
                <w:b/>
                <w:bCs/>
                <w:color w:val="auto"/>
                <w:sz w:val="24"/>
                <w:szCs w:val="24"/>
                <w:highlight w:val="none"/>
              </w:rPr>
            </w:pPr>
            <w:r>
              <w:rPr>
                <w:rFonts w:hint="eastAsia" w:ascii="宋体" w:hAnsi="宋体" w:eastAsia="宋体" w:cs="宋体"/>
                <w:b/>
                <w:bCs/>
                <w:i w:val="0"/>
                <w:iCs w:val="0"/>
                <w:color w:val="auto"/>
                <w:kern w:val="0"/>
                <w:sz w:val="24"/>
                <w:szCs w:val="24"/>
                <w:highlight w:val="none"/>
                <w:u w:val="none"/>
                <w:lang w:val="en-US" w:eastAsia="zh-CN" w:bidi="ar"/>
              </w:rPr>
              <w:t>品目号1-3 86寸触控一体机“一、整机参数”：</w:t>
            </w:r>
            <w:r>
              <w:rPr>
                <w:rFonts w:hint="eastAsia" w:ascii="宋体" w:hAnsi="宋体" w:eastAsia="宋体" w:cs="宋体"/>
                <w:b/>
                <w:bCs/>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1、屏幕类型：LED背光( A级或A级以上硬屏，不接受A-及以下标准 ) ，设备带厚度≤4mm的防眩钢化玻璃，硬度≥莫氏7级或者石墨硬度≥9H。符合国家标准 GB 40070-2021 《儿童青少年学习用品近视防控卫生要求》。显示尺寸规格：86英寸（允许正偏差1%以内），显示比例：16:9（允许正负偏差0.1%以内），可视角度≥178度，分辨率≥ 3840(H)×2160(V)。随机附件：书写笔、教鞭。</w:t>
            </w:r>
          </w:p>
        </w:tc>
      </w:tr>
      <w:tr w14:paraId="6AC0F24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jc w:val="center"/>
        </w:trPr>
        <w:tc>
          <w:tcPr>
            <w:tcW w:w="5000" w:type="pct"/>
            <w:tcBorders>
              <w:top w:val="outset" w:color="auto" w:sz="6" w:space="0"/>
              <w:left w:val="outset" w:color="auto" w:sz="6" w:space="0"/>
              <w:bottom w:val="outset" w:color="auto" w:sz="6" w:space="0"/>
              <w:right w:val="outset" w:color="auto" w:sz="6" w:space="0"/>
            </w:tcBorders>
            <w:vAlign w:val="center"/>
          </w:tcPr>
          <w:p w14:paraId="7F467BD2">
            <w:pPr>
              <w:keepNext w:val="0"/>
              <w:keepLines w:val="0"/>
              <w:suppressLineNumbers w:val="0"/>
              <w:tabs>
                <w:tab w:val="left" w:pos="2123"/>
              </w:tabs>
              <w:spacing w:before="0" w:beforeAutospacing="0" w:after="0" w:afterAutospacing="0" w:line="360" w:lineRule="auto"/>
              <w:ind w:left="0" w:leftChars="0" w:right="0" w:firstLine="0" w:firstLineChars="0"/>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2、采用金属材质边框；支持内置摄像头，摄像头有效像素≥1300万。摄像头要求内嵌在触控一体机中，无任何可见外接线材及模块化拼接痕迹。内置扬声器，位于设备正面，朝前发声额定总功率≥40W。</w:t>
            </w:r>
          </w:p>
        </w:tc>
      </w:tr>
      <w:tr w14:paraId="1FE5EAF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jc w:val="center"/>
        </w:trPr>
        <w:tc>
          <w:tcPr>
            <w:tcW w:w="5000" w:type="pct"/>
            <w:tcBorders>
              <w:top w:val="outset" w:color="auto" w:sz="6" w:space="0"/>
              <w:left w:val="outset" w:color="auto" w:sz="6" w:space="0"/>
              <w:bottom w:val="outset" w:color="auto" w:sz="6" w:space="0"/>
              <w:right w:val="outset" w:color="auto" w:sz="6" w:space="0"/>
            </w:tcBorders>
            <w:vAlign w:val="center"/>
          </w:tcPr>
          <w:p w14:paraId="2A9061EF">
            <w:pPr>
              <w:keepNext w:val="0"/>
              <w:keepLines w:val="0"/>
              <w:suppressLineNumbers w:val="0"/>
              <w:tabs>
                <w:tab w:val="left" w:pos="2123"/>
              </w:tabs>
              <w:spacing w:before="0" w:beforeAutospacing="0" w:after="0" w:afterAutospacing="0" w:line="360" w:lineRule="auto"/>
              <w:ind w:left="0" w:leftChars="0" w:right="0" w:firstLine="0" w:firstLineChars="0"/>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8、Wi-Fi：内置无线网卡802.11b/g/n/ac，支持Wifi 6及以上标准。整机支持蓝牙Bluetooth 5.2及以上标准。</w:t>
            </w:r>
          </w:p>
        </w:tc>
      </w:tr>
      <w:tr w14:paraId="7881267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jc w:val="center"/>
        </w:trPr>
        <w:tc>
          <w:tcPr>
            <w:tcW w:w="5000" w:type="pct"/>
            <w:tcBorders>
              <w:top w:val="outset" w:color="auto" w:sz="6" w:space="0"/>
              <w:left w:val="outset" w:color="auto" w:sz="6" w:space="0"/>
              <w:bottom w:val="outset" w:color="auto" w:sz="6" w:space="0"/>
              <w:right w:val="outset" w:color="auto" w:sz="6" w:space="0"/>
            </w:tcBorders>
            <w:vAlign w:val="center"/>
          </w:tcPr>
          <w:p w14:paraId="514B1D33">
            <w:pPr>
              <w:keepNext w:val="0"/>
              <w:keepLines w:val="0"/>
              <w:suppressLineNumbers w:val="0"/>
              <w:tabs>
                <w:tab w:val="left" w:pos="2123"/>
              </w:tabs>
              <w:spacing w:before="0" w:beforeAutospacing="0" w:after="0" w:afterAutospacing="0" w:line="360" w:lineRule="auto"/>
              <w:ind w:left="0" w:leftChars="0" w:right="0" w:firstLine="0" w:firstLineChars="0"/>
              <w:rPr>
                <w:rFonts w:hint="eastAsia" w:ascii="宋体" w:hAnsi="宋体" w:eastAsia="宋体" w:cs="宋体"/>
                <w:b/>
                <w:bCs/>
                <w:color w:val="auto"/>
                <w:sz w:val="24"/>
                <w:szCs w:val="24"/>
                <w:highlight w:val="none"/>
              </w:rPr>
            </w:pPr>
            <w:r>
              <w:rPr>
                <w:rFonts w:hint="eastAsia" w:ascii="宋体" w:hAnsi="宋体" w:eastAsia="宋体" w:cs="宋体"/>
                <w:b/>
                <w:bCs/>
                <w:i w:val="0"/>
                <w:iCs w:val="0"/>
                <w:color w:val="auto"/>
                <w:kern w:val="0"/>
                <w:sz w:val="24"/>
                <w:szCs w:val="24"/>
                <w:highlight w:val="none"/>
                <w:u w:val="none"/>
                <w:lang w:val="en-US" w:eastAsia="zh-CN" w:bidi="ar"/>
              </w:rPr>
              <w:t>“二、内置系统”：</w:t>
            </w:r>
            <w:r>
              <w:rPr>
                <w:rFonts w:hint="eastAsia" w:ascii="宋体" w:hAnsi="宋体" w:eastAsia="宋体" w:cs="宋体"/>
                <w:b/>
                <w:bCs/>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1、PC类型：采用插拔式模块化电脑，外部无任何可见连接线。不可提供背包式外挂PC。CPU配置要求符合中国信息安全测评中心/国家保密科技测评中心发布的安全可靠测评公告要求，处理器核数≥8核，主频≥3.0GHz,内存配置要求不低于DDR4 16G，硬盘配置要求不低于SSD 512G，预装正版符合安全可靠测评要求的操作系统（操作系统版本根据客户需求提供）。</w:t>
            </w:r>
          </w:p>
        </w:tc>
      </w:tr>
      <w:tr w14:paraId="77D7082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jc w:val="center"/>
        </w:trPr>
        <w:tc>
          <w:tcPr>
            <w:tcW w:w="5000" w:type="pct"/>
            <w:tcBorders>
              <w:top w:val="outset" w:color="auto" w:sz="6" w:space="0"/>
              <w:left w:val="outset" w:color="auto" w:sz="6" w:space="0"/>
              <w:bottom w:val="outset" w:color="auto" w:sz="6" w:space="0"/>
              <w:right w:val="outset" w:color="auto" w:sz="6" w:space="0"/>
            </w:tcBorders>
            <w:vAlign w:val="center"/>
          </w:tcPr>
          <w:p w14:paraId="2C8999F8">
            <w:pPr>
              <w:keepNext w:val="0"/>
              <w:keepLines w:val="0"/>
              <w:suppressLineNumbers w:val="0"/>
              <w:tabs>
                <w:tab w:val="left" w:pos="2123"/>
              </w:tabs>
              <w:spacing w:before="0" w:beforeAutospacing="0" w:after="0" w:afterAutospacing="0" w:line="360" w:lineRule="auto"/>
              <w:ind w:left="0" w:leftChars="0" w:right="0" w:firstLine="0" w:firstLineChars="0"/>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val="en-US" w:eastAsia="zh-CN" w:bidi="ar-SA"/>
              </w:rPr>
              <w:t>★</w:t>
            </w:r>
            <w:r>
              <w:rPr>
                <w:rStyle w:val="22"/>
                <w:rFonts w:hint="eastAsia" w:ascii="宋体" w:hAnsi="宋体" w:eastAsia="宋体" w:cs="宋体"/>
                <w:b/>
                <w:bCs/>
                <w:color w:val="auto"/>
                <w:sz w:val="24"/>
                <w:szCs w:val="24"/>
                <w:highlight w:val="none"/>
                <w:lang w:val="en-US" w:eastAsia="zh-CN" w:bidi="ar"/>
              </w:rPr>
              <w:t>3、具有与教育部现行教学大纲相配套的资源库网站或者云平台，能实时通过网络下载各科课件资源（涵盖小学、初中及高中课程）。配套电子白板功能，支持书写、批注、绘图、画板、板擦及辅助教具功能。实配套集中管理功能，实现远程关机、重启等，并查看设备的状态和基本信息；配套还原功能，每次重启可还原到初始系统状态,支持软件一键静默安装；支持无人使用自动保护设备、多场景屏幕锁。</w:t>
            </w:r>
          </w:p>
        </w:tc>
      </w:tr>
      <w:tr w14:paraId="54CFF1C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jc w:val="center"/>
        </w:trPr>
        <w:tc>
          <w:tcPr>
            <w:tcW w:w="5000" w:type="pct"/>
            <w:tcBorders>
              <w:top w:val="outset" w:color="auto" w:sz="6" w:space="0"/>
              <w:left w:val="outset" w:color="auto" w:sz="6" w:space="0"/>
              <w:bottom w:val="outset" w:color="auto" w:sz="6" w:space="0"/>
              <w:right w:val="outset" w:color="auto" w:sz="6" w:space="0"/>
            </w:tcBorders>
            <w:vAlign w:val="center"/>
          </w:tcPr>
          <w:p w14:paraId="52F654B1">
            <w:pPr>
              <w:keepNext w:val="0"/>
              <w:keepLines w:val="0"/>
              <w:suppressLineNumbers w:val="0"/>
              <w:tabs>
                <w:tab w:val="left" w:pos="2123"/>
              </w:tabs>
              <w:spacing w:before="0" w:beforeAutospacing="0" w:after="0" w:afterAutospacing="0" w:line="360" w:lineRule="auto"/>
              <w:ind w:left="0" w:leftChars="0" w:right="0" w:firstLine="0" w:firstLineChars="0"/>
              <w:rPr>
                <w:rFonts w:hint="eastAsia" w:ascii="宋体" w:hAnsi="宋体" w:eastAsia="宋体" w:cs="宋体"/>
                <w:b/>
                <w:bCs/>
                <w:color w:val="auto"/>
                <w:sz w:val="24"/>
                <w:szCs w:val="24"/>
                <w:highlight w:val="none"/>
              </w:rPr>
            </w:pPr>
            <w:r>
              <w:rPr>
                <w:rFonts w:hint="eastAsia" w:ascii="宋体" w:hAnsi="宋体" w:eastAsia="宋体" w:cs="宋体"/>
                <w:b/>
                <w:bCs/>
                <w:i w:val="0"/>
                <w:iCs w:val="0"/>
                <w:color w:val="auto"/>
                <w:kern w:val="0"/>
                <w:sz w:val="24"/>
                <w:szCs w:val="24"/>
                <w:highlight w:val="none"/>
                <w:u w:val="none"/>
                <w:lang w:val="en-US" w:eastAsia="zh-CN" w:bidi="ar"/>
              </w:rPr>
              <w:t>品目号1-4 98寸触控一体机“一、整机参数”：</w:t>
            </w:r>
            <w:r>
              <w:rPr>
                <w:rFonts w:hint="eastAsia" w:ascii="宋体" w:hAnsi="宋体" w:eastAsia="宋体" w:cs="宋体"/>
                <w:b/>
                <w:bCs/>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1、屏幕类型：LED背光( A级或A级以上硬屏，不接受A-及以下标准 ) ，设备带厚度≤4mm的防眩钢化玻璃，硬度≥莫氏7级或者石墨硬度≥9H。符合国家标准 GB 40070-2021 《儿童青少年学习用品近视防控卫生要求》。显示尺寸规格：98英寸（允许正偏差1%以内），显示比例：16:9（允许正负偏差0.1%以内），可视角度≥178度，分辨率≥ 3840(H)×2160(V)。随机附件：书写笔、教鞭。</w:t>
            </w:r>
          </w:p>
        </w:tc>
      </w:tr>
      <w:tr w14:paraId="3AA7B34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jc w:val="center"/>
        </w:trPr>
        <w:tc>
          <w:tcPr>
            <w:tcW w:w="5000" w:type="pct"/>
            <w:tcBorders>
              <w:top w:val="outset" w:color="auto" w:sz="6" w:space="0"/>
              <w:left w:val="outset" w:color="auto" w:sz="6" w:space="0"/>
              <w:bottom w:val="outset" w:color="auto" w:sz="6" w:space="0"/>
              <w:right w:val="outset" w:color="auto" w:sz="6" w:space="0"/>
            </w:tcBorders>
            <w:vAlign w:val="center"/>
          </w:tcPr>
          <w:p w14:paraId="31937B46">
            <w:pPr>
              <w:keepNext w:val="0"/>
              <w:keepLines w:val="0"/>
              <w:suppressLineNumbers w:val="0"/>
              <w:tabs>
                <w:tab w:val="left" w:pos="2123"/>
              </w:tabs>
              <w:spacing w:before="0" w:beforeAutospacing="0" w:after="0" w:afterAutospacing="0" w:line="360" w:lineRule="auto"/>
              <w:ind w:left="0" w:leftChars="0" w:right="0" w:firstLine="0" w:firstLineChars="0"/>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2、采用金属材质边框；支持内置摄像头，摄像头有效像素≥1300万。摄像头要求内嵌在触控一体机中，无任何可见外接线材及模块化拼接痕迹。内置扬声器，位于设备正面，朝前发声额定总功率≥40W。</w:t>
            </w:r>
          </w:p>
        </w:tc>
      </w:tr>
      <w:tr w14:paraId="4962CAE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jc w:val="center"/>
        </w:trPr>
        <w:tc>
          <w:tcPr>
            <w:tcW w:w="5000" w:type="pct"/>
            <w:tcBorders>
              <w:top w:val="outset" w:color="auto" w:sz="6" w:space="0"/>
              <w:left w:val="outset" w:color="auto" w:sz="6" w:space="0"/>
              <w:bottom w:val="outset" w:color="auto" w:sz="6" w:space="0"/>
              <w:right w:val="outset" w:color="auto" w:sz="6" w:space="0"/>
            </w:tcBorders>
            <w:vAlign w:val="center"/>
          </w:tcPr>
          <w:p w14:paraId="34D8415A">
            <w:pPr>
              <w:keepNext w:val="0"/>
              <w:keepLines w:val="0"/>
              <w:suppressLineNumbers w:val="0"/>
              <w:tabs>
                <w:tab w:val="left" w:pos="2123"/>
              </w:tabs>
              <w:spacing w:before="0" w:beforeAutospacing="0" w:after="0" w:afterAutospacing="0" w:line="360" w:lineRule="auto"/>
              <w:ind w:left="0" w:leftChars="0" w:right="0" w:firstLine="0" w:firstLineChars="0"/>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8、Wi-Fi：内置无线网卡802.11b/g/n/ac，支持Wifi 6及以上标准。整机支持蓝牙Bluetooth 5.2及以上标准。</w:t>
            </w:r>
          </w:p>
        </w:tc>
      </w:tr>
      <w:tr w14:paraId="579F252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jc w:val="center"/>
        </w:trPr>
        <w:tc>
          <w:tcPr>
            <w:tcW w:w="5000" w:type="pct"/>
            <w:tcBorders>
              <w:top w:val="outset" w:color="auto" w:sz="6" w:space="0"/>
              <w:left w:val="outset" w:color="auto" w:sz="6" w:space="0"/>
              <w:bottom w:val="outset" w:color="auto" w:sz="6" w:space="0"/>
              <w:right w:val="outset" w:color="auto" w:sz="6" w:space="0"/>
            </w:tcBorders>
            <w:vAlign w:val="center"/>
          </w:tcPr>
          <w:p w14:paraId="52DD8ED1">
            <w:pPr>
              <w:keepNext w:val="0"/>
              <w:keepLines w:val="0"/>
              <w:suppressLineNumbers w:val="0"/>
              <w:tabs>
                <w:tab w:val="left" w:pos="2123"/>
              </w:tabs>
              <w:spacing w:before="0" w:beforeAutospacing="0" w:after="0" w:afterAutospacing="0" w:line="360" w:lineRule="auto"/>
              <w:ind w:left="0" w:leftChars="0" w:right="0" w:firstLine="0" w:firstLineChars="0"/>
              <w:rPr>
                <w:rFonts w:hint="eastAsia" w:ascii="宋体" w:hAnsi="宋体" w:eastAsia="宋体" w:cs="宋体"/>
                <w:b/>
                <w:bCs/>
                <w:color w:val="auto"/>
                <w:sz w:val="24"/>
                <w:szCs w:val="24"/>
                <w:highlight w:val="none"/>
              </w:rPr>
            </w:pPr>
            <w:r>
              <w:rPr>
                <w:rFonts w:hint="eastAsia" w:ascii="宋体" w:hAnsi="宋体" w:eastAsia="宋体" w:cs="宋体"/>
                <w:b/>
                <w:bCs/>
                <w:i w:val="0"/>
                <w:iCs w:val="0"/>
                <w:color w:val="auto"/>
                <w:kern w:val="0"/>
                <w:sz w:val="24"/>
                <w:szCs w:val="24"/>
                <w:highlight w:val="none"/>
                <w:u w:val="none"/>
                <w:lang w:val="en-US" w:eastAsia="zh-CN" w:bidi="ar"/>
              </w:rPr>
              <w:t>“二、内置系统”：</w:t>
            </w:r>
            <w:r>
              <w:rPr>
                <w:rFonts w:hint="eastAsia" w:ascii="宋体" w:hAnsi="宋体" w:eastAsia="宋体" w:cs="宋体"/>
                <w:b/>
                <w:bCs/>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1、PC类型：采用插拔式模块化电脑，外部无任何可见连接线。不可提供背包式外挂PC。CPU配置要求符合中国信息安全测评中心/国家保密科技测评中心发布的安全可靠测评公告要求，处理器核数≥8核，主频≥3.0GHz,内存配置要求不低于DDR4 16G，硬盘配置要求不低于SSD 512G，预装正版符合安全可靠测评要求的操作系统（操作系统版本根据客户需求提供）。</w:t>
            </w:r>
          </w:p>
        </w:tc>
      </w:tr>
      <w:tr w14:paraId="78681D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jc w:val="center"/>
        </w:trPr>
        <w:tc>
          <w:tcPr>
            <w:tcW w:w="5000" w:type="pct"/>
            <w:tcBorders>
              <w:top w:val="outset" w:color="auto" w:sz="6" w:space="0"/>
              <w:left w:val="outset" w:color="auto" w:sz="6" w:space="0"/>
              <w:bottom w:val="outset" w:color="auto" w:sz="6" w:space="0"/>
              <w:right w:val="outset" w:color="auto" w:sz="6" w:space="0"/>
            </w:tcBorders>
            <w:vAlign w:val="center"/>
          </w:tcPr>
          <w:p w14:paraId="4945DD77">
            <w:pPr>
              <w:keepNext w:val="0"/>
              <w:keepLines w:val="0"/>
              <w:suppressLineNumbers w:val="0"/>
              <w:tabs>
                <w:tab w:val="left" w:pos="2123"/>
              </w:tabs>
              <w:spacing w:before="0" w:beforeAutospacing="0" w:after="0" w:afterAutospacing="0" w:line="360" w:lineRule="auto"/>
              <w:ind w:left="0" w:leftChars="0" w:right="0" w:firstLine="0" w:firstLineChars="0"/>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val="en-US" w:eastAsia="zh-CN" w:bidi="ar-SA"/>
              </w:rPr>
              <w:t>★</w:t>
            </w:r>
            <w:r>
              <w:rPr>
                <w:rStyle w:val="22"/>
                <w:rFonts w:hint="eastAsia" w:ascii="宋体" w:hAnsi="宋体" w:eastAsia="宋体" w:cs="宋体"/>
                <w:b/>
                <w:bCs/>
                <w:color w:val="auto"/>
                <w:sz w:val="24"/>
                <w:szCs w:val="24"/>
                <w:highlight w:val="none"/>
                <w:lang w:val="en-US" w:eastAsia="zh-CN" w:bidi="ar"/>
              </w:rPr>
              <w:t>3、具有与教育部现行教学大纲相配套的资源库网站或者云平台，能实时通过网络下载各科课件资源（涵盖小学、初中及高中课程）。配套电子白板功能，支持书写、批注、绘图、画板、板擦及辅助教具功能。实配套集中管理功能，实现远程关机、重启等，并查看设备的状态和基本信息；配套还原功能，每次重启可还原到初始系统状态,支持软件一键静默安装；支持无人使用自动保护设备、多场景屏幕锁。</w:t>
            </w:r>
          </w:p>
        </w:tc>
      </w:tr>
      <w:tr w14:paraId="45D9604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jc w:val="center"/>
        </w:trPr>
        <w:tc>
          <w:tcPr>
            <w:tcW w:w="5000" w:type="pct"/>
            <w:tcBorders>
              <w:top w:val="outset" w:color="auto" w:sz="6" w:space="0"/>
              <w:left w:val="outset" w:color="auto" w:sz="6" w:space="0"/>
              <w:bottom w:val="outset" w:color="auto" w:sz="6" w:space="0"/>
              <w:right w:val="outset" w:color="auto" w:sz="6" w:space="0"/>
            </w:tcBorders>
            <w:vAlign w:val="center"/>
          </w:tcPr>
          <w:p w14:paraId="2A2EB163">
            <w:pPr>
              <w:keepNext w:val="0"/>
              <w:keepLines w:val="0"/>
              <w:suppressLineNumbers w:val="0"/>
              <w:tabs>
                <w:tab w:val="left" w:pos="2123"/>
              </w:tabs>
              <w:spacing w:before="0" w:beforeAutospacing="0" w:after="0" w:afterAutospacing="0" w:line="360" w:lineRule="auto"/>
              <w:ind w:left="0" w:leftChars="0" w:right="0" w:firstLine="0" w:firstLineChars="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eastAsia="zh-CN"/>
              </w:rPr>
              <w:t>包</w:t>
            </w:r>
            <w:r>
              <w:rPr>
                <w:rFonts w:hint="eastAsia" w:ascii="宋体" w:hAnsi="宋体" w:eastAsia="宋体" w:cs="宋体"/>
                <w:b/>
                <w:bCs/>
                <w:color w:val="auto"/>
                <w:sz w:val="24"/>
                <w:szCs w:val="24"/>
                <w:highlight w:val="none"/>
                <w:lang w:val="en-US" w:eastAsia="zh-CN"/>
              </w:rPr>
              <w:t>2智慧黑板</w:t>
            </w:r>
          </w:p>
          <w:p w14:paraId="6A90157C">
            <w:pPr>
              <w:keepNext w:val="0"/>
              <w:keepLines w:val="0"/>
              <w:suppressLineNumbers w:val="0"/>
              <w:tabs>
                <w:tab w:val="left" w:pos="2123"/>
              </w:tabs>
              <w:spacing w:before="0" w:beforeAutospacing="0" w:after="0" w:afterAutospacing="0" w:line="360" w:lineRule="auto"/>
              <w:ind w:left="0" w:leftChars="0" w:right="0" w:firstLine="0" w:firstLineChars="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 xml:space="preserve">品目号2-1 </w:t>
            </w:r>
            <w:r>
              <w:rPr>
                <w:rFonts w:hint="eastAsia" w:ascii="宋体" w:hAnsi="宋体" w:eastAsia="宋体" w:cs="宋体"/>
                <w:b/>
                <w:bCs/>
                <w:i w:val="0"/>
                <w:iCs w:val="0"/>
                <w:color w:val="auto"/>
                <w:kern w:val="0"/>
                <w:sz w:val="24"/>
                <w:szCs w:val="24"/>
                <w:highlight w:val="none"/>
                <w:u w:val="none"/>
                <w:lang w:val="en-US" w:eastAsia="zh-CN" w:bidi="ar"/>
              </w:rPr>
              <w:t>86寸智慧黑板“一、整机参数”：</w:t>
            </w:r>
            <w:r>
              <w:rPr>
                <w:rFonts w:hint="eastAsia" w:ascii="宋体" w:hAnsi="宋体" w:eastAsia="宋体" w:cs="宋体"/>
                <w:b/>
                <w:bCs/>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1、整体外观尺寸：宽≥4200mm，高≥1100mm，厚≤135mm（含侧板）。整机采用三拼接平面一体化设计，无推拉式结构及外露连接线。整机中间主屏支持普通粉笔直接书写，两侧副屏可支持以下媒介（普通粉笔、液体粉笔）进行板书书写。两侧副屏支持磁吸附功能，可以满足带有磁吸的板擦等教具进行吸附在副屏上。屏幕类型：LED背光( A级或A级以上硬屏，不接受A-及以下标准 ) ，设备带厚度≤4mm的防眩钢化玻璃，硬度≥莫氏7级或者石墨硬度≥9H。符合国家标准 GB 40070-2021 《儿童青少年学习用品近视防控卫生要求》。显示尺寸规格：86英寸（允许正偏差1%以内），显示比例：16:9（允许正负偏差0.1%以内），可视角度≥178度，分辨率≥ 3840(H)×2160(V)。 随机附件：书写笔、教鞭。</w:t>
            </w:r>
          </w:p>
        </w:tc>
      </w:tr>
      <w:tr w14:paraId="3092541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jc w:val="center"/>
        </w:trPr>
        <w:tc>
          <w:tcPr>
            <w:tcW w:w="5000" w:type="pct"/>
            <w:tcBorders>
              <w:top w:val="outset" w:color="auto" w:sz="6" w:space="0"/>
              <w:left w:val="outset" w:color="auto" w:sz="6" w:space="0"/>
              <w:bottom w:val="outset" w:color="auto" w:sz="6" w:space="0"/>
              <w:right w:val="outset" w:color="auto" w:sz="6" w:space="0"/>
            </w:tcBorders>
            <w:vAlign w:val="center"/>
          </w:tcPr>
          <w:p w14:paraId="1CED9AE7">
            <w:pPr>
              <w:keepNext w:val="0"/>
              <w:keepLines w:val="0"/>
              <w:suppressLineNumbers w:val="0"/>
              <w:tabs>
                <w:tab w:val="left" w:pos="2123"/>
              </w:tabs>
              <w:spacing w:before="0" w:beforeAutospacing="0" w:after="0" w:afterAutospacing="0" w:line="360" w:lineRule="auto"/>
              <w:ind w:left="0" w:leftChars="0" w:right="0" w:firstLine="0" w:firstLineChars="0"/>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2、内置扬声器，位于设备正面，朝前发声额定总功率≥60W。</w:t>
            </w:r>
          </w:p>
        </w:tc>
      </w:tr>
      <w:tr w14:paraId="23A748F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jc w:val="center"/>
        </w:trPr>
        <w:tc>
          <w:tcPr>
            <w:tcW w:w="5000" w:type="pct"/>
            <w:tcBorders>
              <w:top w:val="outset" w:color="auto" w:sz="6" w:space="0"/>
              <w:left w:val="outset" w:color="auto" w:sz="6" w:space="0"/>
              <w:bottom w:val="outset" w:color="auto" w:sz="6" w:space="0"/>
              <w:right w:val="outset" w:color="auto" w:sz="6" w:space="0"/>
            </w:tcBorders>
            <w:vAlign w:val="center"/>
          </w:tcPr>
          <w:p w14:paraId="30273CF5">
            <w:pPr>
              <w:keepNext w:val="0"/>
              <w:keepLines w:val="0"/>
              <w:suppressLineNumbers w:val="0"/>
              <w:tabs>
                <w:tab w:val="left" w:pos="2123"/>
              </w:tabs>
              <w:spacing w:before="0" w:beforeAutospacing="0" w:after="0" w:afterAutospacing="0" w:line="360" w:lineRule="auto"/>
              <w:ind w:left="0" w:leftChars="0" w:right="0" w:firstLine="0" w:firstLineChars="0"/>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3、采用金属材质边框；支持内置摄像头，摄像头有效像素≥1600万，无任何可见外接线材及模块化拼接痕迹。支持同时查看8个（含）及以上教室的实时摄像头画面、设备屏幕画面；并支持在一个显示界面同时查看单个教室内所有屏幕、所有摄像头的实时画面，以及所有麦克风的声音，完整还原课堂全貌。</w:t>
            </w:r>
          </w:p>
        </w:tc>
      </w:tr>
      <w:tr w14:paraId="28E3DAA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jc w:val="center"/>
        </w:trPr>
        <w:tc>
          <w:tcPr>
            <w:tcW w:w="5000" w:type="pct"/>
            <w:tcBorders>
              <w:top w:val="outset" w:color="auto" w:sz="6" w:space="0"/>
              <w:left w:val="outset" w:color="auto" w:sz="6" w:space="0"/>
              <w:bottom w:val="outset" w:color="auto" w:sz="6" w:space="0"/>
              <w:right w:val="outset" w:color="auto" w:sz="6" w:space="0"/>
            </w:tcBorders>
            <w:vAlign w:val="center"/>
          </w:tcPr>
          <w:p w14:paraId="7EBE0E60">
            <w:pPr>
              <w:keepNext w:val="0"/>
              <w:keepLines w:val="0"/>
              <w:suppressLineNumbers w:val="0"/>
              <w:tabs>
                <w:tab w:val="left" w:pos="2123"/>
              </w:tabs>
              <w:spacing w:before="0" w:beforeAutospacing="0" w:after="0" w:afterAutospacing="0" w:line="360" w:lineRule="auto"/>
              <w:ind w:left="0" w:leftChars="0" w:right="0" w:firstLine="0" w:firstLineChars="0"/>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10、Wi-Fi：内置无线网卡802.11b/g/n/ac，支持Wifi 6及以上标准。整机支持蓝牙Bluetooth 5.2及以上标准。</w:t>
            </w:r>
          </w:p>
        </w:tc>
      </w:tr>
      <w:tr w14:paraId="7D2EC83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jc w:val="center"/>
        </w:trPr>
        <w:tc>
          <w:tcPr>
            <w:tcW w:w="5000" w:type="pct"/>
            <w:tcBorders>
              <w:top w:val="outset" w:color="auto" w:sz="6" w:space="0"/>
              <w:left w:val="outset" w:color="auto" w:sz="6" w:space="0"/>
              <w:bottom w:val="outset" w:color="auto" w:sz="6" w:space="0"/>
              <w:right w:val="outset" w:color="auto" w:sz="6" w:space="0"/>
            </w:tcBorders>
            <w:vAlign w:val="center"/>
          </w:tcPr>
          <w:p w14:paraId="0FEA06FC">
            <w:pPr>
              <w:keepNext w:val="0"/>
              <w:keepLines w:val="0"/>
              <w:suppressLineNumbers w:val="0"/>
              <w:tabs>
                <w:tab w:val="left" w:pos="2123"/>
              </w:tabs>
              <w:spacing w:before="0" w:beforeAutospacing="0" w:after="0" w:afterAutospacing="0" w:line="360" w:lineRule="auto"/>
              <w:ind w:left="0" w:leftChars="0" w:right="0" w:firstLine="0" w:firstLineChars="0"/>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i w:val="0"/>
                <w:iCs w:val="0"/>
                <w:color w:val="auto"/>
                <w:kern w:val="0"/>
                <w:sz w:val="24"/>
                <w:szCs w:val="24"/>
                <w:highlight w:val="none"/>
                <w:u w:val="none"/>
                <w:lang w:val="en-US" w:eastAsia="zh-CN" w:bidi="ar"/>
              </w:rPr>
              <w:t>“二、内置系统”：</w:t>
            </w:r>
            <w:r>
              <w:rPr>
                <w:rFonts w:hint="eastAsia" w:ascii="宋体" w:hAnsi="宋体" w:eastAsia="宋体" w:cs="宋体"/>
                <w:b/>
                <w:bCs/>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1、PC类型：采用插拔式模块化电脑，外部无任何可见连接线。不可提供背包式外挂PC。CPU配置要求符合中国信息安全测评中心/国家保密科技测评中心发布的安全可靠测评公告要求，处理器核数≥8核，主频≥3.0GHz,内存配置要求不低于DDR4 16G，硬盘配置要求不低于SSD 512G，预装正版符合安全可靠测评要求的操作系统（操作系统版本根据客户需求提供）。</w:t>
            </w:r>
          </w:p>
        </w:tc>
      </w:tr>
      <w:tr w14:paraId="64240F9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jc w:val="center"/>
        </w:trPr>
        <w:tc>
          <w:tcPr>
            <w:tcW w:w="5000" w:type="pct"/>
            <w:tcBorders>
              <w:top w:val="outset" w:color="auto" w:sz="6" w:space="0"/>
              <w:left w:val="outset" w:color="auto" w:sz="6" w:space="0"/>
              <w:bottom w:val="outset" w:color="auto" w:sz="6" w:space="0"/>
              <w:right w:val="outset" w:color="auto" w:sz="6" w:space="0"/>
            </w:tcBorders>
            <w:vAlign w:val="center"/>
          </w:tcPr>
          <w:p w14:paraId="6DFCAF5C">
            <w:pPr>
              <w:keepNext w:val="0"/>
              <w:keepLines w:val="0"/>
              <w:suppressLineNumbers w:val="0"/>
              <w:tabs>
                <w:tab w:val="left" w:pos="2123"/>
              </w:tabs>
              <w:spacing w:before="0" w:beforeAutospacing="0" w:after="0" w:afterAutospacing="0" w:line="360" w:lineRule="auto"/>
              <w:ind w:left="0" w:leftChars="0" w:right="0" w:firstLine="0" w:firstLineChars="0"/>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w:t>
            </w:r>
            <w:r>
              <w:rPr>
                <w:rStyle w:val="22"/>
                <w:rFonts w:hint="eastAsia" w:ascii="宋体" w:hAnsi="宋体" w:eastAsia="宋体" w:cs="宋体"/>
                <w:b/>
                <w:bCs/>
                <w:color w:val="auto"/>
                <w:sz w:val="24"/>
                <w:szCs w:val="24"/>
                <w:highlight w:val="none"/>
                <w:lang w:val="en-US" w:eastAsia="zh-CN" w:bidi="ar"/>
              </w:rPr>
              <w:t>3、具有与教育部现行教学大纲相配套的资源库网站或者云平台，能实时通过网络下载各科课件资源（涵盖小学、初中及高中课程）。配套电子白板功能，支持书写、批注、绘图、画板、板擦及辅助教具功能。实配套集中管理功能，实现远程关机、重启等，并查看设备的状态和基本信息；配套还原功能，每次重启可还原到初始系统状态,支持软件一键静默安装；支持无人使用自动保护设备、多场景屏幕锁。</w:t>
            </w:r>
          </w:p>
        </w:tc>
      </w:tr>
      <w:tr w14:paraId="4B56D83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jc w:val="center"/>
        </w:trPr>
        <w:tc>
          <w:tcPr>
            <w:tcW w:w="5000" w:type="pct"/>
            <w:tcBorders>
              <w:top w:val="outset" w:color="auto" w:sz="6" w:space="0"/>
              <w:left w:val="outset" w:color="auto" w:sz="6" w:space="0"/>
              <w:bottom w:val="outset" w:color="auto" w:sz="6" w:space="0"/>
              <w:right w:val="outset" w:color="auto" w:sz="6" w:space="0"/>
            </w:tcBorders>
            <w:vAlign w:val="center"/>
          </w:tcPr>
          <w:p w14:paraId="4C658A97">
            <w:pPr>
              <w:keepNext w:val="0"/>
              <w:keepLines w:val="0"/>
              <w:suppressLineNumbers w:val="0"/>
              <w:tabs>
                <w:tab w:val="left" w:pos="2123"/>
              </w:tabs>
              <w:spacing w:before="0" w:beforeAutospacing="0" w:after="0" w:afterAutospacing="0" w:line="360" w:lineRule="auto"/>
              <w:ind w:left="0" w:leftChars="0" w:right="0" w:firstLine="0" w:firstLineChars="0"/>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sz w:val="24"/>
                <w:szCs w:val="24"/>
                <w:highlight w:val="none"/>
                <w:lang w:val="en-US" w:eastAsia="zh-CN"/>
              </w:rPr>
              <w:t xml:space="preserve">品目号2-2 </w:t>
            </w:r>
            <w:r>
              <w:rPr>
                <w:rFonts w:hint="eastAsia" w:ascii="宋体" w:hAnsi="宋体" w:eastAsia="宋体" w:cs="宋体"/>
                <w:b/>
                <w:bCs/>
                <w:i w:val="0"/>
                <w:iCs w:val="0"/>
                <w:color w:val="auto"/>
                <w:kern w:val="0"/>
                <w:sz w:val="24"/>
                <w:szCs w:val="24"/>
                <w:highlight w:val="none"/>
                <w:u w:val="none"/>
                <w:lang w:val="en-US" w:eastAsia="zh-CN" w:bidi="ar"/>
              </w:rPr>
              <w:t>86寸互联智慧黑板“一、整机参数”：</w:t>
            </w:r>
            <w:r>
              <w:rPr>
                <w:rFonts w:hint="eastAsia" w:ascii="宋体" w:hAnsi="宋体" w:eastAsia="宋体" w:cs="宋体"/>
                <w:b/>
                <w:bCs/>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1、 整体外观尺寸：宽≥4200mm，高≥1100mm，厚≤135mm（含侧板）。整机采用三拼接平面一体化设计，无推拉式结构及外露连接线。整机中间主屏支持普通粉笔直接书写，两侧副屏可支持以下媒介（普通粉笔、液体粉笔）进行板书书写。两侧副屏支持磁吸附功能，可以满足带有磁吸的板擦等教具进行吸附在副屏上。具有板书记录功能，支持两侧副屏黑板与主屏同步显示，自动保存两侧副屏黑板的板书内容，板书支持本地保存或进行二维码分享。屏幕类型：LED背光( A级或A级以上硬屏，不接受A-及以下标准 ) ，设备带厚度≤4mm的防眩钢化玻璃，硬度≥莫氏7级或者石墨硬度≥9H。符合国家标准 GB 40070-2021 《儿童青少年学习用品近视防控卫生要求》。显示尺寸规格：86英寸（允许正偏差1%以内），显示比例：16:9（允许正负偏差0.1%以内），可视角度≥178度，分辨率≥ 3840(H)×2160(V)。 随机附件：书写笔、教鞭</w:t>
            </w:r>
          </w:p>
        </w:tc>
      </w:tr>
      <w:tr w14:paraId="41A2948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jc w:val="center"/>
        </w:trPr>
        <w:tc>
          <w:tcPr>
            <w:tcW w:w="5000" w:type="pct"/>
            <w:tcBorders>
              <w:top w:val="outset" w:color="auto" w:sz="6" w:space="0"/>
              <w:left w:val="outset" w:color="auto" w:sz="6" w:space="0"/>
              <w:bottom w:val="outset" w:color="auto" w:sz="6" w:space="0"/>
              <w:right w:val="outset" w:color="auto" w:sz="6" w:space="0"/>
            </w:tcBorders>
            <w:vAlign w:val="center"/>
          </w:tcPr>
          <w:p w14:paraId="6B7564A4">
            <w:pPr>
              <w:keepNext w:val="0"/>
              <w:keepLines w:val="0"/>
              <w:suppressLineNumbers w:val="0"/>
              <w:tabs>
                <w:tab w:val="left" w:pos="2123"/>
              </w:tabs>
              <w:spacing w:before="0" w:beforeAutospacing="0" w:after="0" w:afterAutospacing="0" w:line="360" w:lineRule="auto"/>
              <w:ind w:left="0" w:leftChars="0" w:right="0" w:firstLine="0" w:firstLineChars="0"/>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2、内置扬声器，位于设备正面，朝前发声额定总功率≥60W。</w:t>
            </w:r>
          </w:p>
        </w:tc>
      </w:tr>
      <w:tr w14:paraId="0D34BE2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jc w:val="center"/>
        </w:trPr>
        <w:tc>
          <w:tcPr>
            <w:tcW w:w="5000" w:type="pct"/>
            <w:tcBorders>
              <w:top w:val="outset" w:color="auto" w:sz="6" w:space="0"/>
              <w:left w:val="outset" w:color="auto" w:sz="6" w:space="0"/>
              <w:bottom w:val="outset" w:color="auto" w:sz="6" w:space="0"/>
              <w:right w:val="outset" w:color="auto" w:sz="6" w:space="0"/>
            </w:tcBorders>
            <w:vAlign w:val="center"/>
          </w:tcPr>
          <w:p w14:paraId="5E5B41A4">
            <w:pPr>
              <w:keepNext w:val="0"/>
              <w:keepLines w:val="0"/>
              <w:suppressLineNumbers w:val="0"/>
              <w:tabs>
                <w:tab w:val="left" w:pos="2123"/>
              </w:tabs>
              <w:spacing w:before="0" w:beforeAutospacing="0" w:after="0" w:afterAutospacing="0" w:line="360" w:lineRule="auto"/>
              <w:ind w:left="0" w:leftChars="0" w:right="0" w:firstLine="0" w:firstLineChars="0"/>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3、采用金属材质边框；支持内置摄像头，摄像头有效像素≥1600万，无任何可见外接线材及模块化拼接痕迹。支持同时查看8个（含）及以上教室的实时摄像头画面、设备屏幕画面；并支持在一个显示界面同时查看单个教室内所有屏幕、所有摄像头的实时画面，以及所有麦克风的声音，完整还原课堂全貌。</w:t>
            </w:r>
          </w:p>
        </w:tc>
      </w:tr>
      <w:tr w14:paraId="059A26B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jc w:val="center"/>
        </w:trPr>
        <w:tc>
          <w:tcPr>
            <w:tcW w:w="5000" w:type="pct"/>
            <w:tcBorders>
              <w:top w:val="outset" w:color="auto" w:sz="6" w:space="0"/>
              <w:left w:val="outset" w:color="auto" w:sz="6" w:space="0"/>
              <w:bottom w:val="outset" w:color="auto" w:sz="6" w:space="0"/>
              <w:right w:val="outset" w:color="auto" w:sz="6" w:space="0"/>
            </w:tcBorders>
            <w:vAlign w:val="center"/>
          </w:tcPr>
          <w:p w14:paraId="2F933BF1">
            <w:pPr>
              <w:keepNext w:val="0"/>
              <w:keepLines w:val="0"/>
              <w:suppressLineNumbers w:val="0"/>
              <w:tabs>
                <w:tab w:val="left" w:pos="2123"/>
              </w:tabs>
              <w:spacing w:before="0" w:beforeAutospacing="0" w:after="0" w:afterAutospacing="0" w:line="360" w:lineRule="auto"/>
              <w:ind w:left="0" w:leftChars="0" w:right="0" w:firstLine="0" w:firstLineChars="0"/>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10、Wi-Fi：内置无线网卡802.11b/g/n/ac，支持Wifi 6及以上标准。整机支持蓝牙Bluetooth 5.2及以上标准。</w:t>
            </w:r>
          </w:p>
        </w:tc>
      </w:tr>
      <w:tr w14:paraId="594EBFB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jc w:val="center"/>
        </w:trPr>
        <w:tc>
          <w:tcPr>
            <w:tcW w:w="5000" w:type="pct"/>
            <w:tcBorders>
              <w:top w:val="outset" w:color="auto" w:sz="6" w:space="0"/>
              <w:left w:val="outset" w:color="auto" w:sz="6" w:space="0"/>
              <w:bottom w:val="outset" w:color="auto" w:sz="6" w:space="0"/>
              <w:right w:val="outset" w:color="auto" w:sz="6" w:space="0"/>
            </w:tcBorders>
            <w:vAlign w:val="center"/>
          </w:tcPr>
          <w:p w14:paraId="26E5382A">
            <w:pPr>
              <w:keepNext w:val="0"/>
              <w:keepLines w:val="0"/>
              <w:suppressLineNumbers w:val="0"/>
              <w:tabs>
                <w:tab w:val="left" w:pos="2123"/>
              </w:tabs>
              <w:spacing w:before="0" w:beforeAutospacing="0" w:after="0" w:afterAutospacing="0" w:line="360" w:lineRule="auto"/>
              <w:ind w:left="0" w:leftChars="0" w:right="0" w:firstLine="0" w:firstLineChars="0"/>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“二、内置系统”：</w:t>
            </w:r>
            <w:r>
              <w:rPr>
                <w:rFonts w:hint="eastAsia" w:ascii="宋体" w:hAnsi="宋体" w:eastAsia="宋体" w:cs="宋体"/>
                <w:b/>
                <w:bCs/>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1、采用插拔式模块化电脑，外部无任何可见连接线。不可提供背包式外挂PC。CPU配置要求符合中国信息安全测评中心/国家保密科技测评中心发布的安全可靠测评公告要求，处理器核数≥8核，主频≥3.0GHz,内存配置要求不低于DDR4 16G，硬盘配置要求不低于SSD 512G，预装正版符合安全可靠测评要求的操作系统（操作系统版本根据客户需求提供）。</w:t>
            </w:r>
          </w:p>
        </w:tc>
      </w:tr>
      <w:tr w14:paraId="2D48835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CellSpacing w:w="0" w:type="dxa"/>
          <w:jc w:val="center"/>
        </w:trPr>
        <w:tc>
          <w:tcPr>
            <w:tcW w:w="5000" w:type="pct"/>
            <w:tcBorders>
              <w:top w:val="outset" w:color="auto" w:sz="6" w:space="0"/>
              <w:left w:val="outset" w:color="auto" w:sz="6" w:space="0"/>
              <w:bottom w:val="outset" w:color="auto" w:sz="6" w:space="0"/>
              <w:right w:val="outset" w:color="auto" w:sz="6" w:space="0"/>
            </w:tcBorders>
            <w:vAlign w:val="center"/>
          </w:tcPr>
          <w:p w14:paraId="40EEAC9D">
            <w:pPr>
              <w:keepNext w:val="0"/>
              <w:keepLines w:val="0"/>
              <w:suppressLineNumbers w:val="0"/>
              <w:tabs>
                <w:tab w:val="left" w:pos="2123"/>
              </w:tabs>
              <w:spacing w:before="0" w:beforeAutospacing="0" w:after="0" w:afterAutospacing="0" w:line="360" w:lineRule="auto"/>
              <w:ind w:left="0" w:leftChars="0" w:right="0" w:firstLine="0" w:firstLineChars="0"/>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color w:val="auto"/>
                <w:kern w:val="0"/>
                <w:sz w:val="24"/>
                <w:szCs w:val="24"/>
                <w:highlight w:val="none"/>
                <w:lang w:val="en-US" w:eastAsia="zh-CN" w:bidi="ar-SA"/>
              </w:rPr>
              <w:t>★</w:t>
            </w:r>
            <w:r>
              <w:rPr>
                <w:rStyle w:val="22"/>
                <w:rFonts w:hint="eastAsia" w:ascii="宋体" w:hAnsi="宋体" w:eastAsia="宋体" w:cs="宋体"/>
                <w:b/>
                <w:bCs/>
                <w:color w:val="auto"/>
                <w:sz w:val="24"/>
                <w:szCs w:val="24"/>
                <w:highlight w:val="none"/>
                <w:lang w:val="en-US" w:eastAsia="zh-CN" w:bidi="ar"/>
              </w:rPr>
              <w:t>3、具有与教育部现行教学大纲相配套的资源库网站或者云平台，能实时通过网络下载各科课件资源（涵盖小学、初中及高中课程）。配套电子白板功能，支持书写、批注、绘图、画板、板擦及辅助教具功能。实配套集中管理功能，实现远程关机、重启等，并查看设备的状态和基本信息；配套还原功能，每次重启可还原到初始系统状态,支持软件一键静默安装；支持无人使用自动保护设备、多场景屏幕锁。</w:t>
            </w:r>
          </w:p>
        </w:tc>
      </w:tr>
      <w:tr w14:paraId="4F1ABD8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5000" w:type="pct"/>
            <w:tcBorders>
              <w:top w:val="outset" w:color="auto" w:sz="6" w:space="0"/>
              <w:left w:val="outset" w:color="auto" w:sz="6" w:space="0"/>
              <w:bottom w:val="outset" w:color="auto" w:sz="6" w:space="0"/>
              <w:right w:val="outset" w:color="auto" w:sz="6" w:space="0"/>
            </w:tcBorders>
            <w:vAlign w:val="center"/>
          </w:tcPr>
          <w:p w14:paraId="1EE2DBF4">
            <w:pPr>
              <w:keepNext w:val="0"/>
              <w:keepLines w:val="0"/>
              <w:widowControl/>
              <w:suppressLineNumbers w:val="0"/>
              <w:shd w:val="clear" w:color="auto" w:fill="FFFFFF"/>
              <w:spacing w:before="0" w:beforeAutospacing="0" w:after="0" w:afterAutospacing="0" w:line="360" w:lineRule="auto"/>
              <w:ind w:left="0" w:right="0"/>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（2）商务要求</w:t>
            </w:r>
            <w:r>
              <w:rPr>
                <w:rFonts w:hint="eastAsia" w:ascii="宋体" w:hAnsi="宋体" w:cs="宋体"/>
                <w:b/>
                <w:bCs/>
                <w:color w:val="auto"/>
                <w:kern w:val="0"/>
                <w:sz w:val="24"/>
                <w:szCs w:val="24"/>
                <w:highlight w:val="none"/>
                <w:lang w:val="en-US" w:eastAsia="zh-CN" w:bidi="ar-SA"/>
              </w:rPr>
              <w:t>（</w:t>
            </w:r>
            <w:r>
              <w:rPr>
                <w:rFonts w:hint="default" w:ascii="宋体" w:hAnsi="宋体" w:cs="宋体"/>
                <w:b/>
                <w:bCs/>
                <w:color w:val="auto"/>
                <w:kern w:val="0"/>
                <w:sz w:val="24"/>
                <w:szCs w:val="24"/>
                <w:highlight w:val="none"/>
                <w:lang w:eastAsia="zh-CN" w:bidi="ar-SA"/>
              </w:rPr>
              <w:t>采购</w:t>
            </w:r>
            <w:r>
              <w:rPr>
                <w:rFonts w:hint="eastAsia" w:ascii="宋体" w:hAnsi="宋体" w:cs="宋体"/>
                <w:b/>
                <w:bCs/>
                <w:color w:val="auto"/>
                <w:kern w:val="0"/>
                <w:sz w:val="24"/>
                <w:szCs w:val="24"/>
                <w:highlight w:val="none"/>
                <w:lang w:val="en-US" w:eastAsia="zh-CN" w:bidi="ar-SA"/>
              </w:rPr>
              <w:t>包1至</w:t>
            </w:r>
            <w:r>
              <w:rPr>
                <w:rFonts w:hint="default" w:ascii="宋体" w:hAnsi="宋体" w:cs="宋体"/>
                <w:b/>
                <w:bCs/>
                <w:color w:val="auto"/>
                <w:kern w:val="0"/>
                <w:sz w:val="24"/>
                <w:szCs w:val="24"/>
                <w:highlight w:val="none"/>
                <w:lang w:eastAsia="zh-CN" w:bidi="ar-SA"/>
              </w:rPr>
              <w:t>采购</w:t>
            </w:r>
            <w:r>
              <w:rPr>
                <w:rFonts w:hint="eastAsia" w:ascii="宋体" w:hAnsi="宋体" w:cs="宋体"/>
                <w:b/>
                <w:bCs/>
                <w:color w:val="auto"/>
                <w:kern w:val="0"/>
                <w:sz w:val="24"/>
                <w:szCs w:val="24"/>
                <w:highlight w:val="none"/>
                <w:lang w:val="en-US" w:eastAsia="zh-CN" w:bidi="ar-SA"/>
              </w:rPr>
              <w:t>包2）</w:t>
            </w:r>
          </w:p>
          <w:p w14:paraId="6A86B795">
            <w:pPr>
              <w:keepNext w:val="0"/>
              <w:keepLines w:val="0"/>
              <w:widowControl/>
              <w:suppressLineNumbers w:val="0"/>
              <w:shd w:val="clear" w:color="auto" w:fill="FFFFFF"/>
              <w:spacing w:before="0" w:beforeAutospacing="0" w:after="0" w:afterAutospacing="0" w:line="360" w:lineRule="auto"/>
              <w:ind w:left="0" w:right="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SA"/>
              </w:rPr>
              <w:t>★2、</w:t>
            </w:r>
            <w:r>
              <w:rPr>
                <w:rFonts w:hint="eastAsia" w:ascii="宋体" w:hAnsi="宋体" w:eastAsia="宋体" w:cs="宋体"/>
                <w:b/>
                <w:bCs/>
                <w:color w:val="auto"/>
                <w:kern w:val="0"/>
                <w:sz w:val="24"/>
                <w:szCs w:val="24"/>
                <w:highlight w:val="none"/>
                <w:lang w:val="en-US" w:bidi="ar-SA"/>
              </w:rPr>
              <w:t>投标人响应的货物和服务的技术、商务等条件不得低于采购需求</w:t>
            </w:r>
            <w:r>
              <w:rPr>
                <w:rFonts w:hint="eastAsia" w:ascii="宋体" w:hAnsi="宋体" w:eastAsia="宋体" w:cs="宋体"/>
                <w:b/>
                <w:bCs/>
                <w:color w:val="auto"/>
                <w:kern w:val="0"/>
                <w:sz w:val="24"/>
                <w:szCs w:val="24"/>
                <w:highlight w:val="none"/>
                <w:u w:val="none"/>
                <w:lang w:val="en-US" w:bidi="ar-SA"/>
              </w:rPr>
              <w:t>。</w:t>
            </w:r>
            <w:r>
              <w:rPr>
                <w:rFonts w:hint="eastAsia" w:ascii="宋体" w:hAnsi="宋体" w:eastAsia="宋体" w:cs="宋体"/>
                <w:b/>
                <w:bCs/>
                <w:color w:val="auto"/>
                <w:kern w:val="0"/>
                <w:sz w:val="24"/>
                <w:szCs w:val="24"/>
                <w:highlight w:val="none"/>
                <w:lang w:val="en-US" w:bidi="ar-SA"/>
              </w:rPr>
              <w:t>虚假响应的一经发现取消入围资格，并按照政府采购相关</w:t>
            </w:r>
            <w:r>
              <w:rPr>
                <w:rFonts w:hint="eastAsia" w:ascii="宋体" w:hAnsi="宋体" w:eastAsia="宋体" w:cs="宋体"/>
                <w:b/>
                <w:bCs/>
                <w:color w:val="auto"/>
                <w:kern w:val="0"/>
                <w:sz w:val="24"/>
                <w:szCs w:val="24"/>
                <w:highlight w:val="none"/>
                <w:lang w:val="en-US" w:eastAsia="zh-CN" w:bidi="ar-SA"/>
              </w:rPr>
              <w:t>规定</w:t>
            </w:r>
            <w:r>
              <w:rPr>
                <w:rFonts w:hint="eastAsia" w:ascii="宋体" w:hAnsi="宋体" w:eastAsia="宋体" w:cs="宋体"/>
                <w:b/>
                <w:bCs/>
                <w:color w:val="auto"/>
                <w:kern w:val="0"/>
                <w:sz w:val="24"/>
                <w:szCs w:val="24"/>
                <w:highlight w:val="none"/>
                <w:lang w:val="en-US" w:bidi="ar-SA"/>
              </w:rPr>
              <w:t>处理。</w:t>
            </w:r>
          </w:p>
        </w:tc>
      </w:tr>
      <w:tr w14:paraId="590AF57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5000" w:type="pct"/>
            <w:tcBorders>
              <w:top w:val="outset" w:color="auto" w:sz="6" w:space="0"/>
              <w:left w:val="outset" w:color="auto" w:sz="6" w:space="0"/>
              <w:bottom w:val="outset" w:color="auto" w:sz="6" w:space="0"/>
              <w:right w:val="outset" w:color="auto" w:sz="6" w:space="0"/>
            </w:tcBorders>
            <w:vAlign w:val="center"/>
          </w:tcPr>
          <w:p w14:paraId="0B039552">
            <w:pPr>
              <w:keepNext w:val="0"/>
              <w:keepLines w:val="0"/>
              <w:widowControl/>
              <w:suppressLineNumbers w:val="0"/>
              <w:shd w:val="clear" w:color="auto" w:fill="FFFFFF"/>
              <w:spacing w:before="0" w:beforeAutospacing="0" w:after="0" w:afterAutospacing="0" w:line="360" w:lineRule="auto"/>
              <w:ind w:left="0" w:right="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SA"/>
              </w:rPr>
              <w:t>★3、投标人针对每个采购包只能用同一个品牌产品进行响应，且每个品目号只能用一个产品响应（所投产品生产者须提供承诺函）。</w:t>
            </w:r>
          </w:p>
        </w:tc>
      </w:tr>
      <w:tr w14:paraId="27BB1F7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5000" w:type="pct"/>
            <w:tcBorders>
              <w:top w:val="outset" w:color="auto" w:sz="6" w:space="0"/>
              <w:left w:val="outset" w:color="auto" w:sz="6" w:space="0"/>
              <w:bottom w:val="outset" w:color="auto" w:sz="6" w:space="0"/>
              <w:right w:val="outset" w:color="auto" w:sz="6" w:space="0"/>
            </w:tcBorders>
            <w:vAlign w:val="center"/>
          </w:tcPr>
          <w:p w14:paraId="1956CE68">
            <w:pPr>
              <w:keepNext w:val="0"/>
              <w:keepLines w:val="0"/>
              <w:widowControl w:val="0"/>
              <w:suppressLineNumbers w:val="0"/>
              <w:shd w:val="clear" w:color="auto" w:fill="FFFFFF"/>
              <w:spacing w:before="0" w:beforeAutospacing="0" w:after="0" w:afterAutospacing="0" w:line="360" w:lineRule="auto"/>
              <w:ind w:left="0" w:right="0" w:firstLine="0" w:firstLineChars="0"/>
              <w:rPr>
                <w:rFonts w:hint="eastAsia" w:ascii="宋体" w:hAnsi="宋体" w:eastAsia="宋体" w:cs="宋体"/>
                <w:b/>
                <w:bCs/>
                <w:color w:val="auto"/>
                <w:kern w:val="0"/>
                <w:sz w:val="24"/>
                <w:szCs w:val="24"/>
                <w:highlight w:val="none"/>
              </w:rPr>
            </w:pPr>
            <w:r>
              <w:rPr>
                <w:rFonts w:hint="eastAsia" w:ascii="宋体" w:hAnsi="宋体" w:eastAsia="宋体" w:cs="宋体"/>
                <w:b/>
                <w:bCs w:val="0"/>
                <w:color w:val="auto"/>
                <w:kern w:val="0"/>
                <w:sz w:val="24"/>
                <w:szCs w:val="24"/>
                <w:highlight w:val="none"/>
                <w:shd w:val="clear" w:fill="FFFFFF"/>
                <w:lang w:val="en-US" w:eastAsia="zh-CN" w:bidi="ar"/>
              </w:rPr>
              <w:t>★4、我司承诺：</w:t>
            </w:r>
            <w:r>
              <w:rPr>
                <w:rFonts w:hint="eastAsia" w:ascii="宋体" w:hAnsi="宋体" w:eastAsia="宋体" w:cs="宋体"/>
                <w:b/>
                <w:bCs/>
                <w:color w:val="auto"/>
                <w:sz w:val="24"/>
                <w:szCs w:val="24"/>
                <w:highlight w:val="none"/>
                <w:lang w:val="zh-CN" w:bidi="zh-CN"/>
              </w:rPr>
              <w:t>承诺函</w:t>
            </w:r>
            <w:r>
              <w:rPr>
                <w:rFonts w:hint="eastAsia" w:ascii="宋体" w:hAnsi="宋体" w:eastAsia="宋体" w:cs="宋体"/>
                <w:b/>
                <w:bCs/>
                <w:color w:val="auto"/>
                <w:sz w:val="24"/>
                <w:szCs w:val="24"/>
                <w:highlight w:val="none"/>
                <w:lang w:val="en-US" w:bidi="zh-CN"/>
              </w:rPr>
              <w:t>详见征集文件。</w:t>
            </w:r>
          </w:p>
        </w:tc>
      </w:tr>
      <w:tr w14:paraId="1948B10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5000" w:type="pct"/>
            <w:tcBorders>
              <w:top w:val="outset" w:color="auto" w:sz="6" w:space="0"/>
              <w:left w:val="outset" w:color="auto" w:sz="6" w:space="0"/>
              <w:bottom w:val="outset" w:color="auto" w:sz="6" w:space="0"/>
              <w:right w:val="outset" w:color="auto" w:sz="6" w:space="0"/>
            </w:tcBorders>
            <w:vAlign w:val="center"/>
          </w:tcPr>
          <w:p w14:paraId="21C4EB77">
            <w:pPr>
              <w:keepNext w:val="0"/>
              <w:keepLines w:val="0"/>
              <w:widowControl/>
              <w:suppressLineNumbers w:val="0"/>
              <w:shd w:val="clear" w:color="auto" w:fill="FFFFFF"/>
              <w:spacing w:before="0" w:beforeAutospacing="0" w:after="0" w:afterAutospacing="0" w:line="360" w:lineRule="auto"/>
              <w:ind w:left="0" w:right="0" w:firstLine="0" w:firstLineChars="0"/>
              <w:rPr>
                <w:rFonts w:hint="default"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SA"/>
              </w:rPr>
              <w:t>★</w:t>
            </w:r>
            <w:r>
              <w:rPr>
                <w:rFonts w:hint="default" w:ascii="宋体" w:hAnsi="宋体" w:cs="宋体"/>
                <w:b/>
                <w:bCs/>
                <w:color w:val="auto"/>
                <w:kern w:val="0"/>
                <w:sz w:val="24"/>
                <w:szCs w:val="24"/>
                <w:highlight w:val="none"/>
                <w:lang w:eastAsia="zh-CN" w:bidi="ar-SA"/>
              </w:rPr>
              <w:t>5</w:t>
            </w:r>
            <w:r>
              <w:rPr>
                <w:rFonts w:hint="eastAsia" w:ascii="宋体" w:hAnsi="宋体" w:eastAsia="宋体" w:cs="宋体"/>
                <w:b/>
                <w:bCs/>
                <w:color w:val="auto"/>
                <w:kern w:val="0"/>
                <w:sz w:val="24"/>
                <w:szCs w:val="24"/>
                <w:highlight w:val="none"/>
                <w:lang w:val="en-US" w:eastAsia="zh-CN" w:bidi="ar-SA"/>
              </w:rPr>
              <w:t>.1投标人应提供所投标设备的品牌、型号及主要技术参数、性能说明及功能介绍。</w:t>
            </w:r>
          </w:p>
        </w:tc>
      </w:tr>
      <w:tr w14:paraId="42587E6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5000" w:type="pct"/>
            <w:tcBorders>
              <w:top w:val="single" w:color="auto" w:sz="4" w:space="0"/>
              <w:left w:val="single" w:color="auto" w:sz="4" w:space="0"/>
              <w:bottom w:val="single" w:color="auto" w:sz="4" w:space="0"/>
              <w:right w:val="single" w:color="auto" w:sz="4" w:space="0"/>
            </w:tcBorders>
            <w:vAlign w:val="center"/>
          </w:tcPr>
          <w:p w14:paraId="648E5A38">
            <w:pPr>
              <w:keepNext w:val="0"/>
              <w:keepLines w:val="0"/>
              <w:widowControl/>
              <w:suppressLineNumbers w:val="0"/>
              <w:shd w:val="clear" w:color="auto" w:fill="FFFFFF"/>
              <w:spacing w:before="0" w:beforeAutospacing="0" w:after="0" w:afterAutospacing="0" w:line="360" w:lineRule="auto"/>
              <w:ind w:left="0" w:right="0"/>
              <w:jc w:val="left"/>
              <w:rPr>
                <w:rFonts w:hint="default" w:ascii="宋体" w:hAnsi="宋体" w:eastAsia="宋体" w:cs="宋体"/>
                <w:b/>
                <w:bCs/>
                <w:color w:val="auto"/>
                <w:kern w:val="2"/>
                <w:sz w:val="24"/>
                <w:szCs w:val="24"/>
                <w:highlight w:val="none"/>
                <w:lang w:eastAsia="zh-CN"/>
              </w:rPr>
            </w:pPr>
            <w:r>
              <w:rPr>
                <w:rFonts w:hint="eastAsia" w:ascii="宋体" w:hAnsi="宋体" w:eastAsia="宋体" w:cs="宋体"/>
                <w:b/>
                <w:bCs/>
                <w:color w:val="auto"/>
                <w:kern w:val="0"/>
                <w:sz w:val="24"/>
                <w:szCs w:val="24"/>
                <w:highlight w:val="none"/>
                <w:lang w:val="en-US" w:eastAsia="zh-CN" w:bidi="ar-SA"/>
              </w:rPr>
              <w:t>★</w:t>
            </w:r>
            <w:r>
              <w:rPr>
                <w:rFonts w:hint="default" w:ascii="宋体" w:hAnsi="宋体" w:cs="宋体"/>
                <w:b/>
                <w:bCs/>
                <w:color w:val="auto"/>
                <w:kern w:val="0"/>
                <w:sz w:val="24"/>
                <w:szCs w:val="24"/>
                <w:highlight w:val="none"/>
                <w:lang w:eastAsia="zh-CN" w:bidi="ar-SA"/>
              </w:rPr>
              <w:t>5</w:t>
            </w:r>
            <w:r>
              <w:rPr>
                <w:rFonts w:hint="eastAsia" w:ascii="宋体" w:hAnsi="宋体" w:eastAsia="宋体" w:cs="宋体"/>
                <w:b/>
                <w:bCs/>
                <w:color w:val="auto"/>
                <w:kern w:val="0"/>
                <w:sz w:val="24"/>
                <w:szCs w:val="24"/>
                <w:highlight w:val="none"/>
                <w:lang w:val="en-US" w:eastAsia="zh-CN" w:bidi="ar-SA"/>
              </w:rPr>
              <w:t>.9、投标人需作出书面承诺并提供书面承诺函（格式自拟，加盖投标人公章）：投标报价的产品为全新的、未使用过的、且不存在任何权利瑕疵或质量瑕疵的原厂正品。</w:t>
            </w:r>
          </w:p>
        </w:tc>
      </w:tr>
      <w:tr w14:paraId="23FB16C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5000" w:type="pct"/>
            <w:tcBorders>
              <w:top w:val="outset" w:color="auto" w:sz="6" w:space="0"/>
              <w:left w:val="outset" w:color="auto" w:sz="6" w:space="0"/>
              <w:bottom w:val="outset" w:color="auto" w:sz="6" w:space="0"/>
              <w:right w:val="outset" w:color="auto" w:sz="6" w:space="0"/>
            </w:tcBorders>
            <w:vAlign w:val="center"/>
          </w:tcPr>
          <w:p w14:paraId="1F523A5D">
            <w:pPr>
              <w:pStyle w:val="13"/>
              <w:keepNext w:val="0"/>
              <w:keepLines w:val="0"/>
              <w:suppressLineNumbers w:val="0"/>
              <w:shd w:val="clear" w:color="auto" w:fill="FFFFFF"/>
              <w:spacing w:before="0" w:beforeAutospacing="0" w:after="0" w:afterLines="0" w:afterAutospacing="0" w:line="360" w:lineRule="auto"/>
              <w:ind w:left="0" w:right="0" w:firstLine="0" w:firstLineChars="0"/>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w:t>
            </w:r>
            <w:r>
              <w:rPr>
                <w:rFonts w:hint="eastAsia" w:ascii="宋体" w:hAnsi="宋体" w:cs="宋体"/>
                <w:b/>
                <w:bCs/>
                <w:color w:val="auto"/>
                <w:kern w:val="0"/>
                <w:sz w:val="24"/>
                <w:szCs w:val="24"/>
                <w:highlight w:val="none"/>
                <w:lang w:eastAsia="zh-CN" w:bidi="ar-SA"/>
              </w:rPr>
              <w:t>7</w:t>
            </w:r>
            <w:r>
              <w:rPr>
                <w:rFonts w:hint="eastAsia" w:ascii="宋体" w:hAnsi="宋体" w:eastAsia="宋体" w:cs="宋体"/>
                <w:b/>
                <w:bCs/>
                <w:color w:val="auto"/>
                <w:kern w:val="0"/>
                <w:sz w:val="24"/>
                <w:szCs w:val="24"/>
                <w:highlight w:val="none"/>
                <w:lang w:val="en-US" w:eastAsia="zh-CN" w:bidi="ar-SA"/>
              </w:rPr>
              <w:t>、售后服务要求</w:t>
            </w:r>
          </w:p>
          <w:p w14:paraId="2D8F3AFB">
            <w:pPr>
              <w:pStyle w:val="13"/>
              <w:keepNext w:val="0"/>
              <w:keepLines w:val="0"/>
              <w:suppressLineNumbers w:val="0"/>
              <w:shd w:val="clear" w:color="auto"/>
              <w:spacing w:before="0" w:beforeAutospacing="0" w:after="0" w:afterLines="0" w:afterAutospacing="0" w:line="360" w:lineRule="auto"/>
              <w:ind w:left="0" w:right="0" w:firstLine="482" w:firstLineChars="200"/>
              <w:rPr>
                <w:rFonts w:hint="eastAsia" w:ascii="宋体" w:hAnsi="宋体" w:eastAsia="宋体" w:cs="宋体"/>
                <w:b/>
                <w:bCs/>
                <w:color w:val="auto"/>
                <w:kern w:val="0"/>
                <w:sz w:val="24"/>
                <w:szCs w:val="24"/>
                <w:highlight w:val="none"/>
                <w:lang w:val="en-US" w:eastAsia="zh-CN" w:bidi="ar-SA"/>
              </w:rPr>
            </w:pPr>
            <w:r>
              <w:rPr>
                <w:rFonts w:hint="eastAsia" w:ascii="宋体" w:hAnsi="宋体" w:cs="宋体"/>
                <w:b/>
                <w:bCs/>
                <w:color w:val="auto"/>
                <w:kern w:val="0"/>
                <w:sz w:val="24"/>
                <w:szCs w:val="24"/>
                <w:highlight w:val="none"/>
                <w:lang w:eastAsia="zh-CN"/>
              </w:rPr>
              <w:t>7</w:t>
            </w:r>
            <w:r>
              <w:rPr>
                <w:rFonts w:hint="eastAsia" w:ascii="宋体" w:hAnsi="宋体" w:eastAsia="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lang w:val="en-US" w:eastAsia="zh-CN" w:bidi="ar-SA"/>
              </w:rPr>
              <w:t>投标人</w:t>
            </w:r>
            <w:r>
              <w:rPr>
                <w:rFonts w:hint="eastAsia" w:ascii="宋体" w:hAnsi="宋体" w:eastAsia="宋体" w:cs="宋体"/>
                <w:b/>
                <w:bCs/>
                <w:color w:val="auto"/>
                <w:kern w:val="0"/>
                <w:sz w:val="24"/>
                <w:szCs w:val="24"/>
                <w:highlight w:val="none"/>
              </w:rPr>
              <w:t>所投设备自最终验收合格之日</w:t>
            </w:r>
            <w:r>
              <w:rPr>
                <w:rFonts w:hint="eastAsia" w:ascii="宋体" w:hAnsi="宋体" w:eastAsia="宋体" w:cs="宋体"/>
                <w:b/>
                <w:bCs/>
                <w:color w:val="auto"/>
                <w:kern w:val="0"/>
                <w:sz w:val="24"/>
                <w:szCs w:val="24"/>
                <w:highlight w:val="none"/>
                <w:lang w:eastAsia="zh-CN"/>
              </w:rPr>
              <w:t>起</w:t>
            </w:r>
            <w:r>
              <w:rPr>
                <w:rFonts w:hint="eastAsia" w:ascii="宋体" w:hAnsi="宋体" w:eastAsia="宋体" w:cs="宋体"/>
                <w:b/>
                <w:bCs/>
                <w:color w:val="auto"/>
                <w:kern w:val="0"/>
                <w:sz w:val="24"/>
                <w:szCs w:val="24"/>
                <w:highlight w:val="none"/>
              </w:rPr>
              <w:t>在保修期内起应当提供免费上门保修服务，</w:t>
            </w:r>
            <w:r>
              <w:rPr>
                <w:rFonts w:hint="eastAsia" w:ascii="宋体" w:hAnsi="宋体" w:eastAsia="宋体" w:cs="宋体"/>
                <w:b/>
                <w:bCs/>
                <w:color w:val="auto"/>
                <w:kern w:val="0"/>
                <w:sz w:val="24"/>
                <w:szCs w:val="24"/>
                <w:highlight w:val="none"/>
                <w:lang w:val="en-US" w:eastAsia="zh-CN"/>
              </w:rPr>
              <w:t>所投设备</w:t>
            </w:r>
            <w:r>
              <w:rPr>
                <w:rFonts w:hint="eastAsia" w:ascii="宋体" w:hAnsi="宋体" w:eastAsia="宋体" w:cs="宋体"/>
                <w:b/>
                <w:bCs/>
                <w:color w:val="auto"/>
                <w:kern w:val="0"/>
                <w:sz w:val="24"/>
                <w:szCs w:val="24"/>
                <w:highlight w:val="none"/>
              </w:rPr>
              <w:t>至少免费上门保修</w:t>
            </w:r>
            <w:r>
              <w:rPr>
                <w:rFonts w:hint="eastAsia" w:ascii="宋体" w:hAnsi="宋体" w:eastAsia="宋体" w:cs="宋体"/>
                <w:b/>
                <w:bCs/>
                <w:color w:val="auto"/>
                <w:kern w:val="0"/>
                <w:sz w:val="24"/>
                <w:szCs w:val="24"/>
                <w:highlight w:val="none"/>
                <w:lang w:val="en-US" w:eastAsia="zh-CN"/>
              </w:rPr>
              <w:t>六</w:t>
            </w:r>
            <w:r>
              <w:rPr>
                <w:rFonts w:hint="eastAsia" w:ascii="宋体" w:hAnsi="宋体" w:eastAsia="宋体" w:cs="宋体"/>
                <w:b/>
                <w:bCs/>
                <w:color w:val="auto"/>
                <w:kern w:val="0"/>
                <w:sz w:val="24"/>
                <w:szCs w:val="24"/>
                <w:highlight w:val="none"/>
              </w:rPr>
              <w:t>年；至少</w:t>
            </w:r>
            <w:r>
              <w:rPr>
                <w:rFonts w:hint="eastAsia" w:ascii="宋体" w:hAnsi="宋体" w:eastAsia="宋体" w:cs="宋体"/>
                <w:b/>
                <w:bCs/>
                <w:color w:val="auto"/>
                <w:kern w:val="0"/>
                <w:sz w:val="24"/>
                <w:szCs w:val="24"/>
                <w:highlight w:val="none"/>
                <w:lang w:val="en-US" w:eastAsia="zh-CN"/>
              </w:rPr>
              <w:t>六</w:t>
            </w:r>
            <w:r>
              <w:rPr>
                <w:rFonts w:hint="eastAsia" w:ascii="宋体" w:hAnsi="宋体" w:eastAsia="宋体" w:cs="宋体"/>
                <w:b/>
                <w:bCs/>
                <w:color w:val="auto"/>
                <w:kern w:val="0"/>
                <w:sz w:val="24"/>
                <w:szCs w:val="24"/>
                <w:highlight w:val="none"/>
              </w:rPr>
              <w:t>年免费</w:t>
            </w:r>
            <w:r>
              <w:rPr>
                <w:rFonts w:hint="eastAsia" w:ascii="宋体" w:hAnsi="宋体" w:eastAsia="宋体" w:cs="宋体"/>
                <w:b/>
                <w:bCs/>
                <w:color w:val="auto"/>
                <w:spacing w:val="0"/>
                <w:kern w:val="0"/>
                <w:sz w:val="24"/>
                <w:szCs w:val="24"/>
                <w:highlight w:val="none"/>
                <w:lang w:val="en-US" w:eastAsia="zh-CN"/>
              </w:rPr>
              <w:t>软件授权、</w:t>
            </w:r>
            <w:r>
              <w:rPr>
                <w:rFonts w:hint="eastAsia" w:ascii="宋体" w:hAnsi="宋体" w:eastAsia="宋体" w:cs="宋体"/>
                <w:b/>
                <w:bCs/>
                <w:color w:val="auto"/>
                <w:kern w:val="0"/>
                <w:sz w:val="24"/>
                <w:szCs w:val="24"/>
                <w:highlight w:val="none"/>
              </w:rPr>
              <w:t>软件升级及提供免费资源库更新服务。</w:t>
            </w:r>
          </w:p>
          <w:p w14:paraId="0A05EF6E">
            <w:pPr>
              <w:pStyle w:val="13"/>
              <w:keepNext w:val="0"/>
              <w:keepLines w:val="0"/>
              <w:suppressLineNumbers w:val="0"/>
              <w:shd w:val="clear" w:color="auto"/>
              <w:spacing w:before="0" w:beforeAutospacing="0" w:after="0" w:afterLines="0" w:afterAutospacing="0" w:line="360" w:lineRule="auto"/>
              <w:ind w:left="0" w:right="0"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eastAsia="zh-CN" w:bidi="ar-SA"/>
              </w:rPr>
              <w:t>7</w:t>
            </w:r>
            <w:r>
              <w:rPr>
                <w:rFonts w:hint="eastAsia" w:ascii="宋体" w:hAnsi="宋体" w:eastAsia="宋体" w:cs="宋体"/>
                <w:b/>
                <w:bCs/>
                <w:color w:val="auto"/>
                <w:kern w:val="0"/>
                <w:sz w:val="24"/>
                <w:szCs w:val="24"/>
                <w:highlight w:val="none"/>
                <w:lang w:val="en-US" w:eastAsia="zh-CN" w:bidi="ar-SA"/>
              </w:rPr>
              <w:t>.2投标人一旦入围，在接到征集人或最终用户的报修电话，0.5个工作小时内电话响应，4个工作小时内到达，到达后8个工作小时内处理完客户需求；若维修在 8个工作小时内无法修复的，投标人应在24个小时内提供备用机供最终用户使用，直至设备修复。(注:上门服务时间，主要根据最终用户需求而定。假如最终用户需要第二天上门处理的，要根据最终用户时间上门。但是同样的，如果最终用户需要晚上19：30后上门，投标人也要根据最终用户的要求上门。)</w:t>
            </w:r>
            <w:r>
              <w:rPr>
                <w:rFonts w:hint="eastAsia" w:ascii="宋体" w:hAnsi="宋体" w:eastAsia="宋体" w:cs="宋体"/>
                <w:b/>
                <w:bCs/>
                <w:color w:val="auto"/>
                <w:kern w:val="0"/>
                <w:sz w:val="24"/>
                <w:szCs w:val="24"/>
                <w:highlight w:val="none"/>
              </w:rPr>
              <w:t>如果</w:t>
            </w:r>
            <w:r>
              <w:rPr>
                <w:rFonts w:hint="eastAsia" w:ascii="宋体" w:hAnsi="宋体" w:eastAsia="宋体" w:cs="宋体"/>
                <w:b/>
                <w:bCs/>
                <w:color w:val="auto"/>
                <w:kern w:val="0"/>
                <w:sz w:val="24"/>
                <w:szCs w:val="24"/>
                <w:highlight w:val="none"/>
                <w:lang w:val="en-US" w:eastAsia="zh-CN" w:bidi="ar-SA"/>
              </w:rPr>
              <w:t>投标人</w:t>
            </w:r>
            <w:r>
              <w:rPr>
                <w:rFonts w:hint="eastAsia" w:ascii="宋体" w:hAnsi="宋体" w:eastAsia="宋体" w:cs="宋体"/>
                <w:b/>
                <w:bCs/>
                <w:color w:val="auto"/>
                <w:kern w:val="0"/>
                <w:sz w:val="24"/>
                <w:szCs w:val="24"/>
                <w:highlight w:val="none"/>
              </w:rPr>
              <w:t>未在承诺的时间内将设备修复或者提供备用机的则</w:t>
            </w:r>
            <w:r>
              <w:rPr>
                <w:rFonts w:hint="eastAsia" w:ascii="宋体" w:hAnsi="宋体" w:eastAsia="宋体" w:cs="宋体"/>
                <w:b/>
                <w:bCs/>
                <w:color w:val="auto"/>
                <w:kern w:val="0"/>
                <w:sz w:val="24"/>
                <w:szCs w:val="24"/>
                <w:highlight w:val="none"/>
                <w:lang w:val="en-US" w:eastAsia="zh-CN" w:bidi="ar-SA"/>
              </w:rPr>
              <w:t>投标人</w:t>
            </w:r>
            <w:r>
              <w:rPr>
                <w:rFonts w:hint="eastAsia" w:ascii="宋体" w:hAnsi="宋体" w:eastAsia="宋体" w:cs="宋体"/>
                <w:b/>
                <w:bCs/>
                <w:color w:val="auto"/>
                <w:kern w:val="0"/>
                <w:sz w:val="24"/>
                <w:szCs w:val="24"/>
                <w:highlight w:val="none"/>
              </w:rPr>
              <w:t>应按200.00元/台/天向</w:t>
            </w:r>
            <w:r>
              <w:rPr>
                <w:rFonts w:hint="eastAsia" w:ascii="宋体" w:hAnsi="宋体" w:eastAsia="宋体" w:cs="宋体"/>
                <w:b/>
                <w:bCs/>
                <w:color w:val="auto"/>
                <w:kern w:val="0"/>
                <w:sz w:val="24"/>
                <w:szCs w:val="24"/>
                <w:highlight w:val="none"/>
                <w:lang w:eastAsia="zh-CN"/>
              </w:rPr>
              <w:t>征集人</w:t>
            </w:r>
            <w:r>
              <w:rPr>
                <w:rFonts w:hint="eastAsia" w:ascii="宋体" w:hAnsi="宋体" w:eastAsia="宋体" w:cs="宋体"/>
                <w:b/>
                <w:bCs/>
                <w:color w:val="auto"/>
                <w:kern w:val="0"/>
                <w:sz w:val="24"/>
                <w:szCs w:val="24"/>
                <w:highlight w:val="none"/>
              </w:rPr>
              <w:t>支付逾期违约金。</w:t>
            </w:r>
          </w:p>
          <w:p w14:paraId="11BA6559">
            <w:pPr>
              <w:pStyle w:val="13"/>
              <w:keepNext w:val="0"/>
              <w:keepLines w:val="0"/>
              <w:suppressLineNumbers w:val="0"/>
              <w:shd w:val="clear" w:color="auto"/>
              <w:spacing w:before="0" w:beforeAutospacing="0" w:after="0" w:afterLines="0" w:afterAutospacing="0" w:line="360" w:lineRule="auto"/>
              <w:ind w:left="0" w:right="0" w:firstLine="482" w:firstLineChars="200"/>
              <w:rPr>
                <w:rFonts w:hint="eastAsia" w:ascii="宋体" w:hAnsi="宋体" w:eastAsia="宋体" w:cs="宋体"/>
                <w:b/>
                <w:bCs/>
                <w:color w:val="auto"/>
                <w:kern w:val="0"/>
                <w:sz w:val="24"/>
                <w:szCs w:val="24"/>
                <w:highlight w:val="none"/>
              </w:rPr>
            </w:pPr>
            <w:r>
              <w:rPr>
                <w:rFonts w:hint="default" w:ascii="宋体" w:hAnsi="宋体" w:cs="宋体"/>
                <w:b/>
                <w:bCs/>
                <w:color w:val="auto"/>
                <w:kern w:val="0"/>
                <w:sz w:val="24"/>
                <w:szCs w:val="24"/>
                <w:highlight w:val="none"/>
                <w:lang w:eastAsia="zh-CN"/>
              </w:rPr>
              <w:t>7</w:t>
            </w: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实施安装验收标准</w:t>
            </w:r>
          </w:p>
          <w:p w14:paraId="53907BBE">
            <w:pPr>
              <w:pStyle w:val="13"/>
              <w:keepNext w:val="0"/>
              <w:keepLines w:val="0"/>
              <w:suppressLineNumbers w:val="0"/>
              <w:shd w:val="clear" w:color="auto"/>
              <w:spacing w:before="0" w:beforeAutospacing="0" w:after="0" w:afterLines="0" w:afterAutospacing="0" w:line="360" w:lineRule="auto"/>
              <w:ind w:left="0" w:right="0" w:firstLine="482" w:firstLineChars="200"/>
              <w:rPr>
                <w:rFonts w:hint="eastAsia" w:ascii="宋体" w:hAnsi="宋体" w:eastAsia="宋体" w:cs="宋体"/>
                <w:b/>
                <w:bCs/>
                <w:color w:val="auto"/>
                <w:kern w:val="0"/>
                <w:sz w:val="24"/>
                <w:szCs w:val="24"/>
                <w:highlight w:val="none"/>
              </w:rPr>
            </w:pPr>
            <w:r>
              <w:rPr>
                <w:rFonts w:hint="default" w:ascii="宋体" w:hAnsi="宋体" w:cs="宋体"/>
                <w:b/>
                <w:bCs/>
                <w:color w:val="auto"/>
                <w:kern w:val="0"/>
                <w:sz w:val="24"/>
                <w:szCs w:val="24"/>
                <w:highlight w:val="none"/>
                <w:lang w:eastAsia="zh-CN"/>
              </w:rPr>
              <w:t>7</w:t>
            </w: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.1触控一体机</w:t>
            </w:r>
            <w:r>
              <w:rPr>
                <w:rFonts w:hint="eastAsia" w:ascii="宋体" w:hAnsi="宋体" w:cs="宋体"/>
                <w:b/>
                <w:bCs/>
                <w:color w:val="auto"/>
                <w:kern w:val="0"/>
                <w:sz w:val="24"/>
                <w:szCs w:val="24"/>
                <w:highlight w:val="none"/>
                <w:lang w:val="en-US" w:eastAsia="zh-CN"/>
              </w:rPr>
              <w:t>/智慧黑板</w:t>
            </w:r>
            <w:r>
              <w:rPr>
                <w:rFonts w:hint="eastAsia" w:ascii="宋体" w:hAnsi="宋体" w:eastAsia="宋体" w:cs="宋体"/>
                <w:b/>
                <w:bCs/>
                <w:color w:val="auto"/>
                <w:kern w:val="0"/>
                <w:sz w:val="24"/>
                <w:szCs w:val="24"/>
                <w:highlight w:val="none"/>
              </w:rPr>
              <w:t>实施安装验收标准</w:t>
            </w:r>
          </w:p>
          <w:p w14:paraId="6FF29FD1">
            <w:pPr>
              <w:pStyle w:val="13"/>
              <w:keepNext w:val="0"/>
              <w:keepLines w:val="0"/>
              <w:suppressLineNumbers w:val="0"/>
              <w:shd w:val="clear" w:color="auto"/>
              <w:spacing w:before="0" w:beforeAutospacing="0" w:after="0" w:afterLines="0" w:afterAutospacing="0" w:line="360" w:lineRule="auto"/>
              <w:ind w:left="0" w:right="0" w:firstLine="482" w:firstLineChars="200"/>
              <w:rPr>
                <w:rFonts w:hint="eastAsia" w:ascii="宋体" w:hAnsi="宋体" w:eastAsia="宋体" w:cs="宋体"/>
                <w:b/>
                <w:bCs/>
                <w:color w:val="auto"/>
                <w:kern w:val="0"/>
                <w:sz w:val="24"/>
                <w:szCs w:val="24"/>
                <w:highlight w:val="none"/>
                <w:lang w:val="en-US" w:eastAsia="zh-CN"/>
              </w:rPr>
            </w:pPr>
            <w:r>
              <w:rPr>
                <w:rFonts w:hint="default" w:ascii="宋体" w:hAnsi="宋体" w:cs="宋体"/>
                <w:b/>
                <w:bCs/>
                <w:color w:val="auto"/>
                <w:kern w:val="0"/>
                <w:sz w:val="24"/>
                <w:szCs w:val="24"/>
                <w:highlight w:val="none"/>
                <w:lang w:eastAsia="zh-CN"/>
              </w:rPr>
              <w:t>7</w:t>
            </w:r>
            <w:r>
              <w:rPr>
                <w:rFonts w:hint="eastAsia" w:ascii="宋体" w:hAnsi="宋体" w:eastAsia="宋体" w:cs="宋体"/>
                <w:b/>
                <w:bCs/>
                <w:color w:val="auto"/>
                <w:kern w:val="0"/>
                <w:sz w:val="24"/>
                <w:szCs w:val="24"/>
                <w:highlight w:val="none"/>
                <w:lang w:val="en-US" w:eastAsia="zh-CN"/>
              </w:rPr>
              <w:t>.3.1.1在安装前应确认安装环境，教室若有旧投影机或旧触控一体机</w:t>
            </w:r>
            <w:r>
              <w:rPr>
                <w:rFonts w:hint="eastAsia" w:ascii="宋体" w:hAnsi="宋体" w:cs="宋体"/>
                <w:b/>
                <w:bCs/>
                <w:color w:val="auto"/>
                <w:kern w:val="0"/>
                <w:sz w:val="24"/>
                <w:szCs w:val="24"/>
                <w:highlight w:val="none"/>
                <w:lang w:val="en-US" w:eastAsia="zh-CN"/>
              </w:rPr>
              <w:t>或旧智慧黑板</w:t>
            </w:r>
            <w:r>
              <w:rPr>
                <w:rFonts w:hint="eastAsia" w:ascii="宋体" w:hAnsi="宋体" w:eastAsia="宋体" w:cs="宋体"/>
                <w:b/>
                <w:bCs/>
                <w:color w:val="auto"/>
                <w:kern w:val="0"/>
                <w:sz w:val="24"/>
                <w:szCs w:val="24"/>
                <w:highlight w:val="none"/>
                <w:lang w:val="en-US" w:eastAsia="zh-CN"/>
              </w:rPr>
              <w:t>以及配套的旧投影幕布、旧黑板、旧讲台、旧音响设备、旧功放设备、旧电脑主机及显示器、旧话筒及话筒主机设备、旧中控设备、旧实物展台等设备，经最终用户确认需要拆除，需免费协助客户拆除并运输至最终用户指定的位置。拆除的旧设备最终用户需要利旧并在新的位置安装，需免费协助客户在新的位置安装需要利旧的设备，并提供安装所需的所有辅材。</w:t>
            </w:r>
          </w:p>
          <w:p w14:paraId="698D74F8">
            <w:pPr>
              <w:pStyle w:val="13"/>
              <w:keepNext w:val="0"/>
              <w:keepLines w:val="0"/>
              <w:suppressLineNumbers w:val="0"/>
              <w:shd w:val="clear" w:color="auto"/>
              <w:spacing w:before="0" w:beforeAutospacing="0" w:after="0" w:afterLines="0" w:afterAutospacing="0" w:line="360" w:lineRule="auto"/>
              <w:ind w:left="0" w:right="0" w:firstLine="482" w:firstLineChars="200"/>
              <w:rPr>
                <w:rFonts w:hint="eastAsia" w:ascii="宋体" w:hAnsi="宋体" w:eastAsia="宋体" w:cs="宋体"/>
                <w:b/>
                <w:bCs/>
                <w:color w:val="auto"/>
                <w:kern w:val="0"/>
                <w:sz w:val="24"/>
                <w:szCs w:val="24"/>
                <w:highlight w:val="none"/>
              </w:rPr>
            </w:pPr>
            <w:r>
              <w:rPr>
                <w:rFonts w:hint="default" w:ascii="宋体" w:hAnsi="宋体" w:cs="宋体"/>
                <w:b/>
                <w:bCs/>
                <w:color w:val="auto"/>
                <w:kern w:val="0"/>
                <w:sz w:val="24"/>
                <w:szCs w:val="24"/>
                <w:highlight w:val="none"/>
                <w:lang w:eastAsia="zh-CN"/>
              </w:rPr>
              <w:t>7</w:t>
            </w: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采用壁挂支架固定触控一体机</w:t>
            </w:r>
            <w:r>
              <w:rPr>
                <w:rFonts w:hint="eastAsia" w:ascii="宋体" w:hAnsi="宋体" w:cs="宋体"/>
                <w:b/>
                <w:bCs/>
                <w:color w:val="auto"/>
                <w:kern w:val="0"/>
                <w:sz w:val="24"/>
                <w:szCs w:val="24"/>
                <w:highlight w:val="none"/>
                <w:lang w:val="en-US" w:eastAsia="zh-CN"/>
              </w:rPr>
              <w:t>/智慧黑板</w:t>
            </w:r>
            <w:r>
              <w:rPr>
                <w:rFonts w:hint="eastAsia" w:ascii="宋体" w:hAnsi="宋体" w:eastAsia="宋体" w:cs="宋体"/>
                <w:b/>
                <w:bCs/>
                <w:color w:val="auto"/>
                <w:kern w:val="0"/>
                <w:sz w:val="24"/>
                <w:szCs w:val="24"/>
                <w:highlight w:val="none"/>
              </w:rPr>
              <w:t>时，要求提供至少4个受力性能在240KG以上的膨胀螺栓进行固定支架，触控一体机</w:t>
            </w:r>
            <w:r>
              <w:rPr>
                <w:rFonts w:hint="eastAsia" w:ascii="宋体" w:hAnsi="宋体" w:cs="宋体"/>
                <w:b/>
                <w:bCs/>
                <w:color w:val="auto"/>
                <w:kern w:val="0"/>
                <w:sz w:val="24"/>
                <w:szCs w:val="24"/>
                <w:highlight w:val="none"/>
                <w:lang w:val="en-US" w:eastAsia="zh-CN"/>
              </w:rPr>
              <w:t>/智慧黑板</w:t>
            </w:r>
            <w:r>
              <w:rPr>
                <w:rFonts w:hint="eastAsia" w:ascii="宋体" w:hAnsi="宋体" w:eastAsia="宋体" w:cs="宋体"/>
                <w:b/>
                <w:bCs/>
                <w:color w:val="auto"/>
                <w:kern w:val="0"/>
                <w:sz w:val="24"/>
                <w:szCs w:val="24"/>
                <w:highlight w:val="none"/>
              </w:rPr>
              <w:t>安装至墙面时要求稳定，不晃动，且与地面保持平行。安装完成后要求提供现场图片，并编入验收报告中。</w:t>
            </w:r>
          </w:p>
          <w:p w14:paraId="4C2FC700">
            <w:pPr>
              <w:pStyle w:val="13"/>
              <w:keepNext w:val="0"/>
              <w:keepLines w:val="0"/>
              <w:suppressLineNumbers w:val="0"/>
              <w:shd w:val="clear" w:color="auto"/>
              <w:spacing w:before="0" w:beforeAutospacing="0" w:after="0" w:afterLines="0" w:afterAutospacing="0" w:line="360" w:lineRule="auto"/>
              <w:ind w:left="0" w:right="0" w:firstLine="482" w:firstLineChars="200"/>
              <w:rPr>
                <w:rFonts w:hint="eastAsia" w:ascii="宋体" w:hAnsi="宋体" w:eastAsia="宋体" w:cs="宋体"/>
                <w:b/>
                <w:bCs/>
                <w:color w:val="auto"/>
                <w:kern w:val="0"/>
                <w:sz w:val="24"/>
                <w:szCs w:val="24"/>
                <w:highlight w:val="none"/>
              </w:rPr>
            </w:pPr>
            <w:r>
              <w:rPr>
                <w:rFonts w:hint="default" w:ascii="宋体" w:hAnsi="宋体" w:cs="宋体"/>
                <w:b/>
                <w:bCs/>
                <w:color w:val="auto"/>
                <w:kern w:val="0"/>
                <w:sz w:val="24"/>
                <w:szCs w:val="24"/>
                <w:highlight w:val="none"/>
                <w:lang w:eastAsia="zh-CN"/>
              </w:rPr>
              <w:t>7</w:t>
            </w: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与触控一体机</w:t>
            </w:r>
            <w:r>
              <w:rPr>
                <w:rFonts w:hint="eastAsia" w:ascii="宋体" w:hAnsi="宋体" w:cs="宋体"/>
                <w:b/>
                <w:bCs/>
                <w:color w:val="auto"/>
                <w:kern w:val="0"/>
                <w:sz w:val="24"/>
                <w:szCs w:val="24"/>
                <w:highlight w:val="none"/>
                <w:lang w:val="en-US" w:eastAsia="zh-CN"/>
              </w:rPr>
              <w:t>/智慧黑板</w:t>
            </w:r>
            <w:r>
              <w:rPr>
                <w:rFonts w:hint="eastAsia" w:ascii="宋体" w:hAnsi="宋体" w:eastAsia="宋体" w:cs="宋体"/>
                <w:b/>
                <w:bCs/>
                <w:color w:val="auto"/>
                <w:kern w:val="0"/>
                <w:sz w:val="24"/>
                <w:szCs w:val="24"/>
                <w:highlight w:val="none"/>
              </w:rPr>
              <w:t>连接的线缆如网线、VGA线、电源线、USB线等，不允许出现裸线悬挂的情况，要求使用线槽进行收敛。安装完成后要求提供现场图片，并编入验收报告中。</w:t>
            </w:r>
          </w:p>
          <w:p w14:paraId="38825A50">
            <w:pPr>
              <w:pStyle w:val="13"/>
              <w:keepNext w:val="0"/>
              <w:keepLines w:val="0"/>
              <w:suppressLineNumbers w:val="0"/>
              <w:shd w:val="clear" w:color="auto"/>
              <w:spacing w:before="0" w:beforeAutospacing="0" w:after="0" w:afterLines="0" w:afterAutospacing="0" w:line="360" w:lineRule="auto"/>
              <w:ind w:left="0" w:right="0" w:firstLine="482" w:firstLineChars="200"/>
              <w:rPr>
                <w:rFonts w:hint="eastAsia" w:ascii="宋体" w:hAnsi="宋体" w:eastAsia="宋体" w:cs="宋体"/>
                <w:b/>
                <w:bCs/>
                <w:color w:val="auto"/>
                <w:kern w:val="0"/>
                <w:sz w:val="24"/>
                <w:szCs w:val="24"/>
                <w:highlight w:val="none"/>
              </w:rPr>
            </w:pPr>
            <w:r>
              <w:rPr>
                <w:rFonts w:hint="default" w:ascii="宋体" w:hAnsi="宋体" w:cs="宋体"/>
                <w:b/>
                <w:bCs/>
                <w:color w:val="auto"/>
                <w:kern w:val="0"/>
                <w:sz w:val="24"/>
                <w:szCs w:val="24"/>
                <w:highlight w:val="none"/>
                <w:lang w:eastAsia="zh-CN"/>
              </w:rPr>
              <w:t>7</w:t>
            </w: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4触控一体机</w:t>
            </w:r>
            <w:r>
              <w:rPr>
                <w:rFonts w:hint="eastAsia" w:ascii="宋体" w:hAnsi="宋体" w:cs="宋体"/>
                <w:b/>
                <w:bCs/>
                <w:color w:val="auto"/>
                <w:kern w:val="0"/>
                <w:sz w:val="24"/>
                <w:szCs w:val="24"/>
                <w:highlight w:val="none"/>
                <w:lang w:val="en-US" w:eastAsia="zh-CN"/>
              </w:rPr>
              <w:t>/智慧黑板</w:t>
            </w:r>
            <w:r>
              <w:rPr>
                <w:rFonts w:hint="eastAsia" w:ascii="宋体" w:hAnsi="宋体" w:eastAsia="宋体" w:cs="宋体"/>
                <w:b/>
                <w:bCs/>
                <w:color w:val="auto"/>
                <w:kern w:val="0"/>
                <w:sz w:val="24"/>
                <w:szCs w:val="24"/>
                <w:highlight w:val="none"/>
                <w:lang w:val="en-US" w:eastAsia="zh-CN"/>
              </w:rPr>
              <w:t>配置的插拔式模块化电脑要求安装正版</w:t>
            </w:r>
            <w:r>
              <w:rPr>
                <w:rFonts w:hint="eastAsia" w:ascii="宋体" w:hAnsi="宋体" w:eastAsia="宋体" w:cs="宋体"/>
                <w:b/>
                <w:bCs/>
                <w:i w:val="0"/>
                <w:iCs w:val="0"/>
                <w:color w:val="auto"/>
                <w:kern w:val="0"/>
                <w:sz w:val="24"/>
                <w:szCs w:val="24"/>
                <w:highlight w:val="none"/>
                <w:u w:val="none"/>
                <w:lang w:val="en-US" w:eastAsia="zh-CN" w:bidi="ar-SA"/>
              </w:rPr>
              <w:t>符合安全可靠测评要求的</w:t>
            </w:r>
            <w:r>
              <w:rPr>
                <w:rFonts w:hint="eastAsia" w:ascii="宋体" w:hAnsi="宋体" w:eastAsia="宋体" w:cs="宋体"/>
                <w:b/>
                <w:bCs/>
                <w:color w:val="auto"/>
                <w:kern w:val="0"/>
                <w:sz w:val="24"/>
                <w:szCs w:val="24"/>
                <w:highlight w:val="none"/>
                <w:lang w:val="en-US" w:eastAsia="zh-CN"/>
              </w:rPr>
              <w:t>操作系统并激活。在操作系统中要求安装触控一体机</w:t>
            </w:r>
            <w:r>
              <w:rPr>
                <w:rFonts w:hint="eastAsia" w:ascii="宋体" w:hAnsi="宋体" w:cs="宋体"/>
                <w:b/>
                <w:bCs/>
                <w:color w:val="auto"/>
                <w:kern w:val="0"/>
                <w:sz w:val="24"/>
                <w:szCs w:val="24"/>
                <w:highlight w:val="none"/>
                <w:lang w:val="en-US" w:eastAsia="zh-CN"/>
              </w:rPr>
              <w:t>/智慧黑板</w:t>
            </w:r>
            <w:r>
              <w:rPr>
                <w:rFonts w:hint="eastAsia" w:ascii="宋体" w:hAnsi="宋体" w:eastAsia="宋体" w:cs="宋体"/>
                <w:b/>
                <w:bCs/>
                <w:color w:val="auto"/>
                <w:kern w:val="0"/>
                <w:sz w:val="24"/>
                <w:szCs w:val="24"/>
                <w:highlight w:val="none"/>
                <w:lang w:val="en-US" w:eastAsia="zh-CN"/>
              </w:rPr>
              <w:t>配套的软件，软件包含但不限于白板软件、集中管理软件等，要求所安装的软件可以正常运行。</w:t>
            </w:r>
          </w:p>
          <w:p w14:paraId="15CA20A2">
            <w:pPr>
              <w:pStyle w:val="13"/>
              <w:keepNext w:val="0"/>
              <w:keepLines w:val="0"/>
              <w:suppressLineNumbers w:val="0"/>
              <w:shd w:val="clear" w:color="auto"/>
              <w:spacing w:before="0" w:beforeAutospacing="0" w:after="0" w:afterLines="0" w:afterAutospacing="0" w:line="360" w:lineRule="auto"/>
              <w:ind w:left="0" w:right="0" w:firstLine="482" w:firstLineChars="200"/>
              <w:rPr>
                <w:rFonts w:hint="eastAsia" w:ascii="宋体" w:hAnsi="宋体" w:eastAsia="宋体" w:cs="宋体"/>
                <w:b/>
                <w:bCs/>
                <w:color w:val="auto"/>
                <w:kern w:val="0"/>
                <w:sz w:val="24"/>
                <w:szCs w:val="24"/>
                <w:highlight w:val="none"/>
              </w:rPr>
            </w:pPr>
            <w:r>
              <w:rPr>
                <w:rFonts w:hint="default" w:ascii="宋体" w:hAnsi="宋体" w:cs="宋体"/>
                <w:b/>
                <w:bCs/>
                <w:color w:val="auto"/>
                <w:kern w:val="0"/>
                <w:sz w:val="24"/>
                <w:szCs w:val="24"/>
                <w:highlight w:val="none"/>
                <w:lang w:eastAsia="zh-CN"/>
              </w:rPr>
              <w:t>7</w:t>
            </w: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触控一体机</w:t>
            </w:r>
            <w:r>
              <w:rPr>
                <w:rFonts w:hint="eastAsia" w:ascii="宋体" w:hAnsi="宋体" w:cs="宋体"/>
                <w:b/>
                <w:bCs/>
                <w:color w:val="auto"/>
                <w:kern w:val="0"/>
                <w:sz w:val="24"/>
                <w:szCs w:val="24"/>
                <w:highlight w:val="none"/>
                <w:lang w:val="en-US" w:eastAsia="zh-CN"/>
              </w:rPr>
              <w:t>/智慧黑板</w:t>
            </w:r>
            <w:r>
              <w:rPr>
                <w:rFonts w:hint="eastAsia" w:ascii="宋体" w:hAnsi="宋体" w:eastAsia="宋体" w:cs="宋体"/>
                <w:b/>
                <w:bCs/>
                <w:color w:val="auto"/>
                <w:kern w:val="0"/>
                <w:sz w:val="24"/>
                <w:szCs w:val="24"/>
                <w:highlight w:val="none"/>
              </w:rPr>
              <w:t>安装完成后，需要进行WIFI模块、风扇、主机运行情况的检查，要求WIFI模块能够正常连接无线信号；要求风扇运行无异常声响；要求主机运行过程无卡顿、死机和重启的现象。</w:t>
            </w:r>
          </w:p>
          <w:p w14:paraId="4604F421">
            <w:pPr>
              <w:pStyle w:val="13"/>
              <w:keepNext w:val="0"/>
              <w:keepLines w:val="0"/>
              <w:suppressLineNumbers w:val="0"/>
              <w:shd w:val="clear" w:color="auto"/>
              <w:spacing w:before="0" w:beforeAutospacing="0" w:after="0" w:afterLines="0" w:afterAutospacing="0" w:line="360" w:lineRule="auto"/>
              <w:ind w:left="0" w:right="0" w:firstLine="482" w:firstLineChars="200"/>
              <w:rPr>
                <w:rFonts w:hint="eastAsia" w:ascii="宋体" w:hAnsi="宋体" w:eastAsia="宋体" w:cs="宋体"/>
                <w:b/>
                <w:bCs/>
                <w:color w:val="auto"/>
                <w:kern w:val="0"/>
                <w:sz w:val="24"/>
                <w:szCs w:val="24"/>
                <w:highlight w:val="none"/>
              </w:rPr>
            </w:pPr>
            <w:r>
              <w:rPr>
                <w:rFonts w:hint="default" w:ascii="宋体" w:hAnsi="宋体" w:cs="宋体"/>
                <w:b/>
                <w:bCs/>
                <w:color w:val="auto"/>
                <w:kern w:val="0"/>
                <w:sz w:val="24"/>
                <w:szCs w:val="24"/>
                <w:highlight w:val="none"/>
                <w:lang w:eastAsia="zh-CN"/>
              </w:rPr>
              <w:t>7</w:t>
            </w: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6</w:t>
            </w:r>
            <w:r>
              <w:rPr>
                <w:rFonts w:hint="eastAsia" w:ascii="宋体" w:hAnsi="宋体" w:eastAsia="宋体" w:cs="宋体"/>
                <w:b/>
                <w:bCs/>
                <w:color w:val="auto"/>
                <w:kern w:val="0"/>
                <w:sz w:val="24"/>
                <w:szCs w:val="24"/>
                <w:highlight w:val="none"/>
              </w:rPr>
              <w:t>要求触控一体机</w:t>
            </w:r>
            <w:r>
              <w:rPr>
                <w:rFonts w:hint="eastAsia" w:ascii="宋体" w:hAnsi="宋体" w:cs="宋体"/>
                <w:b/>
                <w:bCs/>
                <w:color w:val="auto"/>
                <w:kern w:val="0"/>
                <w:sz w:val="24"/>
                <w:szCs w:val="24"/>
                <w:highlight w:val="none"/>
                <w:lang w:val="en-US" w:eastAsia="zh-CN"/>
              </w:rPr>
              <w:t>/智慧黑板</w:t>
            </w:r>
            <w:r>
              <w:rPr>
                <w:rFonts w:hint="eastAsia" w:ascii="宋体" w:hAnsi="宋体" w:eastAsia="宋体" w:cs="宋体"/>
                <w:b/>
                <w:bCs/>
                <w:color w:val="auto"/>
                <w:kern w:val="0"/>
                <w:sz w:val="24"/>
                <w:szCs w:val="24"/>
                <w:highlight w:val="none"/>
              </w:rPr>
              <w:t>外观完好，液晶屏表面不允许有划痕；触控一体机</w:t>
            </w:r>
            <w:r>
              <w:rPr>
                <w:rFonts w:hint="eastAsia" w:ascii="宋体" w:hAnsi="宋体" w:cs="宋体"/>
                <w:b/>
                <w:bCs/>
                <w:color w:val="auto"/>
                <w:kern w:val="0"/>
                <w:sz w:val="24"/>
                <w:szCs w:val="24"/>
                <w:highlight w:val="none"/>
                <w:lang w:val="en-US" w:eastAsia="zh-CN"/>
              </w:rPr>
              <w:t>/智慧黑板</w:t>
            </w:r>
            <w:r>
              <w:rPr>
                <w:rFonts w:hint="eastAsia" w:ascii="宋体" w:hAnsi="宋体" w:eastAsia="宋体" w:cs="宋体"/>
                <w:b/>
                <w:bCs/>
                <w:color w:val="auto"/>
                <w:kern w:val="0"/>
                <w:sz w:val="24"/>
                <w:szCs w:val="24"/>
                <w:highlight w:val="none"/>
              </w:rPr>
              <w:t>边框不允许有磨损或者掉漆的现象。安装完成后要求提供现场图片，并编入验收报告中。若存在外观受损的情况，</w:t>
            </w:r>
            <w:r>
              <w:rPr>
                <w:rFonts w:hint="eastAsia" w:ascii="宋体" w:hAnsi="宋体" w:eastAsia="宋体" w:cs="宋体"/>
                <w:b/>
                <w:bCs/>
                <w:color w:val="auto"/>
                <w:kern w:val="0"/>
                <w:sz w:val="24"/>
                <w:szCs w:val="24"/>
                <w:highlight w:val="none"/>
                <w:lang w:eastAsia="zh-CN"/>
              </w:rPr>
              <w:t>征集人</w:t>
            </w:r>
            <w:r>
              <w:rPr>
                <w:rFonts w:hint="eastAsia" w:ascii="宋体" w:hAnsi="宋体" w:eastAsia="宋体" w:cs="宋体"/>
                <w:b/>
                <w:bCs/>
                <w:color w:val="auto"/>
                <w:kern w:val="0"/>
                <w:sz w:val="24"/>
                <w:szCs w:val="24"/>
                <w:highlight w:val="none"/>
              </w:rPr>
              <w:t>有权要求更换一台同型号的新机器。</w:t>
            </w:r>
          </w:p>
          <w:p w14:paraId="415814B0">
            <w:pPr>
              <w:pStyle w:val="13"/>
              <w:keepNext w:val="0"/>
              <w:keepLines w:val="0"/>
              <w:suppressLineNumbers w:val="0"/>
              <w:shd w:val="clear" w:color="auto"/>
              <w:spacing w:before="0" w:beforeAutospacing="0" w:after="0" w:afterLines="0" w:afterAutospacing="0" w:line="360" w:lineRule="auto"/>
              <w:ind w:left="0" w:right="0" w:firstLine="482" w:firstLineChars="200"/>
              <w:rPr>
                <w:rFonts w:hint="eastAsia" w:ascii="宋体" w:hAnsi="宋体" w:eastAsia="宋体" w:cs="宋体"/>
                <w:b/>
                <w:bCs/>
                <w:color w:val="auto"/>
                <w:kern w:val="0"/>
                <w:sz w:val="24"/>
                <w:szCs w:val="24"/>
                <w:highlight w:val="none"/>
              </w:rPr>
            </w:pPr>
            <w:bookmarkStart w:id="0" w:name="_Hlk494307764"/>
            <w:r>
              <w:rPr>
                <w:rFonts w:hint="default" w:ascii="宋体" w:hAnsi="宋体" w:cs="宋体"/>
                <w:b/>
                <w:bCs/>
                <w:color w:val="auto"/>
                <w:kern w:val="0"/>
                <w:sz w:val="24"/>
                <w:szCs w:val="24"/>
                <w:highlight w:val="none"/>
                <w:lang w:eastAsia="zh-CN"/>
              </w:rPr>
              <w:t>7</w:t>
            </w: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7</w:t>
            </w:r>
            <w:r>
              <w:rPr>
                <w:rFonts w:hint="eastAsia" w:ascii="宋体" w:hAnsi="宋体" w:eastAsia="宋体" w:cs="宋体"/>
                <w:b/>
                <w:bCs/>
                <w:color w:val="auto"/>
                <w:kern w:val="0"/>
                <w:sz w:val="24"/>
                <w:szCs w:val="24"/>
                <w:highlight w:val="none"/>
              </w:rPr>
              <w:t>触控一体机</w:t>
            </w:r>
            <w:r>
              <w:rPr>
                <w:rFonts w:hint="eastAsia" w:ascii="宋体" w:hAnsi="宋体" w:cs="宋体"/>
                <w:b/>
                <w:bCs/>
                <w:color w:val="auto"/>
                <w:kern w:val="0"/>
                <w:sz w:val="24"/>
                <w:szCs w:val="24"/>
                <w:highlight w:val="none"/>
                <w:lang w:val="en-US" w:eastAsia="zh-CN"/>
              </w:rPr>
              <w:t>/智慧黑板</w:t>
            </w:r>
            <w:r>
              <w:rPr>
                <w:rFonts w:hint="eastAsia" w:ascii="宋体" w:hAnsi="宋体" w:eastAsia="宋体" w:cs="宋体"/>
                <w:b/>
                <w:bCs/>
                <w:color w:val="auto"/>
                <w:kern w:val="0"/>
                <w:sz w:val="24"/>
                <w:szCs w:val="24"/>
                <w:highlight w:val="none"/>
              </w:rPr>
              <w:t>安装完成后，需要组织最终用户进行触控一体机</w:t>
            </w:r>
            <w:r>
              <w:rPr>
                <w:rFonts w:hint="eastAsia" w:ascii="宋体" w:hAnsi="宋体" w:cs="宋体"/>
                <w:b/>
                <w:bCs/>
                <w:color w:val="auto"/>
                <w:kern w:val="0"/>
                <w:sz w:val="24"/>
                <w:szCs w:val="24"/>
                <w:highlight w:val="none"/>
                <w:lang w:val="en-US" w:eastAsia="zh-CN"/>
              </w:rPr>
              <w:t>/智慧黑板</w:t>
            </w:r>
            <w:r>
              <w:rPr>
                <w:rFonts w:hint="eastAsia" w:ascii="宋体" w:hAnsi="宋体" w:eastAsia="宋体" w:cs="宋体"/>
                <w:b/>
                <w:bCs/>
                <w:color w:val="auto"/>
                <w:kern w:val="0"/>
                <w:sz w:val="24"/>
                <w:szCs w:val="24"/>
                <w:highlight w:val="none"/>
              </w:rPr>
              <w:t>硬件及软件的使用培训</w:t>
            </w: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lang w:val="en-US" w:eastAsia="zh-CN"/>
              </w:rPr>
              <w:t>并提供硬件使用说明书或使用手册、软件使用说明书或使用手册</w:t>
            </w:r>
            <w:r>
              <w:rPr>
                <w:rFonts w:hint="eastAsia" w:ascii="宋体" w:hAnsi="宋体" w:eastAsia="宋体" w:cs="宋体"/>
                <w:b/>
                <w:bCs/>
                <w:color w:val="auto"/>
                <w:kern w:val="0"/>
                <w:sz w:val="24"/>
                <w:szCs w:val="24"/>
                <w:highlight w:val="none"/>
              </w:rPr>
              <w:t>。</w:t>
            </w:r>
          </w:p>
          <w:p w14:paraId="2ECD0ED2">
            <w:pPr>
              <w:pStyle w:val="13"/>
              <w:keepNext w:val="0"/>
              <w:keepLines w:val="0"/>
              <w:suppressLineNumbers w:val="0"/>
              <w:shd w:val="clear" w:color="auto"/>
              <w:spacing w:before="0" w:beforeAutospacing="0" w:after="0" w:afterLines="0" w:afterAutospacing="0" w:line="360" w:lineRule="auto"/>
              <w:ind w:left="0" w:right="0" w:firstLine="482" w:firstLineChars="200"/>
              <w:rPr>
                <w:rFonts w:hint="eastAsia" w:ascii="宋体" w:hAnsi="宋体" w:eastAsia="宋体" w:cs="宋体"/>
                <w:b/>
                <w:bCs/>
                <w:color w:val="auto"/>
                <w:kern w:val="0"/>
                <w:sz w:val="24"/>
                <w:szCs w:val="24"/>
                <w:highlight w:val="none"/>
              </w:rPr>
            </w:pPr>
            <w:r>
              <w:rPr>
                <w:rFonts w:hint="default" w:ascii="宋体" w:hAnsi="宋体" w:cs="宋体"/>
                <w:b/>
                <w:bCs/>
                <w:color w:val="auto"/>
                <w:kern w:val="0"/>
                <w:sz w:val="24"/>
                <w:szCs w:val="24"/>
                <w:highlight w:val="none"/>
                <w:lang w:eastAsia="zh-CN"/>
              </w:rPr>
              <w:t>7</w:t>
            </w: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8</w:t>
            </w:r>
            <w:r>
              <w:rPr>
                <w:rFonts w:hint="eastAsia" w:ascii="宋体" w:hAnsi="宋体" w:eastAsia="宋体" w:cs="宋体"/>
                <w:b/>
                <w:bCs/>
                <w:color w:val="auto"/>
                <w:kern w:val="0"/>
                <w:sz w:val="24"/>
                <w:szCs w:val="24"/>
                <w:highlight w:val="none"/>
              </w:rPr>
              <w:t>如有绿板、高拍仪</w:t>
            </w:r>
            <w:r>
              <w:rPr>
                <w:rFonts w:hint="eastAsia" w:ascii="宋体" w:hAnsi="宋体" w:eastAsia="宋体" w:cs="宋体"/>
                <w:b/>
                <w:bCs/>
                <w:color w:val="auto"/>
                <w:kern w:val="0"/>
                <w:sz w:val="24"/>
                <w:szCs w:val="24"/>
                <w:highlight w:val="none"/>
                <w:lang w:val="en-US" w:eastAsia="zh-CN"/>
              </w:rPr>
              <w:t>或实物展台、钢制讲台、音箱或其他</w:t>
            </w:r>
            <w:r>
              <w:rPr>
                <w:rFonts w:hint="eastAsia" w:ascii="宋体" w:hAnsi="宋体" w:eastAsia="宋体" w:cs="宋体"/>
                <w:b/>
                <w:bCs/>
                <w:color w:val="auto"/>
                <w:kern w:val="0"/>
                <w:sz w:val="24"/>
                <w:szCs w:val="24"/>
                <w:highlight w:val="none"/>
              </w:rPr>
              <w:t>扩声设备</w:t>
            </w:r>
            <w:r>
              <w:rPr>
                <w:rFonts w:hint="eastAsia" w:ascii="宋体" w:hAnsi="宋体" w:eastAsia="宋体" w:cs="宋体"/>
                <w:b/>
                <w:bCs/>
                <w:color w:val="auto"/>
                <w:kern w:val="0"/>
                <w:sz w:val="24"/>
                <w:szCs w:val="24"/>
                <w:highlight w:val="none"/>
                <w:lang w:val="en-US" w:eastAsia="zh-CN"/>
              </w:rPr>
              <w:t>等触控一体机</w:t>
            </w:r>
            <w:r>
              <w:rPr>
                <w:rFonts w:hint="eastAsia" w:ascii="宋体" w:hAnsi="宋体" w:cs="宋体"/>
                <w:b/>
                <w:bCs/>
                <w:color w:val="auto"/>
                <w:kern w:val="0"/>
                <w:sz w:val="24"/>
                <w:szCs w:val="24"/>
                <w:highlight w:val="none"/>
                <w:lang w:val="en-US" w:eastAsia="zh-CN"/>
              </w:rPr>
              <w:t>/智慧黑板</w:t>
            </w:r>
            <w:r>
              <w:rPr>
                <w:rFonts w:hint="eastAsia" w:ascii="宋体" w:hAnsi="宋体" w:eastAsia="宋体" w:cs="宋体"/>
                <w:b/>
                <w:bCs/>
                <w:color w:val="auto"/>
                <w:kern w:val="0"/>
                <w:sz w:val="24"/>
                <w:szCs w:val="24"/>
                <w:highlight w:val="none"/>
                <w:lang w:val="en-US" w:eastAsia="zh-CN"/>
              </w:rPr>
              <w:t>配套产品</w:t>
            </w:r>
            <w:r>
              <w:rPr>
                <w:rFonts w:hint="eastAsia" w:ascii="宋体" w:hAnsi="宋体" w:eastAsia="宋体" w:cs="宋体"/>
                <w:b/>
                <w:bCs/>
                <w:color w:val="auto"/>
                <w:kern w:val="0"/>
                <w:sz w:val="24"/>
                <w:szCs w:val="24"/>
                <w:highlight w:val="none"/>
              </w:rPr>
              <w:t>一起安装时，需免费</w:t>
            </w:r>
            <w:r>
              <w:rPr>
                <w:rFonts w:hint="eastAsia" w:ascii="宋体" w:hAnsi="宋体" w:eastAsia="宋体" w:cs="宋体"/>
                <w:b/>
                <w:bCs/>
                <w:color w:val="auto"/>
                <w:kern w:val="0"/>
                <w:sz w:val="24"/>
                <w:szCs w:val="24"/>
                <w:highlight w:val="none"/>
                <w:lang w:val="en-US" w:eastAsia="zh-CN"/>
              </w:rPr>
              <w:t>提供安装调试服务</w:t>
            </w:r>
            <w:r>
              <w:rPr>
                <w:rFonts w:hint="eastAsia" w:ascii="宋体" w:hAnsi="宋体" w:eastAsia="宋体" w:cs="宋体"/>
                <w:b/>
                <w:bCs/>
                <w:color w:val="auto"/>
                <w:kern w:val="0"/>
                <w:sz w:val="24"/>
                <w:szCs w:val="24"/>
                <w:highlight w:val="none"/>
              </w:rPr>
              <w:t>。</w:t>
            </w:r>
          </w:p>
          <w:p w14:paraId="7B0C46B7">
            <w:pPr>
              <w:pStyle w:val="13"/>
              <w:keepNext w:val="0"/>
              <w:keepLines w:val="0"/>
              <w:suppressLineNumbers w:val="0"/>
              <w:shd w:val="clear" w:color="auto"/>
              <w:spacing w:before="0" w:beforeAutospacing="0" w:after="0" w:afterLines="0" w:afterAutospacing="0" w:line="360" w:lineRule="auto"/>
              <w:ind w:left="0" w:right="0" w:firstLine="482" w:firstLineChars="200"/>
              <w:rPr>
                <w:rFonts w:hint="eastAsia" w:ascii="宋体" w:hAnsi="宋体" w:eastAsia="宋体" w:cs="宋体"/>
                <w:b/>
                <w:bCs/>
                <w:color w:val="auto"/>
                <w:kern w:val="0"/>
                <w:sz w:val="24"/>
                <w:szCs w:val="24"/>
                <w:highlight w:val="none"/>
              </w:rPr>
            </w:pPr>
            <w:r>
              <w:rPr>
                <w:rFonts w:hint="default" w:ascii="宋体" w:hAnsi="宋体" w:cs="宋体"/>
                <w:b/>
                <w:bCs/>
                <w:color w:val="auto"/>
                <w:kern w:val="0"/>
                <w:sz w:val="24"/>
                <w:szCs w:val="24"/>
                <w:highlight w:val="none"/>
                <w:lang w:eastAsia="zh-CN"/>
              </w:rPr>
              <w:t>7</w:t>
            </w: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9</w:t>
            </w:r>
            <w:r>
              <w:rPr>
                <w:rFonts w:hint="eastAsia" w:ascii="宋体" w:hAnsi="宋体" w:eastAsia="宋体" w:cs="宋体"/>
                <w:b/>
                <w:bCs/>
                <w:color w:val="auto"/>
                <w:kern w:val="0"/>
                <w:sz w:val="24"/>
                <w:szCs w:val="24"/>
                <w:highlight w:val="none"/>
              </w:rPr>
              <w:t>在最终用户验收合格前，最终用户若要求安装除触控一体机</w:t>
            </w:r>
            <w:r>
              <w:rPr>
                <w:rFonts w:hint="eastAsia" w:ascii="宋体" w:hAnsi="宋体" w:cs="宋体"/>
                <w:b/>
                <w:bCs/>
                <w:color w:val="auto"/>
                <w:kern w:val="0"/>
                <w:sz w:val="24"/>
                <w:szCs w:val="24"/>
                <w:highlight w:val="none"/>
                <w:lang w:val="en-US" w:eastAsia="zh-CN"/>
              </w:rPr>
              <w:t>/智慧黑板</w:t>
            </w:r>
            <w:r>
              <w:rPr>
                <w:rFonts w:hint="eastAsia" w:ascii="宋体" w:hAnsi="宋体" w:eastAsia="宋体" w:cs="宋体"/>
                <w:b/>
                <w:bCs/>
                <w:color w:val="auto"/>
                <w:kern w:val="0"/>
                <w:sz w:val="24"/>
                <w:szCs w:val="24"/>
                <w:highlight w:val="none"/>
              </w:rPr>
              <w:t>配套软件外的第三方软件，在最终用户提供安装软件的前提下，需免费协助安装。</w:t>
            </w:r>
          </w:p>
          <w:p w14:paraId="3E659CE3">
            <w:pPr>
              <w:pStyle w:val="13"/>
              <w:keepNext w:val="0"/>
              <w:keepLines w:val="0"/>
              <w:suppressLineNumbers w:val="0"/>
              <w:shd w:val="clear" w:color="auto"/>
              <w:spacing w:before="0" w:beforeAutospacing="0" w:after="0" w:afterLines="0" w:afterAutospacing="0" w:line="360" w:lineRule="auto"/>
              <w:ind w:left="0" w:right="0" w:firstLine="482" w:firstLineChars="200"/>
              <w:rPr>
                <w:rFonts w:hint="eastAsia" w:ascii="宋体" w:hAnsi="宋体" w:eastAsia="宋体" w:cs="宋体"/>
                <w:b/>
                <w:bCs/>
                <w:color w:val="auto"/>
                <w:kern w:val="0"/>
                <w:sz w:val="24"/>
                <w:szCs w:val="24"/>
                <w:highlight w:val="none"/>
                <w:lang w:val="en-US" w:eastAsia="zh-CN"/>
              </w:rPr>
            </w:pPr>
            <w:r>
              <w:rPr>
                <w:rFonts w:hint="default" w:ascii="宋体" w:hAnsi="宋体" w:cs="宋体"/>
                <w:b/>
                <w:bCs/>
                <w:color w:val="auto"/>
                <w:kern w:val="0"/>
                <w:sz w:val="24"/>
                <w:szCs w:val="24"/>
                <w:highlight w:val="none"/>
                <w:lang w:eastAsia="zh-CN"/>
              </w:rPr>
              <w:t>7</w:t>
            </w:r>
            <w:r>
              <w:rPr>
                <w:rFonts w:hint="eastAsia" w:ascii="宋体" w:hAnsi="宋体" w:eastAsia="宋体" w:cs="宋体"/>
                <w:b/>
                <w:bCs/>
                <w:color w:val="auto"/>
                <w:kern w:val="0"/>
                <w:sz w:val="24"/>
                <w:szCs w:val="24"/>
                <w:highlight w:val="none"/>
                <w:lang w:val="en-US" w:eastAsia="zh-CN"/>
              </w:rPr>
              <w:t>.3.1.10在触控一体机</w:t>
            </w:r>
            <w:r>
              <w:rPr>
                <w:rFonts w:hint="eastAsia" w:ascii="宋体" w:hAnsi="宋体" w:cs="宋体"/>
                <w:b/>
                <w:bCs/>
                <w:color w:val="auto"/>
                <w:kern w:val="0"/>
                <w:sz w:val="24"/>
                <w:szCs w:val="24"/>
                <w:highlight w:val="none"/>
                <w:lang w:val="en-US" w:eastAsia="zh-CN"/>
              </w:rPr>
              <w:t>/智慧黑板</w:t>
            </w:r>
            <w:r>
              <w:rPr>
                <w:rFonts w:hint="eastAsia" w:ascii="宋体" w:hAnsi="宋体" w:eastAsia="宋体" w:cs="宋体"/>
                <w:b/>
                <w:bCs/>
                <w:color w:val="auto"/>
                <w:kern w:val="0"/>
                <w:sz w:val="24"/>
                <w:szCs w:val="24"/>
                <w:highlight w:val="none"/>
                <w:lang w:val="en-US" w:eastAsia="zh-CN"/>
              </w:rPr>
              <w:t>硬件和配套软件安装完成后，应向最终用户免费提供还原软件，辅助最终用户设置还原节点并指导最终用户使用还原软件。</w:t>
            </w:r>
          </w:p>
          <w:p w14:paraId="23D6D3A9">
            <w:pPr>
              <w:pStyle w:val="13"/>
              <w:keepNext w:val="0"/>
              <w:keepLines w:val="0"/>
              <w:suppressLineNumbers w:val="0"/>
              <w:shd w:val="clear" w:color="auto"/>
              <w:spacing w:before="0" w:beforeAutospacing="0" w:after="0" w:afterLines="0" w:afterAutospacing="0" w:line="360" w:lineRule="auto"/>
              <w:ind w:left="0" w:right="0" w:firstLine="482" w:firstLineChars="200"/>
              <w:rPr>
                <w:rFonts w:hint="eastAsia" w:ascii="宋体" w:hAnsi="宋体" w:eastAsia="宋体" w:cs="宋体"/>
                <w:b/>
                <w:bCs/>
                <w:color w:val="auto"/>
                <w:kern w:val="0"/>
                <w:sz w:val="24"/>
                <w:szCs w:val="24"/>
                <w:highlight w:val="none"/>
                <w:lang w:val="en-US" w:eastAsia="zh-CN"/>
              </w:rPr>
            </w:pPr>
            <w:r>
              <w:rPr>
                <w:rFonts w:hint="default" w:ascii="宋体" w:hAnsi="宋体" w:cs="宋体"/>
                <w:b/>
                <w:bCs/>
                <w:color w:val="auto"/>
                <w:kern w:val="0"/>
                <w:sz w:val="24"/>
                <w:szCs w:val="24"/>
                <w:highlight w:val="none"/>
                <w:lang w:eastAsia="zh-CN"/>
              </w:rPr>
              <w:t>7</w:t>
            </w:r>
            <w:r>
              <w:rPr>
                <w:rFonts w:hint="eastAsia" w:ascii="宋体" w:hAnsi="宋体" w:eastAsia="宋体" w:cs="宋体"/>
                <w:b/>
                <w:bCs/>
                <w:color w:val="auto"/>
                <w:kern w:val="0"/>
                <w:sz w:val="24"/>
                <w:szCs w:val="24"/>
                <w:highlight w:val="none"/>
                <w:lang w:val="en-US" w:eastAsia="zh-CN"/>
              </w:rPr>
              <w:t>.3.1.11触控一体机</w:t>
            </w:r>
            <w:r>
              <w:rPr>
                <w:rFonts w:hint="eastAsia" w:ascii="宋体" w:hAnsi="宋体" w:cs="宋体"/>
                <w:b/>
                <w:bCs/>
                <w:color w:val="auto"/>
                <w:kern w:val="0"/>
                <w:sz w:val="24"/>
                <w:szCs w:val="24"/>
                <w:highlight w:val="none"/>
                <w:lang w:val="en-US" w:eastAsia="zh-CN"/>
              </w:rPr>
              <w:t>/智慧黑板</w:t>
            </w:r>
            <w:r>
              <w:rPr>
                <w:rFonts w:hint="eastAsia" w:ascii="宋体" w:hAnsi="宋体" w:eastAsia="宋体" w:cs="宋体"/>
                <w:b/>
                <w:bCs/>
                <w:color w:val="auto"/>
                <w:kern w:val="0"/>
                <w:sz w:val="24"/>
                <w:szCs w:val="24"/>
                <w:highlight w:val="none"/>
                <w:lang w:val="en-US" w:eastAsia="zh-CN"/>
              </w:rPr>
              <w:t>安装完成后，需要在设备合适的地方填(贴)上万翔网商售后服务标签。</w:t>
            </w:r>
          </w:p>
          <w:p w14:paraId="5EC5D889">
            <w:pPr>
              <w:pStyle w:val="13"/>
              <w:keepNext w:val="0"/>
              <w:keepLines w:val="0"/>
              <w:suppressLineNumbers w:val="0"/>
              <w:shd w:val="clear" w:color="auto"/>
              <w:spacing w:before="0" w:beforeAutospacing="0" w:after="0" w:afterLines="0" w:afterAutospacing="0" w:line="360" w:lineRule="auto"/>
              <w:ind w:left="0" w:right="0" w:firstLine="482" w:firstLineChars="200"/>
              <w:rPr>
                <w:rFonts w:hint="eastAsia" w:ascii="宋体" w:hAnsi="宋体" w:eastAsia="宋体" w:cs="宋体"/>
                <w:b/>
                <w:bCs/>
                <w:color w:val="auto"/>
                <w:kern w:val="0"/>
                <w:sz w:val="24"/>
                <w:szCs w:val="24"/>
                <w:highlight w:val="none"/>
              </w:rPr>
            </w:pPr>
            <w:r>
              <w:rPr>
                <w:rFonts w:hint="default" w:ascii="宋体" w:hAnsi="宋体" w:cs="宋体"/>
                <w:b/>
                <w:bCs/>
                <w:color w:val="auto"/>
                <w:kern w:val="0"/>
                <w:sz w:val="24"/>
                <w:szCs w:val="24"/>
                <w:highlight w:val="none"/>
                <w:lang w:eastAsia="zh-CN"/>
              </w:rPr>
              <w:t>7</w:t>
            </w: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.2触控一体机</w:t>
            </w:r>
            <w:r>
              <w:rPr>
                <w:rFonts w:hint="eastAsia" w:ascii="宋体" w:hAnsi="宋体" w:cs="宋体"/>
                <w:b/>
                <w:bCs/>
                <w:color w:val="auto"/>
                <w:kern w:val="0"/>
                <w:sz w:val="24"/>
                <w:szCs w:val="24"/>
                <w:highlight w:val="none"/>
                <w:lang w:val="en-US" w:eastAsia="zh-CN"/>
              </w:rPr>
              <w:t>/智慧黑板</w:t>
            </w:r>
            <w:r>
              <w:rPr>
                <w:rFonts w:hint="eastAsia" w:ascii="宋体" w:hAnsi="宋体" w:eastAsia="宋体" w:cs="宋体"/>
                <w:b/>
                <w:bCs/>
                <w:color w:val="auto"/>
                <w:kern w:val="0"/>
                <w:sz w:val="24"/>
                <w:szCs w:val="24"/>
                <w:highlight w:val="none"/>
              </w:rPr>
              <w:t>标准安装</w:t>
            </w:r>
            <w:r>
              <w:rPr>
                <w:rFonts w:hint="eastAsia" w:ascii="宋体" w:hAnsi="宋体" w:eastAsia="宋体" w:cs="宋体"/>
                <w:b/>
                <w:bCs/>
                <w:color w:val="auto"/>
                <w:kern w:val="0"/>
                <w:sz w:val="24"/>
                <w:szCs w:val="24"/>
                <w:highlight w:val="none"/>
                <w:lang w:eastAsia="zh-CN"/>
              </w:rPr>
              <w:t>投标人</w:t>
            </w:r>
            <w:r>
              <w:rPr>
                <w:rFonts w:hint="eastAsia" w:ascii="宋体" w:hAnsi="宋体" w:eastAsia="宋体" w:cs="宋体"/>
                <w:b/>
                <w:bCs/>
                <w:color w:val="auto"/>
                <w:kern w:val="0"/>
                <w:sz w:val="24"/>
                <w:szCs w:val="24"/>
                <w:highlight w:val="none"/>
              </w:rPr>
              <w:t>所需提供的辅材和耗材</w:t>
            </w:r>
          </w:p>
          <w:p w14:paraId="6DE0F5BA">
            <w:pPr>
              <w:pStyle w:val="13"/>
              <w:keepNext w:val="0"/>
              <w:keepLines w:val="0"/>
              <w:suppressLineNumbers w:val="0"/>
              <w:shd w:val="clear" w:color="auto"/>
              <w:spacing w:before="0" w:beforeAutospacing="0" w:after="0" w:afterLines="0" w:afterAutospacing="0" w:line="360" w:lineRule="auto"/>
              <w:ind w:left="0" w:right="0" w:firstLine="482" w:firstLineChars="200"/>
              <w:rPr>
                <w:rFonts w:hint="eastAsia" w:ascii="宋体" w:hAnsi="宋体" w:eastAsia="宋体" w:cs="宋体"/>
                <w:b/>
                <w:bCs/>
                <w:color w:val="auto"/>
                <w:kern w:val="0"/>
                <w:sz w:val="24"/>
                <w:szCs w:val="24"/>
                <w:highlight w:val="none"/>
              </w:rPr>
            </w:pPr>
            <w:r>
              <w:rPr>
                <w:rFonts w:hint="default" w:ascii="宋体" w:hAnsi="宋体" w:cs="宋体"/>
                <w:b/>
                <w:bCs/>
                <w:color w:val="auto"/>
                <w:kern w:val="0"/>
                <w:sz w:val="24"/>
                <w:szCs w:val="24"/>
                <w:highlight w:val="none"/>
                <w:lang w:eastAsia="zh-CN"/>
              </w:rPr>
              <w:t>7</w:t>
            </w: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.2.1包括网络线-UTP超</w:t>
            </w:r>
            <w:r>
              <w:rPr>
                <w:rFonts w:hint="eastAsia" w:ascii="宋体" w:hAnsi="宋体" w:eastAsia="宋体" w:cs="宋体"/>
                <w:b/>
                <w:bCs/>
                <w:color w:val="auto"/>
                <w:kern w:val="0"/>
                <w:sz w:val="24"/>
                <w:szCs w:val="24"/>
                <w:highlight w:val="none"/>
                <w:lang w:eastAsia="zh-CN"/>
              </w:rPr>
              <w:t>六</w:t>
            </w:r>
            <w:r>
              <w:rPr>
                <w:rFonts w:hint="eastAsia" w:ascii="宋体" w:hAnsi="宋体" w:eastAsia="宋体" w:cs="宋体"/>
                <w:b/>
                <w:bCs/>
                <w:color w:val="auto"/>
                <w:kern w:val="0"/>
                <w:sz w:val="24"/>
                <w:szCs w:val="24"/>
                <w:highlight w:val="none"/>
              </w:rPr>
              <w:t>类网络线、3+4 VGA线</w:t>
            </w:r>
            <w:r>
              <w:rPr>
                <w:rFonts w:hint="eastAsia" w:ascii="宋体" w:hAnsi="宋体" w:eastAsia="宋体" w:cs="宋体"/>
                <w:b/>
                <w:bCs/>
                <w:color w:val="auto"/>
                <w:kern w:val="0"/>
                <w:sz w:val="24"/>
                <w:szCs w:val="24"/>
                <w:highlight w:val="none"/>
                <w:lang w:eastAsia="zh-CN"/>
              </w:rPr>
              <w:t>（带屏蔽）</w:t>
            </w:r>
            <w:r>
              <w:rPr>
                <w:rFonts w:hint="eastAsia" w:ascii="宋体" w:hAnsi="宋体" w:eastAsia="宋体" w:cs="宋体"/>
                <w:b/>
                <w:bCs/>
                <w:color w:val="auto"/>
                <w:kern w:val="0"/>
                <w:sz w:val="24"/>
                <w:szCs w:val="24"/>
                <w:highlight w:val="none"/>
              </w:rPr>
              <w:t xml:space="preserve">、电源线3×1.0mm、SYV-75-3视频线、音频线、线槽、多功能排插安装辅材。 </w:t>
            </w:r>
          </w:p>
          <w:p w14:paraId="2A0BF971">
            <w:pPr>
              <w:pStyle w:val="13"/>
              <w:keepNext w:val="0"/>
              <w:keepLines w:val="0"/>
              <w:suppressLineNumbers w:val="0"/>
              <w:shd w:val="clear" w:color="auto"/>
              <w:spacing w:before="0" w:beforeAutospacing="0" w:after="0" w:afterLines="0" w:afterAutospacing="0" w:line="360" w:lineRule="auto"/>
              <w:ind w:left="0" w:right="0" w:firstLine="482" w:firstLineChars="200"/>
              <w:rPr>
                <w:rFonts w:hint="eastAsia" w:ascii="宋体" w:hAnsi="宋体" w:eastAsia="宋体" w:cs="宋体"/>
                <w:b/>
                <w:bCs/>
                <w:color w:val="auto"/>
                <w:kern w:val="0"/>
                <w:sz w:val="24"/>
                <w:szCs w:val="24"/>
                <w:highlight w:val="none"/>
              </w:rPr>
            </w:pPr>
            <w:r>
              <w:rPr>
                <w:rFonts w:hint="default" w:ascii="宋体" w:hAnsi="宋体" w:cs="宋体"/>
                <w:b/>
                <w:bCs/>
                <w:color w:val="auto"/>
                <w:kern w:val="0"/>
                <w:sz w:val="24"/>
                <w:szCs w:val="24"/>
                <w:highlight w:val="none"/>
                <w:lang w:eastAsia="zh-CN"/>
              </w:rPr>
              <w:t>7</w:t>
            </w:r>
            <w:r>
              <w:rPr>
                <w:rFonts w:hint="eastAsia" w:ascii="宋体" w:hAnsi="宋体" w:eastAsia="宋体" w:cs="宋体"/>
                <w:b/>
                <w:bCs/>
                <w:color w:val="auto"/>
                <w:kern w:val="0"/>
                <w:sz w:val="24"/>
                <w:szCs w:val="24"/>
                <w:highlight w:val="none"/>
                <w:lang w:val="en-US" w:eastAsia="zh-CN"/>
              </w:rPr>
              <w:t>.</w:t>
            </w:r>
            <w:r>
              <w:rPr>
                <w:rFonts w:hint="eastAsia" w:ascii="宋体" w:hAnsi="宋体" w:eastAsia="宋体" w:cs="宋体"/>
                <w:b/>
                <w:bCs/>
                <w:color w:val="auto"/>
                <w:kern w:val="0"/>
                <w:sz w:val="24"/>
                <w:szCs w:val="24"/>
                <w:highlight w:val="none"/>
              </w:rPr>
              <w:t>3.2.2所有单种类线材长度不超过25米，安装的层高不超过3.5米，超过部分根据现场实际情况另行结算。</w:t>
            </w:r>
          </w:p>
          <w:bookmarkEnd w:id="0"/>
          <w:p w14:paraId="3283FB44">
            <w:pPr>
              <w:pStyle w:val="13"/>
              <w:keepNext w:val="0"/>
              <w:keepLines w:val="0"/>
              <w:suppressLineNumbers w:val="0"/>
              <w:shd w:val="clear" w:color="auto"/>
              <w:spacing w:before="0" w:beforeAutospacing="0" w:after="0" w:afterLines="0" w:afterAutospacing="0" w:line="360" w:lineRule="auto"/>
              <w:ind w:left="0" w:right="0" w:firstLine="482" w:firstLineChars="200"/>
              <w:rPr>
                <w:rFonts w:hint="eastAsia" w:ascii="宋体" w:hAnsi="宋体" w:eastAsia="宋体" w:cs="宋体"/>
                <w:b/>
                <w:bCs/>
                <w:color w:val="auto"/>
                <w:kern w:val="0"/>
                <w:sz w:val="24"/>
                <w:szCs w:val="24"/>
                <w:highlight w:val="none"/>
              </w:rPr>
            </w:pPr>
            <w:r>
              <w:rPr>
                <w:rFonts w:hint="default" w:ascii="宋体" w:hAnsi="宋体" w:cs="宋体"/>
                <w:b/>
                <w:bCs/>
                <w:color w:val="auto"/>
                <w:kern w:val="0"/>
                <w:sz w:val="24"/>
                <w:szCs w:val="24"/>
                <w:highlight w:val="none"/>
                <w:lang w:eastAsia="zh-CN"/>
              </w:rPr>
              <w:t>7</w:t>
            </w: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.3安装完毕后保持产品及周边的清洁，不能有明显的污渍，安装过程中产生的垃圾必须在安装的当日及时清理干净，相关的配件及讲台钥匙要安全的交于指定人员，并做好标记。</w:t>
            </w:r>
          </w:p>
          <w:p w14:paraId="6892D69B">
            <w:pPr>
              <w:pStyle w:val="13"/>
              <w:keepNext w:val="0"/>
              <w:keepLines w:val="0"/>
              <w:suppressLineNumbers w:val="0"/>
              <w:shd w:val="clear" w:color="auto"/>
              <w:spacing w:before="0" w:beforeAutospacing="0" w:after="0" w:afterLines="0" w:afterAutospacing="0" w:line="360" w:lineRule="auto"/>
              <w:ind w:left="0" w:right="0" w:firstLine="482" w:firstLineChars="200"/>
              <w:rPr>
                <w:rFonts w:hint="eastAsia" w:ascii="宋体" w:hAnsi="宋体" w:eastAsia="宋体" w:cs="宋体"/>
                <w:b/>
                <w:bCs/>
                <w:color w:val="auto"/>
                <w:kern w:val="0"/>
                <w:sz w:val="24"/>
                <w:szCs w:val="24"/>
                <w:highlight w:val="none"/>
              </w:rPr>
            </w:pPr>
            <w:r>
              <w:rPr>
                <w:rFonts w:hint="default" w:ascii="宋体" w:hAnsi="宋体" w:cs="宋体"/>
                <w:b/>
                <w:bCs/>
                <w:color w:val="auto"/>
                <w:kern w:val="0"/>
                <w:sz w:val="24"/>
                <w:szCs w:val="24"/>
                <w:highlight w:val="none"/>
                <w:lang w:eastAsia="zh-CN"/>
              </w:rPr>
              <w:t>7</w:t>
            </w:r>
            <w:r>
              <w:rPr>
                <w:rFonts w:hint="eastAsia" w:ascii="宋体" w:hAnsi="宋体" w:eastAsia="宋体" w:cs="宋体"/>
                <w:b/>
                <w:bCs/>
                <w:color w:val="auto"/>
                <w:kern w:val="0"/>
                <w:sz w:val="24"/>
                <w:szCs w:val="24"/>
                <w:highlight w:val="none"/>
                <w:lang w:val="en-US" w:eastAsia="zh-CN"/>
              </w:rPr>
              <w:t>.3.4</w:t>
            </w:r>
            <w:r>
              <w:rPr>
                <w:rFonts w:hint="eastAsia" w:ascii="宋体" w:hAnsi="宋体" w:eastAsia="宋体" w:cs="宋体"/>
                <w:b/>
                <w:bCs/>
                <w:color w:val="auto"/>
                <w:kern w:val="0"/>
                <w:sz w:val="24"/>
                <w:szCs w:val="24"/>
                <w:highlight w:val="none"/>
              </w:rPr>
              <w:t>在安装过程中，所有需要取孔或者需要调整楼房结构的工程，要求在得到最终用户纸质确认书后才可以动工。</w:t>
            </w:r>
          </w:p>
          <w:p w14:paraId="46DBCAD8">
            <w:pPr>
              <w:pStyle w:val="13"/>
              <w:keepNext w:val="0"/>
              <w:keepLines w:val="0"/>
              <w:suppressLineNumbers w:val="0"/>
              <w:shd w:val="clear" w:color="auto"/>
              <w:spacing w:before="0" w:beforeAutospacing="0" w:after="0" w:afterLines="0" w:afterAutospacing="0" w:line="360" w:lineRule="auto"/>
              <w:ind w:left="0" w:right="0" w:firstLine="482" w:firstLineChars="200"/>
              <w:rPr>
                <w:rFonts w:hint="eastAsia" w:ascii="宋体" w:hAnsi="宋体" w:eastAsia="宋体" w:cs="宋体"/>
                <w:b/>
                <w:bCs/>
                <w:color w:val="auto"/>
                <w:kern w:val="0"/>
                <w:sz w:val="24"/>
                <w:szCs w:val="24"/>
                <w:highlight w:val="none"/>
              </w:rPr>
            </w:pPr>
            <w:r>
              <w:rPr>
                <w:rFonts w:hint="default" w:ascii="宋体" w:hAnsi="宋体" w:cs="宋体"/>
                <w:b/>
                <w:bCs/>
                <w:color w:val="auto"/>
                <w:kern w:val="0"/>
                <w:sz w:val="24"/>
                <w:szCs w:val="24"/>
                <w:highlight w:val="none"/>
                <w:lang w:eastAsia="zh-CN"/>
              </w:rPr>
              <w:t>7</w:t>
            </w: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5</w:t>
            </w:r>
            <w:r>
              <w:rPr>
                <w:rFonts w:hint="eastAsia" w:ascii="宋体" w:hAnsi="宋体" w:eastAsia="宋体" w:cs="宋体"/>
                <w:b/>
                <w:bCs/>
                <w:color w:val="auto"/>
                <w:kern w:val="0"/>
                <w:sz w:val="24"/>
                <w:szCs w:val="24"/>
                <w:highlight w:val="none"/>
                <w:lang w:eastAsia="zh-CN"/>
              </w:rPr>
              <w:t>投标人</w:t>
            </w:r>
            <w:r>
              <w:rPr>
                <w:rFonts w:hint="eastAsia" w:ascii="宋体" w:hAnsi="宋体" w:eastAsia="宋体" w:cs="宋体"/>
                <w:b/>
                <w:bCs/>
                <w:color w:val="auto"/>
                <w:kern w:val="0"/>
                <w:sz w:val="24"/>
                <w:szCs w:val="24"/>
                <w:highlight w:val="none"/>
              </w:rPr>
              <w:t>一旦中标，</w:t>
            </w:r>
            <w:r>
              <w:rPr>
                <w:rFonts w:hint="eastAsia" w:ascii="宋体" w:hAnsi="宋体" w:eastAsia="宋体" w:cs="宋体"/>
                <w:b/>
                <w:bCs/>
                <w:color w:val="auto"/>
                <w:kern w:val="0"/>
                <w:sz w:val="24"/>
                <w:szCs w:val="24"/>
                <w:highlight w:val="none"/>
                <w:lang w:eastAsia="zh-CN"/>
              </w:rPr>
              <w:t>投标人</w:t>
            </w:r>
            <w:r>
              <w:rPr>
                <w:rFonts w:hint="eastAsia" w:ascii="宋体" w:hAnsi="宋体" w:eastAsia="宋体" w:cs="宋体"/>
                <w:b/>
                <w:bCs/>
                <w:color w:val="auto"/>
                <w:kern w:val="0"/>
                <w:sz w:val="24"/>
                <w:szCs w:val="24"/>
                <w:highlight w:val="none"/>
              </w:rPr>
              <w:t>应在货物到</w:t>
            </w:r>
            <w:r>
              <w:rPr>
                <w:rFonts w:hint="eastAsia" w:ascii="宋体" w:hAnsi="宋体" w:eastAsia="宋体" w:cs="宋体"/>
                <w:b/>
                <w:bCs/>
                <w:color w:val="auto"/>
                <w:kern w:val="0"/>
                <w:sz w:val="24"/>
                <w:szCs w:val="24"/>
                <w:highlight w:val="none"/>
                <w:lang w:eastAsia="zh-CN"/>
              </w:rPr>
              <w:t>最终用户</w:t>
            </w:r>
            <w:r>
              <w:rPr>
                <w:rFonts w:hint="eastAsia" w:ascii="宋体" w:hAnsi="宋体" w:eastAsia="宋体" w:cs="宋体"/>
                <w:b/>
                <w:bCs/>
                <w:color w:val="auto"/>
                <w:kern w:val="0"/>
                <w:sz w:val="24"/>
                <w:szCs w:val="24"/>
                <w:highlight w:val="none"/>
              </w:rPr>
              <w:t>之日起8个工作小时内与最终用户确认上门安装时间。</w:t>
            </w:r>
          </w:p>
          <w:p w14:paraId="61E44F25">
            <w:pPr>
              <w:pStyle w:val="13"/>
              <w:keepNext w:val="0"/>
              <w:keepLines w:val="0"/>
              <w:suppressLineNumbers w:val="0"/>
              <w:shd w:val="clear" w:color="auto" w:fill="FFFFFF"/>
              <w:spacing w:before="0" w:beforeAutospacing="0" w:after="0" w:afterLines="0" w:afterAutospacing="0" w:line="360" w:lineRule="auto"/>
              <w:ind w:left="0" w:right="0" w:firstLine="484"/>
              <w:rPr>
                <w:rFonts w:hint="eastAsia" w:ascii="宋体" w:hAnsi="宋体" w:eastAsia="宋体" w:cs="宋体"/>
                <w:b/>
                <w:bCs/>
                <w:color w:val="auto"/>
                <w:kern w:val="0"/>
                <w:sz w:val="24"/>
                <w:szCs w:val="24"/>
                <w:highlight w:val="none"/>
                <w:lang w:val="en-US" w:eastAsia="zh-CN" w:bidi="ar-SA"/>
              </w:rPr>
            </w:pPr>
            <w:r>
              <w:rPr>
                <w:rFonts w:hint="default" w:ascii="宋体" w:hAnsi="宋体" w:cs="宋体"/>
                <w:b/>
                <w:bCs/>
                <w:color w:val="auto"/>
                <w:kern w:val="0"/>
                <w:sz w:val="24"/>
                <w:szCs w:val="24"/>
                <w:highlight w:val="none"/>
                <w:lang w:eastAsia="zh-CN" w:bidi="ar-SA"/>
              </w:rPr>
              <w:t>7</w:t>
            </w:r>
            <w:r>
              <w:rPr>
                <w:rFonts w:hint="eastAsia" w:ascii="宋体" w:hAnsi="宋体" w:eastAsia="宋体" w:cs="宋体"/>
                <w:b/>
                <w:bCs/>
                <w:color w:val="auto"/>
                <w:kern w:val="0"/>
                <w:sz w:val="24"/>
                <w:szCs w:val="24"/>
                <w:highlight w:val="none"/>
                <w:lang w:val="en-US" w:eastAsia="zh-CN" w:bidi="ar-SA"/>
              </w:rPr>
              <w:t>.4投标人所投产品，投标人应保障供应链质量，当产品部件出现供应风险时，投标人应通知征集人并提供风险应对方案确保产品的服务保障。投标人需提供供应链稳定承诺书，确保产品的部件在产品服务周期内稳定供货。</w:t>
            </w:r>
          </w:p>
          <w:p w14:paraId="6719494A">
            <w:pPr>
              <w:pStyle w:val="13"/>
              <w:keepNext w:val="0"/>
              <w:keepLines w:val="0"/>
              <w:widowControl/>
              <w:suppressLineNumbers w:val="0"/>
              <w:shd w:val="clear" w:color="auto" w:fill="auto"/>
              <w:spacing w:before="0" w:beforeAutospacing="0" w:after="0" w:afterLines="0" w:afterAutospacing="0" w:line="360" w:lineRule="auto"/>
              <w:ind w:left="0" w:right="0" w:firstLine="482" w:firstLineChars="200"/>
              <w:rPr>
                <w:rFonts w:hint="eastAsia" w:ascii="宋体" w:hAnsi="宋体" w:eastAsia="宋体" w:cs="宋体"/>
                <w:b/>
                <w:bCs/>
                <w:color w:val="auto"/>
                <w:kern w:val="0"/>
                <w:sz w:val="24"/>
                <w:szCs w:val="24"/>
                <w:highlight w:val="none"/>
                <w:lang w:val="en-US" w:eastAsia="zh-CN" w:bidi="ar-SA"/>
              </w:rPr>
            </w:pPr>
            <w:r>
              <w:rPr>
                <w:rFonts w:hint="default" w:ascii="宋体" w:hAnsi="宋体" w:cs="宋体"/>
                <w:b/>
                <w:bCs/>
                <w:color w:val="auto"/>
                <w:kern w:val="0"/>
                <w:sz w:val="24"/>
                <w:szCs w:val="24"/>
                <w:highlight w:val="none"/>
                <w:lang w:eastAsia="zh-CN" w:bidi="ar-SA"/>
              </w:rPr>
              <w:t>7</w:t>
            </w:r>
            <w:r>
              <w:rPr>
                <w:rFonts w:hint="eastAsia" w:ascii="宋体" w:hAnsi="宋体" w:eastAsia="宋体" w:cs="宋体"/>
                <w:b/>
                <w:bCs/>
                <w:color w:val="auto"/>
                <w:kern w:val="0"/>
                <w:sz w:val="24"/>
                <w:szCs w:val="24"/>
                <w:highlight w:val="none"/>
                <w:lang w:val="en-US" w:eastAsia="zh-CN" w:bidi="ar-SA"/>
              </w:rPr>
              <w:t>.5投标人须在投标文件中明确书面承诺并提供书面承诺函（格式自拟，加盖投标人公章）</w:t>
            </w:r>
            <w:r>
              <w:rPr>
                <w:rFonts w:hint="eastAsia" w:ascii="宋体" w:hAnsi="宋体" w:eastAsia="宋体" w:cs="宋体"/>
                <w:b/>
                <w:bCs/>
                <w:color w:val="auto"/>
                <w:kern w:val="0"/>
                <w:sz w:val="24"/>
                <w:szCs w:val="24"/>
                <w:highlight w:val="none"/>
                <w:lang w:val="en-US" w:eastAsia="zh-CN"/>
              </w:rPr>
              <w:t>：</w:t>
            </w:r>
            <w:r>
              <w:rPr>
                <w:rFonts w:hint="eastAsia" w:ascii="宋体" w:hAnsi="宋体" w:eastAsia="宋体" w:cs="宋体"/>
                <w:b/>
                <w:bCs/>
                <w:color w:val="auto"/>
                <w:kern w:val="0"/>
                <w:sz w:val="24"/>
                <w:szCs w:val="24"/>
                <w:highlight w:val="none"/>
                <w:lang w:val="en-US" w:eastAsia="zh-CN" w:bidi="ar-SA"/>
              </w:rPr>
              <w:t>投标人根据所投采购包1，</w:t>
            </w:r>
            <w:r>
              <w:rPr>
                <w:rFonts w:hint="eastAsia" w:ascii="宋体" w:hAnsi="宋体" w:eastAsia="宋体" w:cs="宋体"/>
                <w:b/>
                <w:bCs/>
                <w:color w:val="auto"/>
                <w:kern w:val="0"/>
                <w:sz w:val="24"/>
                <w:szCs w:val="24"/>
                <w:highlight w:val="none"/>
                <w:lang w:val="en-US" w:eastAsia="zh-CN"/>
              </w:rPr>
              <w:t>在采购合同签订后并且有产生采购数量的，在第一次下单采购后10个工作日内</w:t>
            </w:r>
            <w:r>
              <w:rPr>
                <w:rFonts w:hint="eastAsia" w:ascii="宋体" w:hAnsi="宋体" w:eastAsia="宋体" w:cs="宋体"/>
                <w:b/>
                <w:bCs/>
                <w:color w:val="auto"/>
                <w:kern w:val="0"/>
                <w:sz w:val="24"/>
                <w:szCs w:val="24"/>
                <w:highlight w:val="none"/>
                <w:lang w:val="en-US" w:eastAsia="zh-CN" w:bidi="ar-SA"/>
              </w:rPr>
              <w:t>免费提供1-3产品一台作为备用机发货至征集人指定仓库。在框架协议有效期内所投采购包</w:t>
            </w:r>
            <w:r>
              <w:rPr>
                <w:rFonts w:hint="eastAsia" w:ascii="宋体" w:hAnsi="宋体" w:cs="宋体"/>
                <w:b/>
                <w:bCs/>
                <w:color w:val="auto"/>
                <w:kern w:val="0"/>
                <w:sz w:val="24"/>
                <w:szCs w:val="24"/>
                <w:highlight w:val="none"/>
                <w:lang w:val="en-US" w:eastAsia="zh-CN" w:bidi="ar-SA"/>
              </w:rPr>
              <w:t>1</w:t>
            </w:r>
            <w:r>
              <w:rPr>
                <w:rFonts w:hint="eastAsia" w:ascii="宋体" w:hAnsi="宋体" w:eastAsia="宋体" w:cs="宋体"/>
                <w:b/>
                <w:bCs/>
                <w:color w:val="auto"/>
                <w:kern w:val="0"/>
                <w:sz w:val="24"/>
                <w:szCs w:val="24"/>
                <w:highlight w:val="none"/>
                <w:lang w:val="en-US" w:eastAsia="zh-CN" w:bidi="ar-SA"/>
              </w:rPr>
              <w:t>的累计采购数量每</w:t>
            </w:r>
            <w:r>
              <w:rPr>
                <w:rFonts w:hint="eastAsia" w:ascii="宋体" w:hAnsi="宋体" w:cs="宋体"/>
                <w:b/>
                <w:bCs/>
                <w:color w:val="auto"/>
                <w:kern w:val="0"/>
                <w:sz w:val="24"/>
                <w:szCs w:val="24"/>
                <w:highlight w:val="none"/>
                <w:lang w:val="en-US" w:eastAsia="zh-CN" w:bidi="ar-SA"/>
              </w:rPr>
              <w:t>满</w:t>
            </w:r>
            <w:r>
              <w:rPr>
                <w:rFonts w:hint="eastAsia" w:ascii="宋体" w:hAnsi="宋体" w:eastAsia="宋体" w:cs="宋体"/>
                <w:b/>
                <w:bCs/>
                <w:color w:val="auto"/>
                <w:kern w:val="0"/>
                <w:sz w:val="24"/>
                <w:szCs w:val="24"/>
                <w:highlight w:val="none"/>
                <w:lang w:val="en-US" w:eastAsia="zh-CN" w:bidi="ar-SA"/>
              </w:rPr>
              <w:t>500台额外提供1台1-3产品作为备用机，所投采购包</w:t>
            </w:r>
            <w:r>
              <w:rPr>
                <w:rFonts w:hint="eastAsia" w:ascii="宋体" w:hAnsi="宋体" w:cs="宋体"/>
                <w:b/>
                <w:bCs/>
                <w:color w:val="auto"/>
                <w:kern w:val="0"/>
                <w:sz w:val="24"/>
                <w:szCs w:val="24"/>
                <w:highlight w:val="none"/>
                <w:lang w:val="en-US" w:eastAsia="zh-CN" w:bidi="ar-SA"/>
              </w:rPr>
              <w:t>2</w:t>
            </w:r>
            <w:r>
              <w:rPr>
                <w:rFonts w:hint="eastAsia" w:ascii="宋体" w:hAnsi="宋体" w:eastAsia="宋体" w:cs="宋体"/>
                <w:b/>
                <w:bCs/>
                <w:color w:val="auto"/>
                <w:kern w:val="0"/>
                <w:sz w:val="24"/>
                <w:szCs w:val="24"/>
                <w:highlight w:val="none"/>
                <w:lang w:val="en-US" w:eastAsia="zh-CN" w:bidi="ar-SA"/>
              </w:rPr>
              <w:t>的累计采购数量每</w:t>
            </w:r>
            <w:r>
              <w:rPr>
                <w:rFonts w:hint="eastAsia" w:ascii="宋体" w:hAnsi="宋体" w:cs="宋体"/>
                <w:b/>
                <w:bCs/>
                <w:color w:val="auto"/>
                <w:kern w:val="0"/>
                <w:sz w:val="24"/>
                <w:szCs w:val="24"/>
                <w:highlight w:val="none"/>
                <w:lang w:val="en-US" w:eastAsia="zh-CN" w:bidi="ar-SA"/>
              </w:rPr>
              <w:t>满2</w:t>
            </w:r>
            <w:r>
              <w:rPr>
                <w:rFonts w:hint="eastAsia" w:ascii="宋体" w:hAnsi="宋体" w:eastAsia="宋体" w:cs="宋体"/>
                <w:b/>
                <w:bCs/>
                <w:color w:val="auto"/>
                <w:kern w:val="0"/>
                <w:sz w:val="24"/>
                <w:szCs w:val="24"/>
                <w:highlight w:val="none"/>
                <w:lang w:val="en-US" w:eastAsia="zh-CN" w:bidi="ar-SA"/>
              </w:rPr>
              <w:t>00台提供1台</w:t>
            </w:r>
            <w:r>
              <w:rPr>
                <w:rFonts w:hint="eastAsia" w:ascii="宋体" w:hAnsi="宋体" w:cs="宋体"/>
                <w:b/>
                <w:bCs/>
                <w:color w:val="auto"/>
                <w:kern w:val="0"/>
                <w:sz w:val="24"/>
                <w:szCs w:val="24"/>
                <w:highlight w:val="none"/>
                <w:lang w:val="en-US" w:eastAsia="zh-CN" w:bidi="ar-SA"/>
              </w:rPr>
              <w:t>2</w:t>
            </w:r>
            <w:r>
              <w:rPr>
                <w:rFonts w:hint="eastAsia" w:ascii="宋体" w:hAnsi="宋体" w:eastAsia="宋体" w:cs="宋体"/>
                <w:b/>
                <w:bCs/>
                <w:color w:val="auto"/>
                <w:kern w:val="0"/>
                <w:sz w:val="24"/>
                <w:szCs w:val="24"/>
                <w:highlight w:val="none"/>
                <w:lang w:val="en-US" w:eastAsia="zh-CN" w:bidi="ar-SA"/>
              </w:rPr>
              <w:t>-</w:t>
            </w:r>
            <w:r>
              <w:rPr>
                <w:rFonts w:hint="eastAsia" w:ascii="宋体" w:hAnsi="宋体" w:cs="宋体"/>
                <w:b/>
                <w:bCs/>
                <w:color w:val="auto"/>
                <w:kern w:val="0"/>
                <w:sz w:val="24"/>
                <w:szCs w:val="24"/>
                <w:highlight w:val="none"/>
                <w:lang w:val="en-US" w:eastAsia="zh-CN" w:bidi="ar-SA"/>
              </w:rPr>
              <w:t>2</w:t>
            </w:r>
            <w:r>
              <w:rPr>
                <w:rFonts w:hint="eastAsia" w:ascii="宋体" w:hAnsi="宋体" w:eastAsia="宋体" w:cs="宋体"/>
                <w:b/>
                <w:bCs/>
                <w:color w:val="auto"/>
                <w:kern w:val="0"/>
                <w:sz w:val="24"/>
                <w:szCs w:val="24"/>
                <w:highlight w:val="none"/>
                <w:lang w:val="en-US" w:eastAsia="zh-CN" w:bidi="ar-SA"/>
              </w:rPr>
              <w:t>产品作为备用机，备用机在接到征集人通知后10个工作日发货至征集人指定仓库。上述备用机归征集人所有，由征集人自行调配，框架协议有效期满后亦不予返还投标人，未到货征集人有权直接扣除入围供应商相应等值金额的履约保证金。</w:t>
            </w:r>
          </w:p>
          <w:p w14:paraId="33A677E2">
            <w:pPr>
              <w:pStyle w:val="13"/>
              <w:shd w:val="clear" w:color="auto"/>
              <w:spacing w:after="0" w:afterLines="0" w:line="360" w:lineRule="auto"/>
              <w:ind w:firstLine="482" w:firstLineChars="200"/>
              <w:rPr>
                <w:rFonts w:hint="default" w:ascii="Calibri" w:hAnsi="Calibri" w:eastAsia="宋体" w:cs="Times New Roman"/>
                <w:b/>
                <w:bCs/>
                <w:color w:val="auto"/>
                <w:kern w:val="2"/>
                <w:sz w:val="28"/>
                <w:szCs w:val="24"/>
                <w:highlight w:val="none"/>
                <w:lang w:eastAsia="zh-CN"/>
              </w:rPr>
            </w:pPr>
            <w:r>
              <w:rPr>
                <w:rFonts w:hint="default" w:ascii="宋体" w:hAnsi="宋体" w:cs="宋体"/>
                <w:b/>
                <w:bCs/>
                <w:color w:val="auto"/>
                <w:kern w:val="0"/>
                <w:sz w:val="24"/>
                <w:szCs w:val="24"/>
                <w:highlight w:val="none"/>
                <w:lang w:eastAsia="zh-CN" w:bidi="ar-SA"/>
              </w:rPr>
              <w:t>7</w:t>
            </w:r>
            <w:r>
              <w:rPr>
                <w:rFonts w:hint="eastAsia" w:ascii="宋体" w:hAnsi="宋体" w:cs="宋体"/>
                <w:b/>
                <w:bCs/>
                <w:color w:val="auto"/>
                <w:kern w:val="0"/>
                <w:sz w:val="24"/>
                <w:szCs w:val="24"/>
                <w:highlight w:val="none"/>
                <w:lang w:eastAsia="zh-CN" w:bidi="ar-SA"/>
              </w:rPr>
              <w:t>.6</w:t>
            </w:r>
            <w:r>
              <w:rPr>
                <w:rFonts w:hint="eastAsia" w:ascii="宋体" w:hAnsi="宋体" w:eastAsia="宋体" w:cs="宋体"/>
                <w:b/>
                <w:bCs/>
                <w:color w:val="auto"/>
                <w:kern w:val="0"/>
                <w:sz w:val="24"/>
                <w:szCs w:val="24"/>
                <w:highlight w:val="none"/>
                <w:lang w:val="en-US" w:eastAsia="zh-CN" w:bidi="ar-SA"/>
              </w:rPr>
              <w:t>入围供应商需对接大宗售后保障运维平台，为最终用户提供安装预约和在线报修服务。当入围供应商收到平台的安装派单或最终用户报修需求后，应按照合同约定的时效，及时上门进行安装或维修工作。</w:t>
            </w:r>
            <w:r>
              <w:rPr>
                <w:rFonts w:hint="eastAsia" w:ascii="宋体" w:hAnsi="宋体" w:cs="宋体"/>
                <w:b/>
                <w:bCs/>
                <w:color w:val="auto"/>
                <w:kern w:val="0"/>
                <w:sz w:val="24"/>
                <w:szCs w:val="24"/>
                <w:highlight w:val="none"/>
                <w:lang w:eastAsia="zh-CN" w:bidi="ar-SA"/>
              </w:rPr>
              <w:t>安装或</w:t>
            </w:r>
            <w:r>
              <w:rPr>
                <w:rFonts w:hint="eastAsia" w:ascii="宋体" w:hAnsi="宋体" w:eastAsia="宋体" w:cs="宋体"/>
                <w:b/>
                <w:bCs/>
                <w:color w:val="auto"/>
                <w:kern w:val="0"/>
                <w:sz w:val="24"/>
                <w:szCs w:val="24"/>
                <w:highlight w:val="none"/>
                <w:lang w:val="en-US" w:eastAsia="zh-CN" w:bidi="ar-SA"/>
              </w:rPr>
              <w:t>维修工作完成后，入围供应商需将</w:t>
            </w:r>
            <w:r>
              <w:rPr>
                <w:rFonts w:hint="eastAsia" w:ascii="宋体" w:hAnsi="宋体" w:cs="宋体"/>
                <w:b/>
                <w:bCs/>
                <w:color w:val="auto"/>
                <w:kern w:val="0"/>
                <w:sz w:val="24"/>
                <w:szCs w:val="24"/>
                <w:highlight w:val="none"/>
                <w:lang w:eastAsia="zh-CN" w:bidi="ar-SA"/>
              </w:rPr>
              <w:t>反馈</w:t>
            </w:r>
            <w:r>
              <w:rPr>
                <w:rFonts w:hint="eastAsia" w:ascii="宋体" w:hAnsi="宋体" w:eastAsia="宋体" w:cs="宋体"/>
                <w:b/>
                <w:bCs/>
                <w:color w:val="auto"/>
                <w:kern w:val="0"/>
                <w:sz w:val="24"/>
                <w:szCs w:val="24"/>
                <w:highlight w:val="none"/>
                <w:lang w:val="en-US" w:eastAsia="zh-CN" w:bidi="ar-SA"/>
              </w:rPr>
              <w:t>记录（括服务人员、服务反馈、机身序列号、照片、电子验收单等信息）</w:t>
            </w:r>
            <w:r>
              <w:rPr>
                <w:rFonts w:hint="eastAsia" w:ascii="宋体" w:hAnsi="宋体" w:cs="宋体"/>
                <w:b/>
                <w:bCs/>
                <w:color w:val="auto"/>
                <w:kern w:val="0"/>
                <w:sz w:val="24"/>
                <w:szCs w:val="24"/>
                <w:highlight w:val="none"/>
                <w:lang w:eastAsia="zh-CN" w:bidi="ar-SA"/>
              </w:rPr>
              <w:t>回执</w:t>
            </w:r>
            <w:r>
              <w:rPr>
                <w:rFonts w:hint="eastAsia" w:ascii="宋体" w:hAnsi="宋体" w:eastAsia="宋体" w:cs="宋体"/>
                <w:b/>
                <w:bCs/>
                <w:color w:val="auto"/>
                <w:kern w:val="0"/>
                <w:sz w:val="24"/>
                <w:szCs w:val="24"/>
                <w:highlight w:val="none"/>
                <w:lang w:val="en-US" w:eastAsia="zh-CN" w:bidi="ar-SA"/>
              </w:rPr>
              <w:t>至大宗售后保障运维平台。通过使用大宗售后保障运维平台，提高最终用户安装或报修的便捷性和售后效率。</w:t>
            </w:r>
          </w:p>
        </w:tc>
      </w:tr>
      <w:tr w14:paraId="676C801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5000" w:type="pct"/>
            <w:tcBorders>
              <w:top w:val="outset" w:color="auto" w:sz="6" w:space="0"/>
              <w:left w:val="outset" w:color="auto" w:sz="6" w:space="0"/>
              <w:bottom w:val="outset" w:color="auto" w:sz="6" w:space="0"/>
              <w:right w:val="outset" w:color="auto" w:sz="6" w:space="0"/>
            </w:tcBorders>
            <w:vAlign w:val="center"/>
          </w:tcPr>
          <w:p w14:paraId="022C76E2">
            <w:pPr>
              <w:keepNext w:val="0"/>
              <w:keepLines w:val="0"/>
              <w:suppressLineNumbers w:val="0"/>
              <w:shd w:val="clear" w:color="auto" w:fill="FFFFFF"/>
              <w:spacing w:before="0" w:beforeAutospacing="0" w:after="0" w:afterLines="0" w:afterAutospacing="0" w:line="360" w:lineRule="auto"/>
              <w:ind w:left="0" w:right="0"/>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w:t>
            </w:r>
            <w:r>
              <w:rPr>
                <w:rFonts w:hint="default" w:ascii="宋体" w:hAnsi="宋体" w:cs="宋体"/>
                <w:b/>
                <w:bCs/>
                <w:color w:val="auto"/>
                <w:kern w:val="0"/>
                <w:sz w:val="24"/>
                <w:szCs w:val="24"/>
                <w:highlight w:val="none"/>
                <w:lang w:eastAsia="zh-CN" w:bidi="ar-SA"/>
              </w:rPr>
              <w:t>8</w:t>
            </w:r>
            <w:r>
              <w:rPr>
                <w:rFonts w:hint="eastAsia" w:ascii="宋体" w:hAnsi="宋体" w:eastAsia="宋体" w:cs="宋体"/>
                <w:b/>
                <w:bCs/>
                <w:color w:val="auto"/>
                <w:kern w:val="0"/>
                <w:sz w:val="24"/>
                <w:szCs w:val="24"/>
                <w:highlight w:val="none"/>
                <w:lang w:val="en-US" w:eastAsia="zh-CN" w:bidi="ar-SA"/>
              </w:rPr>
              <w:t>、交货期及供货方式要求</w:t>
            </w:r>
          </w:p>
          <w:p w14:paraId="4C246254">
            <w:pPr>
              <w:spacing w:line="360" w:lineRule="auto"/>
              <w:ind w:firstLine="482" w:firstLineChars="200"/>
              <w:rPr>
                <w:rFonts w:hint="eastAsia" w:ascii="宋体" w:hAnsi="宋体" w:eastAsia="宋体" w:cs="宋体"/>
                <w:b/>
                <w:bCs w:val="0"/>
                <w:color w:val="auto"/>
                <w:kern w:val="2"/>
                <w:sz w:val="24"/>
                <w:szCs w:val="24"/>
                <w:highlight w:val="none"/>
                <w:lang w:val="en-US" w:eastAsia="zh-CN" w:bidi="ar"/>
              </w:rPr>
            </w:pPr>
            <w:r>
              <w:rPr>
                <w:rFonts w:hint="default" w:ascii="宋体" w:hAnsi="宋体" w:cs="宋体"/>
                <w:b/>
                <w:bCs w:val="0"/>
                <w:color w:val="auto"/>
                <w:kern w:val="2"/>
                <w:sz w:val="24"/>
                <w:szCs w:val="24"/>
                <w:highlight w:val="none"/>
                <w:lang w:eastAsia="zh-CN" w:bidi="ar"/>
              </w:rPr>
              <w:t>8</w:t>
            </w:r>
            <w:r>
              <w:rPr>
                <w:rFonts w:hint="eastAsia" w:ascii="宋体" w:hAnsi="宋体" w:eastAsia="宋体" w:cs="宋体"/>
                <w:b/>
                <w:bCs w:val="0"/>
                <w:color w:val="auto"/>
                <w:kern w:val="2"/>
                <w:sz w:val="24"/>
                <w:szCs w:val="24"/>
                <w:highlight w:val="none"/>
                <w:lang w:val="en-US" w:eastAsia="zh-CN" w:bidi="ar"/>
              </w:rPr>
              <w:t>.1 交货期：</w:t>
            </w:r>
          </w:p>
          <w:p w14:paraId="4A66B846">
            <w:pPr>
              <w:spacing w:line="360" w:lineRule="auto"/>
              <w:ind w:firstLine="482" w:firstLineChars="200"/>
              <w:rPr>
                <w:rFonts w:hint="eastAsia" w:ascii="宋体" w:hAnsi="宋体" w:eastAsia="宋体" w:cs="宋体"/>
                <w:b/>
                <w:bCs w:val="0"/>
                <w:color w:val="auto"/>
                <w:kern w:val="2"/>
                <w:sz w:val="24"/>
                <w:szCs w:val="24"/>
                <w:highlight w:val="none"/>
                <w:lang w:val="en-US" w:eastAsia="zh-CN" w:bidi="ar"/>
              </w:rPr>
            </w:pPr>
            <w:r>
              <w:rPr>
                <w:rFonts w:hint="default" w:ascii="宋体" w:hAnsi="宋体" w:cs="宋体"/>
                <w:b/>
                <w:bCs w:val="0"/>
                <w:color w:val="auto"/>
                <w:kern w:val="2"/>
                <w:sz w:val="24"/>
                <w:szCs w:val="24"/>
                <w:highlight w:val="none"/>
                <w:lang w:eastAsia="zh-CN" w:bidi="ar"/>
              </w:rPr>
              <w:t>8</w:t>
            </w:r>
            <w:r>
              <w:rPr>
                <w:rFonts w:hint="eastAsia" w:ascii="宋体" w:hAnsi="宋体" w:cs="宋体"/>
                <w:b/>
                <w:bCs w:val="0"/>
                <w:color w:val="auto"/>
                <w:kern w:val="2"/>
                <w:sz w:val="24"/>
                <w:szCs w:val="24"/>
                <w:highlight w:val="none"/>
                <w:lang w:val="en-US" w:eastAsia="zh-CN" w:bidi="ar"/>
              </w:rPr>
              <w:t>.1.1</w:t>
            </w:r>
            <w:r>
              <w:rPr>
                <w:rFonts w:hint="eastAsia" w:ascii="宋体" w:hAnsi="宋体" w:eastAsia="宋体" w:cs="宋体"/>
                <w:b/>
                <w:bCs w:val="0"/>
                <w:color w:val="auto"/>
                <w:kern w:val="2"/>
                <w:sz w:val="24"/>
                <w:szCs w:val="24"/>
                <w:highlight w:val="none"/>
                <w:lang w:val="en-US" w:eastAsia="zh-CN" w:bidi="ar"/>
              </w:rPr>
              <w:t>投标人委托采购单位推荐的第三方物流公司进行集中仓储和二次配送至最终用户。投标人在接到采购单位《定货单》之日起20个日历日之内货交至采购单位推荐的第三方物流仓库，第三方物流在接到采购单位通知后厦门市行政区域内24小时、厦门市行政区域外48小时内运送至最终用户。投标人除承担运送至第三方物流仓库的费用，还应同时承担货物入第三方物流仓库的仓储操作费、从第三方物流仓库运送至最终用户的二次配送费等相应费用，采购单位推荐的第三方物流的仓储操作费及二次配送费的收费标准如下：二次配送费为150元/台，仓储操作费为60元/台。投标人应在采购单位发出《定货单》之日起10个工作日内结算已产生的相关物流费用，若投标人未及时结算物流费用，采购单位有权在履约保证金或应付货款中直接扣除。</w:t>
            </w:r>
          </w:p>
          <w:p w14:paraId="27BA66A7">
            <w:pPr>
              <w:spacing w:line="360" w:lineRule="auto"/>
              <w:ind w:firstLine="482" w:firstLineChars="200"/>
              <w:rPr>
                <w:rFonts w:hint="eastAsia" w:ascii="宋体" w:hAnsi="宋体" w:eastAsia="宋体" w:cs="宋体"/>
                <w:b/>
                <w:bCs w:val="0"/>
                <w:color w:val="auto"/>
                <w:kern w:val="2"/>
                <w:sz w:val="24"/>
                <w:szCs w:val="24"/>
                <w:highlight w:val="none"/>
                <w:lang w:val="en-US" w:eastAsia="zh-CN" w:bidi="ar"/>
              </w:rPr>
            </w:pPr>
            <w:r>
              <w:rPr>
                <w:rFonts w:hint="default" w:ascii="宋体" w:hAnsi="宋体" w:cs="宋体"/>
                <w:b/>
                <w:bCs w:val="0"/>
                <w:color w:val="auto"/>
                <w:kern w:val="2"/>
                <w:sz w:val="24"/>
                <w:szCs w:val="24"/>
                <w:highlight w:val="none"/>
                <w:lang w:eastAsia="zh-CN" w:bidi="ar"/>
              </w:rPr>
              <w:t>8</w:t>
            </w:r>
            <w:r>
              <w:rPr>
                <w:rFonts w:hint="eastAsia" w:ascii="宋体" w:hAnsi="宋体" w:eastAsia="宋体" w:cs="宋体"/>
                <w:b/>
                <w:bCs w:val="0"/>
                <w:color w:val="auto"/>
                <w:kern w:val="2"/>
                <w:sz w:val="24"/>
                <w:szCs w:val="24"/>
                <w:highlight w:val="none"/>
                <w:lang w:val="en-US" w:eastAsia="zh-CN" w:bidi="ar"/>
              </w:rPr>
              <w:t>.</w:t>
            </w:r>
            <w:r>
              <w:rPr>
                <w:rFonts w:hint="eastAsia" w:ascii="宋体" w:hAnsi="宋体" w:cs="宋体"/>
                <w:b/>
                <w:bCs w:val="0"/>
                <w:color w:val="auto"/>
                <w:kern w:val="2"/>
                <w:sz w:val="24"/>
                <w:szCs w:val="24"/>
                <w:highlight w:val="none"/>
                <w:lang w:val="en-US" w:eastAsia="zh-CN" w:bidi="ar"/>
              </w:rPr>
              <w:t>1.2</w:t>
            </w:r>
            <w:r>
              <w:rPr>
                <w:rFonts w:hint="eastAsia" w:ascii="宋体" w:hAnsi="宋体" w:eastAsia="宋体" w:cs="宋体"/>
                <w:b/>
                <w:bCs w:val="0"/>
                <w:color w:val="auto"/>
                <w:kern w:val="2"/>
                <w:sz w:val="24"/>
                <w:szCs w:val="24"/>
                <w:highlight w:val="none"/>
                <w:lang w:val="en-US" w:eastAsia="zh-CN" w:bidi="ar"/>
              </w:rPr>
              <w:t>投标人委托采购单位推荐的第三方物流公司进行集中仓储并自行二次配送至最终用户的，投标人在接到采购单位《定货单》之日起20个日历日之内货交采购单位推荐的第三方物流仓库。投标人接到采购单位通知后厦门市行政区域内24小时，厦门市行政区域外48小时内从采购单位仓库运送至最终用户，投标人从采购单位仓库中提货后，货物毁损、灭失的风险转移至投标人。采购单位推荐的第三方物流的仓储操作费的收费标准如下：仓储操作费为60元/台。投标人应在采购单位发出《定货单》之日起10个工作日内结算已产生的相关物流费用，若投标人未及时结算物流费用，采购单位有权在履约保证金或应付货款中直接扣除。</w:t>
            </w:r>
          </w:p>
          <w:p w14:paraId="34DDF1AA">
            <w:pPr>
              <w:spacing w:line="360" w:lineRule="auto"/>
              <w:ind w:firstLine="482" w:firstLineChars="200"/>
              <w:rPr>
                <w:rFonts w:hint="eastAsia" w:ascii="宋体" w:hAnsi="宋体" w:eastAsia="宋体" w:cs="宋体"/>
                <w:b/>
                <w:bCs w:val="0"/>
                <w:color w:val="auto"/>
                <w:kern w:val="2"/>
                <w:sz w:val="24"/>
                <w:szCs w:val="24"/>
                <w:highlight w:val="none"/>
                <w:lang w:val="en-US" w:eastAsia="zh-CN" w:bidi="ar"/>
              </w:rPr>
            </w:pPr>
            <w:r>
              <w:rPr>
                <w:rFonts w:hint="default" w:ascii="宋体" w:hAnsi="宋体" w:cs="宋体"/>
                <w:b/>
                <w:bCs w:val="0"/>
                <w:color w:val="auto"/>
                <w:kern w:val="2"/>
                <w:sz w:val="24"/>
                <w:szCs w:val="24"/>
                <w:highlight w:val="none"/>
                <w:lang w:eastAsia="zh-CN" w:bidi="ar"/>
              </w:rPr>
              <w:t>8</w:t>
            </w:r>
            <w:r>
              <w:rPr>
                <w:rFonts w:hint="eastAsia" w:ascii="宋体" w:hAnsi="宋体" w:eastAsia="宋体" w:cs="宋体"/>
                <w:b/>
                <w:bCs w:val="0"/>
                <w:color w:val="auto"/>
                <w:kern w:val="2"/>
                <w:sz w:val="24"/>
                <w:szCs w:val="24"/>
                <w:highlight w:val="none"/>
                <w:lang w:val="en-US" w:eastAsia="zh-CN" w:bidi="ar"/>
              </w:rPr>
              <w:t>.</w:t>
            </w:r>
            <w:r>
              <w:rPr>
                <w:rFonts w:hint="eastAsia" w:ascii="宋体" w:hAnsi="宋体" w:cs="宋体"/>
                <w:b/>
                <w:bCs w:val="0"/>
                <w:color w:val="auto"/>
                <w:kern w:val="2"/>
                <w:sz w:val="24"/>
                <w:szCs w:val="24"/>
                <w:highlight w:val="none"/>
                <w:lang w:val="en-US" w:eastAsia="zh-CN" w:bidi="ar"/>
              </w:rPr>
              <w:t>1.3</w:t>
            </w:r>
            <w:r>
              <w:rPr>
                <w:rFonts w:hint="eastAsia" w:ascii="宋体" w:hAnsi="宋体" w:eastAsia="宋体" w:cs="宋体"/>
                <w:b/>
                <w:bCs w:val="0"/>
                <w:color w:val="auto"/>
                <w:kern w:val="2"/>
                <w:sz w:val="24"/>
                <w:szCs w:val="24"/>
                <w:highlight w:val="none"/>
                <w:lang w:val="en-US" w:eastAsia="zh-CN" w:bidi="ar"/>
              </w:rPr>
              <w:t>投标人选择经采购单位评估认可的、符合本项目运作要求的合格第三方物流公司进行集中仓储和二次配送。合同签订后10个日历日内，投标人或第三方物流公司的仓储管理系统（WMS）、配送管理系统（TMS），需要实现与采购单位企业资源计划（ERP）系统的全流程技术对接，以确保系统间数据实时互通、同步一致，相关技术实施、系统对接工作及采购单位ERP系统接口改造相关工作，均由投标人全权负责。所有相关费用（含接口开发、调试、联调、ERP接口改造及后期维护等全部费用）均由投标人承担，采购单位不额外支付任何费用。投标人在接到采购单位通知后厦门市行政区域内24小时、厦门市行政区域外48小时内运送至最终用户。</w:t>
            </w:r>
          </w:p>
          <w:p w14:paraId="30187CE4">
            <w:pPr>
              <w:keepNext w:val="0"/>
              <w:keepLines w:val="0"/>
              <w:pageBreakBefore w:val="0"/>
              <w:widowControl w:val="0"/>
              <w:kinsoku/>
              <w:wordWrap/>
              <w:overflowPunct/>
              <w:topLinePunct w:val="0"/>
              <w:bidi w:val="0"/>
              <w:adjustRightInd/>
              <w:snapToGrid/>
              <w:spacing w:line="360" w:lineRule="auto"/>
              <w:ind w:firstLine="482" w:firstLineChars="200"/>
              <w:jc w:val="both"/>
              <w:textAlignment w:val="auto"/>
              <w:rPr>
                <w:rFonts w:hint="eastAsia" w:ascii="宋体" w:hAnsi="宋体" w:eastAsia="宋体" w:cs="宋体"/>
                <w:b/>
                <w:color w:val="auto"/>
                <w:kern w:val="0"/>
                <w:sz w:val="24"/>
                <w:szCs w:val="24"/>
                <w:highlight w:val="none"/>
              </w:rPr>
            </w:pPr>
            <w:r>
              <w:rPr>
                <w:rFonts w:hint="default" w:ascii="宋体" w:hAnsi="宋体" w:cs="宋体"/>
                <w:b/>
                <w:color w:val="auto"/>
                <w:kern w:val="2"/>
                <w:sz w:val="24"/>
                <w:szCs w:val="24"/>
                <w:highlight w:val="none"/>
                <w:lang w:eastAsia="zh-CN" w:bidi="ar"/>
              </w:rPr>
              <w:t>8</w:t>
            </w:r>
            <w:r>
              <w:rPr>
                <w:rFonts w:hint="eastAsia" w:ascii="宋体" w:hAnsi="宋体" w:cs="宋体"/>
                <w:b/>
                <w:color w:val="auto"/>
                <w:kern w:val="2"/>
                <w:sz w:val="24"/>
                <w:szCs w:val="24"/>
                <w:highlight w:val="none"/>
                <w:lang w:val="en-US" w:eastAsia="zh-CN" w:bidi="ar"/>
              </w:rPr>
              <w:t>.1.4</w:t>
            </w:r>
            <w:r>
              <w:rPr>
                <w:rFonts w:hint="eastAsia" w:ascii="宋体" w:hAnsi="宋体" w:eastAsia="宋体" w:cs="宋体"/>
                <w:b/>
                <w:color w:val="auto"/>
                <w:kern w:val="2"/>
                <w:sz w:val="24"/>
                <w:szCs w:val="24"/>
                <w:highlight w:val="none"/>
                <w:lang w:val="en-GB" w:eastAsia="zh-CN" w:bidi="ar"/>
              </w:rPr>
              <w:t>投标人选择经采购单位评估认可的、符合本项目运作要求的合格第三方物流公司进行集中仓储和二次配送。合同签订后10个日历日内，投标人或第三方物流公司的仓储管理系统（WMS）、配送管理系统（TMS），需要实现与采购单位企业资源计划（ERP）系统的全流程技术对接，以确保系统间数据实时互通、同步一致，相关技术实施、系统对接工作及采购单位ERP系统接口改造相关工作，均由投标人全权负责。所有相关费用（含接口开发、调试、联调、ERP接口改造及后期维护等全部费用）均由投标人承担，采购单位不额外支付任何费用。投标人在接到采购单位通知后厦门市行政区域内24小时、厦门市行政区域外48小时内运送至最终用户。</w:t>
            </w:r>
            <w:r>
              <w:rPr>
                <w:rFonts w:hint="eastAsia" w:ascii="宋体" w:hAnsi="宋体" w:eastAsia="宋体" w:cs="宋体"/>
                <w:b/>
                <w:color w:val="auto"/>
                <w:sz w:val="24"/>
                <w:szCs w:val="24"/>
                <w:highlight w:val="none"/>
                <w:lang w:val="en-GB" w:eastAsia="zh-CN"/>
              </w:rPr>
              <w:t xml:space="preserve"> </w:t>
            </w:r>
          </w:p>
          <w:p w14:paraId="79EADA0B">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宋体"/>
                <w:b/>
                <w:color w:val="auto"/>
                <w:kern w:val="2"/>
                <w:sz w:val="24"/>
                <w:szCs w:val="24"/>
                <w:highlight w:val="none"/>
                <w:lang w:val="en-GB"/>
              </w:rPr>
            </w:pPr>
            <w:r>
              <w:rPr>
                <w:rFonts w:hint="default" w:ascii="宋体" w:hAnsi="宋体" w:cs="宋体"/>
                <w:b/>
                <w:color w:val="auto"/>
                <w:kern w:val="2"/>
                <w:sz w:val="24"/>
                <w:szCs w:val="24"/>
                <w:highlight w:val="none"/>
                <w:lang w:eastAsia="zh-CN" w:bidi="ar"/>
              </w:rPr>
              <w:t>8</w:t>
            </w:r>
            <w:r>
              <w:rPr>
                <w:rFonts w:hint="eastAsia" w:ascii="宋体" w:hAnsi="宋体" w:cs="宋体"/>
                <w:b/>
                <w:color w:val="auto"/>
                <w:kern w:val="2"/>
                <w:sz w:val="24"/>
                <w:szCs w:val="24"/>
                <w:highlight w:val="none"/>
                <w:lang w:val="en-US" w:eastAsia="zh-CN" w:bidi="ar"/>
              </w:rPr>
              <w:t>.1.4</w:t>
            </w:r>
            <w:r>
              <w:rPr>
                <w:rFonts w:hint="eastAsia" w:ascii="宋体" w:hAnsi="宋体" w:eastAsia="宋体" w:cs="宋体"/>
                <w:b/>
                <w:color w:val="auto"/>
                <w:kern w:val="2"/>
                <w:sz w:val="24"/>
                <w:szCs w:val="24"/>
                <w:highlight w:val="none"/>
                <w:lang w:val="en-GB" w:eastAsia="zh-CN" w:bidi="ar"/>
              </w:rPr>
              <w:t>.1采购单位对第三方物流公司的评估标准包括但不限于：</w:t>
            </w:r>
          </w:p>
          <w:p w14:paraId="0DF2D4A6">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宋体"/>
                <w:b/>
                <w:color w:val="auto"/>
                <w:kern w:val="2"/>
                <w:sz w:val="24"/>
                <w:szCs w:val="24"/>
                <w:highlight w:val="none"/>
                <w:lang w:val="en-GB"/>
              </w:rPr>
            </w:pPr>
            <w:r>
              <w:rPr>
                <w:rFonts w:hint="eastAsia" w:ascii="宋体" w:hAnsi="宋体" w:eastAsia="宋体" w:cs="宋体"/>
                <w:b/>
                <w:color w:val="auto"/>
                <w:kern w:val="2"/>
                <w:sz w:val="24"/>
                <w:szCs w:val="24"/>
                <w:highlight w:val="none"/>
                <w:lang w:val="en-GB" w:eastAsia="zh-CN" w:bidi="ar"/>
              </w:rPr>
              <w:t>（1）经营主体需具备合法经营资格及开展仓配业务的相关资质，提供完整、有效、清晰的扫描文件，包括不限于营业执照、道路运输经营运营许可等，确保资质合规且在有效期内。</w:t>
            </w:r>
          </w:p>
          <w:p w14:paraId="47339250">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宋体"/>
                <w:b/>
                <w:color w:val="auto"/>
                <w:kern w:val="2"/>
                <w:sz w:val="24"/>
                <w:szCs w:val="24"/>
                <w:highlight w:val="none"/>
                <w:lang w:val="en-GB"/>
              </w:rPr>
            </w:pPr>
            <w:r>
              <w:rPr>
                <w:rFonts w:hint="eastAsia" w:ascii="宋体" w:hAnsi="宋体" w:eastAsia="宋体" w:cs="宋体"/>
                <w:b/>
                <w:color w:val="auto"/>
                <w:kern w:val="2"/>
                <w:sz w:val="24"/>
                <w:szCs w:val="24"/>
                <w:highlight w:val="none"/>
                <w:lang w:val="en-GB" w:eastAsia="zh-CN" w:bidi="ar"/>
              </w:rPr>
              <w:t>（2）自有或者租赁的经营场所权属清晰，需提供相应证明材料如产权证、租赁合同等扫描件，运营场所需能满足常规商品存储需求（防潮、防污、防破损、防霉变）、功能区划分布局合理，需提供仓储规划方案和照片。</w:t>
            </w:r>
          </w:p>
          <w:p w14:paraId="4754AF3D">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宋体"/>
                <w:b/>
                <w:color w:val="auto"/>
                <w:kern w:val="2"/>
                <w:sz w:val="24"/>
                <w:szCs w:val="24"/>
                <w:highlight w:val="none"/>
                <w:lang w:val="en-GB"/>
              </w:rPr>
            </w:pPr>
            <w:r>
              <w:rPr>
                <w:rFonts w:hint="eastAsia" w:ascii="宋体" w:hAnsi="宋体" w:eastAsia="宋体" w:cs="宋体"/>
                <w:b/>
                <w:color w:val="auto"/>
                <w:kern w:val="2"/>
                <w:sz w:val="24"/>
                <w:szCs w:val="24"/>
                <w:highlight w:val="none"/>
                <w:lang w:val="en-GB" w:eastAsia="zh-CN" w:bidi="ar"/>
              </w:rPr>
              <w:t>（3）仓库建筑消防等级不低于二级，符合《建筑设计防火规范》（GB 50016）相关要求，并经消防部门验收合格，需提供有效的消防验收意见书，消防设施设备配置齐全、完好有效。</w:t>
            </w:r>
          </w:p>
          <w:p w14:paraId="5D623714">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宋体"/>
                <w:b/>
                <w:color w:val="auto"/>
                <w:kern w:val="2"/>
                <w:sz w:val="24"/>
                <w:szCs w:val="24"/>
                <w:highlight w:val="none"/>
                <w:lang w:val="en-GB"/>
              </w:rPr>
            </w:pPr>
            <w:r>
              <w:rPr>
                <w:rFonts w:hint="eastAsia" w:ascii="宋体" w:hAnsi="宋体" w:eastAsia="宋体" w:cs="宋体"/>
                <w:b/>
                <w:color w:val="auto"/>
                <w:kern w:val="2"/>
                <w:sz w:val="24"/>
                <w:szCs w:val="24"/>
                <w:highlight w:val="none"/>
                <w:lang w:val="en-GB" w:eastAsia="zh-CN" w:bidi="ar"/>
              </w:rPr>
              <w:t>（4）日常消防维保和电气检测，需要建立消防设施设备日常维护保养制度，每半年委托具备资质的第三方机构进行一次全面检测，确保消防设施设备始终处于良好运行状态，每一年委托具备资质的第三方机构进行一次电气消防安全检测，需提供消防维保计划和电气消防安全检测报告。</w:t>
            </w:r>
          </w:p>
          <w:p w14:paraId="3C127EE0">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宋体"/>
                <w:b/>
                <w:color w:val="auto"/>
                <w:kern w:val="2"/>
                <w:sz w:val="24"/>
                <w:szCs w:val="24"/>
                <w:highlight w:val="none"/>
                <w:lang w:val="en-GB"/>
              </w:rPr>
            </w:pPr>
            <w:r>
              <w:rPr>
                <w:rFonts w:hint="eastAsia" w:ascii="宋体" w:hAnsi="宋体" w:eastAsia="宋体" w:cs="宋体"/>
                <w:b/>
                <w:color w:val="auto"/>
                <w:kern w:val="2"/>
                <w:sz w:val="24"/>
                <w:szCs w:val="24"/>
                <w:highlight w:val="none"/>
                <w:lang w:val="en-GB" w:eastAsia="zh-CN" w:bidi="ar"/>
              </w:rPr>
              <w:t>（5）经营主体配备有充足、完善的仓储装卸、配送车辆等硬件设备，满足仓配业务的高效运营需求，包括不限于叉车、托盘车、夹包机、液压车、托盘、各规格的配送车辆、推车等物流设备；设备日常维护到位，确保作业顺畅，需提供详细的货物装卸和货物配送方案。</w:t>
            </w:r>
          </w:p>
          <w:p w14:paraId="00BC773E">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宋体"/>
                <w:b/>
                <w:color w:val="auto"/>
                <w:kern w:val="2"/>
                <w:sz w:val="24"/>
                <w:szCs w:val="24"/>
                <w:highlight w:val="none"/>
                <w:lang w:val="en-GB"/>
              </w:rPr>
            </w:pPr>
            <w:r>
              <w:rPr>
                <w:rFonts w:hint="eastAsia" w:ascii="宋体" w:hAnsi="宋体" w:eastAsia="宋体" w:cs="宋体"/>
                <w:b/>
                <w:color w:val="auto"/>
                <w:kern w:val="2"/>
                <w:sz w:val="24"/>
                <w:szCs w:val="24"/>
                <w:highlight w:val="none"/>
                <w:lang w:val="en-GB" w:eastAsia="zh-CN" w:bidi="ar"/>
              </w:rPr>
              <w:t>（6）经营主体需具备完善的物流信息管理系统，实现仓配业务全流程信息化、智能化管理，确保货物入库、存储、分拣、出库、配送等环节可追溯、高效协同。仓储管理系统除正常的商品管理和分拣功能外，需可实现先进先出管理、质保期管控等模块；物流配送管理系统需可实时反馈订单状态并上传订单签收信息。需提供物流信息管理系统各功能模块照片。</w:t>
            </w:r>
          </w:p>
          <w:p w14:paraId="6C0490BA">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宋体"/>
                <w:b/>
                <w:color w:val="auto"/>
                <w:kern w:val="2"/>
                <w:sz w:val="24"/>
                <w:szCs w:val="24"/>
                <w:highlight w:val="none"/>
                <w:lang w:val="en-GB"/>
              </w:rPr>
            </w:pPr>
            <w:r>
              <w:rPr>
                <w:rFonts w:hint="eastAsia" w:ascii="宋体" w:hAnsi="宋体" w:eastAsia="宋体" w:cs="宋体"/>
                <w:b/>
                <w:color w:val="auto"/>
                <w:kern w:val="2"/>
                <w:sz w:val="24"/>
                <w:szCs w:val="24"/>
                <w:highlight w:val="none"/>
                <w:lang w:val="en-GB" w:eastAsia="zh-CN" w:bidi="ar"/>
              </w:rPr>
              <w:t>（7）经营主体需购买足额的货物仓储一切险、货物运输险，保额和保险期限覆盖最高库存峰值以及整个合作周期，能够有效应对货物损坏、丢失、意外事故等风险，需要提供完整的保险保单及投保证明。</w:t>
            </w:r>
          </w:p>
          <w:p w14:paraId="105E8177">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宋体"/>
                <w:b/>
                <w:color w:val="auto"/>
                <w:kern w:val="2"/>
                <w:sz w:val="24"/>
                <w:szCs w:val="24"/>
                <w:highlight w:val="none"/>
                <w:lang w:val="en-GB"/>
              </w:rPr>
            </w:pPr>
            <w:r>
              <w:rPr>
                <w:rFonts w:hint="eastAsia" w:ascii="宋体" w:hAnsi="宋体" w:eastAsia="宋体" w:cs="宋体"/>
                <w:b/>
                <w:color w:val="auto"/>
                <w:kern w:val="2"/>
                <w:sz w:val="24"/>
                <w:szCs w:val="24"/>
                <w:highlight w:val="none"/>
                <w:lang w:val="en-GB" w:eastAsia="zh-CN" w:bidi="ar"/>
              </w:rPr>
              <w:t>（8）需提供完善的应急处置方案，针对自然灾害、人为事故、特殊客诉等突发事件，提前制定应急预案，配备相应应急物资（如灭火器、急救箱、应急车辆等），定期组织应急演练，优化应急方案，确保突发事件发生时能够及时响应、有效处置，最大限度减少损失。</w:t>
            </w:r>
          </w:p>
          <w:p w14:paraId="60942B76">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cs="宋体"/>
                <w:b/>
                <w:color w:val="auto"/>
                <w:kern w:val="2"/>
                <w:sz w:val="24"/>
                <w:szCs w:val="24"/>
                <w:highlight w:val="none"/>
                <w:lang w:val="en-GB"/>
              </w:rPr>
            </w:pPr>
            <w:r>
              <w:rPr>
                <w:rFonts w:hint="default" w:ascii="宋体" w:hAnsi="宋体" w:cs="宋体"/>
                <w:b/>
                <w:color w:val="auto"/>
                <w:kern w:val="2"/>
                <w:sz w:val="24"/>
                <w:szCs w:val="24"/>
                <w:highlight w:val="none"/>
                <w:lang w:eastAsia="zh-CN" w:bidi="ar"/>
              </w:rPr>
              <w:t>8</w:t>
            </w:r>
            <w:r>
              <w:rPr>
                <w:rFonts w:hint="eastAsia" w:ascii="宋体" w:hAnsi="宋体" w:cs="宋体"/>
                <w:b/>
                <w:color w:val="auto"/>
                <w:kern w:val="2"/>
                <w:sz w:val="24"/>
                <w:szCs w:val="24"/>
                <w:highlight w:val="none"/>
                <w:lang w:val="en-US" w:eastAsia="zh-CN" w:bidi="ar"/>
              </w:rPr>
              <w:t>.1.4</w:t>
            </w:r>
            <w:r>
              <w:rPr>
                <w:rFonts w:hint="eastAsia" w:ascii="宋体" w:hAnsi="宋体" w:eastAsia="宋体" w:cs="宋体"/>
                <w:b/>
                <w:color w:val="auto"/>
                <w:kern w:val="2"/>
                <w:sz w:val="24"/>
                <w:szCs w:val="24"/>
                <w:highlight w:val="none"/>
                <w:lang w:val="en-GB" w:eastAsia="zh-CN" w:bidi="ar"/>
              </w:rPr>
              <w:t>.2系统对接的标准规范和内容要求如下：</w:t>
            </w:r>
          </w:p>
          <w:p w14:paraId="0C5D40CD">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cs="宋体"/>
                <w:b/>
                <w:color w:val="auto"/>
                <w:kern w:val="2"/>
                <w:sz w:val="24"/>
                <w:szCs w:val="24"/>
                <w:highlight w:val="none"/>
                <w:lang w:val="en-GB"/>
              </w:rPr>
            </w:pPr>
            <w:r>
              <w:rPr>
                <w:rFonts w:hint="eastAsia" w:ascii="宋体" w:hAnsi="宋体" w:eastAsia="宋体" w:cs="宋体"/>
                <w:b/>
                <w:color w:val="auto"/>
                <w:kern w:val="2"/>
                <w:sz w:val="24"/>
                <w:szCs w:val="24"/>
                <w:highlight w:val="none"/>
                <w:lang w:val="en-GB" w:eastAsia="zh-CN" w:bidi="ar"/>
              </w:rPr>
              <w:t>（1）系统对接须遵循采购单位ERP系统既定的技术标准及接口规范，采用标准化接口协议（优先支持RESTful API或WebService协议），实现接口双向通信及数据实时交互，对接过程需严格遵守采购单位数据安全管理规定，采取加密传输（如HTTPS协议）、身份认证（如Token令牌验证）、数据脱敏等安全措施，严防数据泄露、篡改、丢失，确保数据传输及存储的安全性、完整性和保密性。</w:t>
            </w:r>
          </w:p>
          <w:p w14:paraId="59BE3E8A">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cs="宋体"/>
                <w:b/>
                <w:color w:val="auto"/>
                <w:kern w:val="2"/>
                <w:sz w:val="24"/>
                <w:szCs w:val="24"/>
                <w:highlight w:val="none"/>
                <w:lang w:val="en-GB"/>
              </w:rPr>
            </w:pPr>
            <w:r>
              <w:rPr>
                <w:rFonts w:hint="eastAsia" w:ascii="宋体" w:hAnsi="宋体" w:eastAsia="宋体" w:cs="宋体"/>
                <w:b/>
                <w:color w:val="auto"/>
                <w:kern w:val="2"/>
                <w:sz w:val="24"/>
                <w:szCs w:val="24"/>
                <w:highlight w:val="none"/>
                <w:lang w:val="en-GB" w:eastAsia="zh-CN" w:bidi="ar"/>
              </w:rPr>
              <w:t>（2）对接内容须全面覆盖本项目全流程业务数据，确保无遗漏、无延迟，具体包括但不限于：库存数据（实时库存数量、库存位置、库存状态、滞销/临期库存预警）、采购到货数据（预计到货时间、到货批次、到货数量、供应商信息）、出库发货数据（已发货数量、发货批次、发货时间、收货方信息）、待发运数据（即将发货数量、待发运清单、发运优先级）、物流跟踪数据（发货单编号、承运司机姓名及联系方式、车牌号码、车辆定位、实时运输状态、司机实时在线状态、司机实时位置更新、司机行程轨迹回溯）、时效管理数据（预计到货时间、实际到货时间、时效偏差预警）、退换货数据（退换货申请信息、退换货原因、退换货数量、退换货入库状态、理赔进度）等核心业务信息，同时须支持司机实时相关功能，包括但不限于司机实时在线状态监测、司机实时位置动态更新、司机行程轨迹实时回溯及异常情况（如偏离路线、停留超时）实时预警，确保采购单位可通过ERP系统实时监控、查询本项目仓储配送全流程及司机作业状态，保障配送及时性、准确性及安全性。</w:t>
            </w:r>
          </w:p>
          <w:p w14:paraId="6708EFD3">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cs="宋体"/>
                <w:b/>
                <w:color w:val="auto"/>
                <w:kern w:val="2"/>
                <w:sz w:val="24"/>
                <w:szCs w:val="24"/>
                <w:highlight w:val="none"/>
                <w:lang w:val="en-GB"/>
              </w:rPr>
            </w:pPr>
            <w:r>
              <w:rPr>
                <w:rFonts w:hint="eastAsia" w:ascii="宋体" w:hAnsi="宋体" w:eastAsia="宋体" w:cs="宋体"/>
                <w:b/>
                <w:color w:val="auto"/>
                <w:kern w:val="2"/>
                <w:sz w:val="24"/>
                <w:szCs w:val="24"/>
                <w:highlight w:val="none"/>
                <w:lang w:val="en-GB" w:eastAsia="zh-CN" w:bidi="ar"/>
              </w:rPr>
              <w:t>（3）仓储管理系统和配送管理系统可支撑本项目业务量峰值及未来业务拓展需求，接口响应时间≤300ms，数据同步延迟≤3分钟，系统全年可用率≥99.9%，无重大系统故障（单次故障持续时间≤1小时）。</w:t>
            </w:r>
          </w:p>
          <w:p w14:paraId="680DE130">
            <w:pPr>
              <w:spacing w:line="360" w:lineRule="auto"/>
              <w:ind w:firstLine="482" w:firstLineChars="200"/>
              <w:rPr>
                <w:rFonts w:hint="eastAsia" w:ascii="宋体" w:hAnsi="宋体" w:cs="宋体"/>
                <w:b/>
                <w:color w:val="auto"/>
                <w:sz w:val="24"/>
                <w:highlight w:val="none"/>
                <w:lang w:val="en-GB" w:bidi="ar"/>
              </w:rPr>
            </w:pPr>
            <w:r>
              <w:rPr>
                <w:rFonts w:hint="eastAsia" w:ascii="宋体" w:hAnsi="宋体" w:eastAsia="宋体" w:cs="宋体"/>
                <w:b/>
                <w:color w:val="auto"/>
                <w:kern w:val="2"/>
                <w:sz w:val="24"/>
                <w:szCs w:val="24"/>
                <w:highlight w:val="none"/>
                <w:lang w:val="en-GB" w:eastAsia="zh-CN" w:bidi="ar"/>
              </w:rPr>
              <w:t>（4）系统对接完成后，投标人须提交完整的接口开发文档、测试报告（含功能测试、性能测试、安全测试、兼容性测试）、系统部署文档、操作手册及维护方案，由采购单位组织专项验收，验收合格并出具验收报告后，系统方可正式投入使用；</w:t>
            </w:r>
            <w:r>
              <w:rPr>
                <w:rFonts w:hint="eastAsia" w:ascii="宋体" w:hAnsi="宋体" w:eastAsia="宋体" w:cs="宋体"/>
                <w:b/>
                <w:bCs w:val="0"/>
                <w:color w:val="auto"/>
                <w:kern w:val="2"/>
                <w:sz w:val="24"/>
                <w:szCs w:val="24"/>
                <w:highlight w:val="none"/>
                <w:lang w:val="en-GB" w:eastAsia="zh-CN" w:bidi="ar"/>
              </w:rPr>
              <w:t>若验收不合格，投标人须在采购单位指定期限内完成整改，整改费用由投标人自行承担，若逾期未完成整改或整改后仍不合格，为了保障本项目顺利运行，采购单位有权要求投标人使用采购单位推荐的第三方物流公司</w:t>
            </w:r>
            <w:r>
              <w:rPr>
                <w:rFonts w:hint="eastAsia" w:ascii="宋体" w:hAnsi="宋体" w:eastAsia="宋体" w:cs="宋体"/>
                <w:b/>
                <w:color w:val="auto"/>
                <w:kern w:val="2"/>
                <w:sz w:val="24"/>
                <w:szCs w:val="24"/>
                <w:highlight w:val="none"/>
                <w:lang w:val="en-GB" w:eastAsia="zh-CN" w:bidi="ar"/>
              </w:rPr>
              <w:t>，投标人除承担运送至第三方物流仓库的费用，还应同时承担货物入第三方物流仓库的仓储操作费、从第三方物流仓库运送至最终用户的二次配送费等相应费用，采购单位推荐的第三方物流的仓储操作费及二次配送费的收费标准如下：</w:t>
            </w:r>
            <w:r>
              <w:rPr>
                <w:rFonts w:hint="eastAsia" w:ascii="宋体" w:hAnsi="宋体" w:eastAsia="宋体" w:cs="宋体"/>
                <w:b/>
                <w:color w:val="auto"/>
                <w:kern w:val="2"/>
                <w:sz w:val="24"/>
                <w:szCs w:val="24"/>
                <w:highlight w:val="none"/>
                <w:lang w:val="en-GB" w:eastAsia="zh-CN" w:bidi="ar"/>
              </w:rPr>
              <w:t>仓储操作费</w:t>
            </w:r>
            <w:r>
              <w:rPr>
                <w:rFonts w:hint="eastAsia" w:ascii="宋体" w:hAnsi="宋体" w:cs="宋体"/>
                <w:b/>
                <w:color w:val="auto"/>
                <w:kern w:val="2"/>
                <w:sz w:val="24"/>
                <w:szCs w:val="24"/>
                <w:highlight w:val="none"/>
                <w:lang w:val="en-GB" w:eastAsia="zh-CN" w:bidi="ar"/>
              </w:rPr>
              <w:t>60</w:t>
            </w:r>
            <w:r>
              <w:rPr>
                <w:rFonts w:hint="eastAsia" w:ascii="宋体" w:hAnsi="宋体" w:eastAsia="宋体" w:cs="宋体"/>
                <w:b/>
                <w:color w:val="auto"/>
                <w:kern w:val="2"/>
                <w:sz w:val="24"/>
                <w:szCs w:val="24"/>
                <w:highlight w:val="none"/>
                <w:lang w:val="en-GB" w:eastAsia="zh-CN" w:bidi="ar"/>
              </w:rPr>
              <w:t>元/</w:t>
            </w:r>
            <w:r>
              <w:rPr>
                <w:rFonts w:hint="eastAsia" w:ascii="宋体" w:hAnsi="宋体" w:cs="宋体"/>
                <w:b/>
                <w:color w:val="auto"/>
                <w:kern w:val="2"/>
                <w:sz w:val="24"/>
                <w:szCs w:val="24"/>
                <w:highlight w:val="none"/>
                <w:lang w:val="en-GB" w:eastAsia="zh-CN" w:bidi="ar"/>
              </w:rPr>
              <w:t>台，</w:t>
            </w:r>
            <w:r>
              <w:rPr>
                <w:rFonts w:hint="eastAsia" w:ascii="宋体" w:hAnsi="宋体" w:eastAsia="宋体" w:cs="宋体"/>
                <w:b/>
                <w:color w:val="auto"/>
                <w:kern w:val="2"/>
                <w:sz w:val="24"/>
                <w:szCs w:val="24"/>
                <w:highlight w:val="none"/>
                <w:lang w:val="en-GB" w:eastAsia="zh-CN" w:bidi="ar"/>
              </w:rPr>
              <w:t>二次配送费用为</w:t>
            </w:r>
            <w:r>
              <w:rPr>
                <w:rFonts w:hint="eastAsia" w:ascii="宋体" w:hAnsi="宋体" w:cs="宋体"/>
                <w:b/>
                <w:color w:val="auto"/>
                <w:kern w:val="2"/>
                <w:sz w:val="24"/>
                <w:szCs w:val="24"/>
                <w:highlight w:val="none"/>
                <w:lang w:val="en-GB" w:eastAsia="zh-CN" w:bidi="ar"/>
              </w:rPr>
              <w:t>15</w:t>
            </w:r>
            <w:r>
              <w:rPr>
                <w:rFonts w:hint="eastAsia" w:ascii="宋体" w:hAnsi="宋体" w:cs="宋体"/>
                <w:b/>
                <w:color w:val="auto"/>
                <w:kern w:val="2"/>
                <w:sz w:val="24"/>
                <w:szCs w:val="24"/>
                <w:highlight w:val="none"/>
                <w:lang w:val="en-GB" w:eastAsia="zh-CN" w:bidi="ar"/>
              </w:rPr>
              <w:t>0</w:t>
            </w:r>
            <w:r>
              <w:rPr>
                <w:rFonts w:hint="eastAsia" w:ascii="宋体" w:hAnsi="宋体" w:eastAsia="宋体" w:cs="宋体"/>
                <w:b/>
                <w:color w:val="auto"/>
                <w:kern w:val="2"/>
                <w:sz w:val="24"/>
                <w:szCs w:val="24"/>
                <w:highlight w:val="none"/>
                <w:lang w:val="en-GB" w:eastAsia="zh-CN" w:bidi="ar"/>
              </w:rPr>
              <w:t>元/</w:t>
            </w:r>
            <w:r>
              <w:rPr>
                <w:rFonts w:hint="eastAsia" w:ascii="宋体" w:hAnsi="宋体" w:cs="宋体"/>
                <w:b/>
                <w:color w:val="auto"/>
                <w:kern w:val="2"/>
                <w:sz w:val="24"/>
                <w:szCs w:val="24"/>
                <w:highlight w:val="none"/>
                <w:lang w:val="en-GB" w:eastAsia="zh-CN" w:bidi="ar"/>
              </w:rPr>
              <w:t>台</w:t>
            </w:r>
            <w:r>
              <w:rPr>
                <w:rFonts w:hint="eastAsia" w:ascii="宋体" w:hAnsi="宋体" w:eastAsia="宋体" w:cs="宋体"/>
                <w:b/>
                <w:color w:val="auto"/>
                <w:kern w:val="2"/>
                <w:sz w:val="24"/>
                <w:szCs w:val="24"/>
                <w:highlight w:val="none"/>
                <w:lang w:val="en-GB" w:eastAsia="zh-CN" w:bidi="ar"/>
              </w:rPr>
              <w:t>。投标人应在采购单位发出《定货单》之日起10个工作日内结算已产生的相关物流费用，若投标人未及时结算物流费用，采购单位有权在履约保证金或应付货款中直接扣除。</w:t>
            </w:r>
          </w:p>
          <w:p w14:paraId="001BF51C">
            <w:pPr>
              <w:keepNext w:val="0"/>
              <w:keepLines w:val="0"/>
              <w:suppressLineNumbers w:val="0"/>
              <w:shd w:val="clear" w:color="auto" w:fill="FFFFFF"/>
              <w:spacing w:before="0" w:beforeAutospacing="0" w:after="0" w:afterAutospacing="0" w:line="360" w:lineRule="auto"/>
              <w:ind w:left="0" w:right="0" w:firstLine="484"/>
              <w:rPr>
                <w:rFonts w:hint="default" w:ascii="宋体" w:hAnsi="宋体" w:eastAsia="宋体" w:cs="宋体"/>
                <w:b/>
                <w:bCs/>
                <w:color w:val="auto"/>
                <w:kern w:val="0"/>
                <w:sz w:val="24"/>
                <w:szCs w:val="24"/>
                <w:highlight w:val="none"/>
                <w:lang w:val="en-US" w:eastAsia="zh-CN" w:bidi="ar-SA"/>
              </w:rPr>
            </w:pPr>
            <w:r>
              <w:rPr>
                <w:rFonts w:hint="default" w:ascii="宋体" w:hAnsi="宋体" w:cs="宋体"/>
                <w:b/>
                <w:bCs/>
                <w:color w:val="auto"/>
                <w:kern w:val="0"/>
                <w:sz w:val="24"/>
                <w:szCs w:val="24"/>
                <w:highlight w:val="none"/>
                <w:lang w:eastAsia="zh-CN" w:bidi="ar-SA"/>
              </w:rPr>
              <w:t>8</w:t>
            </w:r>
            <w:r>
              <w:rPr>
                <w:rFonts w:hint="eastAsia" w:ascii="宋体" w:hAnsi="宋体" w:eastAsia="宋体" w:cs="宋体"/>
                <w:b/>
                <w:bCs/>
                <w:color w:val="auto"/>
                <w:kern w:val="0"/>
                <w:sz w:val="24"/>
                <w:szCs w:val="24"/>
                <w:highlight w:val="none"/>
                <w:lang w:val="en-US" w:eastAsia="zh-CN" w:bidi="ar-SA"/>
              </w:rPr>
              <w:t>.2 供货方式：分批供货，以征集人的供货通知为准。</w:t>
            </w:r>
          </w:p>
          <w:p w14:paraId="5A1E2B52">
            <w:pPr>
              <w:keepNext w:val="0"/>
              <w:keepLines w:val="0"/>
              <w:widowControl/>
              <w:suppressLineNumbers w:val="0"/>
              <w:shd w:val="clear" w:color="auto" w:fill="FFFFFF"/>
              <w:spacing w:before="0" w:beforeAutospacing="0" w:after="0" w:afterAutospacing="0" w:line="360" w:lineRule="auto"/>
              <w:ind w:left="0" w:right="0" w:firstLine="484" w:firstLineChars="0"/>
              <w:rPr>
                <w:rFonts w:hint="default" w:ascii="宋体" w:hAnsi="宋体" w:eastAsia="宋体" w:cs="宋体"/>
                <w:b/>
                <w:bCs/>
                <w:color w:val="auto"/>
                <w:sz w:val="24"/>
                <w:szCs w:val="24"/>
                <w:highlight w:val="none"/>
                <w:lang w:val="zh-CN" w:eastAsia="zh-CN" w:bidi="zh-CN"/>
              </w:rPr>
            </w:pPr>
            <w:r>
              <w:rPr>
                <w:rFonts w:hint="default" w:ascii="宋体" w:hAnsi="宋体" w:cs="宋体"/>
                <w:b/>
                <w:bCs/>
                <w:color w:val="auto"/>
                <w:kern w:val="0"/>
                <w:sz w:val="24"/>
                <w:szCs w:val="24"/>
                <w:highlight w:val="none"/>
                <w:lang w:eastAsia="zh-CN" w:bidi="ar-SA"/>
              </w:rPr>
              <w:t>8</w:t>
            </w:r>
            <w:r>
              <w:rPr>
                <w:rFonts w:hint="eastAsia" w:ascii="宋体" w:hAnsi="宋体" w:eastAsia="宋体" w:cs="宋体"/>
                <w:b/>
                <w:bCs/>
                <w:color w:val="auto"/>
                <w:kern w:val="0"/>
                <w:sz w:val="24"/>
                <w:szCs w:val="24"/>
                <w:highlight w:val="none"/>
                <w:lang w:val="en-US" w:eastAsia="zh-CN" w:bidi="ar-SA"/>
              </w:rPr>
              <w:t>.3</w:t>
            </w:r>
            <w:r>
              <w:rPr>
                <w:rFonts w:hint="eastAsia" w:ascii="宋体" w:hAnsi="宋体" w:eastAsia="宋体" w:cs="宋体"/>
                <w:b/>
                <w:bCs/>
                <w:color w:val="auto"/>
                <w:kern w:val="0"/>
                <w:sz w:val="24"/>
                <w:szCs w:val="24"/>
                <w:highlight w:val="none"/>
              </w:rPr>
              <w:t>在供货时触控一体机</w:t>
            </w:r>
            <w:r>
              <w:rPr>
                <w:rFonts w:hint="eastAsia" w:ascii="宋体" w:hAnsi="宋体" w:cs="宋体"/>
                <w:b/>
                <w:bCs/>
                <w:color w:val="auto"/>
                <w:kern w:val="0"/>
                <w:sz w:val="24"/>
                <w:szCs w:val="24"/>
                <w:highlight w:val="none"/>
                <w:lang w:val="en-US" w:eastAsia="zh-CN"/>
              </w:rPr>
              <w:t>/智慧黑板</w:t>
            </w:r>
            <w:r>
              <w:rPr>
                <w:rFonts w:hint="eastAsia" w:ascii="宋体" w:hAnsi="宋体" w:eastAsia="宋体" w:cs="宋体"/>
                <w:b/>
                <w:bCs/>
                <w:color w:val="auto"/>
                <w:kern w:val="0"/>
                <w:sz w:val="24"/>
                <w:szCs w:val="24"/>
                <w:highlight w:val="none"/>
              </w:rPr>
              <w:t>和插拔式模块化电脑须一起交货，否则，按逾期交货处理。</w:t>
            </w:r>
          </w:p>
        </w:tc>
      </w:tr>
      <w:tr w14:paraId="02CA383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5000" w:type="pct"/>
            <w:tcBorders>
              <w:top w:val="outset" w:color="auto" w:sz="6" w:space="0"/>
              <w:left w:val="outset" w:color="auto" w:sz="6" w:space="0"/>
              <w:bottom w:val="outset" w:color="auto" w:sz="6" w:space="0"/>
              <w:right w:val="outset" w:color="auto" w:sz="6" w:space="0"/>
            </w:tcBorders>
            <w:vAlign w:val="center"/>
          </w:tcPr>
          <w:p w14:paraId="75EB3F86">
            <w:pPr>
              <w:keepNext w:val="0"/>
              <w:keepLines w:val="0"/>
              <w:suppressLineNumbers w:val="0"/>
              <w:shd w:val="clear" w:color="auto" w:fill="FFFFFF"/>
              <w:spacing w:before="0" w:beforeAutospacing="0" w:after="0" w:afterAutospacing="0" w:line="360" w:lineRule="auto"/>
              <w:ind w:left="0" w:right="0"/>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w:t>
            </w:r>
            <w:r>
              <w:rPr>
                <w:rFonts w:hint="default" w:ascii="宋体" w:hAnsi="宋体" w:cs="宋体"/>
                <w:b/>
                <w:bCs/>
                <w:color w:val="auto"/>
                <w:kern w:val="0"/>
                <w:sz w:val="24"/>
                <w:szCs w:val="24"/>
                <w:highlight w:val="none"/>
                <w:lang w:eastAsia="zh-CN" w:bidi="ar-SA"/>
              </w:rPr>
              <w:t>9</w:t>
            </w:r>
            <w:r>
              <w:rPr>
                <w:rFonts w:hint="eastAsia" w:ascii="宋体" w:hAnsi="宋体" w:eastAsia="宋体" w:cs="宋体"/>
                <w:b/>
                <w:bCs/>
                <w:color w:val="auto"/>
                <w:kern w:val="0"/>
                <w:sz w:val="24"/>
                <w:szCs w:val="24"/>
                <w:highlight w:val="none"/>
                <w:lang w:val="en-US" w:eastAsia="zh-CN" w:bidi="ar-SA"/>
              </w:rPr>
              <w:t>、投标报价要求</w:t>
            </w:r>
          </w:p>
          <w:p w14:paraId="6600943A">
            <w:pPr>
              <w:keepNext w:val="0"/>
              <w:keepLines w:val="0"/>
              <w:suppressLineNumbers w:val="0"/>
              <w:shd w:val="clear" w:color="auto" w:fill="FFFFFF"/>
              <w:spacing w:before="0" w:beforeAutospacing="0" w:after="0" w:afterAutospacing="0" w:line="360" w:lineRule="auto"/>
              <w:ind w:left="0" w:right="0" w:firstLine="484"/>
              <w:rPr>
                <w:rFonts w:hint="default" w:ascii="宋体" w:hAnsi="宋体" w:eastAsia="宋体" w:cs="宋体"/>
                <w:b/>
                <w:bCs/>
                <w:color w:val="auto"/>
                <w:kern w:val="0"/>
                <w:sz w:val="24"/>
                <w:szCs w:val="24"/>
                <w:highlight w:val="none"/>
                <w:lang w:val="en-US" w:eastAsia="zh-CN" w:bidi="ar-SA"/>
              </w:rPr>
            </w:pPr>
            <w:r>
              <w:rPr>
                <w:rFonts w:hint="default" w:ascii="宋体" w:hAnsi="宋体" w:cs="宋体"/>
                <w:b/>
                <w:bCs/>
                <w:color w:val="auto"/>
                <w:kern w:val="0"/>
                <w:sz w:val="24"/>
                <w:szCs w:val="24"/>
                <w:highlight w:val="none"/>
                <w:lang w:eastAsia="zh-CN" w:bidi="ar-SA"/>
              </w:rPr>
              <w:t>9</w:t>
            </w:r>
            <w:r>
              <w:rPr>
                <w:rFonts w:hint="eastAsia" w:ascii="宋体" w:hAnsi="宋体" w:eastAsia="宋体" w:cs="宋体"/>
                <w:b/>
                <w:bCs/>
                <w:color w:val="auto"/>
                <w:kern w:val="0"/>
                <w:sz w:val="24"/>
                <w:szCs w:val="24"/>
                <w:highlight w:val="none"/>
                <w:lang w:val="en-US" w:eastAsia="zh-CN" w:bidi="ar-SA"/>
              </w:rPr>
              <w:t>.1、</w:t>
            </w:r>
            <w:r>
              <w:rPr>
                <w:rFonts w:hint="eastAsia" w:ascii="宋体" w:hAnsi="宋体" w:eastAsia="宋体" w:cs="宋体"/>
                <w:b/>
                <w:bCs/>
                <w:color w:val="auto"/>
                <w:kern w:val="0"/>
                <w:sz w:val="24"/>
                <w:szCs w:val="24"/>
                <w:highlight w:val="none"/>
                <w:lang w:val="en-US" w:bidi="ar-SA"/>
              </w:rPr>
              <w:t>投标人可对本项目全部采购包或部分采购包进行投标。征集人不接受有任何可选择性的报价，每一种货物只能有一个报价，否则其投标将被拒绝。投标人须以人民币报价，投标总价为投标设备经最终验收合格并交付使用所有可能发生的费用，包括设备费、运送至征集人指定地点的运输费、装卸费、运输费保险费、专用工具费、税费、安装费、安装调试费、检验验收以及售后服务等一切费用（投标人可在分项报价表中详细列出报价，如果所列分项报价不含以上内容，则视为已含在投标总价中），报价方式为总包价。投标人不能向最终用户收取任何费用，</w:t>
            </w:r>
            <w:r>
              <w:rPr>
                <w:rFonts w:hint="eastAsia" w:ascii="宋体" w:hAnsi="宋体" w:eastAsia="宋体" w:cs="宋体"/>
                <w:b/>
                <w:bCs/>
                <w:color w:val="auto"/>
                <w:kern w:val="0"/>
                <w:sz w:val="24"/>
                <w:szCs w:val="24"/>
                <w:highlight w:val="none"/>
              </w:rPr>
              <w:t>包含但不限于货物在最终用户侧的二次搬运费等</w:t>
            </w: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lang w:val="en-US" w:bidi="ar-SA"/>
              </w:rPr>
              <w:t>投标人应在投标文件中明确报价产品标配内安装所需的相关辅材、耗材数量，该部分费用应包含在报价总价中。</w:t>
            </w:r>
          </w:p>
          <w:p w14:paraId="275694F8">
            <w:pPr>
              <w:keepNext w:val="0"/>
              <w:keepLines w:val="0"/>
              <w:suppressLineNumbers w:val="0"/>
              <w:shd w:val="clear" w:color="auto" w:fill="FFFFFF"/>
              <w:spacing w:before="0" w:beforeAutospacing="0" w:after="0" w:afterAutospacing="0" w:line="360" w:lineRule="auto"/>
              <w:ind w:left="0" w:right="0" w:firstLine="484"/>
              <w:rPr>
                <w:rFonts w:hint="default" w:ascii="宋体" w:hAnsi="宋体" w:eastAsia="宋体" w:cs="宋体"/>
                <w:b/>
                <w:bCs/>
                <w:color w:val="auto"/>
                <w:kern w:val="0"/>
                <w:sz w:val="24"/>
                <w:szCs w:val="24"/>
                <w:highlight w:val="none"/>
                <w:lang w:val="en-US" w:eastAsia="zh-CN" w:bidi="ar-SA"/>
              </w:rPr>
            </w:pPr>
            <w:r>
              <w:rPr>
                <w:rFonts w:hint="default" w:ascii="宋体" w:hAnsi="宋体" w:cs="宋体"/>
                <w:b/>
                <w:bCs/>
                <w:color w:val="auto"/>
                <w:kern w:val="0"/>
                <w:sz w:val="24"/>
                <w:szCs w:val="24"/>
                <w:highlight w:val="none"/>
                <w:lang w:eastAsia="zh-CN" w:bidi="ar-SA"/>
              </w:rPr>
              <w:t>9</w:t>
            </w:r>
            <w:r>
              <w:rPr>
                <w:rFonts w:hint="eastAsia" w:ascii="宋体" w:hAnsi="宋体" w:eastAsia="宋体" w:cs="宋体"/>
                <w:b/>
                <w:bCs/>
                <w:color w:val="auto"/>
                <w:kern w:val="0"/>
                <w:sz w:val="24"/>
                <w:szCs w:val="24"/>
                <w:highlight w:val="none"/>
                <w:lang w:val="en-US" w:eastAsia="zh-CN" w:bidi="ar-SA"/>
              </w:rPr>
              <w:t>.2、报价以人民币为货币单位，应分单价、小计和总价。</w:t>
            </w:r>
          </w:p>
          <w:p w14:paraId="295EC6E9">
            <w:pPr>
              <w:keepNext w:val="0"/>
              <w:keepLines w:val="0"/>
              <w:widowControl/>
              <w:suppressLineNumbers w:val="0"/>
              <w:shd w:val="clear" w:color="auto" w:fill="FFFFFF"/>
              <w:spacing w:before="0" w:beforeAutospacing="0" w:after="0" w:afterAutospacing="0" w:line="360" w:lineRule="auto"/>
              <w:ind w:left="0" w:right="0" w:firstLine="484" w:firstLineChars="0"/>
              <w:rPr>
                <w:rFonts w:hint="default" w:ascii="宋体" w:hAnsi="宋体" w:eastAsia="宋体" w:cs="宋体"/>
                <w:b/>
                <w:bCs/>
                <w:color w:val="auto"/>
                <w:kern w:val="2"/>
                <w:sz w:val="24"/>
                <w:szCs w:val="24"/>
                <w:highlight w:val="none"/>
                <w:lang w:eastAsia="zh-CN"/>
              </w:rPr>
            </w:pPr>
            <w:r>
              <w:rPr>
                <w:rFonts w:hint="default" w:ascii="宋体" w:hAnsi="宋体" w:cs="宋体"/>
                <w:b/>
                <w:bCs/>
                <w:color w:val="auto"/>
                <w:kern w:val="0"/>
                <w:sz w:val="24"/>
                <w:szCs w:val="24"/>
                <w:highlight w:val="none"/>
                <w:lang w:eastAsia="zh-CN" w:bidi="ar-SA"/>
              </w:rPr>
              <w:t>9</w:t>
            </w:r>
            <w:r>
              <w:rPr>
                <w:rFonts w:hint="eastAsia" w:ascii="宋体" w:hAnsi="宋体" w:eastAsia="宋体" w:cs="宋体"/>
                <w:b/>
                <w:bCs/>
                <w:color w:val="auto"/>
                <w:kern w:val="0"/>
                <w:sz w:val="24"/>
                <w:szCs w:val="24"/>
                <w:highlight w:val="none"/>
                <w:lang w:val="en-US" w:eastAsia="zh-CN" w:bidi="ar-SA"/>
              </w:rPr>
              <w:t>.3、征集人将按实际最终验收合格的数量和综合单价进行结算。</w:t>
            </w:r>
          </w:p>
        </w:tc>
      </w:tr>
      <w:tr w14:paraId="2A85C2B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5000" w:type="pct"/>
            <w:tcBorders>
              <w:top w:val="single" w:color="auto" w:sz="4" w:space="0"/>
              <w:left w:val="single" w:color="auto" w:sz="4" w:space="0"/>
              <w:bottom w:val="single" w:color="auto" w:sz="4" w:space="0"/>
              <w:right w:val="single" w:color="auto" w:sz="4" w:space="0"/>
            </w:tcBorders>
            <w:vAlign w:val="center"/>
          </w:tcPr>
          <w:p w14:paraId="69898DB2">
            <w:pPr>
              <w:keepNext w:val="0"/>
              <w:keepLines w:val="0"/>
              <w:widowControl/>
              <w:numPr>
                <w:ilvl w:val="-1"/>
                <w:numId w:val="0"/>
              </w:numPr>
              <w:suppressLineNumbers w:val="0"/>
              <w:shd w:val="clear" w:color="auto" w:fill="FFFFFF"/>
              <w:spacing w:before="0" w:beforeAutospacing="0" w:after="0" w:afterAutospacing="0" w:line="360" w:lineRule="auto"/>
              <w:ind w:left="0" w:right="0" w:firstLine="0"/>
              <w:jc w:val="left"/>
              <w:rPr>
                <w:rFonts w:hint="default" w:ascii="宋体" w:hAnsi="宋体" w:eastAsia="宋体" w:cs="宋体"/>
                <w:b/>
                <w:bCs/>
                <w:color w:val="auto"/>
                <w:kern w:val="2"/>
                <w:sz w:val="24"/>
                <w:szCs w:val="24"/>
                <w:highlight w:val="none"/>
                <w:lang w:val="en-US" w:eastAsia="zh-CN"/>
              </w:rPr>
            </w:pPr>
            <w:r>
              <w:rPr>
                <w:rFonts w:hint="eastAsia" w:ascii="宋体" w:hAnsi="宋体" w:eastAsia="宋体" w:cs="宋体"/>
                <w:b/>
                <w:bCs/>
                <w:color w:val="auto"/>
                <w:sz w:val="24"/>
                <w:szCs w:val="24"/>
                <w:highlight w:val="none"/>
                <w:lang w:val="zh-CN" w:eastAsia="zh-CN"/>
              </w:rPr>
              <w:t>★</w:t>
            </w:r>
            <w:r>
              <w:rPr>
                <w:rFonts w:hint="eastAsia" w:ascii="宋体" w:hAnsi="宋体" w:eastAsia="宋体" w:cs="宋体"/>
                <w:b/>
                <w:bCs/>
                <w:color w:val="auto"/>
                <w:sz w:val="24"/>
                <w:szCs w:val="24"/>
                <w:highlight w:val="none"/>
              </w:rPr>
              <w:t>1</w:t>
            </w:r>
            <w:r>
              <w:rPr>
                <w:rFonts w:hint="default" w:ascii="宋体" w:hAnsi="宋体" w:cs="宋体"/>
                <w:b/>
                <w:bCs/>
                <w:color w:val="auto"/>
                <w:sz w:val="24"/>
                <w:szCs w:val="24"/>
                <w:highlight w:val="none"/>
              </w:rPr>
              <w:t>0</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zh-CN" w:eastAsia="zh-CN" w:bidi="zh-CN"/>
              </w:rPr>
              <w:t>投标人应在投标文件中提供选配件投标报价</w:t>
            </w:r>
            <w:r>
              <w:rPr>
                <w:rFonts w:hint="eastAsia" w:ascii="宋体" w:hAnsi="宋体" w:eastAsia="宋体" w:cs="宋体"/>
                <w:bCs/>
                <w:color w:val="auto"/>
                <w:kern w:val="2"/>
                <w:sz w:val="24"/>
                <w:szCs w:val="24"/>
                <w:highlight w:val="none"/>
              </w:rPr>
              <w:t>（</w:t>
            </w:r>
            <w:r>
              <w:rPr>
                <w:rFonts w:hint="eastAsia" w:ascii="宋体" w:hAnsi="宋体" w:eastAsia="宋体" w:cs="宋体"/>
                <w:b w:val="0"/>
                <w:bCs/>
                <w:color w:val="auto"/>
                <w:kern w:val="0"/>
                <w:sz w:val="24"/>
                <w:szCs w:val="24"/>
                <w:highlight w:val="none"/>
              </w:rPr>
              <w:t>报价方式为总包价。投标人不能向最终用户收取任何费用，包含但不限于货物在最终用户侧的二次搬运费、安装费和售后服务费等</w:t>
            </w:r>
            <w:r>
              <w:rPr>
                <w:rFonts w:hint="eastAsia" w:ascii="宋体" w:hAnsi="宋体" w:eastAsia="宋体" w:cs="宋体"/>
                <w:bCs/>
                <w:color w:val="auto"/>
                <w:kern w:val="2"/>
                <w:sz w:val="24"/>
                <w:szCs w:val="24"/>
                <w:highlight w:val="none"/>
              </w:rPr>
              <w:t>）</w:t>
            </w:r>
            <w:r>
              <w:rPr>
                <w:rFonts w:hint="eastAsia" w:ascii="宋体" w:hAnsi="宋体" w:eastAsia="宋体" w:cs="宋体"/>
                <w:b/>
                <w:bCs/>
                <w:color w:val="auto"/>
                <w:sz w:val="24"/>
                <w:szCs w:val="24"/>
                <w:highlight w:val="none"/>
                <w:lang w:val="zh-CN" w:eastAsia="zh-CN" w:bidi="zh-CN"/>
              </w:rPr>
              <w:t>，选配件投标报价的限价不得超过下述列表中所列金额（选配件可根据征集人对整机配置要求进行增减，增减价格一致。）选配件投标报价不含在总投标报价中。选配件投标报价的限价</w:t>
            </w:r>
            <w:r>
              <w:rPr>
                <w:rFonts w:hint="eastAsia" w:ascii="宋体" w:hAnsi="宋体" w:eastAsia="宋体" w:cs="宋体"/>
                <w:b/>
                <w:bCs/>
                <w:color w:val="auto"/>
                <w:sz w:val="24"/>
                <w:szCs w:val="24"/>
                <w:highlight w:val="none"/>
                <w:lang w:val="en-US" w:eastAsia="zh-CN" w:bidi="zh-CN"/>
              </w:rPr>
              <w:t>详见征集文件。</w:t>
            </w:r>
          </w:p>
        </w:tc>
      </w:tr>
      <w:tr w14:paraId="156F173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5000" w:type="pct"/>
            <w:tcBorders>
              <w:top w:val="single" w:color="auto" w:sz="4" w:space="0"/>
              <w:left w:val="single" w:color="auto" w:sz="4" w:space="0"/>
              <w:bottom w:val="single" w:color="auto" w:sz="4" w:space="0"/>
              <w:right w:val="single" w:color="auto" w:sz="4" w:space="0"/>
            </w:tcBorders>
            <w:vAlign w:val="center"/>
          </w:tcPr>
          <w:p w14:paraId="50CDE5F4">
            <w:pPr>
              <w:keepNext w:val="0"/>
              <w:keepLines w:val="0"/>
              <w:suppressLineNumbers w:val="0"/>
              <w:shd w:val="clear" w:color="auto"/>
              <w:spacing w:before="0" w:beforeAutospacing="0" w:after="0" w:afterAutospacing="0" w:line="360" w:lineRule="auto"/>
              <w:ind w:left="0" w:right="0"/>
              <w:rPr>
                <w:rFonts w:hint="default" w:ascii="宋体" w:hAnsi="宋体" w:eastAsia="宋体" w:cs="宋体"/>
                <w:b/>
                <w:bCs/>
                <w:color w:val="auto"/>
                <w:kern w:val="0"/>
                <w:sz w:val="24"/>
                <w:szCs w:val="24"/>
                <w:highlight w:val="none"/>
              </w:rPr>
            </w:pPr>
            <w:r>
              <w:rPr>
                <w:rFonts w:hint="eastAsia" w:ascii="宋体" w:hAnsi="宋体" w:eastAsia="宋体" w:cs="宋体"/>
                <w:b/>
                <w:bCs/>
                <w:color w:val="auto"/>
                <w:sz w:val="24"/>
                <w:szCs w:val="24"/>
                <w:highlight w:val="none"/>
                <w:lang w:val="zh-CN" w:eastAsia="zh-CN"/>
              </w:rPr>
              <w:t>★</w:t>
            </w:r>
            <w:r>
              <w:rPr>
                <w:rFonts w:hint="eastAsia" w:ascii="宋体" w:hAnsi="宋体" w:eastAsia="宋体" w:cs="宋体"/>
                <w:b/>
                <w:bCs/>
                <w:color w:val="auto"/>
                <w:sz w:val="24"/>
                <w:szCs w:val="24"/>
                <w:highlight w:val="none"/>
              </w:rPr>
              <w:t>1</w:t>
            </w:r>
            <w:r>
              <w:rPr>
                <w:rFonts w:hint="default" w:ascii="宋体" w:hAnsi="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kern w:val="0"/>
                <w:sz w:val="24"/>
                <w:szCs w:val="24"/>
                <w:highlight w:val="none"/>
                <w:lang w:eastAsia="zh-CN"/>
              </w:rPr>
              <w:t>投标人</w:t>
            </w:r>
            <w:r>
              <w:rPr>
                <w:rFonts w:hint="eastAsia" w:ascii="宋体" w:hAnsi="宋体" w:eastAsia="宋体" w:cs="宋体"/>
                <w:b/>
                <w:bCs/>
                <w:color w:val="auto"/>
                <w:kern w:val="0"/>
                <w:sz w:val="24"/>
                <w:szCs w:val="24"/>
                <w:highlight w:val="none"/>
              </w:rPr>
              <w:t>应在投标文件中明确报价产品标配以外安装所需的相关辅材和耗材的单价，辅材及耗材收费标准不得高于下列限价。该部分报价不包含在报价总价中，届时按实际的施工数量据实结算。</w:t>
            </w:r>
          </w:p>
          <w:p w14:paraId="69906979">
            <w:pPr>
              <w:keepNext w:val="0"/>
              <w:keepLines w:val="0"/>
              <w:suppressLineNumbers w:val="0"/>
              <w:shd w:val="clear" w:color="auto"/>
              <w:spacing w:before="0" w:beforeAutospacing="0" w:after="0" w:afterAutospacing="0" w:line="360" w:lineRule="auto"/>
              <w:ind w:left="0" w:right="0" w:firstLine="482" w:firstLineChars="200"/>
              <w:rPr>
                <w:rFonts w:hint="default"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1</w:t>
            </w:r>
            <w:r>
              <w:rPr>
                <w:rFonts w:hint="default" w:ascii="宋体" w:hAnsi="宋体" w:cs="宋体"/>
                <w:b/>
                <w:bCs/>
                <w:color w:val="auto"/>
                <w:kern w:val="0"/>
                <w:sz w:val="24"/>
                <w:szCs w:val="24"/>
                <w:highlight w:val="none"/>
                <w:lang w:eastAsia="zh-CN"/>
              </w:rPr>
              <w:t>1</w:t>
            </w:r>
            <w:r>
              <w:rPr>
                <w:rFonts w:hint="eastAsia" w:ascii="宋体" w:hAnsi="宋体" w:eastAsia="宋体" w:cs="宋体"/>
                <w:b/>
                <w:bCs/>
                <w:color w:val="auto"/>
                <w:kern w:val="0"/>
                <w:sz w:val="24"/>
                <w:szCs w:val="24"/>
                <w:highlight w:val="none"/>
              </w:rPr>
              <w:t>.1标准安装外施工安装</w:t>
            </w:r>
          </w:p>
          <w:p w14:paraId="566C4401">
            <w:pPr>
              <w:keepNext w:val="0"/>
              <w:keepLines w:val="0"/>
              <w:suppressLineNumbers w:val="0"/>
              <w:shd w:val="clear" w:color="auto"/>
              <w:spacing w:before="0" w:beforeAutospacing="0" w:after="0" w:afterAutospacing="0" w:line="360" w:lineRule="auto"/>
              <w:ind w:left="0" w:right="0" w:firstLine="482" w:firstLineChars="200"/>
              <w:rPr>
                <w:rFonts w:hint="default"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1</w:t>
            </w:r>
            <w:r>
              <w:rPr>
                <w:rFonts w:hint="default" w:ascii="宋体" w:hAnsi="宋体" w:cs="宋体"/>
                <w:b/>
                <w:bCs/>
                <w:color w:val="auto"/>
                <w:kern w:val="0"/>
                <w:sz w:val="24"/>
                <w:szCs w:val="24"/>
                <w:highlight w:val="none"/>
                <w:lang w:eastAsia="zh-CN"/>
              </w:rPr>
              <w:t>1</w:t>
            </w:r>
            <w:r>
              <w:rPr>
                <w:rFonts w:hint="eastAsia" w:ascii="宋体" w:hAnsi="宋体" w:eastAsia="宋体" w:cs="宋体"/>
                <w:b/>
                <w:bCs/>
                <w:color w:val="auto"/>
                <w:kern w:val="0"/>
                <w:sz w:val="24"/>
                <w:szCs w:val="24"/>
                <w:highlight w:val="none"/>
              </w:rPr>
              <w:t>.1.1迁移开关或电源面板。迁移电源面板、电灯或风扇开关至指定位置（迁移距离不超过1.5米）。限价80元/个。</w:t>
            </w:r>
          </w:p>
          <w:p w14:paraId="347B94AD">
            <w:pPr>
              <w:keepNext w:val="0"/>
              <w:keepLines w:val="0"/>
              <w:suppressLineNumbers w:val="0"/>
              <w:shd w:val="clear" w:color="auto"/>
              <w:spacing w:before="0" w:beforeAutospacing="0" w:after="0" w:afterAutospacing="0" w:line="360" w:lineRule="auto"/>
              <w:ind w:left="0" w:right="0" w:firstLine="482" w:firstLineChars="200"/>
              <w:rPr>
                <w:rFonts w:hint="default"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1</w:t>
            </w:r>
            <w:r>
              <w:rPr>
                <w:rFonts w:hint="default" w:ascii="宋体" w:hAnsi="宋体" w:cs="宋体"/>
                <w:b/>
                <w:bCs/>
                <w:color w:val="auto"/>
                <w:kern w:val="0"/>
                <w:sz w:val="24"/>
                <w:szCs w:val="24"/>
                <w:highlight w:val="none"/>
                <w:lang w:eastAsia="zh-CN"/>
              </w:rPr>
              <w:t>1</w:t>
            </w: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切割地板槽。切割水泥或木质地板梯台，按条结算（距离为墙壁至讲桌位置1米内）。限价200元/条。</w:t>
            </w:r>
          </w:p>
          <w:p w14:paraId="7DA39722">
            <w:pPr>
              <w:keepNext w:val="0"/>
              <w:keepLines w:val="0"/>
              <w:suppressLineNumbers w:val="0"/>
              <w:shd w:val="clear" w:color="auto"/>
              <w:spacing w:before="0" w:beforeAutospacing="0" w:after="0" w:afterAutospacing="0" w:line="360" w:lineRule="auto"/>
              <w:ind w:left="0" w:right="0" w:firstLine="482" w:firstLineChars="200"/>
              <w:rPr>
                <w:rFonts w:hint="default"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1</w:t>
            </w:r>
            <w:r>
              <w:rPr>
                <w:rFonts w:hint="default" w:ascii="宋体" w:hAnsi="宋体" w:cs="宋体"/>
                <w:b/>
                <w:bCs/>
                <w:color w:val="auto"/>
                <w:kern w:val="0"/>
                <w:sz w:val="24"/>
                <w:szCs w:val="24"/>
                <w:highlight w:val="none"/>
                <w:lang w:eastAsia="zh-CN"/>
              </w:rPr>
              <w:t>1</w:t>
            </w: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切割中控面板槽。在已有讲桌上切割出放置中控相应尺寸的面板槽（只限于切割与新中控大小相接近的尺寸）。限价95元/个。</w:t>
            </w:r>
          </w:p>
          <w:p w14:paraId="28C77EDA">
            <w:pPr>
              <w:keepNext w:val="0"/>
              <w:keepLines w:val="0"/>
              <w:suppressLineNumbers w:val="0"/>
              <w:shd w:val="clear" w:color="auto"/>
              <w:spacing w:before="0" w:beforeAutospacing="0" w:after="0" w:afterAutospacing="0" w:line="360" w:lineRule="auto"/>
              <w:ind w:left="0" w:right="0" w:firstLine="482" w:firstLineChars="200"/>
              <w:rPr>
                <w:rFonts w:hint="default"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1</w:t>
            </w:r>
            <w:r>
              <w:rPr>
                <w:rFonts w:hint="default" w:ascii="宋体" w:hAnsi="宋体" w:cs="宋体"/>
                <w:b/>
                <w:bCs/>
                <w:color w:val="auto"/>
                <w:kern w:val="0"/>
                <w:sz w:val="24"/>
                <w:szCs w:val="24"/>
                <w:highlight w:val="none"/>
                <w:lang w:eastAsia="zh-CN"/>
              </w:rPr>
              <w:t>1</w:t>
            </w: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4推拉</w:t>
            </w:r>
            <w:r>
              <w:rPr>
                <w:rFonts w:hint="eastAsia" w:ascii="宋体" w:hAnsi="宋体" w:eastAsia="宋体" w:cs="宋体"/>
                <w:b/>
                <w:bCs/>
                <w:color w:val="auto"/>
                <w:kern w:val="0"/>
                <w:sz w:val="24"/>
                <w:szCs w:val="24"/>
                <w:highlight w:val="none"/>
              </w:rPr>
              <w:t>黑板和触控一体机</w:t>
            </w:r>
            <w:r>
              <w:rPr>
                <w:rFonts w:hint="eastAsia" w:ascii="宋体" w:hAnsi="宋体" w:cs="宋体"/>
                <w:b/>
                <w:bCs/>
                <w:color w:val="auto"/>
                <w:kern w:val="0"/>
                <w:sz w:val="24"/>
                <w:szCs w:val="24"/>
                <w:highlight w:val="none"/>
                <w:lang w:val="en-US" w:eastAsia="zh-CN"/>
              </w:rPr>
              <w:t>或智慧黑板</w:t>
            </w:r>
            <w:r>
              <w:rPr>
                <w:rFonts w:hint="eastAsia" w:ascii="宋体" w:hAnsi="宋体" w:eastAsia="宋体" w:cs="宋体"/>
                <w:b/>
                <w:bCs/>
                <w:color w:val="auto"/>
                <w:kern w:val="0"/>
                <w:sz w:val="24"/>
                <w:szCs w:val="24"/>
                <w:highlight w:val="none"/>
              </w:rPr>
              <w:t>固定支架。教室内需要安装推拉黑板或者触控一体机</w:t>
            </w:r>
            <w:r>
              <w:rPr>
                <w:rFonts w:hint="eastAsia" w:ascii="宋体" w:hAnsi="宋体" w:cs="宋体"/>
                <w:b/>
                <w:bCs/>
                <w:color w:val="auto"/>
                <w:kern w:val="0"/>
                <w:sz w:val="24"/>
                <w:szCs w:val="24"/>
                <w:highlight w:val="none"/>
                <w:lang w:eastAsia="zh-CN"/>
              </w:rPr>
              <w:t>或智慧黑板</w:t>
            </w:r>
            <w:r>
              <w:rPr>
                <w:rFonts w:hint="eastAsia" w:ascii="宋体" w:hAnsi="宋体" w:eastAsia="宋体" w:cs="宋体"/>
                <w:b/>
                <w:bCs/>
                <w:color w:val="auto"/>
                <w:kern w:val="0"/>
                <w:sz w:val="24"/>
                <w:szCs w:val="24"/>
                <w:highlight w:val="none"/>
              </w:rPr>
              <w:t>的墙面有凸出承重柱的情况下需要定制整面与承重柱一样厚度的固定支架才能在水平位置上安装</w:t>
            </w:r>
            <w:r>
              <w:rPr>
                <w:rFonts w:hint="eastAsia" w:ascii="宋体" w:hAnsi="宋体" w:eastAsia="宋体" w:cs="宋体"/>
                <w:b/>
                <w:bCs/>
                <w:color w:val="auto"/>
                <w:kern w:val="0"/>
                <w:sz w:val="24"/>
                <w:szCs w:val="24"/>
                <w:highlight w:val="none"/>
                <w:lang w:val="en-US" w:eastAsia="zh-CN"/>
              </w:rPr>
              <w:t>推拉</w:t>
            </w:r>
            <w:r>
              <w:rPr>
                <w:rFonts w:hint="eastAsia" w:ascii="宋体" w:hAnsi="宋体" w:eastAsia="宋体" w:cs="宋体"/>
                <w:b/>
                <w:bCs/>
                <w:color w:val="auto"/>
                <w:kern w:val="0"/>
                <w:sz w:val="24"/>
                <w:szCs w:val="24"/>
                <w:highlight w:val="none"/>
              </w:rPr>
              <w:t>黑板和触控一体机</w:t>
            </w:r>
            <w:r>
              <w:rPr>
                <w:rFonts w:hint="eastAsia" w:ascii="宋体" w:hAnsi="宋体" w:cs="宋体"/>
                <w:b/>
                <w:bCs/>
                <w:color w:val="auto"/>
                <w:kern w:val="0"/>
                <w:sz w:val="24"/>
                <w:szCs w:val="24"/>
                <w:highlight w:val="none"/>
                <w:lang w:eastAsia="zh-CN"/>
              </w:rPr>
              <w:t>或智慧黑板</w:t>
            </w:r>
            <w:r>
              <w:rPr>
                <w:rFonts w:hint="eastAsia" w:ascii="宋体" w:hAnsi="宋体" w:eastAsia="宋体" w:cs="宋体"/>
                <w:b/>
                <w:bCs/>
                <w:color w:val="auto"/>
                <w:kern w:val="0"/>
                <w:sz w:val="24"/>
                <w:szCs w:val="24"/>
                <w:highlight w:val="none"/>
              </w:rPr>
              <w:t>。限价550元/套。</w:t>
            </w:r>
          </w:p>
          <w:p w14:paraId="601AF5C8">
            <w:pPr>
              <w:keepNext w:val="0"/>
              <w:keepLines w:val="0"/>
              <w:suppressLineNumbers w:val="0"/>
              <w:shd w:val="clear" w:color="auto"/>
              <w:spacing w:before="0" w:beforeAutospacing="0" w:after="0" w:afterAutospacing="0" w:line="360" w:lineRule="auto"/>
              <w:ind w:left="0" w:right="0" w:firstLine="482" w:firstLineChars="200"/>
              <w:rPr>
                <w:rFonts w:hint="default"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1</w:t>
            </w:r>
            <w:r>
              <w:rPr>
                <w:rFonts w:hint="default" w:ascii="宋体" w:hAnsi="宋体" w:cs="宋体"/>
                <w:b/>
                <w:bCs/>
                <w:color w:val="auto"/>
                <w:kern w:val="0"/>
                <w:sz w:val="24"/>
                <w:szCs w:val="24"/>
                <w:highlight w:val="none"/>
                <w:lang w:eastAsia="zh-CN"/>
              </w:rPr>
              <w:t>1</w:t>
            </w: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墙面加固安装。针对触控一体机</w:t>
            </w:r>
            <w:r>
              <w:rPr>
                <w:rFonts w:hint="eastAsia" w:ascii="宋体" w:hAnsi="宋体" w:cs="宋体"/>
                <w:b/>
                <w:bCs/>
                <w:color w:val="auto"/>
                <w:kern w:val="0"/>
                <w:sz w:val="24"/>
                <w:szCs w:val="24"/>
                <w:highlight w:val="none"/>
                <w:lang w:val="en-US" w:eastAsia="zh-CN"/>
              </w:rPr>
              <w:t>或智慧黑板</w:t>
            </w:r>
            <w:r>
              <w:rPr>
                <w:rFonts w:hint="eastAsia" w:ascii="宋体" w:hAnsi="宋体" w:eastAsia="宋体" w:cs="宋体"/>
                <w:b/>
                <w:bCs/>
                <w:color w:val="auto"/>
                <w:kern w:val="0"/>
                <w:sz w:val="24"/>
                <w:szCs w:val="24"/>
                <w:highlight w:val="none"/>
              </w:rPr>
              <w:t>安装位置的墙面材质，进行承重螺杆穿墙加固安装；（不包含拆除或挖空墙体，注入水泥或混合砂浆或钢筋等构筑工程）。限价325元/套。</w:t>
            </w:r>
          </w:p>
          <w:p w14:paraId="7AE8393D">
            <w:pPr>
              <w:keepNext w:val="0"/>
              <w:keepLines w:val="0"/>
              <w:suppressLineNumbers w:val="0"/>
              <w:shd w:val="clear" w:color="auto"/>
              <w:spacing w:before="0" w:beforeAutospacing="0" w:after="0" w:afterAutospacing="0" w:line="360" w:lineRule="auto"/>
              <w:ind w:left="0" w:right="0" w:firstLine="482" w:firstLineChars="200"/>
              <w:rPr>
                <w:rFonts w:hint="default"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1</w:t>
            </w:r>
            <w:r>
              <w:rPr>
                <w:rFonts w:hint="default" w:ascii="宋体" w:hAnsi="宋体" w:cs="宋体"/>
                <w:b/>
                <w:bCs/>
                <w:color w:val="auto"/>
                <w:kern w:val="0"/>
                <w:sz w:val="24"/>
                <w:szCs w:val="24"/>
                <w:highlight w:val="none"/>
                <w:lang w:eastAsia="zh-CN"/>
              </w:rPr>
              <w:t>1</w:t>
            </w: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6</w:t>
            </w:r>
            <w:r>
              <w:rPr>
                <w:rFonts w:hint="eastAsia" w:ascii="宋体" w:hAnsi="宋体" w:eastAsia="宋体" w:cs="宋体"/>
                <w:b/>
                <w:bCs/>
                <w:color w:val="auto"/>
                <w:kern w:val="0"/>
                <w:sz w:val="24"/>
                <w:szCs w:val="24"/>
                <w:highlight w:val="none"/>
              </w:rPr>
              <w:t>线槽加固。将原有的塑料线槽更改为金属线槽。限价537元/间。</w:t>
            </w:r>
          </w:p>
          <w:p w14:paraId="7B26A7BF">
            <w:pPr>
              <w:keepNext w:val="0"/>
              <w:keepLines w:val="0"/>
              <w:suppressLineNumbers w:val="0"/>
              <w:shd w:val="clear" w:color="auto"/>
              <w:spacing w:before="0" w:beforeAutospacing="0" w:after="0" w:afterAutospacing="0" w:line="360" w:lineRule="auto"/>
              <w:ind w:left="0" w:right="0" w:firstLine="482" w:firstLineChars="200"/>
              <w:rPr>
                <w:rFonts w:hint="default" w:ascii="宋体" w:hAnsi="宋体" w:eastAsia="宋体" w:cs="宋体"/>
                <w:b/>
                <w:bCs/>
                <w:color w:val="auto"/>
                <w:kern w:val="0"/>
                <w:sz w:val="24"/>
                <w:szCs w:val="24"/>
                <w:highlight w:val="none"/>
              </w:rPr>
            </w:pPr>
            <w:r>
              <w:rPr>
                <w:rFonts w:hint="default" w:ascii="宋体" w:hAnsi="宋体" w:cs="宋体"/>
                <w:b/>
                <w:bCs/>
                <w:color w:val="auto"/>
                <w:kern w:val="0"/>
                <w:sz w:val="24"/>
                <w:szCs w:val="24"/>
                <w:highlight w:val="none"/>
                <w:lang w:eastAsia="zh-CN"/>
              </w:rPr>
              <w:t>11</w:t>
            </w:r>
            <w:r>
              <w:rPr>
                <w:rFonts w:hint="eastAsia" w:ascii="宋体" w:hAnsi="宋体" w:eastAsia="宋体" w:cs="宋体"/>
                <w:b/>
                <w:bCs/>
                <w:color w:val="auto"/>
                <w:kern w:val="0"/>
                <w:sz w:val="24"/>
                <w:szCs w:val="24"/>
                <w:highlight w:val="none"/>
              </w:rPr>
              <w:t>.2标准安装外辅材</w:t>
            </w:r>
          </w:p>
          <w:p w14:paraId="3486A3F5">
            <w:pPr>
              <w:keepNext w:val="0"/>
              <w:keepLines w:val="0"/>
              <w:suppressLineNumbers w:val="0"/>
              <w:shd w:val="clear" w:color="auto"/>
              <w:spacing w:before="0" w:beforeAutospacing="0" w:after="0" w:afterAutospacing="0" w:line="360" w:lineRule="auto"/>
              <w:ind w:left="0" w:right="0" w:firstLine="482" w:firstLineChars="200"/>
              <w:rPr>
                <w:rFonts w:hint="default" w:ascii="宋体" w:hAnsi="宋体" w:eastAsia="宋体" w:cs="宋体"/>
                <w:b/>
                <w:bCs/>
                <w:color w:val="auto"/>
                <w:kern w:val="0"/>
                <w:sz w:val="24"/>
                <w:szCs w:val="24"/>
                <w:highlight w:val="none"/>
              </w:rPr>
            </w:pPr>
            <w:r>
              <w:rPr>
                <w:rFonts w:hint="default" w:ascii="宋体" w:hAnsi="宋体" w:cs="宋体"/>
                <w:b/>
                <w:bCs/>
                <w:color w:val="auto"/>
                <w:kern w:val="0"/>
                <w:sz w:val="24"/>
                <w:szCs w:val="24"/>
                <w:highlight w:val="none"/>
                <w:lang w:eastAsia="zh-CN"/>
              </w:rPr>
              <w:t>11</w:t>
            </w:r>
            <w:r>
              <w:rPr>
                <w:rFonts w:hint="eastAsia" w:ascii="宋体" w:hAnsi="宋体" w:eastAsia="宋体" w:cs="宋体"/>
                <w:b/>
                <w:bCs/>
                <w:color w:val="auto"/>
                <w:kern w:val="0"/>
                <w:sz w:val="24"/>
                <w:szCs w:val="24"/>
                <w:highlight w:val="none"/>
              </w:rPr>
              <w:t>.2.1 VGA分频器（一拖二，保修三年）。限价49元/个。</w:t>
            </w:r>
          </w:p>
          <w:p w14:paraId="12A60F0B">
            <w:pPr>
              <w:keepNext w:val="0"/>
              <w:keepLines w:val="0"/>
              <w:widowControl/>
              <w:suppressLineNumbers w:val="0"/>
              <w:shd w:val="clear" w:color="auto" w:fill="FFFFFF"/>
              <w:spacing w:before="0" w:beforeAutospacing="0" w:after="0" w:afterAutospacing="0" w:line="360" w:lineRule="auto"/>
              <w:ind w:left="0" w:right="0" w:firstLine="484" w:firstLineChars="0"/>
              <w:jc w:val="left"/>
              <w:rPr>
                <w:rFonts w:hint="default" w:ascii="宋体" w:hAnsi="宋体" w:eastAsia="宋体" w:cs="宋体"/>
                <w:b/>
                <w:bCs/>
                <w:color w:val="auto"/>
                <w:kern w:val="2"/>
                <w:sz w:val="24"/>
                <w:szCs w:val="24"/>
                <w:highlight w:val="none"/>
                <w:lang w:eastAsia="zh-CN"/>
              </w:rPr>
            </w:pPr>
            <w:r>
              <w:rPr>
                <w:rFonts w:hint="eastAsia" w:ascii="宋体" w:hAnsi="宋体" w:eastAsia="宋体" w:cs="宋体"/>
                <w:b/>
                <w:bCs/>
                <w:color w:val="auto"/>
                <w:kern w:val="0"/>
                <w:sz w:val="24"/>
                <w:szCs w:val="24"/>
                <w:highlight w:val="none"/>
                <w:lang w:val="en-US" w:eastAsia="zh-CN"/>
              </w:rPr>
              <w:t>1</w:t>
            </w:r>
            <w:r>
              <w:rPr>
                <w:rFonts w:hint="default" w:ascii="宋体" w:hAnsi="宋体" w:cs="宋体"/>
                <w:b/>
                <w:bCs/>
                <w:color w:val="auto"/>
                <w:kern w:val="0"/>
                <w:sz w:val="24"/>
                <w:szCs w:val="24"/>
                <w:highlight w:val="none"/>
                <w:lang w:eastAsia="zh-CN"/>
              </w:rPr>
              <w:t>1</w:t>
            </w:r>
            <w:r>
              <w:rPr>
                <w:rFonts w:hint="eastAsia" w:ascii="宋体" w:hAnsi="宋体" w:eastAsia="宋体" w:cs="宋体"/>
                <w:b/>
                <w:bCs/>
                <w:color w:val="auto"/>
                <w:kern w:val="0"/>
                <w:sz w:val="24"/>
                <w:szCs w:val="24"/>
                <w:highlight w:val="none"/>
              </w:rPr>
              <w:t>.2.2高速HDMI数字高清线（接口宽度1.4CM，保修三年）。5米限价29元/条；10米限价99元/条；15米限价150元/条；20米限价269元/条。</w:t>
            </w:r>
          </w:p>
        </w:tc>
      </w:tr>
      <w:tr w14:paraId="6113C4C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5000" w:type="pct"/>
            <w:tcBorders>
              <w:top w:val="single" w:color="auto" w:sz="4" w:space="0"/>
              <w:left w:val="single" w:color="auto" w:sz="4" w:space="0"/>
              <w:bottom w:val="single" w:color="auto" w:sz="4" w:space="0"/>
              <w:right w:val="single" w:color="auto" w:sz="4" w:space="0"/>
            </w:tcBorders>
            <w:vAlign w:val="center"/>
          </w:tcPr>
          <w:p w14:paraId="7BEA81A9">
            <w:pPr>
              <w:keepNext w:val="0"/>
              <w:keepLines w:val="0"/>
              <w:widowControl/>
              <w:suppressLineNumbers w:val="0"/>
              <w:shd w:val="clear" w:color="auto" w:fill="FFFFFF"/>
              <w:spacing w:before="0" w:beforeAutospacing="0" w:after="0" w:afterAutospacing="0" w:line="360" w:lineRule="auto"/>
              <w:ind w:left="0" w:right="0"/>
              <w:jc w:val="left"/>
              <w:rPr>
                <w:rFonts w:hint="default" w:ascii="宋体" w:hAnsi="宋体" w:eastAsia="宋体" w:cs="宋体"/>
                <w:b/>
                <w:bCs/>
                <w:color w:val="auto"/>
                <w:kern w:val="2"/>
                <w:sz w:val="24"/>
                <w:szCs w:val="24"/>
                <w:highlight w:val="none"/>
                <w:lang w:eastAsia="zh-CN"/>
              </w:rPr>
            </w:pPr>
            <w:r>
              <w:rPr>
                <w:rFonts w:hint="eastAsia" w:ascii="宋体" w:hAnsi="宋体" w:eastAsia="宋体" w:cs="宋体"/>
                <w:b/>
                <w:bCs/>
                <w:color w:val="auto"/>
                <w:kern w:val="0"/>
                <w:sz w:val="24"/>
                <w:szCs w:val="24"/>
                <w:highlight w:val="none"/>
                <w:lang w:val="zh-CN" w:eastAsia="zh-CN"/>
              </w:rPr>
              <w:t>★</w:t>
            </w:r>
            <w:r>
              <w:rPr>
                <w:rFonts w:hint="eastAsia" w:ascii="宋体" w:hAnsi="宋体" w:eastAsia="宋体" w:cs="宋体"/>
                <w:b/>
                <w:bCs/>
                <w:color w:val="auto"/>
                <w:sz w:val="24"/>
                <w:szCs w:val="24"/>
                <w:highlight w:val="none"/>
              </w:rPr>
              <w:t>1</w:t>
            </w:r>
            <w:r>
              <w:rPr>
                <w:rFonts w:hint="default" w:ascii="宋体" w:hAnsi="宋体" w:cs="宋体"/>
                <w:b/>
                <w:bCs/>
                <w:color w:val="auto"/>
                <w:sz w:val="24"/>
                <w:szCs w:val="24"/>
                <w:highlight w:val="none"/>
              </w:rPr>
              <w:t>2</w:t>
            </w:r>
            <w:r>
              <w:rPr>
                <w:rFonts w:hint="eastAsia" w:ascii="宋体" w:hAnsi="宋体" w:eastAsia="宋体" w:cs="宋体"/>
                <w:b/>
                <w:bCs/>
                <w:color w:val="auto"/>
                <w:kern w:val="0"/>
                <w:sz w:val="24"/>
                <w:szCs w:val="24"/>
                <w:highlight w:val="none"/>
                <w:lang w:val="en-US" w:eastAsia="zh-CN"/>
              </w:rPr>
              <w:t>、</w:t>
            </w:r>
            <w:r>
              <w:rPr>
                <w:rFonts w:hint="eastAsia" w:ascii="宋体" w:hAnsi="宋体" w:eastAsia="宋体" w:cs="宋体"/>
                <w:b/>
                <w:bCs/>
                <w:color w:val="auto"/>
                <w:kern w:val="0"/>
                <w:sz w:val="24"/>
                <w:szCs w:val="24"/>
                <w:highlight w:val="none"/>
                <w:lang w:eastAsia="zh-CN"/>
              </w:rPr>
              <w:t>投标人</w:t>
            </w:r>
            <w:r>
              <w:rPr>
                <w:rFonts w:hint="eastAsia" w:ascii="宋体" w:hAnsi="宋体" w:eastAsia="宋体" w:cs="宋体"/>
                <w:b/>
                <w:bCs/>
                <w:color w:val="auto"/>
                <w:kern w:val="0"/>
                <w:sz w:val="24"/>
                <w:szCs w:val="24"/>
                <w:highlight w:val="none"/>
              </w:rPr>
              <w:t>须在投标文件中单独书面承诺：提供产品的安装费用和上门售后服务费用按以下收费标准执行</w:t>
            </w:r>
            <w:r>
              <w:rPr>
                <w:rFonts w:hint="eastAsia" w:ascii="宋体" w:hAnsi="宋体" w:eastAsia="宋体" w:cs="宋体"/>
                <w:b/>
                <w:bCs/>
                <w:color w:val="auto"/>
                <w:kern w:val="0"/>
                <w:sz w:val="24"/>
                <w:szCs w:val="24"/>
                <w:highlight w:val="none"/>
                <w:lang w:eastAsia="zh-CN"/>
              </w:rPr>
              <w:t>：详见征集文件。</w:t>
            </w:r>
          </w:p>
        </w:tc>
      </w:tr>
      <w:tr w14:paraId="68BF1DF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5000" w:type="pct"/>
            <w:tcBorders>
              <w:top w:val="single" w:color="auto" w:sz="4" w:space="0"/>
              <w:left w:val="single" w:color="auto" w:sz="4" w:space="0"/>
              <w:bottom w:val="single" w:color="auto" w:sz="4" w:space="0"/>
              <w:right w:val="single" w:color="auto" w:sz="4" w:space="0"/>
            </w:tcBorders>
            <w:vAlign w:val="center"/>
          </w:tcPr>
          <w:p w14:paraId="5FEB9746">
            <w:pPr>
              <w:keepNext w:val="0"/>
              <w:keepLines w:val="0"/>
              <w:pageBreakBefore w:val="0"/>
              <w:widowControl/>
              <w:numPr>
                <w:ilvl w:val="0"/>
                <w:numId w:val="0"/>
              </w:numPr>
              <w:suppressLineNumbers w:val="0"/>
              <w:shd w:val="clear" w:color="auto" w:fill="auto"/>
              <w:kinsoku/>
              <w:wordWrap/>
              <w:overflowPunct/>
              <w:topLinePunct w:val="0"/>
              <w:autoSpaceDE/>
              <w:autoSpaceDN/>
              <w:bidi w:val="0"/>
              <w:adjustRightInd/>
              <w:snapToGrid/>
              <w:spacing w:before="0" w:beforeAutospacing="0" w:after="0" w:afterAutospacing="0" w:line="360" w:lineRule="auto"/>
              <w:ind w:left="0" w:right="0" w:firstLine="0" w:firstLineChars="0"/>
              <w:jc w:val="left"/>
              <w:textAlignment w:val="auto"/>
              <w:rPr>
                <w:rFonts w:hint="default" w:ascii="宋体" w:hAnsi="宋体" w:eastAsia="宋体" w:cs="宋体"/>
                <w:b/>
                <w:bCs/>
                <w:color w:val="auto"/>
                <w:kern w:val="2"/>
                <w:sz w:val="24"/>
                <w:szCs w:val="24"/>
                <w:highlight w:val="none"/>
                <w:lang w:eastAsia="zh-CN"/>
              </w:rPr>
            </w:pPr>
            <w:r>
              <w:rPr>
                <w:rFonts w:hint="eastAsia" w:ascii="宋体" w:hAnsi="宋体" w:eastAsia="宋体" w:cs="宋体"/>
                <w:b/>
                <w:bCs/>
                <w:color w:val="auto"/>
                <w:kern w:val="2"/>
                <w:sz w:val="24"/>
                <w:szCs w:val="24"/>
                <w:highlight w:val="none"/>
                <w:lang w:eastAsia="zh-CN"/>
              </w:rPr>
              <w:t>★1</w:t>
            </w:r>
            <w:r>
              <w:rPr>
                <w:rFonts w:hint="default" w:ascii="宋体" w:hAnsi="宋体" w:cs="宋体"/>
                <w:b/>
                <w:bCs/>
                <w:color w:val="auto"/>
                <w:kern w:val="2"/>
                <w:sz w:val="24"/>
                <w:szCs w:val="24"/>
                <w:highlight w:val="none"/>
                <w:lang w:eastAsia="zh-CN"/>
              </w:rPr>
              <w:t>3</w:t>
            </w:r>
            <w:r>
              <w:rPr>
                <w:rFonts w:hint="eastAsia" w:ascii="宋体" w:hAnsi="宋体" w:eastAsia="宋体" w:cs="宋体"/>
                <w:b/>
                <w:bCs/>
                <w:color w:val="auto"/>
                <w:kern w:val="2"/>
                <w:sz w:val="24"/>
                <w:szCs w:val="24"/>
                <w:highlight w:val="none"/>
                <w:lang w:eastAsia="zh-CN"/>
              </w:rPr>
              <w:t>、投标人须在投标文件中明确单独书面承诺：如有绿板、高拍仪或实物展台、中控、音箱或其他扩声设备等触控一体机</w:t>
            </w:r>
            <w:r>
              <w:rPr>
                <w:rFonts w:hint="eastAsia" w:ascii="宋体" w:hAnsi="宋体" w:cs="宋体"/>
                <w:b/>
                <w:bCs/>
                <w:color w:val="auto"/>
                <w:kern w:val="2"/>
                <w:sz w:val="24"/>
                <w:szCs w:val="24"/>
                <w:highlight w:val="none"/>
                <w:lang w:val="en-US" w:eastAsia="zh-CN"/>
              </w:rPr>
              <w:t>/智慧黑板</w:t>
            </w:r>
            <w:r>
              <w:rPr>
                <w:rFonts w:hint="eastAsia" w:ascii="宋体" w:hAnsi="宋体" w:eastAsia="宋体" w:cs="宋体"/>
                <w:b/>
                <w:bCs/>
                <w:color w:val="auto"/>
                <w:kern w:val="2"/>
                <w:sz w:val="24"/>
                <w:szCs w:val="24"/>
                <w:highlight w:val="none"/>
                <w:lang w:eastAsia="zh-CN"/>
              </w:rPr>
              <w:t>配套产品一起安装时，投标人免费提供安装调试服务。为保证服务及时性，在接到安装通知后三个日历日内未上门安装的，征集人有权另行安排人员上门安装（安装后所产生的售后服务仍由中标供应商自行负责），产生的所有费用由中标供应商承担，征集人有权直接从中标供应商的履约保证金中扣除。具体安装收费标准为600元/台。</w:t>
            </w:r>
          </w:p>
        </w:tc>
      </w:tr>
      <w:tr w14:paraId="6184CD8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5000" w:type="pct"/>
            <w:tcBorders>
              <w:top w:val="single" w:color="auto" w:sz="4" w:space="0"/>
              <w:left w:val="single" w:color="auto" w:sz="4" w:space="0"/>
              <w:bottom w:val="single" w:color="auto" w:sz="4" w:space="0"/>
              <w:right w:val="single" w:color="auto" w:sz="4" w:space="0"/>
            </w:tcBorders>
            <w:vAlign w:val="center"/>
          </w:tcPr>
          <w:p w14:paraId="17084453">
            <w:pPr>
              <w:keepNext w:val="0"/>
              <w:keepLines w:val="0"/>
              <w:suppressLineNumbers w:val="0"/>
              <w:shd w:val="clear" w:color="auto" w:fill="FFFFFF"/>
              <w:spacing w:before="0" w:beforeAutospacing="0" w:after="0" w:afterAutospacing="0" w:line="360" w:lineRule="auto"/>
              <w:ind w:left="0" w:right="0"/>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★1</w:t>
            </w:r>
            <w:r>
              <w:rPr>
                <w:rFonts w:hint="default" w:ascii="宋体" w:hAnsi="宋体" w:cs="宋体"/>
                <w:b/>
                <w:bCs/>
                <w:color w:val="auto"/>
                <w:kern w:val="0"/>
                <w:sz w:val="24"/>
                <w:szCs w:val="24"/>
                <w:highlight w:val="none"/>
                <w:lang w:eastAsia="zh-CN" w:bidi="ar-SA"/>
              </w:rPr>
              <w:t>4</w:t>
            </w:r>
            <w:r>
              <w:rPr>
                <w:rFonts w:hint="eastAsia" w:ascii="宋体" w:hAnsi="宋体" w:eastAsia="宋体" w:cs="宋体"/>
                <w:b/>
                <w:bCs/>
                <w:color w:val="auto"/>
                <w:kern w:val="0"/>
                <w:sz w:val="24"/>
                <w:szCs w:val="24"/>
                <w:highlight w:val="none"/>
                <w:lang w:val="en-US" w:eastAsia="zh-CN" w:bidi="ar-SA"/>
              </w:rPr>
              <w:t>、其他要求及说明</w:t>
            </w:r>
          </w:p>
          <w:p w14:paraId="317535D3">
            <w:pPr>
              <w:keepNext w:val="0"/>
              <w:keepLines w:val="0"/>
              <w:suppressLineNumbers w:val="0"/>
              <w:shd w:val="clear" w:color="auto" w:fill="FFFFFF"/>
              <w:spacing w:before="0" w:beforeAutospacing="0" w:after="0" w:afterAutospacing="0" w:line="360" w:lineRule="auto"/>
              <w:ind w:left="0" w:right="0" w:firstLine="484"/>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1</w:t>
            </w:r>
            <w:r>
              <w:rPr>
                <w:rFonts w:hint="default" w:ascii="宋体" w:hAnsi="宋体" w:cs="宋体"/>
                <w:b/>
                <w:bCs/>
                <w:color w:val="auto"/>
                <w:kern w:val="0"/>
                <w:sz w:val="24"/>
                <w:szCs w:val="24"/>
                <w:highlight w:val="none"/>
                <w:lang w:eastAsia="zh-CN" w:bidi="ar-SA"/>
              </w:rPr>
              <w:t>4</w:t>
            </w:r>
            <w:r>
              <w:rPr>
                <w:rFonts w:hint="eastAsia" w:ascii="宋体" w:hAnsi="宋体" w:eastAsia="宋体" w:cs="宋体"/>
                <w:b/>
                <w:bCs/>
                <w:color w:val="auto"/>
                <w:kern w:val="0"/>
                <w:sz w:val="24"/>
                <w:szCs w:val="24"/>
                <w:highlight w:val="none"/>
                <w:lang w:val="en-US" w:eastAsia="zh-CN" w:bidi="ar-SA"/>
              </w:rPr>
              <w:t>.1投标人须在投标文件中明确作出如下书面承诺并提供书面承诺函（格式自拟，加盖投标人公章）：投标人承诺接受《框架采购协议》中《入围供应商评价机制》对其的考核并同意按考核情况处理。</w:t>
            </w:r>
          </w:p>
          <w:p w14:paraId="4987CAF0">
            <w:pPr>
              <w:keepNext w:val="0"/>
              <w:keepLines w:val="0"/>
              <w:suppressLineNumbers w:val="0"/>
              <w:shd w:val="clear" w:color="auto" w:fill="FFFFFF"/>
              <w:spacing w:before="0" w:beforeAutospacing="0" w:after="0" w:afterAutospacing="0" w:line="360" w:lineRule="auto"/>
              <w:ind w:left="0" w:right="0" w:firstLine="484"/>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1</w:t>
            </w:r>
            <w:r>
              <w:rPr>
                <w:rFonts w:hint="default" w:ascii="宋体" w:hAnsi="宋体" w:cs="宋体"/>
                <w:b/>
                <w:bCs/>
                <w:color w:val="auto"/>
                <w:kern w:val="0"/>
                <w:sz w:val="24"/>
                <w:szCs w:val="24"/>
                <w:highlight w:val="none"/>
                <w:lang w:eastAsia="zh-CN" w:bidi="ar-SA"/>
              </w:rPr>
              <w:t>4</w:t>
            </w:r>
            <w:r>
              <w:rPr>
                <w:rFonts w:hint="eastAsia" w:ascii="宋体" w:hAnsi="宋体" w:eastAsia="宋体" w:cs="宋体"/>
                <w:b/>
                <w:bCs/>
                <w:color w:val="auto"/>
                <w:kern w:val="0"/>
                <w:sz w:val="24"/>
                <w:szCs w:val="24"/>
                <w:highlight w:val="none"/>
                <w:lang w:val="en-US" w:eastAsia="zh-CN" w:bidi="ar-SA"/>
              </w:rPr>
              <w:t>.2投标人须在投标文件中明确作出如下书面承诺并提供书面承诺函（格式自拟，加盖投标人公章）：投标人及投标人委托的代理商承诺接受《采购合同》中《服务考核细则》对其的考核并同意按考核情况处理。</w:t>
            </w:r>
          </w:p>
          <w:p w14:paraId="4C78AEDB">
            <w:pPr>
              <w:keepNext w:val="0"/>
              <w:keepLines w:val="0"/>
              <w:suppressLineNumbers w:val="0"/>
              <w:shd w:val="clear" w:color="auto" w:fill="FFFFFF"/>
              <w:spacing w:before="0" w:beforeAutospacing="0" w:after="0" w:afterAutospacing="0" w:line="360" w:lineRule="auto"/>
              <w:ind w:left="0" w:right="0" w:firstLine="484"/>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1</w:t>
            </w:r>
            <w:r>
              <w:rPr>
                <w:rFonts w:hint="default" w:ascii="宋体" w:hAnsi="宋体" w:cs="宋体"/>
                <w:b/>
                <w:bCs/>
                <w:color w:val="auto"/>
                <w:kern w:val="0"/>
                <w:sz w:val="24"/>
                <w:szCs w:val="24"/>
                <w:highlight w:val="none"/>
                <w:lang w:eastAsia="zh-CN" w:bidi="ar-SA"/>
              </w:rPr>
              <w:t>4</w:t>
            </w:r>
            <w:r>
              <w:rPr>
                <w:rFonts w:hint="eastAsia" w:ascii="宋体" w:hAnsi="宋体" w:eastAsia="宋体" w:cs="宋体"/>
                <w:b/>
                <w:bCs/>
                <w:color w:val="auto"/>
                <w:kern w:val="0"/>
                <w:sz w:val="24"/>
                <w:szCs w:val="24"/>
                <w:highlight w:val="none"/>
                <w:lang w:val="en-US" w:eastAsia="zh-CN" w:bidi="ar-SA"/>
              </w:rPr>
              <w:t>.3投标人所投采购包产品应符合国家强制性产品认证标准的要求，获得CCC认证证书，并在投标文件中提供CCC认证证书有效期内的复印件并加盖投标人公章。</w:t>
            </w:r>
          </w:p>
          <w:p w14:paraId="796DA17C">
            <w:pPr>
              <w:keepNext w:val="0"/>
              <w:keepLines w:val="0"/>
              <w:widowControl w:val="0"/>
              <w:suppressLineNumbers w:val="0"/>
              <w:shd w:val="clear" w:color="auto" w:fill="FFFFFF"/>
              <w:spacing w:before="0" w:beforeAutospacing="0" w:after="0" w:afterAutospacing="0" w:line="360" w:lineRule="auto"/>
              <w:ind w:left="0" w:right="0" w:firstLine="484"/>
              <w:jc w:val="both"/>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
              </w:rPr>
              <w:t>1</w:t>
            </w:r>
            <w:r>
              <w:rPr>
                <w:rFonts w:hint="default" w:ascii="宋体" w:hAnsi="宋体" w:cs="宋体"/>
                <w:b/>
                <w:bCs/>
                <w:color w:val="auto"/>
                <w:kern w:val="0"/>
                <w:sz w:val="24"/>
                <w:szCs w:val="24"/>
                <w:highlight w:val="none"/>
                <w:lang w:eastAsia="zh-CN" w:bidi="ar"/>
              </w:rPr>
              <w:t>4</w:t>
            </w:r>
            <w:r>
              <w:rPr>
                <w:rFonts w:hint="eastAsia" w:ascii="宋体" w:hAnsi="宋体" w:eastAsia="宋体" w:cs="宋体"/>
                <w:b/>
                <w:bCs/>
                <w:color w:val="auto"/>
                <w:kern w:val="0"/>
                <w:sz w:val="24"/>
                <w:szCs w:val="24"/>
                <w:highlight w:val="none"/>
                <w:lang w:val="en-US" w:eastAsia="zh-CN" w:bidi="ar"/>
              </w:rPr>
              <w:t>.4、投标人应提供所投采购包产品节能认证证书有效期内的复印件并加盖投标人公章。</w:t>
            </w:r>
          </w:p>
          <w:p w14:paraId="5318C371">
            <w:pPr>
              <w:keepNext w:val="0"/>
              <w:keepLines w:val="0"/>
              <w:suppressLineNumbers w:val="0"/>
              <w:shd w:val="clear" w:color="auto" w:fill="FFFFFF"/>
              <w:spacing w:before="0" w:beforeAutospacing="0" w:after="0" w:afterAutospacing="0" w:line="360" w:lineRule="auto"/>
              <w:ind w:left="0" w:right="0" w:firstLine="484"/>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1</w:t>
            </w:r>
            <w:r>
              <w:rPr>
                <w:rFonts w:hint="default" w:ascii="宋体" w:hAnsi="宋体" w:cs="宋体"/>
                <w:b/>
                <w:bCs/>
                <w:color w:val="auto"/>
                <w:kern w:val="0"/>
                <w:sz w:val="24"/>
                <w:szCs w:val="24"/>
                <w:highlight w:val="none"/>
                <w:lang w:eastAsia="zh-CN" w:bidi="ar-SA"/>
              </w:rPr>
              <w:t>4</w:t>
            </w:r>
            <w:r>
              <w:rPr>
                <w:rFonts w:hint="eastAsia" w:ascii="宋体" w:hAnsi="宋体" w:eastAsia="宋体" w:cs="宋体"/>
                <w:b/>
                <w:bCs/>
                <w:color w:val="auto"/>
                <w:kern w:val="0"/>
                <w:sz w:val="24"/>
                <w:szCs w:val="24"/>
                <w:highlight w:val="none"/>
                <w:lang w:val="en-US" w:eastAsia="zh-CN" w:bidi="ar-SA"/>
              </w:rPr>
              <w:t>.</w:t>
            </w:r>
            <w:r>
              <w:rPr>
                <w:rFonts w:hint="default" w:ascii="宋体" w:hAnsi="宋体" w:cs="宋体"/>
                <w:b/>
                <w:bCs/>
                <w:color w:val="auto"/>
                <w:kern w:val="0"/>
                <w:sz w:val="24"/>
                <w:szCs w:val="24"/>
                <w:highlight w:val="none"/>
                <w:lang w:eastAsia="zh-CN" w:bidi="ar-SA"/>
              </w:rPr>
              <w:t>5</w:t>
            </w:r>
            <w:r>
              <w:rPr>
                <w:rFonts w:hint="eastAsia" w:ascii="宋体" w:hAnsi="宋体" w:eastAsia="宋体" w:cs="宋体"/>
                <w:b/>
                <w:bCs/>
                <w:color w:val="auto"/>
                <w:kern w:val="0"/>
                <w:sz w:val="24"/>
                <w:szCs w:val="24"/>
                <w:highlight w:val="none"/>
                <w:lang w:val="en-US" w:eastAsia="zh-CN" w:bidi="ar-SA"/>
              </w:rPr>
              <w:t>征集人付款时，成交供应商应提供一般纳税人的增值税专用发票；否则，征集人有权拒绝支付相应款项。</w:t>
            </w:r>
          </w:p>
          <w:p w14:paraId="2D5097AF">
            <w:pPr>
              <w:keepNext w:val="0"/>
              <w:keepLines w:val="0"/>
              <w:suppressLineNumbers w:val="0"/>
              <w:shd w:val="clear" w:color="auto" w:fill="FFFFFF"/>
              <w:spacing w:before="0" w:beforeAutospacing="0" w:after="0" w:afterAutospacing="0" w:line="360" w:lineRule="auto"/>
              <w:ind w:left="0" w:right="0" w:firstLine="484"/>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1</w:t>
            </w:r>
            <w:r>
              <w:rPr>
                <w:rFonts w:hint="default" w:ascii="宋体" w:hAnsi="宋体" w:cs="宋体"/>
                <w:b/>
                <w:bCs/>
                <w:color w:val="auto"/>
                <w:kern w:val="0"/>
                <w:sz w:val="24"/>
                <w:szCs w:val="24"/>
                <w:highlight w:val="none"/>
                <w:lang w:eastAsia="zh-CN" w:bidi="ar-SA"/>
              </w:rPr>
              <w:t>4</w:t>
            </w:r>
            <w:r>
              <w:rPr>
                <w:rFonts w:hint="eastAsia" w:ascii="宋体" w:hAnsi="宋体" w:eastAsia="宋体" w:cs="宋体"/>
                <w:b/>
                <w:bCs/>
                <w:color w:val="auto"/>
                <w:kern w:val="0"/>
                <w:sz w:val="24"/>
                <w:szCs w:val="24"/>
                <w:highlight w:val="none"/>
                <w:lang w:val="en-US" w:eastAsia="zh-CN" w:bidi="ar-SA"/>
              </w:rPr>
              <w:t>.</w:t>
            </w:r>
            <w:r>
              <w:rPr>
                <w:rFonts w:hint="default" w:ascii="宋体" w:hAnsi="宋体" w:cs="宋体"/>
                <w:b/>
                <w:bCs/>
                <w:color w:val="auto"/>
                <w:kern w:val="0"/>
                <w:sz w:val="24"/>
                <w:szCs w:val="24"/>
                <w:highlight w:val="none"/>
                <w:lang w:eastAsia="zh-CN" w:bidi="ar-SA"/>
              </w:rPr>
              <w:t>6</w:t>
            </w:r>
            <w:r>
              <w:rPr>
                <w:rFonts w:hint="eastAsia" w:ascii="宋体" w:hAnsi="宋体" w:eastAsia="宋体" w:cs="宋体"/>
                <w:b/>
                <w:bCs/>
                <w:color w:val="auto"/>
                <w:kern w:val="0"/>
                <w:sz w:val="24"/>
                <w:szCs w:val="24"/>
                <w:highlight w:val="none"/>
                <w:lang w:val="en-US" w:eastAsia="zh-CN" w:bidi="ar-SA"/>
              </w:rPr>
              <w:t>投标人需作出书面承诺，如获入围将配合征集人及产品检验检测机构进行投标产品的产品技术参数指标、软硬件功能及产品性能等的检验检测，产品检验检测产生的一切相关费用由入围供应商承担。</w:t>
            </w:r>
          </w:p>
          <w:p w14:paraId="6C382FD2">
            <w:pPr>
              <w:keepNext w:val="0"/>
              <w:keepLines w:val="0"/>
              <w:suppressLineNumbers w:val="0"/>
              <w:shd w:val="clear" w:color="auto" w:fill="FFFFFF"/>
              <w:spacing w:before="0" w:beforeAutospacing="0" w:after="0" w:afterAutospacing="0" w:line="360" w:lineRule="auto"/>
              <w:ind w:left="0" w:right="0" w:firstLine="484"/>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1</w:t>
            </w:r>
            <w:r>
              <w:rPr>
                <w:rFonts w:hint="default" w:ascii="宋体" w:hAnsi="宋体" w:cs="宋体"/>
                <w:b/>
                <w:bCs/>
                <w:color w:val="auto"/>
                <w:kern w:val="0"/>
                <w:sz w:val="24"/>
                <w:szCs w:val="24"/>
                <w:highlight w:val="none"/>
                <w:lang w:eastAsia="zh-CN" w:bidi="ar-SA"/>
              </w:rPr>
              <w:t>4</w:t>
            </w:r>
            <w:r>
              <w:rPr>
                <w:rFonts w:hint="eastAsia" w:ascii="宋体" w:hAnsi="宋体" w:eastAsia="宋体" w:cs="宋体"/>
                <w:b/>
                <w:bCs/>
                <w:color w:val="auto"/>
                <w:kern w:val="0"/>
                <w:sz w:val="24"/>
                <w:szCs w:val="24"/>
                <w:highlight w:val="none"/>
                <w:lang w:val="en-US" w:eastAsia="zh-CN" w:bidi="ar-SA"/>
              </w:rPr>
              <w:t>.</w:t>
            </w:r>
            <w:r>
              <w:rPr>
                <w:rFonts w:hint="default" w:ascii="宋体" w:hAnsi="宋体" w:cs="宋体"/>
                <w:b/>
                <w:bCs/>
                <w:color w:val="auto"/>
                <w:kern w:val="0"/>
                <w:sz w:val="24"/>
                <w:szCs w:val="24"/>
                <w:highlight w:val="none"/>
                <w:lang w:eastAsia="zh-CN" w:bidi="ar-SA"/>
              </w:rPr>
              <w:t>7</w:t>
            </w:r>
            <w:r>
              <w:rPr>
                <w:rFonts w:hint="eastAsia" w:ascii="宋体" w:hAnsi="宋体" w:eastAsia="宋体" w:cs="宋体"/>
                <w:b/>
                <w:bCs/>
                <w:color w:val="auto"/>
                <w:kern w:val="0"/>
                <w:sz w:val="24"/>
                <w:szCs w:val="24"/>
                <w:highlight w:val="none"/>
                <w:lang w:val="en-US" w:eastAsia="zh-CN" w:bidi="ar-SA"/>
              </w:rPr>
              <w:t>投标人需作出书面承诺并提供书面承诺函（格式自拟，加盖投标人公章）：在框架协议有效期内，征集人有权针对所有入围供应商进行集中议价并以函件形式通知所有入围供应商，投标人承诺在规定时间内以书面形式回复价格确认函且响应的价格不高于投标响应的入围价格。</w:t>
            </w:r>
          </w:p>
          <w:p w14:paraId="79EEE291">
            <w:pPr>
              <w:keepNext w:val="0"/>
              <w:keepLines w:val="0"/>
              <w:suppressLineNumbers w:val="0"/>
              <w:shd w:val="clear" w:color="auto" w:fill="FFFFFF"/>
              <w:spacing w:before="0" w:beforeAutospacing="0" w:after="0" w:afterAutospacing="0" w:line="360" w:lineRule="auto"/>
              <w:ind w:left="0" w:right="0" w:firstLine="484"/>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1</w:t>
            </w:r>
            <w:r>
              <w:rPr>
                <w:rFonts w:hint="default" w:ascii="宋体" w:hAnsi="宋体" w:cs="宋体"/>
                <w:b/>
                <w:bCs/>
                <w:color w:val="auto"/>
                <w:kern w:val="0"/>
                <w:sz w:val="24"/>
                <w:szCs w:val="24"/>
                <w:highlight w:val="none"/>
                <w:lang w:eastAsia="zh-CN" w:bidi="ar-SA"/>
              </w:rPr>
              <w:t>4</w:t>
            </w:r>
            <w:r>
              <w:rPr>
                <w:rFonts w:hint="eastAsia" w:ascii="宋体" w:hAnsi="宋体" w:eastAsia="宋体" w:cs="宋体"/>
                <w:b/>
                <w:bCs/>
                <w:color w:val="auto"/>
                <w:kern w:val="0"/>
                <w:sz w:val="24"/>
                <w:szCs w:val="24"/>
                <w:highlight w:val="none"/>
                <w:lang w:val="en-US" w:eastAsia="zh-CN" w:bidi="ar-SA"/>
              </w:rPr>
              <w:t>.</w:t>
            </w:r>
            <w:r>
              <w:rPr>
                <w:rFonts w:hint="default" w:ascii="宋体" w:hAnsi="宋体" w:cs="宋体"/>
                <w:b/>
                <w:bCs/>
                <w:color w:val="auto"/>
                <w:kern w:val="0"/>
                <w:sz w:val="24"/>
                <w:szCs w:val="24"/>
                <w:highlight w:val="none"/>
                <w:lang w:eastAsia="zh-CN" w:bidi="ar-SA"/>
              </w:rPr>
              <w:t>8</w:t>
            </w:r>
            <w:r>
              <w:rPr>
                <w:rFonts w:hint="eastAsia" w:ascii="宋体" w:hAnsi="宋体" w:eastAsia="宋体" w:cs="宋体"/>
                <w:b/>
                <w:bCs/>
                <w:color w:val="auto"/>
                <w:kern w:val="0"/>
                <w:sz w:val="24"/>
                <w:szCs w:val="24"/>
                <w:highlight w:val="none"/>
                <w:lang w:val="en-US" w:eastAsia="zh-CN" w:bidi="ar-SA"/>
              </w:rPr>
              <w:t>投标人需作出书面承诺并提供书面承诺函（格式自拟，加盖投标人公章）：如果入围，在履行框架采购协议和采购合同期间，如果出现以下任一情况，征集人有权单方解除框架采购协议和采购合同并取消入围供应商的入围资格，入围供应商应支付相当于履约保证金金额的违约金。同时，对入围供应商下述情况在厦门招投标网进行公示，并在三年内拒绝入围供应商进入大宗政府招标采购项目的投标报价：</w:t>
            </w:r>
          </w:p>
          <w:p w14:paraId="5FF12DA4">
            <w:pPr>
              <w:keepNext w:val="0"/>
              <w:keepLines w:val="0"/>
              <w:suppressLineNumbers w:val="0"/>
              <w:shd w:val="clear" w:color="auto" w:fill="FFFFFF"/>
              <w:spacing w:before="0" w:beforeAutospacing="0" w:after="0" w:afterAutospacing="0" w:line="360" w:lineRule="auto"/>
              <w:ind w:left="0" w:right="0" w:firstLine="484"/>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①违反法律法规、行业规范要求被有关部门查处的；</w:t>
            </w:r>
          </w:p>
          <w:p w14:paraId="0127D0EE">
            <w:pPr>
              <w:keepNext w:val="0"/>
              <w:keepLines w:val="0"/>
              <w:suppressLineNumbers w:val="0"/>
              <w:shd w:val="clear" w:color="auto" w:fill="FFFFFF"/>
              <w:spacing w:before="0" w:beforeAutospacing="0" w:after="0" w:afterAutospacing="0" w:line="360" w:lineRule="auto"/>
              <w:ind w:left="0" w:right="0" w:firstLine="484"/>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②提供假冒伪劣产品的；</w:t>
            </w:r>
          </w:p>
          <w:p w14:paraId="6A17A3E6">
            <w:pPr>
              <w:keepNext w:val="0"/>
              <w:keepLines w:val="0"/>
              <w:suppressLineNumbers w:val="0"/>
              <w:shd w:val="clear" w:color="auto" w:fill="FFFFFF"/>
              <w:spacing w:before="0" w:beforeAutospacing="0" w:after="0" w:afterAutospacing="0" w:line="360" w:lineRule="auto"/>
              <w:ind w:left="0" w:right="0" w:firstLine="484"/>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③通过给回扣或变相给回扣的方式招揽业务的；</w:t>
            </w:r>
          </w:p>
          <w:p w14:paraId="686D86B8">
            <w:pPr>
              <w:keepNext w:val="0"/>
              <w:keepLines w:val="0"/>
              <w:suppressLineNumbers w:val="0"/>
              <w:shd w:val="clear" w:color="auto" w:fill="FFFFFF"/>
              <w:spacing w:before="0" w:beforeAutospacing="0" w:after="0" w:afterAutospacing="0" w:line="360" w:lineRule="auto"/>
              <w:ind w:left="0" w:right="0" w:firstLine="484"/>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④因产品质量或服务问题被有效投诉达三次以上的；</w:t>
            </w:r>
          </w:p>
          <w:p w14:paraId="65F59508">
            <w:pPr>
              <w:keepNext w:val="0"/>
              <w:keepLines w:val="0"/>
              <w:suppressLineNumbers w:val="0"/>
              <w:shd w:val="clear" w:color="auto" w:fill="FFFFFF"/>
              <w:spacing w:before="0" w:beforeAutospacing="0" w:after="0" w:afterAutospacing="0" w:line="360" w:lineRule="auto"/>
              <w:ind w:left="0" w:right="0" w:firstLine="484"/>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⑤向有关部门、征集人、最终使用方提供虚假信息或资料等情况的；</w:t>
            </w:r>
          </w:p>
          <w:p w14:paraId="2E4A9509">
            <w:pPr>
              <w:keepNext w:val="0"/>
              <w:keepLines w:val="0"/>
              <w:suppressLineNumbers w:val="0"/>
              <w:shd w:val="clear" w:color="auto" w:fill="FFFFFF"/>
              <w:spacing w:before="0" w:beforeAutospacing="0" w:after="0" w:afterAutospacing="0" w:line="360" w:lineRule="auto"/>
              <w:ind w:left="0" w:right="0" w:firstLine="484"/>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⑥出现重大客户投诉事件（如政府采购管理部门督办事件、新闻媒体公开报道、采购业主书面发函投诉以及其他对征集人产生严重负面影响的事件）；</w:t>
            </w:r>
          </w:p>
          <w:p w14:paraId="4DD869C1">
            <w:pPr>
              <w:keepNext w:val="0"/>
              <w:keepLines w:val="0"/>
              <w:suppressLineNumbers w:val="0"/>
              <w:shd w:val="clear" w:color="auto" w:fill="FFFFFF"/>
              <w:spacing w:before="0" w:beforeAutospacing="0" w:after="0" w:afterAutospacing="0" w:line="360" w:lineRule="auto"/>
              <w:ind w:left="0" w:right="0" w:firstLine="484"/>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⑦报修率超过3%。报修率=保修期内硬件故障报修有效台次/已销售台数*100%（已销售台数超过100台之后开始计算报修率）。</w:t>
            </w:r>
          </w:p>
          <w:p w14:paraId="513A5C6C">
            <w:pPr>
              <w:keepNext w:val="0"/>
              <w:keepLines w:val="0"/>
              <w:widowControl/>
              <w:numPr>
                <w:ilvl w:val="0"/>
                <w:numId w:val="0"/>
              </w:numPr>
              <w:suppressLineNumbers w:val="0"/>
              <w:shd w:val="clear" w:color="auto" w:fill="auto"/>
              <w:spacing w:before="0" w:beforeAutospacing="0" w:after="0" w:afterAutospacing="0" w:line="360" w:lineRule="auto"/>
              <w:ind w:left="0" w:right="0" w:firstLine="482" w:firstLineChars="200"/>
              <w:jc w:val="left"/>
              <w:rPr>
                <w:rFonts w:hint="default" w:ascii="宋体" w:hAnsi="宋体" w:eastAsia="宋体" w:cs="宋体"/>
                <w:b/>
                <w:bCs/>
                <w:color w:val="auto"/>
                <w:kern w:val="2"/>
                <w:sz w:val="24"/>
                <w:szCs w:val="24"/>
                <w:highlight w:val="none"/>
                <w:lang w:eastAsia="zh-CN"/>
              </w:rPr>
            </w:pPr>
            <w:r>
              <w:rPr>
                <w:rFonts w:hint="eastAsia" w:ascii="宋体" w:hAnsi="宋体" w:eastAsia="宋体" w:cs="宋体"/>
                <w:b/>
                <w:bCs/>
                <w:color w:val="auto"/>
                <w:kern w:val="0"/>
                <w:sz w:val="24"/>
                <w:szCs w:val="24"/>
                <w:highlight w:val="none"/>
                <w:lang w:val="en-US" w:eastAsia="zh-CN" w:bidi="ar-SA"/>
              </w:rPr>
              <w:t>1</w:t>
            </w:r>
            <w:r>
              <w:rPr>
                <w:rFonts w:hint="default" w:ascii="宋体" w:hAnsi="宋体" w:cs="宋体"/>
                <w:b/>
                <w:bCs/>
                <w:color w:val="auto"/>
                <w:kern w:val="0"/>
                <w:sz w:val="24"/>
                <w:szCs w:val="24"/>
                <w:highlight w:val="none"/>
                <w:lang w:eastAsia="zh-CN" w:bidi="ar-SA"/>
              </w:rPr>
              <w:t>4</w:t>
            </w:r>
            <w:r>
              <w:rPr>
                <w:rFonts w:hint="eastAsia" w:ascii="宋体" w:hAnsi="宋体" w:eastAsia="宋体" w:cs="宋体"/>
                <w:b/>
                <w:bCs/>
                <w:color w:val="auto"/>
                <w:kern w:val="0"/>
                <w:sz w:val="24"/>
                <w:szCs w:val="24"/>
                <w:highlight w:val="none"/>
                <w:lang w:val="en-US" w:eastAsia="zh-CN" w:bidi="ar-SA"/>
              </w:rPr>
              <w:t>.</w:t>
            </w:r>
            <w:r>
              <w:rPr>
                <w:rFonts w:hint="default" w:ascii="宋体" w:hAnsi="宋体" w:cs="宋体"/>
                <w:b/>
                <w:bCs/>
                <w:color w:val="auto"/>
                <w:kern w:val="0"/>
                <w:sz w:val="24"/>
                <w:szCs w:val="24"/>
                <w:highlight w:val="none"/>
                <w:lang w:eastAsia="zh-CN" w:bidi="ar-SA"/>
              </w:rPr>
              <w:t>9</w:t>
            </w:r>
            <w:r>
              <w:rPr>
                <w:rFonts w:hint="eastAsia" w:ascii="宋体" w:hAnsi="宋体" w:eastAsia="宋体" w:cs="宋体"/>
                <w:b/>
                <w:bCs/>
                <w:color w:val="auto"/>
                <w:kern w:val="0"/>
                <w:sz w:val="24"/>
                <w:szCs w:val="24"/>
                <w:highlight w:val="none"/>
                <w:lang w:val="en-US" w:eastAsia="zh-CN" w:bidi="ar-SA"/>
              </w:rPr>
              <w:t>投标人需作出书面承诺并提供书面承诺函（格式自拟，加盖投标人公章）：待合同终止后的30天内根据征集人要求按合同原入围价回购征集人剩余的库存产品且回购总金额不高于框架协议有效期内总采购金额的5%，投标人回购的付款方式为先款后货</w:t>
            </w:r>
            <w:r>
              <w:rPr>
                <w:rFonts w:hint="eastAsia" w:ascii="宋体" w:hAnsi="宋体" w:eastAsia="宋体" w:cs="宋体"/>
                <w:b/>
                <w:bCs/>
                <w:color w:val="auto"/>
                <w:sz w:val="24"/>
                <w:szCs w:val="24"/>
                <w:highlight w:val="none"/>
                <w:lang w:val="en-US" w:eastAsia="zh-CN" w:bidi="zh-CN"/>
              </w:rPr>
              <w:t>，回购的产品由征集人发货到投标人指定地点，同时回购产品已缴纳的仓储操作配送费不予退还</w:t>
            </w:r>
            <w:r>
              <w:rPr>
                <w:rFonts w:hint="eastAsia" w:ascii="宋体" w:hAnsi="宋体" w:eastAsia="宋体" w:cs="宋体"/>
                <w:b/>
                <w:bCs/>
                <w:color w:val="auto"/>
                <w:kern w:val="0"/>
                <w:sz w:val="24"/>
                <w:szCs w:val="24"/>
                <w:highlight w:val="none"/>
                <w:lang w:val="en-US" w:eastAsia="zh-CN" w:bidi="ar-SA"/>
              </w:rPr>
              <w:t>。若投标人未在规定的期限内完成上述回购的，征集人有权从投标人的货款或履约保证金中扣除相应的回购款项。</w:t>
            </w:r>
          </w:p>
        </w:tc>
      </w:tr>
      <w:tr w14:paraId="0F6BC06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5000" w:type="pct"/>
            <w:tcBorders>
              <w:top w:val="single" w:color="auto" w:sz="4" w:space="0"/>
              <w:left w:val="single" w:color="auto" w:sz="4" w:space="0"/>
              <w:bottom w:val="single" w:color="auto" w:sz="4" w:space="0"/>
              <w:right w:val="single" w:color="auto" w:sz="4" w:space="0"/>
            </w:tcBorders>
            <w:vAlign w:val="center"/>
          </w:tcPr>
          <w:p w14:paraId="396BC0C3">
            <w:pPr>
              <w:keepNext w:val="0"/>
              <w:keepLines w:val="0"/>
              <w:widowControl/>
              <w:numPr>
                <w:ilvl w:val="0"/>
                <w:numId w:val="0"/>
              </w:numPr>
              <w:suppressLineNumbers w:val="0"/>
              <w:shd w:val="clear" w:color="auto" w:fill="auto"/>
              <w:spacing w:before="0" w:beforeAutospacing="0" w:after="0" w:afterAutospacing="0" w:line="360" w:lineRule="auto"/>
              <w:ind w:left="0" w:right="0" w:firstLine="0" w:firstLineChars="0"/>
              <w:jc w:val="left"/>
              <w:rPr>
                <w:rFonts w:hint="default" w:ascii="宋体" w:hAnsi="宋体" w:eastAsia="宋体" w:cs="宋体"/>
                <w:b/>
                <w:bCs/>
                <w:color w:val="auto"/>
                <w:kern w:val="0"/>
                <w:sz w:val="24"/>
                <w:szCs w:val="24"/>
                <w:highlight w:val="none"/>
                <w:lang w:val="en-US" w:eastAsia="zh-CN" w:bidi="ar-SA"/>
              </w:rPr>
            </w:pPr>
            <w:r>
              <w:rPr>
                <w:rFonts w:hint="default" w:ascii="宋体" w:hAnsi="宋体" w:cs="宋体"/>
                <w:b/>
                <w:bCs/>
                <w:color w:val="auto"/>
                <w:kern w:val="0"/>
                <w:sz w:val="24"/>
                <w:szCs w:val="24"/>
                <w:highlight w:val="none"/>
                <w:lang w:eastAsia="zh-CN" w:bidi="ar-SA"/>
              </w:rPr>
              <w:t>三、</w:t>
            </w:r>
            <w:r>
              <w:rPr>
                <w:rFonts w:hint="eastAsia" w:ascii="宋体" w:hAnsi="宋体" w:eastAsia="宋体" w:cs="宋体"/>
                <w:b/>
                <w:bCs/>
                <w:color w:val="auto"/>
                <w:kern w:val="0"/>
                <w:sz w:val="24"/>
                <w:szCs w:val="24"/>
                <w:highlight w:val="none"/>
                <w:lang w:val="en-US" w:eastAsia="zh-CN" w:bidi="ar-SA"/>
              </w:rPr>
              <w:t>商务条件</w:t>
            </w:r>
            <w:r>
              <w:rPr>
                <w:rFonts w:hint="default" w:ascii="宋体" w:hAnsi="宋体" w:cs="宋体"/>
                <w:b/>
                <w:bCs/>
                <w:color w:val="auto"/>
                <w:kern w:val="0"/>
                <w:sz w:val="24"/>
                <w:szCs w:val="24"/>
                <w:highlight w:val="none"/>
                <w:lang w:eastAsia="zh-CN" w:bidi="ar-SA"/>
              </w:rPr>
              <w:t xml:space="preserve">  </w:t>
            </w:r>
            <w:r>
              <w:rPr>
                <w:rFonts w:hint="eastAsia" w:ascii="宋体" w:hAnsi="宋体" w:eastAsia="宋体" w:cs="宋体"/>
                <w:b/>
                <w:bCs/>
                <w:color w:val="auto"/>
                <w:kern w:val="0"/>
                <w:sz w:val="24"/>
                <w:szCs w:val="24"/>
                <w:highlight w:val="none"/>
                <w:lang w:val="en-US" w:eastAsia="zh-CN" w:bidi="ar-SA"/>
              </w:rPr>
              <w:t>包：1、2</w:t>
            </w:r>
          </w:p>
          <w:p w14:paraId="544F3464">
            <w:pPr>
              <w:keepNext w:val="0"/>
              <w:keepLines w:val="0"/>
              <w:widowControl/>
              <w:numPr>
                <w:ilvl w:val="0"/>
                <w:numId w:val="0"/>
              </w:numPr>
              <w:suppressLineNumbers w:val="0"/>
              <w:shd w:val="clear" w:color="auto" w:fill="auto"/>
              <w:spacing w:before="0" w:beforeAutospacing="0" w:after="0" w:afterAutospacing="0" w:line="360" w:lineRule="auto"/>
              <w:ind w:left="0" w:right="0" w:firstLine="0" w:firstLineChars="0"/>
              <w:jc w:val="left"/>
              <w:rPr>
                <w:rFonts w:hint="default"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zh-CN" w:eastAsia="zh-CN"/>
              </w:rPr>
              <w:t>★</w:t>
            </w:r>
            <w:r>
              <w:rPr>
                <w:rFonts w:hint="default" w:ascii="宋体" w:hAnsi="宋体" w:cs="宋体"/>
                <w:b/>
                <w:bCs/>
                <w:color w:val="auto"/>
                <w:kern w:val="0"/>
                <w:sz w:val="24"/>
                <w:szCs w:val="24"/>
                <w:highlight w:val="none"/>
                <w:lang w:eastAsia="zh-CN" w:bidi="ar-SA"/>
              </w:rPr>
              <w:t>3、</w:t>
            </w:r>
            <w:r>
              <w:rPr>
                <w:rFonts w:hint="eastAsia" w:ascii="宋体" w:hAnsi="宋体" w:eastAsia="宋体" w:cs="宋体"/>
                <w:b/>
                <w:bCs/>
                <w:color w:val="auto"/>
                <w:kern w:val="0"/>
                <w:sz w:val="24"/>
                <w:szCs w:val="24"/>
                <w:highlight w:val="none"/>
                <w:lang w:val="en-US" w:eastAsia="zh-CN" w:bidi="ar-SA"/>
              </w:rPr>
              <w:t>是否收取履约保证金：是。入围供应商应在框架协议签订之日起7个日历日内以转账方式向征集人支付履约保证金，</w:t>
            </w:r>
            <w:r>
              <w:rPr>
                <w:rFonts w:hint="eastAsia" w:ascii="宋体" w:hAnsi="宋体" w:eastAsia="宋体" w:cs="宋体"/>
                <w:b/>
                <w:bCs/>
                <w:color w:val="auto"/>
                <w:kern w:val="0"/>
                <w:sz w:val="24"/>
                <w:szCs w:val="24"/>
                <w:highlight w:val="none"/>
                <w:lang w:val="en-US" w:eastAsia="zh-CN"/>
              </w:rPr>
              <w:t>采购包1</w:t>
            </w:r>
            <w:r>
              <w:rPr>
                <w:rFonts w:hint="default" w:ascii="宋体" w:hAnsi="宋体" w:cs="宋体"/>
                <w:b/>
                <w:bCs/>
                <w:color w:val="auto"/>
                <w:kern w:val="0"/>
                <w:sz w:val="24"/>
                <w:szCs w:val="24"/>
                <w:highlight w:val="none"/>
                <w:lang w:eastAsia="zh-CN"/>
              </w:rPr>
              <w:t>的</w:t>
            </w:r>
            <w:r>
              <w:rPr>
                <w:rFonts w:hint="eastAsia" w:ascii="宋体" w:hAnsi="宋体" w:eastAsia="宋体" w:cs="宋体"/>
                <w:b/>
                <w:bCs/>
                <w:color w:val="auto"/>
                <w:kern w:val="0"/>
                <w:sz w:val="24"/>
                <w:szCs w:val="24"/>
                <w:highlight w:val="none"/>
                <w:lang w:val="en-US" w:eastAsia="zh-CN"/>
              </w:rPr>
              <w:t>履约保证金为人民币伍万元整，采购包2的履约保证金为人民币贰万元整</w:t>
            </w:r>
            <w:r>
              <w:rPr>
                <w:rFonts w:hint="eastAsia" w:ascii="宋体" w:hAnsi="宋体" w:eastAsia="宋体" w:cs="宋体"/>
                <w:b/>
                <w:bCs/>
                <w:color w:val="auto"/>
                <w:kern w:val="0"/>
                <w:sz w:val="24"/>
                <w:szCs w:val="24"/>
                <w:highlight w:val="none"/>
                <w:lang w:val="en-US" w:eastAsia="zh-CN" w:bidi="ar-SA"/>
              </w:rPr>
              <w:t>。履约保证金待本框架协议有效期届满后7个工作日内一次性无息返还（扣除相应的违约金、赔偿金）。</w:t>
            </w:r>
          </w:p>
          <w:p w14:paraId="72E04A7F">
            <w:pPr>
              <w:keepNext w:val="0"/>
              <w:keepLines w:val="0"/>
              <w:numPr>
                <w:ilvl w:val="0"/>
                <w:numId w:val="0"/>
              </w:numPr>
              <w:suppressLineNumbers w:val="0"/>
              <w:shd w:val="clear" w:color="auto" w:fill="auto"/>
              <w:spacing w:before="0" w:beforeAutospacing="0" w:after="0" w:afterAutospacing="0" w:line="360" w:lineRule="auto"/>
              <w:ind w:left="0" w:right="0" w:firstLine="482" w:firstLineChars="200"/>
              <w:jc w:val="left"/>
              <w:rPr>
                <w:rFonts w:hint="eastAsia"/>
                <w:color w:val="auto"/>
                <w:highlight w:val="none"/>
                <w:lang w:val="en-US" w:eastAsia="zh-CN"/>
              </w:rPr>
            </w:pPr>
            <w:r>
              <w:rPr>
                <w:rFonts w:hint="eastAsia" w:ascii="宋体" w:hAnsi="宋体" w:eastAsia="宋体" w:cs="宋体"/>
                <w:b/>
                <w:bCs/>
                <w:color w:val="auto"/>
                <w:kern w:val="0"/>
                <w:sz w:val="24"/>
                <w:szCs w:val="24"/>
                <w:highlight w:val="none"/>
                <w:lang w:val="en-US" w:eastAsia="zh-CN" w:bidi="ar-SA"/>
              </w:rPr>
              <w:t>采购合同履约保证金金额：成交供应商应在合同签订之日起7个日历日内以转账方式向采购单位支付供货履约保证金，</w:t>
            </w:r>
            <w:r>
              <w:rPr>
                <w:rFonts w:hint="eastAsia" w:ascii="宋体" w:hAnsi="宋体" w:eastAsia="宋体" w:cs="宋体"/>
                <w:b/>
                <w:bCs/>
                <w:color w:val="auto"/>
                <w:kern w:val="0"/>
                <w:sz w:val="24"/>
                <w:szCs w:val="24"/>
                <w:highlight w:val="none"/>
                <w:lang w:val="en-US" w:eastAsia="zh-CN"/>
              </w:rPr>
              <w:t>采购包1</w:t>
            </w:r>
            <w:r>
              <w:rPr>
                <w:rFonts w:hint="default" w:ascii="宋体" w:hAnsi="宋体" w:cs="宋体"/>
                <w:b/>
                <w:bCs/>
                <w:color w:val="auto"/>
                <w:kern w:val="0"/>
                <w:sz w:val="24"/>
                <w:szCs w:val="24"/>
                <w:highlight w:val="none"/>
                <w:lang w:eastAsia="zh-CN"/>
              </w:rPr>
              <w:t>的供货</w:t>
            </w:r>
            <w:r>
              <w:rPr>
                <w:rFonts w:hint="eastAsia" w:ascii="宋体" w:hAnsi="宋体" w:eastAsia="宋体" w:cs="宋体"/>
                <w:b/>
                <w:bCs/>
                <w:color w:val="auto"/>
                <w:kern w:val="0"/>
                <w:sz w:val="24"/>
                <w:szCs w:val="24"/>
                <w:highlight w:val="none"/>
                <w:lang w:val="en-US" w:eastAsia="zh-CN"/>
              </w:rPr>
              <w:t>履约保证金为人民币捌万元整，采购包2的</w:t>
            </w:r>
            <w:r>
              <w:rPr>
                <w:rFonts w:hint="default" w:ascii="宋体" w:hAnsi="宋体" w:cs="宋体"/>
                <w:b/>
                <w:bCs/>
                <w:color w:val="auto"/>
                <w:kern w:val="0"/>
                <w:sz w:val="24"/>
                <w:szCs w:val="24"/>
                <w:highlight w:val="none"/>
                <w:lang w:eastAsia="zh-CN"/>
              </w:rPr>
              <w:t>供货</w:t>
            </w:r>
            <w:r>
              <w:rPr>
                <w:rFonts w:hint="eastAsia" w:ascii="宋体" w:hAnsi="宋体" w:eastAsia="宋体" w:cs="宋体"/>
                <w:b/>
                <w:bCs/>
                <w:color w:val="auto"/>
                <w:kern w:val="0"/>
                <w:sz w:val="24"/>
                <w:szCs w:val="24"/>
                <w:highlight w:val="none"/>
                <w:lang w:val="en-US" w:eastAsia="zh-CN"/>
              </w:rPr>
              <w:t>履约保证金为人民币叁万元整。</w:t>
            </w:r>
            <w:r>
              <w:rPr>
                <w:rFonts w:hint="eastAsia" w:ascii="宋体" w:hAnsi="宋体" w:eastAsia="宋体" w:cs="宋体"/>
                <w:b/>
                <w:bCs/>
                <w:color w:val="auto"/>
                <w:kern w:val="0"/>
                <w:sz w:val="24"/>
                <w:szCs w:val="24"/>
                <w:highlight w:val="none"/>
                <w:lang w:val="en-US" w:eastAsia="zh-CN" w:bidi="ar-SA"/>
              </w:rPr>
              <w:t>采购单位于本合同有效期满且最后一批次货物供货完毕后7个工作日内一次性无息返还（扣除相应的违约金、赔偿金）。在采购单位支付每批次货款之前，成交供应商向采购单位支付该批次货款金额的3%作为售后履约保证金，待本合同有效期内最后一批次货物保修期届满后7个工作日内一次性无息返还（扣除相应的违约金、赔偿金）。备注：</w:t>
            </w:r>
            <w:r>
              <w:rPr>
                <w:rFonts w:hint="default" w:ascii="宋体" w:hAnsi="宋体" w:cs="宋体"/>
                <w:b/>
                <w:bCs/>
                <w:color w:val="auto"/>
                <w:kern w:val="0"/>
                <w:sz w:val="24"/>
                <w:szCs w:val="24"/>
                <w:highlight w:val="none"/>
                <w:lang w:eastAsia="zh-CN" w:bidi="ar-SA"/>
              </w:rPr>
              <w:t>经评审，若所有采购标的均为中小企业（含个体工商户）制造的货物，或者监狱企业提供本单位制造的货物；或者残疾人福利性单位提供本单位制造的货物（或提供其他残疾人福利性单位制造的货物），</w:t>
            </w:r>
            <w:r>
              <w:rPr>
                <w:rFonts w:hint="eastAsia" w:ascii="宋体" w:hAnsi="宋体" w:eastAsia="宋体" w:cs="宋体"/>
                <w:b/>
                <w:bCs/>
                <w:color w:val="auto"/>
                <w:kern w:val="0"/>
                <w:sz w:val="24"/>
                <w:szCs w:val="24"/>
                <w:highlight w:val="none"/>
                <w:lang w:val="en-US" w:eastAsia="zh-CN" w:bidi="ar-SA"/>
              </w:rPr>
              <w:t>框架协议履约保证金和采购合同履约保证金</w:t>
            </w:r>
            <w:r>
              <w:rPr>
                <w:rFonts w:hint="default" w:ascii="宋体" w:hAnsi="宋体" w:cs="宋体"/>
                <w:b/>
                <w:bCs/>
                <w:color w:val="auto"/>
                <w:kern w:val="0"/>
                <w:sz w:val="24"/>
                <w:szCs w:val="24"/>
                <w:highlight w:val="none"/>
                <w:lang w:eastAsia="zh-CN" w:bidi="ar-SA"/>
              </w:rPr>
              <w:t>按约定比例的50%支付</w:t>
            </w:r>
            <w:r>
              <w:rPr>
                <w:rFonts w:hint="eastAsia" w:ascii="宋体" w:hAnsi="宋体" w:eastAsia="宋体" w:cs="宋体"/>
                <w:b/>
                <w:bCs/>
                <w:color w:val="auto"/>
                <w:kern w:val="0"/>
                <w:sz w:val="24"/>
                <w:szCs w:val="24"/>
                <w:highlight w:val="none"/>
                <w:lang w:val="en-US" w:eastAsia="zh-CN" w:bidi="ar-SA"/>
              </w:rPr>
              <w:t>，需提供中小企业证明材料：①投标人须在投标文件中提交《中小企业声明函》。投标人需对其中小企业声明函的真实性负责。</w:t>
            </w:r>
          </w:p>
        </w:tc>
      </w:tr>
      <w:tr w14:paraId="314AF98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22" w:hRule="atLeast"/>
          <w:tblCellSpacing w:w="0" w:type="dxa"/>
          <w:jc w:val="center"/>
        </w:trPr>
        <w:tc>
          <w:tcPr>
            <w:tcW w:w="5000" w:type="pct"/>
            <w:tcBorders>
              <w:top w:val="single" w:color="auto" w:sz="4" w:space="0"/>
              <w:left w:val="single" w:color="auto" w:sz="4" w:space="0"/>
              <w:bottom w:val="single" w:color="auto" w:sz="4" w:space="0"/>
              <w:right w:val="single" w:color="auto" w:sz="4" w:space="0"/>
            </w:tcBorders>
            <w:shd w:val="clear" w:color="auto" w:fill="auto"/>
            <w:vAlign w:val="center"/>
          </w:tcPr>
          <w:p w14:paraId="2FB4610E">
            <w:pPr>
              <w:keepNext w:val="0"/>
              <w:keepLines w:val="0"/>
              <w:widowControl w:val="0"/>
              <w:suppressLineNumbers w:val="0"/>
              <w:shd w:val="clear" w:color="auto" w:fill="FFFFFF"/>
              <w:spacing w:before="0" w:beforeAutospacing="0" w:after="0" w:afterAutospacing="0" w:line="360" w:lineRule="auto"/>
              <w:ind w:left="0" w:right="0" w:firstLine="0" w:firstLineChars="0"/>
              <w:jc w:val="both"/>
              <w:rPr>
                <w:rFonts w:hint="eastAsia" w:ascii="宋体" w:hAnsi="宋体" w:eastAsia="宋体" w:cs="宋体"/>
                <w:b/>
                <w:bCs w:val="0"/>
                <w:color w:val="auto"/>
                <w:kern w:val="0"/>
                <w:sz w:val="24"/>
                <w:szCs w:val="24"/>
                <w:highlight w:val="none"/>
                <w:lang w:val="en-US" w:eastAsia="zh-CN" w:bidi="ar"/>
              </w:rPr>
            </w:pPr>
            <w:r>
              <w:rPr>
                <w:rFonts w:hint="eastAsia" w:ascii="宋体" w:hAnsi="宋体" w:eastAsia="宋体" w:cs="宋体"/>
                <w:b/>
                <w:bCs/>
                <w:color w:val="auto"/>
                <w:sz w:val="24"/>
                <w:szCs w:val="24"/>
                <w:highlight w:val="none"/>
                <w:lang w:val="en-US" w:eastAsia="zh-CN"/>
              </w:rPr>
              <w:t>★</w:t>
            </w:r>
            <w:r>
              <w:rPr>
                <w:rFonts w:hint="default" w:ascii="宋体" w:hAnsi="宋体" w:cs="宋体"/>
                <w:b/>
                <w:bCs/>
                <w:color w:val="auto"/>
                <w:sz w:val="24"/>
                <w:szCs w:val="24"/>
                <w:highlight w:val="none"/>
                <w:lang w:eastAsia="zh-CN"/>
              </w:rPr>
              <w:t>6、</w:t>
            </w:r>
            <w:r>
              <w:rPr>
                <w:rFonts w:hint="eastAsia" w:ascii="宋体" w:hAnsi="宋体" w:eastAsia="宋体" w:cs="宋体"/>
                <w:b/>
                <w:bCs w:val="0"/>
                <w:color w:val="auto"/>
                <w:kern w:val="0"/>
                <w:sz w:val="24"/>
                <w:szCs w:val="24"/>
                <w:highlight w:val="none"/>
                <w:lang w:val="en-US" w:eastAsia="zh-CN" w:bidi="ar"/>
              </w:rPr>
              <w:t>支付方式数据表格</w:t>
            </w:r>
          </w:p>
          <w:tbl>
            <w:tblPr>
              <w:tblStyle w:val="14"/>
              <w:tblW w:w="4994"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068"/>
              <w:gridCol w:w="1476"/>
              <w:gridCol w:w="5747"/>
            </w:tblGrid>
            <w:tr w14:paraId="1FDA2AE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644" w:type="pct"/>
                  <w:tcBorders>
                    <w:top w:val="outset" w:color="auto" w:sz="6" w:space="0"/>
                    <w:left w:val="outset" w:color="auto" w:sz="6" w:space="0"/>
                    <w:bottom w:val="outset" w:color="auto" w:sz="6" w:space="0"/>
                    <w:right w:val="outset" w:color="auto" w:sz="6" w:space="0"/>
                  </w:tcBorders>
                  <w:shd w:val="clear" w:color="auto" w:fill="auto"/>
                  <w:vAlign w:val="center"/>
                </w:tcPr>
                <w:p w14:paraId="03F3F5E9">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0"/>
                      <w:sz w:val="24"/>
                      <w:szCs w:val="24"/>
                      <w:highlight w:val="none"/>
                      <w:lang w:val="en-US" w:eastAsia="zh-CN" w:bidi="ar"/>
                    </w:rPr>
                    <w:t>支付期次</w:t>
                  </w:r>
                </w:p>
              </w:tc>
              <w:tc>
                <w:tcPr>
                  <w:tcW w:w="890" w:type="pct"/>
                  <w:tcBorders>
                    <w:top w:val="outset" w:color="auto" w:sz="6" w:space="0"/>
                    <w:left w:val="outset" w:color="auto" w:sz="6" w:space="0"/>
                    <w:bottom w:val="outset" w:color="auto" w:sz="6" w:space="0"/>
                    <w:right w:val="outset" w:color="auto" w:sz="6" w:space="0"/>
                  </w:tcBorders>
                  <w:shd w:val="clear" w:color="auto" w:fill="auto"/>
                  <w:vAlign w:val="center"/>
                </w:tcPr>
                <w:p w14:paraId="5A46B2D2">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0"/>
                      <w:sz w:val="24"/>
                      <w:szCs w:val="24"/>
                      <w:highlight w:val="none"/>
                      <w:lang w:val="en-US" w:eastAsia="zh-CN" w:bidi="ar"/>
                    </w:rPr>
                    <w:t>支付比例(%)</w:t>
                  </w:r>
                </w:p>
              </w:tc>
              <w:tc>
                <w:tcPr>
                  <w:tcW w:w="3465" w:type="pct"/>
                  <w:tcBorders>
                    <w:top w:val="outset" w:color="auto" w:sz="6" w:space="0"/>
                    <w:left w:val="outset" w:color="auto" w:sz="6" w:space="0"/>
                    <w:bottom w:val="outset" w:color="auto" w:sz="6" w:space="0"/>
                    <w:right w:val="outset" w:color="auto" w:sz="6" w:space="0"/>
                  </w:tcBorders>
                  <w:shd w:val="clear" w:color="auto" w:fill="auto"/>
                  <w:vAlign w:val="center"/>
                </w:tcPr>
                <w:p w14:paraId="596CFFF8">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0"/>
                      <w:sz w:val="24"/>
                      <w:szCs w:val="24"/>
                      <w:highlight w:val="none"/>
                      <w:lang w:val="en-US" w:eastAsia="zh-CN" w:bidi="ar"/>
                    </w:rPr>
                    <w:t>支付期次说明</w:t>
                  </w:r>
                </w:p>
              </w:tc>
            </w:tr>
            <w:tr w14:paraId="6A318F0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644" w:type="pct"/>
                  <w:tcBorders>
                    <w:top w:val="outset" w:color="auto" w:sz="6" w:space="0"/>
                    <w:left w:val="outset" w:color="auto" w:sz="6" w:space="0"/>
                    <w:bottom w:val="outset" w:color="auto" w:sz="6" w:space="0"/>
                    <w:right w:val="outset" w:color="auto" w:sz="6" w:space="0"/>
                  </w:tcBorders>
                  <w:shd w:val="clear" w:color="auto" w:fill="auto"/>
                  <w:vAlign w:val="center"/>
                </w:tcPr>
                <w:p w14:paraId="5140F9FE">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w:t>
                  </w:r>
                </w:p>
              </w:tc>
              <w:tc>
                <w:tcPr>
                  <w:tcW w:w="890" w:type="pct"/>
                  <w:tcBorders>
                    <w:top w:val="outset" w:color="auto" w:sz="6" w:space="0"/>
                    <w:left w:val="outset" w:color="auto" w:sz="6" w:space="0"/>
                    <w:bottom w:val="outset" w:color="auto" w:sz="6" w:space="0"/>
                    <w:right w:val="outset" w:color="auto" w:sz="6" w:space="0"/>
                  </w:tcBorders>
                  <w:shd w:val="clear" w:color="auto" w:fill="auto"/>
                  <w:vAlign w:val="center"/>
                </w:tcPr>
                <w:p w14:paraId="262B4D47">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0"/>
                      <w:sz w:val="24"/>
                      <w:szCs w:val="24"/>
                      <w:highlight w:val="none"/>
                      <w:lang w:val="en-US" w:eastAsia="zh-CN" w:bidi="ar"/>
                    </w:rPr>
                    <w:t>100</w:t>
                  </w:r>
                </w:p>
              </w:tc>
              <w:tc>
                <w:tcPr>
                  <w:tcW w:w="3465" w:type="pct"/>
                  <w:tcBorders>
                    <w:top w:val="outset" w:color="auto" w:sz="6" w:space="0"/>
                    <w:left w:val="outset" w:color="auto" w:sz="6" w:space="0"/>
                    <w:bottom w:val="outset" w:color="auto" w:sz="6" w:space="0"/>
                    <w:right w:val="outset" w:color="auto" w:sz="6" w:space="0"/>
                  </w:tcBorders>
                  <w:shd w:val="clear" w:color="auto" w:fill="auto"/>
                  <w:vAlign w:val="center"/>
                </w:tcPr>
                <w:p w14:paraId="7C212093">
                  <w:pPr>
                    <w:keepNext w:val="0"/>
                    <w:keepLines w:val="0"/>
                    <w:widowControl/>
                    <w:suppressLineNumbers w:val="0"/>
                    <w:spacing w:before="0" w:beforeAutospacing="0" w:after="0" w:afterAutospacing="0" w:line="360" w:lineRule="auto"/>
                    <w:ind w:left="0" w:right="0" w:firstLine="0" w:firstLineChars="0"/>
                    <w:jc w:val="left"/>
                    <w:rPr>
                      <w:rFonts w:hint="eastAsia" w:ascii="宋体" w:hAnsi="宋体" w:eastAsia="宋体" w:cs="宋体"/>
                      <w:color w:val="auto"/>
                      <w:kern w:val="2"/>
                      <w:sz w:val="24"/>
                      <w:szCs w:val="24"/>
                      <w:highlight w:val="none"/>
                      <w:lang w:val="en-US" w:eastAsia="zh-CN" w:bidi="ar"/>
                    </w:rPr>
                  </w:pPr>
                  <w:r>
                    <w:rPr>
                      <w:rFonts w:hint="default" w:ascii="宋体" w:hAnsi="宋体" w:eastAsia="宋体" w:cs="宋体"/>
                      <w:color w:val="auto"/>
                      <w:kern w:val="2"/>
                      <w:sz w:val="24"/>
                      <w:szCs w:val="24"/>
                      <w:highlight w:val="none"/>
                      <w:lang w:eastAsia="zh-CN" w:bidi="ar"/>
                    </w:rPr>
                    <w:t>成交供应商</w:t>
                  </w:r>
                  <w:r>
                    <w:rPr>
                      <w:rFonts w:hint="eastAsia" w:ascii="宋体" w:hAnsi="宋体" w:eastAsia="宋体" w:cs="宋体"/>
                      <w:b w:val="0"/>
                      <w:bCs w:val="0"/>
                      <w:i w:val="0"/>
                      <w:iCs w:val="0"/>
                      <w:caps w:val="0"/>
                      <w:color w:val="auto"/>
                      <w:spacing w:val="0"/>
                      <w:kern w:val="0"/>
                      <w:sz w:val="24"/>
                      <w:szCs w:val="24"/>
                      <w:highlight w:val="none"/>
                      <w:vertAlign w:val="baseline"/>
                      <w:lang w:val="en-US" w:eastAsia="zh-CN" w:bidi="ar-SA"/>
                    </w:rPr>
                    <w:t>选择委托采购单位推荐的第三方物流进行集中仓储</w:t>
                  </w:r>
                  <w:r>
                    <w:rPr>
                      <w:rFonts w:hint="default" w:ascii="宋体" w:hAnsi="宋体" w:cs="宋体"/>
                      <w:b w:val="0"/>
                      <w:bCs w:val="0"/>
                      <w:i w:val="0"/>
                      <w:iCs w:val="0"/>
                      <w:caps w:val="0"/>
                      <w:color w:val="auto"/>
                      <w:spacing w:val="0"/>
                      <w:kern w:val="0"/>
                      <w:sz w:val="24"/>
                      <w:szCs w:val="24"/>
                      <w:highlight w:val="none"/>
                      <w:vertAlign w:val="baseline"/>
                      <w:lang w:eastAsia="zh-CN" w:bidi="ar-SA"/>
                    </w:rPr>
                    <w:t>的，</w:t>
                  </w:r>
                  <w:r>
                    <w:rPr>
                      <w:rFonts w:hint="eastAsia" w:ascii="宋体" w:hAnsi="宋体" w:eastAsia="宋体" w:cs="宋体"/>
                      <w:color w:val="auto"/>
                      <w:kern w:val="2"/>
                      <w:sz w:val="24"/>
                      <w:szCs w:val="24"/>
                      <w:highlight w:val="none"/>
                      <w:lang w:val="en-US" w:eastAsia="zh-CN" w:bidi="ar"/>
                    </w:rPr>
                    <w:t>货交采购单位仓库</w:t>
                  </w:r>
                  <w:r>
                    <w:rPr>
                      <w:rFonts w:hint="default" w:ascii="宋体" w:hAnsi="宋体" w:cs="宋体"/>
                      <w:color w:val="auto"/>
                      <w:kern w:val="2"/>
                      <w:sz w:val="24"/>
                      <w:szCs w:val="24"/>
                      <w:highlight w:val="none"/>
                      <w:lang w:eastAsia="zh-CN" w:bidi="ar"/>
                    </w:rPr>
                    <w:t>且</w:t>
                  </w:r>
                  <w:r>
                    <w:rPr>
                      <w:rFonts w:hint="default" w:ascii="宋体" w:hAnsi="宋体" w:cs="宋体"/>
                      <w:color w:val="auto"/>
                      <w:sz w:val="24"/>
                      <w:szCs w:val="24"/>
                      <w:highlight w:val="none"/>
                    </w:rPr>
                    <w:t>经采购单位签收合格后</w:t>
                  </w:r>
                  <w:r>
                    <w:rPr>
                      <w:rFonts w:hint="eastAsia" w:ascii="宋体" w:hAnsi="宋体" w:eastAsia="宋体" w:cs="宋体"/>
                      <w:color w:val="auto"/>
                      <w:kern w:val="2"/>
                      <w:sz w:val="24"/>
                      <w:szCs w:val="24"/>
                      <w:highlight w:val="none"/>
                      <w:lang w:val="en-US" w:eastAsia="zh-CN" w:bidi="ar"/>
                    </w:rPr>
                    <w:t>，采购单位凭相关验收材料在180个日历日内（从采购单位收货之日算起）向成交供应商一次性支付该批次货款的全款。</w:t>
                  </w:r>
                </w:p>
                <w:p w14:paraId="4E9078D3">
                  <w:pPr>
                    <w:keepNext w:val="0"/>
                    <w:keepLines w:val="0"/>
                    <w:widowControl w:val="0"/>
                    <w:suppressLineNumbers w:val="0"/>
                    <w:spacing w:before="0" w:beforeAutospacing="0" w:after="0" w:afterAutospacing="0" w:line="360" w:lineRule="auto"/>
                    <w:ind w:left="0" w:right="0" w:firstLine="0" w:firstLineChars="0"/>
                    <w:jc w:val="both"/>
                    <w:rPr>
                      <w:rFonts w:hint="eastAsia"/>
                      <w:color w:val="auto"/>
                      <w:highlight w:val="none"/>
                    </w:rPr>
                  </w:pPr>
                  <w:r>
                    <w:rPr>
                      <w:rFonts w:hint="default" w:ascii="宋体" w:hAnsi="宋体" w:eastAsia="宋体" w:cs="宋体"/>
                      <w:color w:val="auto"/>
                      <w:kern w:val="2"/>
                      <w:sz w:val="24"/>
                      <w:szCs w:val="24"/>
                      <w:highlight w:val="none"/>
                      <w:lang w:eastAsia="zh-CN" w:bidi="ar"/>
                    </w:rPr>
                    <w:t>成交供应商</w:t>
                  </w:r>
                  <w:r>
                    <w:rPr>
                      <w:rFonts w:hint="eastAsia" w:ascii="宋体" w:hAnsi="宋体" w:eastAsia="宋体" w:cs="宋体"/>
                      <w:color w:val="auto"/>
                      <w:kern w:val="2"/>
                      <w:sz w:val="24"/>
                      <w:szCs w:val="24"/>
                      <w:highlight w:val="none"/>
                      <w:lang w:val="en-US" w:eastAsia="zh-CN" w:bidi="ar"/>
                    </w:rPr>
                    <w:t>选择自行完成仓储配送的，该批次货物经安装调试完毕并经最终验收合格后，采购单位凭相关验收材料在180个日历日内（账期核算时间从该批次货物经安装调试完毕且最终用户签署验收单之日开始）向成交供应商一次性支付该批次货款的全款。</w:t>
                  </w:r>
                </w:p>
              </w:tc>
            </w:tr>
          </w:tbl>
          <w:p w14:paraId="5A50F84A">
            <w:pPr>
              <w:pStyle w:val="13"/>
              <w:keepNext w:val="0"/>
              <w:keepLines w:val="0"/>
              <w:suppressLineNumbers w:val="0"/>
              <w:spacing w:before="0" w:beforeAutospacing="0" w:afterAutospacing="0"/>
              <w:ind w:left="0" w:leftChars="0" w:right="0" w:firstLine="0" w:firstLineChars="0"/>
              <w:rPr>
                <w:rFonts w:hint="eastAsia" w:ascii="Calibri" w:hAnsi="Calibri" w:eastAsia="宋体" w:cs="Times New Roman"/>
                <w:color w:val="auto"/>
                <w:kern w:val="2"/>
                <w:sz w:val="28"/>
                <w:szCs w:val="24"/>
                <w:highlight w:val="none"/>
                <w:lang w:val="en-US" w:eastAsia="zh-CN" w:bidi="ar-SA"/>
              </w:rPr>
            </w:pPr>
          </w:p>
        </w:tc>
      </w:tr>
      <w:tr w14:paraId="2341BB0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5000" w:type="pct"/>
            <w:tcBorders>
              <w:top w:val="single" w:color="auto" w:sz="4" w:space="0"/>
              <w:left w:val="single" w:color="auto" w:sz="4" w:space="0"/>
              <w:bottom w:val="single" w:color="auto" w:sz="4" w:space="0"/>
              <w:right w:val="single" w:color="auto" w:sz="4" w:space="0"/>
            </w:tcBorders>
            <w:vAlign w:val="center"/>
          </w:tcPr>
          <w:p w14:paraId="3E37DDA6">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color w:val="auto"/>
                <w:kern w:val="0"/>
                <w:sz w:val="28"/>
                <w:szCs w:val="28"/>
                <w:highlight w:val="none"/>
              </w:rPr>
            </w:pPr>
            <w:r>
              <w:rPr>
                <w:rFonts w:hint="eastAsia" w:ascii="宋体" w:hAnsi="宋体" w:eastAsia="宋体" w:cs="宋体"/>
                <w:b/>
                <w:bCs/>
                <w:color w:val="auto"/>
                <w:kern w:val="2"/>
                <w:sz w:val="24"/>
                <w:szCs w:val="24"/>
                <w:highlight w:val="none"/>
                <w:lang w:val="en-US" w:eastAsia="zh-CN" w:bidi="ar"/>
              </w:rPr>
              <w:t>五、其他事项</w:t>
            </w:r>
          </w:p>
          <w:p w14:paraId="6F411B4E">
            <w:pPr>
              <w:keepNext w:val="0"/>
              <w:keepLines w:val="0"/>
              <w:widowControl/>
              <w:suppressLineNumbers w:val="0"/>
              <w:shd w:val="clear" w:color="auto" w:fill="FFFFFF"/>
              <w:spacing w:before="0" w:beforeAutospacing="0" w:after="0" w:afterAutospacing="0" w:line="360" w:lineRule="auto"/>
              <w:ind w:left="0" w:right="0" w:firstLine="0" w:firstLineChars="0"/>
              <w:jc w:val="left"/>
              <w:rPr>
                <w:rFonts w:hint="default" w:ascii="宋体" w:hAnsi="宋体" w:eastAsia="宋体" w:cs="宋体"/>
                <w:b/>
                <w:bCs/>
                <w:color w:val="auto"/>
                <w:kern w:val="2"/>
                <w:sz w:val="24"/>
                <w:szCs w:val="24"/>
                <w:highlight w:val="none"/>
                <w:lang w:eastAsia="zh-CN"/>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3</w:t>
            </w:r>
            <w:r>
              <w:rPr>
                <w:rFonts w:hint="eastAsia" w:ascii="宋体" w:hAnsi="宋体" w:eastAsia="宋体" w:cs="宋体"/>
                <w:b/>
                <w:bCs/>
                <w:color w:val="auto"/>
                <w:sz w:val="24"/>
                <w:szCs w:val="24"/>
                <w:highlight w:val="none"/>
              </w:rPr>
              <w:t>.1、投标人</w:t>
            </w:r>
            <w:r>
              <w:rPr>
                <w:rFonts w:hint="eastAsia" w:ascii="宋体" w:hAnsi="宋体" w:eastAsia="宋体" w:cs="宋体"/>
                <w:b/>
                <w:bCs/>
                <w:color w:val="auto"/>
                <w:sz w:val="24"/>
                <w:szCs w:val="24"/>
                <w:highlight w:val="none"/>
                <w:lang w:val="en-US" w:eastAsia="zh-CN"/>
              </w:rPr>
              <w:t>若第二阶段委托代理</w:t>
            </w:r>
            <w:r>
              <w:rPr>
                <w:rFonts w:hint="eastAsia" w:ascii="宋体" w:hAnsi="宋体" w:eastAsia="宋体" w:cs="宋体"/>
                <w:b/>
                <w:bCs/>
                <w:color w:val="auto"/>
                <w:sz w:val="24"/>
                <w:szCs w:val="24"/>
                <w:highlight w:val="none"/>
              </w:rPr>
              <w:t>商按照框架协议约定接受征集人合同授予，并履行采购合同</w:t>
            </w:r>
            <w:r>
              <w:rPr>
                <w:rFonts w:hint="eastAsia" w:ascii="宋体" w:hAnsi="宋体" w:eastAsia="宋体" w:cs="宋体"/>
                <w:b/>
                <w:bCs/>
                <w:color w:val="auto"/>
                <w:sz w:val="24"/>
                <w:szCs w:val="24"/>
                <w:highlight w:val="none"/>
                <w:lang w:val="en-US" w:eastAsia="zh-CN"/>
              </w:rPr>
              <w:t>的，</w:t>
            </w:r>
            <w:r>
              <w:rPr>
                <w:rFonts w:hint="eastAsia" w:ascii="宋体" w:hAnsi="宋体" w:eastAsia="宋体" w:cs="宋体"/>
                <w:b/>
                <w:bCs/>
                <w:color w:val="auto"/>
                <w:sz w:val="24"/>
                <w:szCs w:val="24"/>
                <w:highlight w:val="none"/>
              </w:rPr>
              <w:t>应在投标文件中</w:t>
            </w:r>
            <w:r>
              <w:rPr>
                <w:rFonts w:hint="eastAsia" w:ascii="宋体" w:hAnsi="宋体" w:eastAsia="宋体" w:cs="宋体"/>
                <w:b/>
                <w:bCs/>
                <w:color w:val="auto"/>
                <w:sz w:val="24"/>
                <w:szCs w:val="24"/>
                <w:highlight w:val="none"/>
                <w:lang w:val="en-US" w:eastAsia="zh-CN"/>
              </w:rPr>
              <w:t>提供</w:t>
            </w:r>
            <w:r>
              <w:rPr>
                <w:rFonts w:hint="eastAsia" w:ascii="宋体" w:hAnsi="宋体" w:eastAsia="宋体" w:cs="宋体"/>
                <w:b/>
                <w:bCs/>
                <w:color w:val="auto"/>
                <w:sz w:val="24"/>
                <w:szCs w:val="24"/>
                <w:highlight w:val="none"/>
              </w:rPr>
              <w:t>第二阶段与征集人签订采购合同的代理商名单</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并书面承诺</w:t>
            </w:r>
            <w:r>
              <w:rPr>
                <w:rFonts w:hint="eastAsia" w:ascii="宋体" w:hAnsi="宋体" w:eastAsia="宋体" w:cs="宋体"/>
                <w:b/>
                <w:bCs/>
                <w:color w:val="auto"/>
                <w:sz w:val="24"/>
                <w:szCs w:val="24"/>
                <w:highlight w:val="none"/>
              </w:rPr>
              <w:t>若投标人入围，投标人在框架协议中提供的代理商名单应当与投标文件中列明的一致</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投标人若</w:t>
            </w:r>
            <w:r>
              <w:rPr>
                <w:rFonts w:hint="eastAsia" w:ascii="宋体" w:hAnsi="宋体" w:eastAsia="宋体" w:cs="宋体"/>
                <w:b/>
                <w:bCs/>
                <w:color w:val="auto"/>
                <w:sz w:val="24"/>
                <w:szCs w:val="24"/>
                <w:highlight w:val="none"/>
              </w:rPr>
              <w:t>自身直接作为第二阶段代理商</w:t>
            </w:r>
            <w:r>
              <w:rPr>
                <w:rFonts w:hint="eastAsia" w:ascii="宋体" w:hAnsi="宋体" w:eastAsia="宋体" w:cs="宋体"/>
                <w:b/>
                <w:bCs/>
                <w:color w:val="auto"/>
                <w:sz w:val="24"/>
                <w:szCs w:val="24"/>
                <w:highlight w:val="none"/>
                <w:lang w:val="en-US" w:eastAsia="zh-CN"/>
              </w:rPr>
              <w:t>的应提供书面</w:t>
            </w:r>
            <w:r>
              <w:rPr>
                <w:rFonts w:hint="eastAsia" w:ascii="宋体" w:hAnsi="宋体" w:eastAsia="宋体" w:cs="宋体"/>
                <w:b/>
                <w:bCs/>
                <w:color w:val="auto"/>
                <w:sz w:val="24"/>
                <w:szCs w:val="24"/>
                <w:highlight w:val="none"/>
              </w:rPr>
              <w:t>说明</w:t>
            </w:r>
            <w:r>
              <w:rPr>
                <w:rFonts w:hint="eastAsia" w:ascii="宋体" w:hAnsi="宋体" w:eastAsia="宋体" w:cs="宋体"/>
                <w:b/>
                <w:bCs/>
                <w:color w:val="auto"/>
                <w:sz w:val="24"/>
                <w:szCs w:val="24"/>
                <w:highlight w:val="none"/>
                <w:lang w:val="en-US" w:eastAsia="zh-CN"/>
              </w:rPr>
              <w:t>（格式自拟）。</w:t>
            </w:r>
          </w:p>
        </w:tc>
      </w:tr>
      <w:tr w14:paraId="78771C7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5000" w:type="pct"/>
            <w:tcBorders>
              <w:top w:val="single" w:color="auto" w:sz="4" w:space="0"/>
              <w:left w:val="single" w:color="auto" w:sz="4" w:space="0"/>
              <w:bottom w:val="single" w:color="auto" w:sz="4" w:space="0"/>
              <w:right w:val="single" w:color="auto" w:sz="4" w:space="0"/>
            </w:tcBorders>
            <w:vAlign w:val="center"/>
          </w:tcPr>
          <w:p w14:paraId="4D74EBB2">
            <w:pPr>
              <w:keepNext w:val="0"/>
              <w:keepLines w:val="0"/>
              <w:widowControl/>
              <w:suppressLineNumbers w:val="0"/>
              <w:shd w:val="clear" w:color="auto" w:fill="FFFFFF"/>
              <w:spacing w:before="0" w:beforeAutospacing="0" w:after="0" w:afterAutospacing="0" w:line="360" w:lineRule="auto"/>
              <w:ind w:left="0" w:right="0" w:firstLine="0" w:firstLineChars="0"/>
              <w:jc w:val="left"/>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3</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kern w:val="0"/>
                <w:sz w:val="24"/>
                <w:szCs w:val="24"/>
                <w:highlight w:val="none"/>
                <w:lang w:val="en-US" w:eastAsia="zh-CN" w:bidi="ar-SA"/>
              </w:rPr>
              <w:t>①</w:t>
            </w:r>
            <w:r>
              <w:rPr>
                <w:rFonts w:hint="eastAsia" w:ascii="宋体" w:hAnsi="宋体" w:eastAsia="宋体" w:cs="宋体"/>
                <w:b/>
                <w:bCs/>
                <w:color w:val="auto"/>
                <w:sz w:val="24"/>
                <w:szCs w:val="24"/>
                <w:highlight w:val="none"/>
                <w:lang w:val="en-US" w:eastAsia="zh-CN"/>
              </w:rPr>
              <w:t>本</w:t>
            </w:r>
            <w:r>
              <w:rPr>
                <w:rFonts w:hint="eastAsia" w:ascii="宋体" w:hAnsi="宋体" w:eastAsia="宋体" w:cs="宋体"/>
                <w:b/>
                <w:bCs/>
                <w:color w:val="auto"/>
                <w:sz w:val="24"/>
                <w:szCs w:val="24"/>
                <w:highlight w:val="none"/>
              </w:rPr>
              <w:t>采购包</w:t>
            </w:r>
            <w:r>
              <w:rPr>
                <w:rFonts w:hint="eastAsia" w:ascii="宋体" w:hAnsi="宋体" w:eastAsia="宋体" w:cs="宋体"/>
                <w:b/>
                <w:bCs/>
                <w:color w:val="auto"/>
                <w:sz w:val="24"/>
                <w:szCs w:val="24"/>
                <w:highlight w:val="none"/>
                <w:lang w:val="en-US" w:eastAsia="zh-CN"/>
              </w:rPr>
              <w:t>只允许供应商委托一家代理商，按照框架协议约定接受征集人合同授予，并履行采购合同。</w:t>
            </w:r>
            <w:r>
              <w:rPr>
                <w:rFonts w:hint="eastAsia" w:ascii="宋体" w:hAnsi="宋体" w:eastAsia="宋体" w:cs="宋体"/>
                <w:b/>
                <w:bCs/>
                <w:color w:val="auto"/>
                <w:kern w:val="0"/>
                <w:sz w:val="24"/>
                <w:szCs w:val="24"/>
                <w:highlight w:val="none"/>
                <w:lang w:val="en-US" w:eastAsia="zh-CN" w:bidi="ar-SA"/>
              </w:rPr>
              <w:t>②</w:t>
            </w:r>
            <w:r>
              <w:rPr>
                <w:rFonts w:hint="eastAsia" w:ascii="宋体" w:hAnsi="宋体" w:eastAsia="宋体" w:cs="宋体"/>
                <w:b/>
                <w:bCs/>
                <w:color w:val="auto"/>
                <w:sz w:val="24"/>
                <w:szCs w:val="24"/>
                <w:highlight w:val="none"/>
                <w:lang w:val="en-US" w:eastAsia="zh-CN"/>
              </w:rPr>
              <w:t>在框架协议有效期内委托的代理商名单不允许变更，同时本</w:t>
            </w:r>
            <w:r>
              <w:rPr>
                <w:rFonts w:hint="eastAsia" w:ascii="宋体" w:hAnsi="宋体" w:eastAsia="宋体" w:cs="宋体"/>
                <w:b/>
                <w:bCs/>
                <w:color w:val="auto"/>
                <w:sz w:val="24"/>
                <w:szCs w:val="24"/>
                <w:highlight w:val="none"/>
              </w:rPr>
              <w:t>采购包</w:t>
            </w:r>
            <w:r>
              <w:rPr>
                <w:rFonts w:hint="eastAsia" w:ascii="宋体" w:hAnsi="宋体" w:eastAsia="宋体" w:cs="宋体"/>
                <w:b/>
                <w:bCs/>
                <w:color w:val="auto"/>
                <w:sz w:val="24"/>
                <w:szCs w:val="24"/>
                <w:highlight w:val="none"/>
                <w:lang w:val="en-US" w:eastAsia="zh-CN"/>
              </w:rPr>
              <w:t>不允许投标人委托参与本</w:t>
            </w:r>
            <w:r>
              <w:rPr>
                <w:rFonts w:hint="eastAsia" w:ascii="宋体" w:hAnsi="宋体" w:eastAsia="宋体" w:cs="宋体"/>
                <w:b/>
                <w:bCs/>
                <w:color w:val="auto"/>
                <w:sz w:val="24"/>
                <w:szCs w:val="24"/>
                <w:highlight w:val="none"/>
              </w:rPr>
              <w:t>采购包</w:t>
            </w:r>
            <w:r>
              <w:rPr>
                <w:rFonts w:hint="eastAsia" w:ascii="宋体" w:hAnsi="宋体" w:eastAsia="宋体" w:cs="宋体"/>
                <w:b/>
                <w:bCs/>
                <w:color w:val="auto"/>
                <w:sz w:val="24"/>
                <w:szCs w:val="24"/>
                <w:highlight w:val="none"/>
                <w:lang w:val="en-US" w:eastAsia="zh-CN"/>
              </w:rPr>
              <w:t>的其他投标人作为代理商参与第二阶段的合同授予。投标人应对以上内容作出书面承诺（格式自拟）；投标人若</w:t>
            </w:r>
            <w:r>
              <w:rPr>
                <w:rFonts w:hint="eastAsia" w:ascii="宋体" w:hAnsi="宋体" w:eastAsia="宋体" w:cs="宋体"/>
                <w:b/>
                <w:bCs/>
                <w:color w:val="auto"/>
                <w:sz w:val="24"/>
                <w:szCs w:val="24"/>
                <w:highlight w:val="none"/>
              </w:rPr>
              <w:t>自身直接作为第二阶段代理商</w:t>
            </w:r>
            <w:r>
              <w:rPr>
                <w:rFonts w:hint="default" w:ascii="宋体" w:hAnsi="宋体" w:cs="宋体"/>
                <w:b/>
                <w:bCs/>
                <w:color w:val="auto"/>
                <w:sz w:val="24"/>
                <w:szCs w:val="24"/>
                <w:highlight w:val="none"/>
              </w:rPr>
              <w:t>仅需</w:t>
            </w:r>
            <w:r>
              <w:rPr>
                <w:rFonts w:hint="eastAsia" w:ascii="宋体" w:hAnsi="宋体" w:eastAsia="宋体" w:cs="宋体"/>
                <w:b/>
                <w:bCs/>
                <w:color w:val="auto"/>
                <w:sz w:val="24"/>
                <w:szCs w:val="24"/>
                <w:highlight w:val="none"/>
                <w:lang w:val="en-US" w:eastAsia="zh-CN"/>
              </w:rPr>
              <w:t>承诺</w:t>
            </w:r>
            <w:r>
              <w:rPr>
                <w:rFonts w:hint="eastAsia" w:ascii="宋体" w:hAnsi="宋体" w:eastAsia="宋体" w:cs="宋体"/>
                <w:b/>
                <w:bCs/>
                <w:color w:val="auto"/>
                <w:kern w:val="0"/>
                <w:sz w:val="24"/>
                <w:szCs w:val="24"/>
                <w:highlight w:val="none"/>
                <w:lang w:val="en-US" w:eastAsia="zh-CN" w:bidi="ar-SA"/>
              </w:rPr>
              <w:t>②</w:t>
            </w:r>
            <w:r>
              <w:rPr>
                <w:rFonts w:hint="eastAsia" w:ascii="宋体" w:hAnsi="宋体" w:eastAsia="宋体" w:cs="宋体"/>
                <w:b/>
                <w:bCs/>
                <w:color w:val="auto"/>
                <w:sz w:val="24"/>
                <w:szCs w:val="24"/>
                <w:highlight w:val="none"/>
                <w:lang w:val="en-US" w:eastAsia="zh-CN"/>
              </w:rPr>
              <w:t>。</w:t>
            </w:r>
          </w:p>
        </w:tc>
      </w:tr>
      <w:tr w14:paraId="08DBB2B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5000" w:type="pct"/>
            <w:tcBorders>
              <w:top w:val="single" w:color="auto" w:sz="4" w:space="0"/>
              <w:left w:val="single" w:color="auto" w:sz="4" w:space="0"/>
              <w:bottom w:val="single" w:color="auto" w:sz="4" w:space="0"/>
              <w:right w:val="single" w:color="auto" w:sz="4" w:space="0"/>
            </w:tcBorders>
            <w:vAlign w:val="center"/>
          </w:tcPr>
          <w:p w14:paraId="398D96C7">
            <w:pPr>
              <w:keepNext w:val="0"/>
              <w:keepLines w:val="0"/>
              <w:widowControl/>
              <w:suppressLineNumbers w:val="0"/>
              <w:shd w:val="clear" w:color="auto" w:fill="FFFFFF"/>
              <w:spacing w:before="0" w:beforeAutospacing="0" w:after="0" w:afterAutospacing="0" w:line="360" w:lineRule="auto"/>
              <w:ind w:left="0" w:right="0" w:firstLine="0" w:firstLineChars="0"/>
              <w:jc w:val="left"/>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4、投标人应提供书面承诺：若投标人入围，投标人指定的唯一授权代理商在采购合同签订及执行期间，如违反或不执行采购合同约定，投标人需履行采购合同约定，并与其授权代理商共同承担征集人的损失。在签订框架协议之前，投标人需向征集人出具与其授权代理商的授权协议。投标人若</w:t>
            </w:r>
            <w:r>
              <w:rPr>
                <w:rFonts w:hint="eastAsia" w:ascii="宋体" w:hAnsi="宋体" w:eastAsia="宋体" w:cs="宋体"/>
                <w:b/>
                <w:bCs/>
                <w:color w:val="auto"/>
                <w:sz w:val="24"/>
                <w:szCs w:val="24"/>
                <w:highlight w:val="none"/>
              </w:rPr>
              <w:t>自身直接作为第二阶段代理商</w:t>
            </w:r>
            <w:r>
              <w:rPr>
                <w:rFonts w:hint="eastAsia" w:ascii="宋体" w:hAnsi="宋体" w:eastAsia="宋体" w:cs="宋体"/>
                <w:b/>
                <w:bCs/>
                <w:color w:val="auto"/>
                <w:sz w:val="24"/>
                <w:szCs w:val="24"/>
                <w:highlight w:val="none"/>
                <w:lang w:val="en-US" w:eastAsia="zh-CN"/>
              </w:rPr>
              <w:t>的无需对以上内容作出承诺。</w:t>
            </w:r>
          </w:p>
        </w:tc>
      </w:tr>
    </w:tbl>
    <w:p w14:paraId="061D0B81">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6.3澄清有关问题</w:t>
      </w:r>
    </w:p>
    <w:p w14:paraId="2FCCB15A">
      <w:pPr>
        <w:pStyle w:val="12"/>
        <w:widowControl/>
        <w:spacing w:before="0" w:beforeAutospacing="0" w:after="0" w:afterAutospacing="0" w:line="360" w:lineRule="auto"/>
        <w:ind w:firstLine="280"/>
        <w:rPr>
          <w:rFonts w:hint="eastAsia" w:ascii="宋体" w:hAnsi="宋体" w:cs="宋体"/>
          <w:color w:val="auto"/>
          <w:sz w:val="28"/>
          <w:szCs w:val="28"/>
          <w:highlight w:val="none"/>
        </w:rPr>
      </w:pPr>
      <w:r>
        <w:rPr>
          <w:rFonts w:hint="eastAsia" w:ascii="宋体" w:hAnsi="宋体" w:cs="宋体"/>
          <w:color w:val="auto"/>
          <w:sz w:val="28"/>
          <w:szCs w:val="28"/>
          <w:highlight w:val="none"/>
        </w:rPr>
        <w:t>（1）对通过符合性审查的响应文件中含义不明确、同类问题表述不一致或有明显文字和计算错误的内容，评标委员会将以书面形式要求投标人作出必要的澄清、说明或补正。</w:t>
      </w:r>
    </w:p>
    <w:p w14:paraId="70A1C8EB">
      <w:pPr>
        <w:pStyle w:val="12"/>
        <w:widowControl/>
        <w:spacing w:before="0" w:beforeAutospacing="0" w:after="0" w:afterAutospacing="0" w:line="360" w:lineRule="auto"/>
        <w:ind w:firstLine="280"/>
        <w:rPr>
          <w:rFonts w:hint="eastAsia" w:ascii="宋体" w:hAnsi="宋体" w:cs="宋体"/>
          <w:color w:val="auto"/>
          <w:sz w:val="28"/>
          <w:szCs w:val="28"/>
          <w:highlight w:val="none"/>
        </w:rPr>
      </w:pPr>
      <w:r>
        <w:rPr>
          <w:rFonts w:hint="eastAsia" w:ascii="宋体" w:hAnsi="宋体" w:cs="宋体"/>
          <w:color w:val="auto"/>
          <w:sz w:val="28"/>
          <w:szCs w:val="28"/>
          <w:highlight w:val="none"/>
        </w:rPr>
        <w:t>（2）投标人的澄清、说明或补正应由投标人代表在评标委员会规定的时间内（一般在</w:t>
      </w:r>
      <w:r>
        <w:rPr>
          <w:rFonts w:hint="eastAsia" w:ascii="宋体" w:hAnsi="宋体" w:cs="宋体"/>
          <w:color w:val="auto"/>
          <w:sz w:val="28"/>
          <w:szCs w:val="28"/>
          <w:highlight w:val="none"/>
          <w:lang w:val="en-US" w:eastAsia="zh-CN"/>
        </w:rPr>
        <w:t>一</w:t>
      </w:r>
      <w:r>
        <w:rPr>
          <w:rFonts w:hint="eastAsia" w:ascii="宋体" w:hAnsi="宋体" w:cs="宋体"/>
          <w:color w:val="auto"/>
          <w:sz w:val="28"/>
          <w:szCs w:val="28"/>
          <w:highlight w:val="none"/>
        </w:rPr>
        <w:t>个小时左右，具体要求将根据实际情况在澄清通知中约定）以书面形式向评标委员会提交，前述澄清、说明或补正不得超出响应文件的范围或改变响应文件的实质性内容。若投标人未按照前述规定向评标委员会提交书面澄清、说明或补正，则评标委员会将按照不利于投标人的内容进行认定。</w:t>
      </w:r>
    </w:p>
    <w:p w14:paraId="6CF888CD">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（3）响应文件报价出现前后不一致的，除征集文件另有规定外，按照下列规定修正：</w:t>
      </w:r>
    </w:p>
    <w:p w14:paraId="36801064">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①开标一览表内容与响应文件中相应内容不一致的，以开标一览表为准；</w:t>
      </w:r>
    </w:p>
    <w:p w14:paraId="65933197">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②大写金额和小写金额不一致的，以大写金额为准；</w:t>
      </w:r>
    </w:p>
    <w:p w14:paraId="17D36237">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③单价金额小数点或百分比有明显错位的，以开标一览表的总价为准，并修改单价；</w:t>
      </w:r>
    </w:p>
    <w:p w14:paraId="1881B3BB">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④总价金额与按照单价汇总金额不一致的，以单价金额计算结果为准。</w:t>
      </w:r>
    </w:p>
    <w:p w14:paraId="2539C0A1">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Style w:val="17"/>
          <w:rFonts w:hint="eastAsia" w:ascii="宋体" w:hAnsi="宋体" w:cs="宋体"/>
          <w:color w:val="auto"/>
          <w:sz w:val="28"/>
          <w:szCs w:val="28"/>
          <w:highlight w:val="none"/>
        </w:rPr>
        <w:t>※同时出现两种以上不一致的，按照前款规定的顺序修正。修正后的报价应按照本章第6.3条第（1）、（2）款规定经投标人确认后产生约束力，投标人不确认的，其投标无效。</w:t>
      </w:r>
    </w:p>
    <w:p w14:paraId="42A5CA35">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（4）关于细微偏差</w:t>
      </w:r>
    </w:p>
    <w:p w14:paraId="562E8864">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①细微偏差指响应文件实质性响应征集文件要求，但在个别地方存在漏项或提供了不完整的技术信息和数据等情况，并且补正这些遗漏或不完整不会对其他投标人造成不公平的结果。细微偏差不影响响应文件的有效性。</w:t>
      </w:r>
    </w:p>
    <w:p w14:paraId="7627480F">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②评标委员会将以书面形式要求存在细微偏差的投标人在评标委员会规定的时间内予以补正。若无法补正，则评标委员会将按照不利于投标人的内容进行认定。</w:t>
      </w:r>
    </w:p>
    <w:p w14:paraId="0D587CF4">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（5）关于投标描述（即响应文件中描述的内容）</w:t>
      </w:r>
    </w:p>
    <w:p w14:paraId="065869B7">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①投标描述前后不一致且不涉及证明材料的：按照本章第6.3条第（1）、（2）款规定执行。</w:t>
      </w:r>
    </w:p>
    <w:p w14:paraId="00BE8D75">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②投标描述与证明材料不一致或多份证明材料之间不一致的：</w:t>
      </w:r>
    </w:p>
    <w:p w14:paraId="5067E111">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a.评标委员会将要求投标人进行书面澄清，并按照不利于投标人的内容进行评标。</w:t>
      </w:r>
    </w:p>
    <w:p w14:paraId="62E9A508">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b.投标人按照要求进行澄清的，</w:t>
      </w:r>
      <w:r>
        <w:rPr>
          <w:rFonts w:hint="eastAsia" w:ascii="宋体" w:hAnsi="宋体" w:cs="宋体"/>
          <w:color w:val="auto"/>
          <w:sz w:val="28"/>
          <w:szCs w:val="28"/>
          <w:highlight w:val="none"/>
          <w:lang w:eastAsia="zh-CN"/>
        </w:rPr>
        <w:t>征集人</w:t>
      </w:r>
      <w:r>
        <w:rPr>
          <w:rFonts w:hint="eastAsia" w:ascii="宋体" w:hAnsi="宋体" w:cs="宋体"/>
          <w:color w:val="auto"/>
          <w:sz w:val="28"/>
          <w:szCs w:val="28"/>
          <w:highlight w:val="none"/>
        </w:rPr>
        <w:t>以澄清内容为准进行验收；投标人未按照要求进行澄清的，</w:t>
      </w:r>
      <w:r>
        <w:rPr>
          <w:rFonts w:hint="eastAsia" w:ascii="宋体" w:hAnsi="宋体" w:cs="宋体"/>
          <w:color w:val="auto"/>
          <w:sz w:val="28"/>
          <w:szCs w:val="28"/>
          <w:highlight w:val="none"/>
          <w:lang w:eastAsia="zh-CN"/>
        </w:rPr>
        <w:t>征集人</w:t>
      </w:r>
      <w:r>
        <w:rPr>
          <w:rFonts w:hint="eastAsia" w:ascii="宋体" w:hAnsi="宋体" w:cs="宋体"/>
          <w:color w:val="auto"/>
          <w:sz w:val="28"/>
          <w:szCs w:val="28"/>
          <w:highlight w:val="none"/>
        </w:rPr>
        <w:t>以投标描述或证明材料中有利于</w:t>
      </w:r>
      <w:r>
        <w:rPr>
          <w:rFonts w:hint="eastAsia" w:ascii="宋体" w:hAnsi="宋体" w:cs="宋体"/>
          <w:color w:val="auto"/>
          <w:sz w:val="28"/>
          <w:szCs w:val="28"/>
          <w:highlight w:val="none"/>
          <w:lang w:eastAsia="zh-CN"/>
        </w:rPr>
        <w:t>征集人</w:t>
      </w:r>
      <w:r>
        <w:rPr>
          <w:rFonts w:hint="eastAsia" w:ascii="宋体" w:hAnsi="宋体" w:cs="宋体"/>
          <w:color w:val="auto"/>
          <w:sz w:val="28"/>
          <w:szCs w:val="28"/>
          <w:highlight w:val="none"/>
        </w:rPr>
        <w:t>的内容进行验收。投标人应对证明材料的真实性、有效性承担责任。</w:t>
      </w:r>
    </w:p>
    <w:p w14:paraId="76DCF760">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③若入围供应商的投标描述存在前后不一致、与证明材料不一致或多份证明材料之间不一致情形之一但在评标中未能发现，则</w:t>
      </w:r>
      <w:r>
        <w:rPr>
          <w:rFonts w:hint="eastAsia" w:ascii="宋体" w:hAnsi="宋体" w:cs="宋体"/>
          <w:color w:val="auto"/>
          <w:sz w:val="28"/>
          <w:szCs w:val="28"/>
          <w:highlight w:val="none"/>
          <w:lang w:eastAsia="zh-CN"/>
        </w:rPr>
        <w:t>征集人</w:t>
      </w:r>
      <w:r>
        <w:rPr>
          <w:rFonts w:hint="eastAsia" w:ascii="宋体" w:hAnsi="宋体" w:cs="宋体"/>
          <w:color w:val="auto"/>
          <w:sz w:val="28"/>
          <w:szCs w:val="28"/>
          <w:highlight w:val="none"/>
        </w:rPr>
        <w:t>将以投标描述或证明材料中有利于</w:t>
      </w:r>
      <w:r>
        <w:rPr>
          <w:rFonts w:hint="eastAsia" w:ascii="宋体" w:hAnsi="宋体" w:cs="宋体"/>
          <w:color w:val="auto"/>
          <w:sz w:val="28"/>
          <w:szCs w:val="28"/>
          <w:highlight w:val="none"/>
          <w:lang w:eastAsia="zh-CN"/>
        </w:rPr>
        <w:t>征集人</w:t>
      </w:r>
      <w:r>
        <w:rPr>
          <w:rFonts w:hint="eastAsia" w:ascii="宋体" w:hAnsi="宋体" w:cs="宋体"/>
          <w:color w:val="auto"/>
          <w:sz w:val="28"/>
          <w:szCs w:val="28"/>
          <w:highlight w:val="none"/>
        </w:rPr>
        <w:t>的内容进行验收，入围供应商应自行承担由此产生的风险及费用。</w:t>
      </w:r>
    </w:p>
    <w:p w14:paraId="01A6D6D0">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6.4比较与评价</w:t>
      </w:r>
    </w:p>
    <w:p w14:paraId="63EA091B">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（1）按照本章第7条载明的评标方法和标准，对符合性审查合格的响应文件进行比较与评价。</w:t>
      </w:r>
    </w:p>
    <w:p w14:paraId="60EF5EBC">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（2）关于相同品牌产品</w:t>
      </w:r>
    </w:p>
    <w:p w14:paraId="1B458760">
      <w:pPr>
        <w:pStyle w:val="12"/>
        <w:widowControl/>
        <w:spacing w:before="0" w:beforeAutospacing="0" w:after="0" w:afterAutospacing="0" w:line="360" w:lineRule="auto"/>
        <w:ind w:firstLine="599" w:firstLineChars="214"/>
        <w:rPr>
          <w:rFonts w:hint="eastAsia" w:ascii="宋体" w:hAnsi="宋体" w:cs="宋体"/>
          <w:color w:val="auto"/>
          <w:sz w:val="28"/>
          <w:szCs w:val="28"/>
          <w:highlight w:val="none"/>
        </w:rPr>
      </w:pPr>
      <w:r>
        <w:rPr>
          <w:rFonts w:hint="eastAsia" w:ascii="宋体" w:hAnsi="宋体" w:cs="宋体"/>
          <w:color w:val="auto"/>
          <w:sz w:val="28"/>
          <w:szCs w:val="28"/>
          <w:highlight w:val="none"/>
        </w:rPr>
        <w:t>①采用</w:t>
      </w:r>
      <w:r>
        <w:rPr>
          <w:rFonts w:hint="eastAsia" w:ascii="宋体" w:hAnsi="宋体" w:cs="宋体"/>
          <w:color w:val="auto"/>
          <w:sz w:val="28"/>
          <w:szCs w:val="28"/>
          <w:highlight w:val="none"/>
          <w:lang w:val="en-US" w:eastAsia="zh-CN"/>
        </w:rPr>
        <w:t>价格优先</w:t>
      </w:r>
      <w:r>
        <w:rPr>
          <w:rFonts w:hint="eastAsia" w:ascii="宋体" w:hAnsi="宋体" w:cs="宋体"/>
          <w:color w:val="auto"/>
          <w:sz w:val="28"/>
          <w:szCs w:val="28"/>
          <w:highlight w:val="none"/>
        </w:rPr>
        <w:t>法的，提供相同品牌产品的不同投标人参加同一合同项下投标的，以其中通过资格审查、符合性审查且报价最低的参加评标；报价相同的，由评标委员会按照下列方式确定一个参加评标的投标人：</w:t>
      </w:r>
    </w:p>
    <w:p w14:paraId="2CEA904A">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a.征集文件规定的方式：</w:t>
      </w:r>
      <w:r>
        <w:rPr>
          <w:rFonts w:hint="eastAsia" w:ascii="宋体" w:hAnsi="宋体" w:cs="宋体"/>
          <w:color w:val="auto"/>
          <w:sz w:val="28"/>
          <w:szCs w:val="28"/>
          <w:highlight w:val="none"/>
          <w:u w:val="single"/>
          <w:lang w:val="en-US" w:eastAsia="zh-CN"/>
        </w:rPr>
        <w:t>由评标委员会投票表决</w:t>
      </w:r>
      <w:r>
        <w:rPr>
          <w:rFonts w:hint="eastAsia" w:ascii="宋体" w:hAnsi="宋体" w:cs="宋体"/>
          <w:color w:val="auto"/>
          <w:sz w:val="28"/>
          <w:szCs w:val="28"/>
          <w:highlight w:val="none"/>
        </w:rPr>
        <w:t>。</w:t>
      </w:r>
    </w:p>
    <w:p w14:paraId="58138BFA">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b.征集文件未规定的，采取随机抽取方式确定，其他</w:t>
      </w:r>
      <w:r>
        <w:rPr>
          <w:rStyle w:val="17"/>
          <w:rFonts w:hint="eastAsia" w:ascii="宋体" w:hAnsi="宋体" w:cs="宋体"/>
          <w:color w:val="auto"/>
          <w:sz w:val="28"/>
          <w:szCs w:val="28"/>
          <w:highlight w:val="none"/>
        </w:rPr>
        <w:t>投标无效。</w:t>
      </w:r>
    </w:p>
    <w:p w14:paraId="75D30575">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②非单一产品采购项目，多家投标人提供的核心产品品牌相同的，按照本章第6.4条第（2）款第①、②规定处理。</w:t>
      </w:r>
    </w:p>
    <w:p w14:paraId="276598EA">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（3）漏（缺）项</w:t>
      </w:r>
    </w:p>
    <w:p w14:paraId="6395FA93">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①征集文件中要求列入报价的费用（含配置、功能），漏（缺）项的报价视为已经包括在投标总价中。</w:t>
      </w:r>
    </w:p>
    <w:p w14:paraId="64A765D4">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②对多报项及赠送项的价格评标时不予核减，全部进入评标价评议。</w:t>
      </w:r>
    </w:p>
    <w:p w14:paraId="44E5A47D">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6.5推荐入围</w:t>
      </w:r>
      <w:r>
        <w:rPr>
          <w:rFonts w:hint="eastAsia" w:ascii="宋体" w:hAnsi="宋体" w:cs="宋体"/>
          <w:color w:val="auto"/>
          <w:sz w:val="28"/>
          <w:szCs w:val="28"/>
          <w:highlight w:val="none"/>
          <w:lang w:val="en-US" w:eastAsia="zh-CN"/>
        </w:rPr>
        <w:t>供应商</w:t>
      </w:r>
      <w:r>
        <w:rPr>
          <w:rFonts w:hint="eastAsia" w:ascii="宋体" w:hAnsi="宋体" w:cs="宋体"/>
          <w:color w:val="auto"/>
          <w:sz w:val="28"/>
          <w:szCs w:val="28"/>
          <w:highlight w:val="none"/>
        </w:rPr>
        <w:t>：详见本章第7.2条规定。</w:t>
      </w:r>
    </w:p>
    <w:p w14:paraId="6C800AD0">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6.6编写评标报告</w:t>
      </w:r>
    </w:p>
    <w:p w14:paraId="7A059D40">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（1）评标报告由评标委员会负责编写。</w:t>
      </w:r>
    </w:p>
    <w:p w14:paraId="0A6881D4">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（2）评标报告应包括下列内容：</w:t>
      </w:r>
    </w:p>
    <w:p w14:paraId="41A840DD">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①征集公告刊登的媒体名称、开标日期和地点；</w:t>
      </w:r>
    </w:p>
    <w:p w14:paraId="6D3992DE">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②投标人名单和评标委员会成员名单；</w:t>
      </w:r>
    </w:p>
    <w:p w14:paraId="1276D6EE">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③评标方法和标准；</w:t>
      </w:r>
    </w:p>
    <w:p w14:paraId="34F64C2B">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④开标记录和评标情况及说明，包括无效投标人名单及原因；</w:t>
      </w:r>
    </w:p>
    <w:p w14:paraId="676BEB2B">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⑤评标结果，包括入围候选人名单或确定的入围供应商；</w:t>
      </w:r>
    </w:p>
    <w:p w14:paraId="5BD6CB55">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⑥其他需要说明的情况，包括但不限于：评标过程中投标人的澄清、说明或补正，评委更换等。</w:t>
      </w:r>
    </w:p>
    <w:p w14:paraId="1C65E6AB">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w:t>
      </w:r>
      <w:r>
        <w:rPr>
          <w:rStyle w:val="17"/>
          <w:rFonts w:hint="eastAsia" w:ascii="宋体" w:hAnsi="宋体" w:cs="宋体"/>
          <w:color w:val="auto"/>
          <w:sz w:val="28"/>
          <w:szCs w:val="28"/>
          <w:highlight w:val="none"/>
        </w:rPr>
        <w:t>投标无效</w:t>
      </w:r>
      <w:r>
        <w:rPr>
          <w:rFonts w:hint="eastAsia" w:ascii="宋体" w:hAnsi="宋体" w:cs="宋体"/>
          <w:color w:val="auto"/>
          <w:sz w:val="28"/>
          <w:szCs w:val="28"/>
          <w:highlight w:val="none"/>
        </w:rPr>
        <w:t>处理。</w:t>
      </w:r>
    </w:p>
    <w:p w14:paraId="0ED7C02D">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6.8评委对需要共同认定的事项存在争议的，应按照少数服从多数的原则进行认定。</w:t>
      </w:r>
      <w:r>
        <w:rPr>
          <w:rStyle w:val="17"/>
          <w:rFonts w:hint="eastAsia" w:ascii="宋体" w:hAnsi="宋体" w:cs="宋体"/>
          <w:color w:val="auto"/>
          <w:sz w:val="28"/>
          <w:szCs w:val="28"/>
          <w:highlight w:val="none"/>
        </w:rPr>
        <w:t>持不同意见的评委应在评标报告上签署不同意见及理由，否则视为同意评标报告。</w:t>
      </w:r>
    </w:p>
    <w:p w14:paraId="76ACF942">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6.9在评标过程中发现投标人有下列情形之一的，评标委员会应认定其</w:t>
      </w:r>
      <w:r>
        <w:rPr>
          <w:rStyle w:val="17"/>
          <w:rFonts w:hint="eastAsia" w:ascii="宋体" w:hAnsi="宋体" w:cs="宋体"/>
          <w:color w:val="auto"/>
          <w:sz w:val="28"/>
          <w:szCs w:val="28"/>
          <w:highlight w:val="none"/>
        </w:rPr>
        <w:t>投标无效</w:t>
      </w:r>
      <w:r>
        <w:rPr>
          <w:rFonts w:hint="eastAsia" w:ascii="宋体" w:hAnsi="宋体" w:cs="宋体"/>
          <w:color w:val="auto"/>
          <w:sz w:val="28"/>
          <w:szCs w:val="28"/>
          <w:highlight w:val="none"/>
        </w:rPr>
        <w:t>，并书面报告本项目监督管理部门：</w:t>
      </w:r>
    </w:p>
    <w:p w14:paraId="64F62A12">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（1）恶意串通（包括但不限于征集文件第三章第9.7条规定情形）；</w:t>
      </w:r>
    </w:p>
    <w:p w14:paraId="7F5F1C40">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（2）妨碍其他投标人的竞争行为；</w:t>
      </w:r>
    </w:p>
    <w:p w14:paraId="5935AC9E">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（3）损害</w:t>
      </w:r>
      <w:r>
        <w:rPr>
          <w:rFonts w:hint="eastAsia" w:ascii="宋体" w:hAnsi="宋体" w:cs="宋体"/>
          <w:color w:val="auto"/>
          <w:sz w:val="28"/>
          <w:szCs w:val="28"/>
          <w:highlight w:val="none"/>
          <w:lang w:eastAsia="zh-CN"/>
        </w:rPr>
        <w:t>征集人</w:t>
      </w:r>
      <w:r>
        <w:rPr>
          <w:rFonts w:hint="eastAsia" w:ascii="宋体" w:hAnsi="宋体" w:cs="宋体"/>
          <w:color w:val="auto"/>
          <w:sz w:val="28"/>
          <w:szCs w:val="28"/>
          <w:highlight w:val="none"/>
        </w:rPr>
        <w:t>或其他投标人的合法权益。</w:t>
      </w:r>
    </w:p>
    <w:p w14:paraId="2B66624F">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6.10评标过程中，有下列情形之一的，应予废标：</w:t>
      </w:r>
    </w:p>
    <w:p w14:paraId="30108E76">
      <w:pPr>
        <w:pStyle w:val="12"/>
        <w:widowControl/>
        <w:numPr>
          <w:ilvl w:val="0"/>
          <w:numId w:val="0"/>
        </w:numPr>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eastAsia="宋体" w:cs="宋体"/>
          <w:color w:val="auto"/>
          <w:kern w:val="0"/>
          <w:sz w:val="28"/>
          <w:szCs w:val="28"/>
          <w:highlight w:val="none"/>
          <w:lang w:val="en-US" w:eastAsia="zh-CN" w:bidi="ar-SA"/>
        </w:rPr>
        <w:t>（1）</w:t>
      </w:r>
      <w:r>
        <w:rPr>
          <w:rFonts w:hint="eastAsia" w:ascii="宋体" w:hAnsi="宋体" w:cs="宋体"/>
          <w:color w:val="auto"/>
          <w:sz w:val="28"/>
          <w:szCs w:val="28"/>
          <w:highlight w:val="none"/>
        </w:rPr>
        <w:t>符合性审查合格的投标人</w:t>
      </w:r>
      <w:r>
        <w:rPr>
          <w:rFonts w:hint="eastAsia" w:ascii="宋体" w:hAnsi="宋体" w:cs="宋体"/>
          <w:color w:val="auto"/>
          <w:sz w:val="28"/>
          <w:szCs w:val="28"/>
          <w:highlight w:val="none"/>
        </w:rPr>
        <w:t>不足</w:t>
      </w:r>
      <w:r>
        <w:rPr>
          <w:rFonts w:hint="eastAsia" w:ascii="宋体" w:hAnsi="宋体" w:cs="宋体"/>
          <w:color w:val="auto"/>
          <w:sz w:val="28"/>
          <w:szCs w:val="28"/>
          <w:highlight w:val="none"/>
          <w:lang w:val="en-US" w:eastAsia="zh-CN"/>
        </w:rPr>
        <w:t>2</w:t>
      </w:r>
      <w:r>
        <w:rPr>
          <w:rFonts w:hint="eastAsia" w:ascii="宋体" w:hAnsi="宋体" w:cs="宋体"/>
          <w:color w:val="auto"/>
          <w:sz w:val="28"/>
          <w:szCs w:val="28"/>
          <w:highlight w:val="none"/>
        </w:rPr>
        <w:t>家的；</w:t>
      </w:r>
    </w:p>
    <w:p w14:paraId="113ABB6B">
      <w:pPr>
        <w:pStyle w:val="12"/>
        <w:widowControl/>
        <w:numPr>
          <w:ilvl w:val="0"/>
          <w:numId w:val="2"/>
        </w:numPr>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有关法律、法规和规章规定废标的情形。</w:t>
      </w:r>
    </w:p>
    <w:p w14:paraId="36C409FE">
      <w:pPr>
        <w:pStyle w:val="12"/>
        <w:widowControl/>
        <w:numPr>
          <w:ilvl w:val="-1"/>
          <w:numId w:val="0"/>
        </w:numPr>
        <w:spacing w:before="0" w:beforeAutospacing="0" w:after="0" w:afterAutospacing="0" w:line="360" w:lineRule="auto"/>
        <w:ind w:firstLine="0"/>
        <w:rPr>
          <w:rFonts w:hint="eastAsia" w:ascii="宋体" w:hAnsi="宋体" w:cs="宋体"/>
          <w:color w:val="auto"/>
          <w:sz w:val="28"/>
          <w:szCs w:val="28"/>
          <w:highlight w:val="none"/>
          <w:lang w:val="en-US" w:eastAsia="zh-CN"/>
        </w:rPr>
      </w:pPr>
    </w:p>
    <w:p w14:paraId="277BC0E1">
      <w:pPr>
        <w:pStyle w:val="12"/>
        <w:widowControl/>
        <w:numPr>
          <w:ilvl w:val="-1"/>
          <w:numId w:val="0"/>
        </w:numPr>
        <w:spacing w:before="0" w:beforeAutospacing="0" w:after="0" w:afterAutospacing="0" w:line="360" w:lineRule="auto"/>
        <w:ind w:firstLine="0"/>
        <w:rPr>
          <w:rFonts w:hint="eastAsia" w:ascii="宋体" w:hAnsi="宋体" w:cs="宋体"/>
          <w:color w:val="auto"/>
          <w:sz w:val="28"/>
          <w:szCs w:val="28"/>
          <w:highlight w:val="none"/>
          <w:lang w:val="en-US" w:eastAsia="zh-CN"/>
        </w:rPr>
      </w:pPr>
    </w:p>
    <w:p w14:paraId="09FCFAAB">
      <w:pPr>
        <w:pStyle w:val="12"/>
        <w:widowControl/>
        <w:spacing w:before="0" w:beforeAutospacing="0" w:after="0" w:afterAutospacing="0" w:line="360" w:lineRule="auto"/>
        <w:ind w:firstLine="3676" w:firstLineChars="1313"/>
        <w:rPr>
          <w:rFonts w:hint="eastAsia" w:ascii="宋体" w:hAnsi="宋体" w:cs="宋体"/>
          <w:color w:val="auto"/>
          <w:sz w:val="28"/>
          <w:szCs w:val="28"/>
          <w:highlight w:val="none"/>
        </w:rPr>
      </w:pPr>
      <w:r>
        <w:rPr>
          <w:rFonts w:hint="eastAsia" w:ascii="宋体" w:hAnsi="宋体" w:cs="宋体"/>
          <w:color w:val="auto"/>
          <w:sz w:val="28"/>
          <w:szCs w:val="28"/>
          <w:highlight w:val="none"/>
        </w:rPr>
        <w:t>废标情况</w:t>
      </w:r>
    </w:p>
    <w:p w14:paraId="0A3D057D">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6.11在征集采购中，出现下列情形之一的，应予废标：</w:t>
      </w:r>
    </w:p>
    <w:p w14:paraId="17E8977B">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（1）递交响应文件的供应商数</w:t>
      </w:r>
      <w:r>
        <w:rPr>
          <w:rFonts w:hint="eastAsia" w:ascii="宋体" w:hAnsi="宋体" w:cs="宋体"/>
          <w:color w:val="auto"/>
          <w:sz w:val="28"/>
          <w:szCs w:val="28"/>
          <w:highlight w:val="none"/>
        </w:rPr>
        <w:t>量小于</w:t>
      </w:r>
      <w:r>
        <w:rPr>
          <w:rFonts w:hint="eastAsia" w:ascii="宋体" w:hAnsi="宋体" w:cs="宋体"/>
          <w:color w:val="auto"/>
          <w:sz w:val="28"/>
          <w:szCs w:val="28"/>
          <w:highlight w:val="none"/>
          <w:lang w:val="en-US" w:eastAsia="zh-CN"/>
        </w:rPr>
        <w:t>2</w:t>
      </w:r>
      <w:r>
        <w:rPr>
          <w:rFonts w:hint="eastAsia" w:ascii="宋体" w:hAnsi="宋体" w:cs="宋体"/>
          <w:color w:val="auto"/>
          <w:sz w:val="28"/>
          <w:szCs w:val="28"/>
          <w:highlight w:val="none"/>
        </w:rPr>
        <w:t>家的；</w:t>
      </w:r>
    </w:p>
    <w:p w14:paraId="09FB4008">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（2）通过资格审查的合格供应商</w:t>
      </w:r>
      <w:r>
        <w:rPr>
          <w:rFonts w:hint="eastAsia" w:ascii="宋体" w:hAnsi="宋体" w:cs="宋体"/>
          <w:color w:val="auto"/>
          <w:sz w:val="28"/>
          <w:szCs w:val="28"/>
          <w:highlight w:val="none"/>
        </w:rPr>
        <w:t>小于</w:t>
      </w:r>
      <w:r>
        <w:rPr>
          <w:rFonts w:hint="eastAsia" w:ascii="宋体" w:hAnsi="宋体" w:cs="宋体"/>
          <w:color w:val="auto"/>
          <w:sz w:val="28"/>
          <w:szCs w:val="28"/>
          <w:highlight w:val="none"/>
          <w:lang w:val="en-US" w:eastAsia="zh-CN"/>
        </w:rPr>
        <w:t>2</w:t>
      </w:r>
      <w:r>
        <w:rPr>
          <w:rFonts w:hint="eastAsia" w:ascii="宋体" w:hAnsi="宋体" w:cs="宋体"/>
          <w:color w:val="auto"/>
          <w:sz w:val="28"/>
          <w:szCs w:val="28"/>
          <w:highlight w:val="none"/>
        </w:rPr>
        <w:t>家的；</w:t>
      </w:r>
    </w:p>
    <w:p w14:paraId="071F8B33">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（3）通过符合性审查的合格供应商</w:t>
      </w:r>
      <w:r>
        <w:rPr>
          <w:rFonts w:hint="eastAsia" w:ascii="宋体" w:hAnsi="宋体" w:cs="宋体"/>
          <w:color w:val="auto"/>
          <w:sz w:val="28"/>
          <w:szCs w:val="28"/>
          <w:highlight w:val="none"/>
        </w:rPr>
        <w:t>小于</w:t>
      </w:r>
      <w:r>
        <w:rPr>
          <w:rFonts w:hint="eastAsia" w:ascii="宋体" w:hAnsi="宋体" w:cs="宋体"/>
          <w:color w:val="auto"/>
          <w:sz w:val="28"/>
          <w:szCs w:val="28"/>
          <w:highlight w:val="none"/>
          <w:lang w:val="en-US" w:eastAsia="zh-CN"/>
        </w:rPr>
        <w:t>2</w:t>
      </w:r>
      <w:r>
        <w:rPr>
          <w:rFonts w:hint="eastAsia" w:ascii="宋体" w:hAnsi="宋体" w:cs="宋体"/>
          <w:color w:val="auto"/>
          <w:sz w:val="28"/>
          <w:szCs w:val="28"/>
          <w:highlight w:val="none"/>
        </w:rPr>
        <w:t>家的；</w:t>
      </w:r>
    </w:p>
    <w:p w14:paraId="4D78A22E">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（4）出现影响采购公正的违法、违规行为的；</w:t>
      </w:r>
    </w:p>
    <w:p w14:paraId="171305F1">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（5）供应商的报价均超过了采购预算，</w:t>
      </w:r>
      <w:r>
        <w:rPr>
          <w:rFonts w:hint="eastAsia" w:ascii="宋体" w:hAnsi="宋体" w:cs="宋体"/>
          <w:color w:val="auto"/>
          <w:sz w:val="28"/>
          <w:szCs w:val="28"/>
          <w:highlight w:val="none"/>
          <w:lang w:eastAsia="zh-CN"/>
        </w:rPr>
        <w:t>征集人</w:t>
      </w:r>
      <w:r>
        <w:rPr>
          <w:rFonts w:hint="eastAsia" w:ascii="宋体" w:hAnsi="宋体" w:cs="宋体"/>
          <w:color w:val="auto"/>
          <w:sz w:val="28"/>
          <w:szCs w:val="28"/>
          <w:highlight w:val="none"/>
        </w:rPr>
        <w:t>不能支付的；</w:t>
      </w:r>
    </w:p>
    <w:p w14:paraId="209003F9">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（6）因重大变故，采购任务取消的。</w:t>
      </w:r>
    </w:p>
    <w:p w14:paraId="384D7F22">
      <w:pPr>
        <w:pStyle w:val="12"/>
        <w:widowControl/>
        <w:spacing w:before="0" w:beforeAutospacing="0" w:after="0" w:afterAutospacing="0" w:line="360" w:lineRule="auto"/>
        <w:ind w:firstLine="320"/>
        <w:rPr>
          <w:rFonts w:hint="eastAsia" w:ascii="宋体" w:hAnsi="宋体" w:cs="宋体"/>
          <w:color w:val="auto"/>
          <w:sz w:val="28"/>
          <w:szCs w:val="28"/>
          <w:highlight w:val="none"/>
          <w:lang w:val="en-US" w:eastAsia="zh-CN"/>
        </w:rPr>
      </w:pPr>
    </w:p>
    <w:p w14:paraId="5C8D1B6E">
      <w:pPr>
        <w:pStyle w:val="12"/>
        <w:widowControl/>
        <w:spacing w:before="0" w:beforeAutospacing="0" w:after="0" w:afterAutospacing="0" w:line="360" w:lineRule="auto"/>
        <w:ind w:firstLine="320"/>
        <w:rPr>
          <w:rStyle w:val="17"/>
          <w:rFonts w:hint="eastAsia" w:ascii="宋体" w:hAnsi="宋体" w:cs="宋体"/>
          <w:color w:val="auto"/>
          <w:sz w:val="28"/>
          <w:szCs w:val="28"/>
          <w:highlight w:val="none"/>
        </w:rPr>
      </w:pPr>
      <w:r>
        <w:rPr>
          <w:rStyle w:val="17"/>
          <w:rFonts w:hint="eastAsia" w:ascii="宋体" w:hAnsi="宋体" w:cs="宋体"/>
          <w:color w:val="auto"/>
          <w:sz w:val="28"/>
          <w:szCs w:val="28"/>
          <w:highlight w:val="none"/>
        </w:rPr>
        <w:t>※若废标，则本次采购活动结束，</w:t>
      </w:r>
      <w:r>
        <w:rPr>
          <w:rFonts w:hint="eastAsia" w:ascii="宋体" w:hAnsi="宋体" w:cs="宋体"/>
          <w:color w:val="auto"/>
          <w:sz w:val="28"/>
          <w:szCs w:val="28"/>
          <w:highlight w:val="none"/>
          <w:u w:val="single"/>
        </w:rPr>
        <w:t>厦门万翔招标有限公司</w:t>
      </w:r>
      <w:r>
        <w:rPr>
          <w:rStyle w:val="17"/>
          <w:rFonts w:hint="eastAsia" w:ascii="宋体" w:hAnsi="宋体" w:cs="宋体"/>
          <w:color w:val="auto"/>
          <w:sz w:val="28"/>
          <w:szCs w:val="28"/>
          <w:highlight w:val="none"/>
        </w:rPr>
        <w:t>将依法组织后续采购活动（包括但不限于：重新招标、采用其他方式采购等）。</w:t>
      </w:r>
    </w:p>
    <w:p w14:paraId="568C4DF2">
      <w:pPr>
        <w:pStyle w:val="12"/>
        <w:widowControl/>
        <w:spacing w:before="0" w:beforeAutospacing="0" w:after="0" w:afterAutospacing="0" w:line="360" w:lineRule="auto"/>
        <w:ind w:firstLine="320"/>
        <w:rPr>
          <w:rStyle w:val="17"/>
          <w:rFonts w:hint="eastAsia" w:ascii="宋体" w:hAnsi="宋体" w:cs="宋体"/>
          <w:color w:val="auto"/>
          <w:sz w:val="28"/>
          <w:szCs w:val="28"/>
          <w:highlight w:val="none"/>
          <w:lang w:val="en-US"/>
        </w:rPr>
      </w:pPr>
      <w:r>
        <w:rPr>
          <w:rStyle w:val="17"/>
          <w:rFonts w:hint="eastAsia" w:ascii="宋体" w:hAnsi="宋体" w:cs="宋体"/>
          <w:color w:val="auto"/>
          <w:sz w:val="28"/>
          <w:szCs w:val="28"/>
          <w:highlight w:val="none"/>
        </w:rPr>
        <w:t>6.12 （</w:t>
      </w:r>
      <w:r>
        <w:rPr>
          <w:rFonts w:hint="eastAsia" w:ascii="宋体" w:hAnsi="宋体" w:cs="宋体"/>
          <w:color w:val="auto"/>
          <w:sz w:val="28"/>
          <w:szCs w:val="28"/>
          <w:highlight w:val="none"/>
          <w:lang w:val="en-US" w:eastAsia="zh-CN"/>
        </w:rPr>
        <w:t>包1至包2</w:t>
      </w:r>
      <w:r>
        <w:rPr>
          <w:rStyle w:val="17"/>
          <w:rFonts w:hint="eastAsia" w:ascii="宋体" w:hAnsi="宋体" w:cs="宋体"/>
          <w:color w:val="auto"/>
          <w:sz w:val="28"/>
          <w:szCs w:val="28"/>
          <w:highlight w:val="none"/>
        </w:rPr>
        <w:t>）确定第一阶段入围供应商时，提交响应文件和符合资格条件、实质性要求的供应商应当均</w:t>
      </w:r>
      <w:r>
        <w:rPr>
          <w:rStyle w:val="17"/>
          <w:rFonts w:hint="eastAsia" w:ascii="宋体" w:hAnsi="宋体" w:cs="宋体"/>
          <w:color w:val="auto"/>
          <w:sz w:val="28"/>
          <w:szCs w:val="28"/>
          <w:highlight w:val="none"/>
        </w:rPr>
        <w:t>不少于</w:t>
      </w:r>
      <w:r>
        <w:rPr>
          <w:rStyle w:val="17"/>
          <w:rFonts w:hint="eastAsia" w:ascii="宋体" w:hAnsi="宋体" w:cs="宋体"/>
          <w:color w:val="auto"/>
          <w:sz w:val="28"/>
          <w:szCs w:val="28"/>
          <w:highlight w:val="none"/>
          <w:lang w:val="en-US"/>
        </w:rPr>
        <w:t>2</w:t>
      </w:r>
      <w:r>
        <w:rPr>
          <w:rStyle w:val="17"/>
          <w:rFonts w:hint="eastAsia" w:ascii="宋体" w:hAnsi="宋体" w:cs="宋体"/>
          <w:color w:val="auto"/>
          <w:sz w:val="28"/>
          <w:szCs w:val="28"/>
          <w:highlight w:val="none"/>
        </w:rPr>
        <w:t>家</w:t>
      </w:r>
      <w:r>
        <w:rPr>
          <w:rStyle w:val="17"/>
          <w:rFonts w:hint="eastAsia" w:ascii="宋体" w:hAnsi="宋体" w:cs="宋体"/>
          <w:color w:val="auto"/>
          <w:sz w:val="28"/>
          <w:szCs w:val="28"/>
          <w:highlight w:val="none"/>
        </w:rPr>
        <w:t>，且至少淘汰一家供应商。 </w:t>
      </w:r>
    </w:p>
    <w:p w14:paraId="4DA56617">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7、评标方法和标准</w:t>
      </w:r>
    </w:p>
    <w:p w14:paraId="19FA8FB4">
      <w:pPr>
        <w:pStyle w:val="12"/>
        <w:widowControl/>
        <w:spacing w:before="0" w:beforeAutospacing="0" w:after="0" w:afterAutospacing="0" w:line="360" w:lineRule="auto"/>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7.1包1至包2评审方法</w:t>
      </w:r>
    </w:p>
    <w:p w14:paraId="1EAE667B">
      <w:pPr>
        <w:pStyle w:val="12"/>
        <w:widowControl/>
        <w:spacing w:before="0" w:beforeAutospacing="0" w:after="0" w:afterAutospacing="0"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包1：确定第一阶段入围供应商的评审方法：价格优先法</w:t>
      </w:r>
    </w:p>
    <w:p w14:paraId="6709A411">
      <w:pPr>
        <w:pStyle w:val="12"/>
        <w:widowControl/>
        <w:spacing w:before="0" w:beforeAutospacing="0" w:after="0" w:afterAutospacing="0" w:line="360" w:lineRule="auto"/>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rPr>
        <w:t>包2：确定第一阶段入围供应商的评审方法：价格优先法</w:t>
      </w:r>
    </w:p>
    <w:p w14:paraId="5779CF14">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7.2评标标准</w:t>
      </w:r>
    </w:p>
    <w:p w14:paraId="09E48C66">
      <w:pPr>
        <w:widowControl w:val="0"/>
        <w:spacing w:after="0" w:afterAutospacing="0" w:line="360" w:lineRule="auto"/>
        <w:ind w:firstLine="0" w:firstLineChars="0"/>
        <w:rPr>
          <w:rFonts w:hint="eastAsia" w:ascii="宋体" w:hAnsi="宋体" w:eastAsia="宋体" w:cs="宋体"/>
          <w:color w:val="auto"/>
          <w:sz w:val="24"/>
          <w:szCs w:val="24"/>
          <w:highlight w:val="none"/>
          <w:lang w:eastAsia="zh-CN"/>
        </w:rPr>
      </w:pPr>
      <w:r>
        <w:rPr>
          <w:rFonts w:hint="eastAsia" w:ascii="宋体" w:hAnsi="宋体" w:cs="宋体"/>
          <w:color w:val="auto"/>
          <w:sz w:val="28"/>
          <w:szCs w:val="28"/>
          <w:highlight w:val="none"/>
        </w:rPr>
        <w:t>7.2</w:t>
      </w:r>
      <w:r>
        <w:rPr>
          <w:rFonts w:hint="eastAsia" w:ascii="宋体" w:hAnsi="宋体" w:cs="宋体"/>
          <w:color w:val="auto"/>
          <w:sz w:val="28"/>
          <w:szCs w:val="28"/>
          <w:highlight w:val="none"/>
          <w:lang w:val="en-US" w:eastAsia="zh-CN"/>
        </w:rPr>
        <w:t>.1</w:t>
      </w:r>
      <w:r>
        <w:rPr>
          <w:rFonts w:hint="eastAsia" w:ascii="宋体" w:hAnsi="宋体" w:eastAsia="宋体" w:cs="宋体"/>
          <w:color w:val="auto"/>
          <w:sz w:val="24"/>
          <w:szCs w:val="24"/>
          <w:highlight w:val="none"/>
          <w:lang w:eastAsia="zh-CN"/>
        </w:rPr>
        <w:t>异常低价审查</w:t>
      </w:r>
    </w:p>
    <w:p w14:paraId="4100DDD1">
      <w:pPr>
        <w:widowControl w:val="0"/>
        <w:spacing w:after="0" w:afterAutospacing="0" w:line="360" w:lineRule="auto"/>
        <w:ind w:firstLine="0" w:firstLineChars="0"/>
        <w:rPr>
          <w:rFonts w:hint="eastAsia" w:ascii="宋体" w:hAnsi="宋体" w:eastAsia="宋体" w:cs="宋体"/>
          <w:color w:val="auto"/>
          <w:sz w:val="24"/>
          <w:szCs w:val="24"/>
          <w:highlight w:val="none"/>
          <w:lang w:eastAsia="zh-CN"/>
        </w:rPr>
      </w:pPr>
      <w:r>
        <w:rPr>
          <w:rFonts w:hint="eastAsia" w:ascii="宋体" w:hAnsi="宋体" w:cs="宋体"/>
          <w:color w:val="auto"/>
          <w:sz w:val="28"/>
          <w:szCs w:val="28"/>
          <w:highlight w:val="none"/>
        </w:rPr>
        <w:t>7.2</w:t>
      </w:r>
      <w:r>
        <w:rPr>
          <w:rFonts w:hint="eastAsia" w:ascii="宋体" w:hAnsi="宋体" w:cs="宋体"/>
          <w:color w:val="auto"/>
          <w:sz w:val="28"/>
          <w:szCs w:val="28"/>
          <w:highlight w:val="none"/>
          <w:lang w:val="en-US" w:eastAsia="zh-CN"/>
        </w:rPr>
        <w:t>.1.1</w:t>
      </w:r>
      <w:r>
        <w:rPr>
          <w:rFonts w:hint="eastAsia" w:ascii="宋体" w:hAnsi="宋体" w:eastAsia="宋体" w:cs="宋体"/>
          <w:color w:val="auto"/>
          <w:sz w:val="24"/>
          <w:szCs w:val="24"/>
          <w:highlight w:val="none"/>
          <w:lang w:eastAsia="zh-CN"/>
        </w:rPr>
        <w:t>政府采购评审中出现下列情形之一的，评</w:t>
      </w:r>
      <w:r>
        <w:rPr>
          <w:rFonts w:hint="eastAsia" w:ascii="宋体" w:hAnsi="宋体" w:eastAsia="宋体" w:cs="宋体"/>
          <w:color w:val="auto"/>
          <w:sz w:val="24"/>
          <w:szCs w:val="24"/>
          <w:highlight w:val="none"/>
          <w:lang w:val="en-US" w:eastAsia="zh-CN"/>
        </w:rPr>
        <w:t>标</w:t>
      </w:r>
      <w:r>
        <w:rPr>
          <w:rFonts w:hint="eastAsia" w:ascii="宋体" w:hAnsi="宋体" w:eastAsia="宋体" w:cs="宋体"/>
          <w:color w:val="auto"/>
          <w:sz w:val="24"/>
          <w:szCs w:val="24"/>
          <w:highlight w:val="none"/>
          <w:lang w:eastAsia="zh-CN"/>
        </w:rPr>
        <w:t>委员会应当启动异常低价投标审查程序：</w:t>
      </w:r>
    </w:p>
    <w:p w14:paraId="64BAF377">
      <w:pPr>
        <w:widowControl w:val="0"/>
        <w:spacing w:after="0" w:afterAutospacing="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（1）投标报价低于全部通过符合性审</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lang w:eastAsia="zh-CN"/>
        </w:rPr>
        <w:t>投标报价平均值50%的，即投标报价</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eastAsia="zh-CN"/>
        </w:rPr>
        <w:t>全部通过符合性审查</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lang w:eastAsia="zh-CN"/>
        </w:rPr>
        <w:t>投标报价平均值×50%；</w:t>
      </w:r>
    </w:p>
    <w:p w14:paraId="53CCE3E7">
      <w:pPr>
        <w:widowControl w:val="0"/>
        <w:spacing w:after="0" w:afterAutospacing="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）投标报价低于通过符合性审查的次低报价</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lang w:eastAsia="zh-CN"/>
        </w:rPr>
        <w:t>投标报价50%的，即投标报价</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eastAsia="zh-CN"/>
        </w:rPr>
        <w:t>通过符合性审查的次低报价</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lang w:eastAsia="zh-CN"/>
        </w:rPr>
        <w:t>投标报价×50%；</w:t>
      </w:r>
    </w:p>
    <w:p w14:paraId="0DA6D3D7">
      <w:pPr>
        <w:widowControl w:val="0"/>
        <w:spacing w:after="0" w:afterAutospacing="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）投标报价低于采购项目最高限价45%的，即投标报价</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eastAsia="zh-CN"/>
        </w:rPr>
        <w:t>采购项目最高限价×45%；</w:t>
      </w:r>
    </w:p>
    <w:p w14:paraId="4EBBFC41">
      <w:pPr>
        <w:widowControl w:val="0"/>
        <w:spacing w:after="0" w:afterAutospacing="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）评</w:t>
      </w:r>
      <w:r>
        <w:rPr>
          <w:rFonts w:hint="eastAsia" w:ascii="宋体" w:hAnsi="宋体" w:eastAsia="宋体" w:cs="宋体"/>
          <w:color w:val="auto"/>
          <w:sz w:val="24"/>
          <w:szCs w:val="24"/>
          <w:highlight w:val="none"/>
          <w:lang w:val="en-US" w:eastAsia="zh-CN"/>
        </w:rPr>
        <w:t>标</w:t>
      </w:r>
      <w:r>
        <w:rPr>
          <w:rFonts w:hint="eastAsia" w:ascii="宋体" w:hAnsi="宋体" w:eastAsia="宋体" w:cs="宋体"/>
          <w:color w:val="auto"/>
          <w:sz w:val="24"/>
          <w:szCs w:val="24"/>
          <w:highlight w:val="none"/>
          <w:lang w:eastAsia="zh-CN"/>
        </w:rPr>
        <w:t>委员会基于专业判断，认为</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lang w:eastAsia="zh-CN"/>
        </w:rPr>
        <w:t>报价过低，有可能影响产品质量或者不能诚信履约的其他情形。</w:t>
      </w:r>
    </w:p>
    <w:p w14:paraId="18D7CB74">
      <w:pPr>
        <w:widowControl/>
        <w:spacing w:line="360" w:lineRule="auto"/>
        <w:ind w:firstLine="560" w:firstLineChars="200"/>
        <w:jc w:val="left"/>
        <w:rPr>
          <w:rFonts w:hint="eastAsia" w:ascii="宋体" w:hAnsi="宋体" w:eastAsia="宋体" w:cs="宋体"/>
          <w:color w:val="auto"/>
          <w:sz w:val="24"/>
          <w:szCs w:val="24"/>
          <w:highlight w:val="none"/>
        </w:rPr>
      </w:pPr>
      <w:r>
        <w:rPr>
          <w:rFonts w:hint="eastAsia" w:ascii="宋体" w:hAnsi="宋体" w:cs="宋体"/>
          <w:color w:val="auto"/>
          <w:sz w:val="28"/>
          <w:szCs w:val="28"/>
          <w:highlight w:val="none"/>
        </w:rPr>
        <w:t>7.2</w:t>
      </w:r>
      <w:r>
        <w:rPr>
          <w:rFonts w:hint="eastAsia" w:ascii="宋体" w:hAnsi="宋体" w:cs="宋体"/>
          <w:color w:val="auto"/>
          <w:sz w:val="28"/>
          <w:szCs w:val="28"/>
          <w:highlight w:val="none"/>
          <w:lang w:val="en-US" w:eastAsia="zh-CN"/>
        </w:rPr>
        <w:t>.1.2</w:t>
      </w:r>
      <w:r>
        <w:rPr>
          <w:rFonts w:hint="eastAsia" w:ascii="宋体" w:hAnsi="宋体" w:eastAsia="宋体" w:cs="宋体"/>
          <w:color w:val="auto"/>
          <w:sz w:val="24"/>
          <w:szCs w:val="24"/>
          <w:highlight w:val="none"/>
          <w:lang w:eastAsia="zh-CN"/>
        </w:rPr>
        <w:t>评</w:t>
      </w:r>
      <w:r>
        <w:rPr>
          <w:rFonts w:hint="eastAsia" w:ascii="宋体" w:hAnsi="宋体" w:eastAsia="宋体" w:cs="宋体"/>
          <w:color w:val="auto"/>
          <w:sz w:val="24"/>
          <w:szCs w:val="24"/>
          <w:highlight w:val="none"/>
          <w:lang w:val="en-US" w:eastAsia="zh-CN"/>
        </w:rPr>
        <w:t>标</w:t>
      </w:r>
      <w:r>
        <w:rPr>
          <w:rFonts w:hint="eastAsia" w:ascii="宋体" w:hAnsi="宋体" w:eastAsia="宋体" w:cs="宋体"/>
          <w:color w:val="auto"/>
          <w:sz w:val="24"/>
          <w:szCs w:val="24"/>
          <w:highlight w:val="none"/>
          <w:lang w:eastAsia="zh-CN"/>
        </w:rPr>
        <w:t>委员会</w:t>
      </w:r>
      <w:r>
        <w:rPr>
          <w:rFonts w:hint="eastAsia" w:ascii="宋体" w:hAnsi="宋体" w:eastAsia="宋体" w:cs="宋体"/>
          <w:color w:val="auto"/>
          <w:sz w:val="24"/>
          <w:szCs w:val="24"/>
          <w:highlight w:val="none"/>
        </w:rPr>
        <w:t>启动异常低价投标审查后，属于前述第</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项至第</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4</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项情形，供应商已随投标文件一并提交相关书面说明及必要的证明材料的，在评审现场可不再重复提交。</w:t>
      </w:r>
    </w:p>
    <w:p w14:paraId="53643641">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评</w:t>
      </w:r>
      <w:r>
        <w:rPr>
          <w:rFonts w:hint="eastAsia" w:ascii="宋体" w:hAnsi="宋体" w:eastAsia="宋体" w:cs="宋体"/>
          <w:color w:val="auto"/>
          <w:sz w:val="24"/>
          <w:szCs w:val="24"/>
          <w:highlight w:val="none"/>
          <w:lang w:val="en-US" w:eastAsia="zh-CN"/>
        </w:rPr>
        <w:t>标</w:t>
      </w:r>
      <w:r>
        <w:rPr>
          <w:rFonts w:hint="eastAsia" w:ascii="宋体" w:hAnsi="宋体" w:eastAsia="宋体" w:cs="宋体"/>
          <w:color w:val="auto"/>
          <w:sz w:val="24"/>
          <w:szCs w:val="24"/>
          <w:highlight w:val="none"/>
          <w:lang w:eastAsia="zh-CN"/>
        </w:rPr>
        <w:t>委员会</w:t>
      </w:r>
      <w:r>
        <w:rPr>
          <w:rFonts w:hint="eastAsia" w:ascii="宋体" w:hAnsi="宋体" w:eastAsia="宋体" w:cs="宋体"/>
          <w:color w:val="auto"/>
          <w:sz w:val="24"/>
          <w:szCs w:val="24"/>
          <w:highlight w:val="none"/>
        </w:rPr>
        <w:t>依据专业经验，参考同类项目中标(成交)价格、 类似产品市场价格水平、行业人工费用标准、国家有关部门指导行业协会发布的行业平均成本等情况，对报价合理性进行判断。 投标供应商不能提供书面说明、证明材料，或者提供的书面说明、证明材料不能证明其报价合理性的，</w:t>
      </w:r>
      <w:r>
        <w:rPr>
          <w:rFonts w:hint="eastAsia" w:ascii="宋体" w:hAnsi="宋体" w:eastAsia="宋体" w:cs="宋体"/>
          <w:color w:val="auto"/>
          <w:sz w:val="24"/>
          <w:szCs w:val="24"/>
          <w:highlight w:val="none"/>
          <w:lang w:eastAsia="zh-CN"/>
        </w:rPr>
        <w:t>评</w:t>
      </w:r>
      <w:r>
        <w:rPr>
          <w:rFonts w:hint="eastAsia" w:ascii="宋体" w:hAnsi="宋体" w:eastAsia="宋体" w:cs="宋体"/>
          <w:color w:val="auto"/>
          <w:sz w:val="24"/>
          <w:szCs w:val="24"/>
          <w:highlight w:val="none"/>
          <w:lang w:val="en-US" w:eastAsia="zh-CN"/>
        </w:rPr>
        <w:t>标</w:t>
      </w:r>
      <w:r>
        <w:rPr>
          <w:rFonts w:hint="eastAsia" w:ascii="宋体" w:hAnsi="宋体" w:eastAsia="宋体" w:cs="宋体"/>
          <w:color w:val="auto"/>
          <w:sz w:val="24"/>
          <w:szCs w:val="24"/>
          <w:highlight w:val="none"/>
          <w:lang w:eastAsia="zh-CN"/>
        </w:rPr>
        <w:t>委员会</w:t>
      </w:r>
      <w:r>
        <w:rPr>
          <w:rFonts w:hint="eastAsia" w:ascii="宋体" w:hAnsi="宋体" w:eastAsia="宋体" w:cs="宋体"/>
          <w:color w:val="auto"/>
          <w:sz w:val="24"/>
          <w:szCs w:val="24"/>
          <w:highlight w:val="none"/>
        </w:rPr>
        <w:t>应当将其作为无效投标处理。</w:t>
      </w:r>
    </w:p>
    <w:p w14:paraId="2FEA3562">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采购人、采购代理机构应当为</w:t>
      </w:r>
      <w:r>
        <w:rPr>
          <w:rFonts w:hint="eastAsia" w:ascii="宋体" w:hAnsi="宋体" w:eastAsia="宋体" w:cs="宋体"/>
          <w:color w:val="auto"/>
          <w:sz w:val="24"/>
          <w:szCs w:val="24"/>
          <w:highlight w:val="none"/>
          <w:lang w:eastAsia="zh-CN"/>
        </w:rPr>
        <w:t>评</w:t>
      </w:r>
      <w:r>
        <w:rPr>
          <w:rFonts w:hint="eastAsia" w:ascii="宋体" w:hAnsi="宋体" w:eastAsia="宋体" w:cs="宋体"/>
          <w:color w:val="auto"/>
          <w:sz w:val="24"/>
          <w:szCs w:val="24"/>
          <w:highlight w:val="none"/>
          <w:lang w:val="en-US" w:eastAsia="zh-CN"/>
        </w:rPr>
        <w:t>标</w:t>
      </w:r>
      <w:r>
        <w:rPr>
          <w:rFonts w:hint="eastAsia" w:ascii="宋体" w:hAnsi="宋体" w:eastAsia="宋体" w:cs="宋体"/>
          <w:color w:val="auto"/>
          <w:sz w:val="24"/>
          <w:szCs w:val="24"/>
          <w:highlight w:val="none"/>
          <w:lang w:eastAsia="zh-CN"/>
        </w:rPr>
        <w:t>委员会</w:t>
      </w:r>
      <w:r>
        <w:rPr>
          <w:rFonts w:hint="eastAsia" w:ascii="宋体" w:hAnsi="宋体" w:eastAsia="宋体" w:cs="宋体"/>
          <w:color w:val="auto"/>
          <w:sz w:val="24"/>
          <w:szCs w:val="24"/>
          <w:highlight w:val="none"/>
        </w:rPr>
        <w:t>在评审现场及时获取同类项目中标(成交)价格、类似产品市场价格水平、行业人工费用标准、国家有关部门指导行业协会发布的行业平均成本等相关信息资料提供便利。</w:t>
      </w:r>
      <w:r>
        <w:rPr>
          <w:rFonts w:hint="eastAsia" w:ascii="宋体" w:hAnsi="宋体" w:eastAsia="宋体" w:cs="宋体"/>
          <w:color w:val="auto"/>
          <w:sz w:val="24"/>
          <w:szCs w:val="24"/>
          <w:highlight w:val="none"/>
          <w:lang w:eastAsia="zh-CN"/>
        </w:rPr>
        <w:t>评</w:t>
      </w:r>
      <w:r>
        <w:rPr>
          <w:rFonts w:hint="eastAsia" w:ascii="宋体" w:hAnsi="宋体" w:eastAsia="宋体" w:cs="宋体"/>
          <w:color w:val="auto"/>
          <w:sz w:val="24"/>
          <w:szCs w:val="24"/>
          <w:highlight w:val="none"/>
          <w:lang w:val="en-US" w:eastAsia="zh-CN"/>
        </w:rPr>
        <w:t>标</w:t>
      </w:r>
      <w:r>
        <w:rPr>
          <w:rFonts w:hint="eastAsia" w:ascii="宋体" w:hAnsi="宋体" w:eastAsia="宋体" w:cs="宋体"/>
          <w:color w:val="auto"/>
          <w:sz w:val="24"/>
          <w:szCs w:val="24"/>
          <w:highlight w:val="none"/>
          <w:lang w:eastAsia="zh-CN"/>
        </w:rPr>
        <w:t>委员会</w:t>
      </w:r>
      <w:r>
        <w:rPr>
          <w:rFonts w:hint="eastAsia" w:ascii="宋体" w:hAnsi="宋体" w:eastAsia="宋体" w:cs="宋体"/>
          <w:color w:val="auto"/>
          <w:sz w:val="24"/>
          <w:szCs w:val="24"/>
          <w:highlight w:val="none"/>
        </w:rPr>
        <w:t>借助互联网等渠道查询相关信息的，应当严格遵守评审工作纪律，不得实施影响评审公正的行为。</w:t>
      </w:r>
    </w:p>
    <w:p w14:paraId="32CDE802">
      <w:pPr>
        <w:widowControl/>
        <w:spacing w:line="360" w:lineRule="auto"/>
        <w:ind w:firstLine="480" w:firstLineChars="200"/>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异常低价投标审查的启动原因、审查意见和审查结果应当在评审报告中记录，并随供应商提供的相关书面说明及证明材料，以及</w:t>
      </w:r>
      <w:r>
        <w:rPr>
          <w:rFonts w:hint="eastAsia" w:ascii="宋体" w:hAnsi="宋体" w:eastAsia="宋体" w:cs="宋体"/>
          <w:color w:val="auto"/>
          <w:sz w:val="24"/>
          <w:szCs w:val="24"/>
          <w:highlight w:val="none"/>
          <w:lang w:eastAsia="zh-CN"/>
        </w:rPr>
        <w:t>评</w:t>
      </w:r>
      <w:r>
        <w:rPr>
          <w:rFonts w:hint="eastAsia" w:ascii="宋体" w:hAnsi="宋体" w:eastAsia="宋体" w:cs="宋体"/>
          <w:color w:val="auto"/>
          <w:sz w:val="24"/>
          <w:szCs w:val="24"/>
          <w:highlight w:val="none"/>
          <w:lang w:val="en-US" w:eastAsia="zh-CN"/>
        </w:rPr>
        <w:t>标</w:t>
      </w:r>
      <w:r>
        <w:rPr>
          <w:rFonts w:hint="eastAsia" w:ascii="宋体" w:hAnsi="宋体" w:eastAsia="宋体" w:cs="宋体"/>
          <w:color w:val="auto"/>
          <w:sz w:val="24"/>
          <w:szCs w:val="24"/>
          <w:highlight w:val="none"/>
          <w:lang w:eastAsia="zh-CN"/>
        </w:rPr>
        <w:t>委员会</w:t>
      </w:r>
      <w:r>
        <w:rPr>
          <w:rFonts w:hint="eastAsia" w:ascii="宋体" w:hAnsi="宋体" w:eastAsia="宋体" w:cs="宋体"/>
          <w:color w:val="auto"/>
          <w:sz w:val="24"/>
          <w:szCs w:val="24"/>
          <w:highlight w:val="none"/>
        </w:rPr>
        <w:t>有关互联网浏览、查询历史一并归档。</w:t>
      </w:r>
    </w:p>
    <w:p w14:paraId="41AA8513">
      <w:pPr>
        <w:pStyle w:val="12"/>
        <w:widowControl/>
        <w:numPr>
          <w:ilvl w:val="-1"/>
          <w:numId w:val="0"/>
        </w:numPr>
        <w:spacing w:before="0" w:beforeAutospacing="0" w:after="0" w:afterAutospacing="0" w:line="360" w:lineRule="auto"/>
        <w:ind w:left="210" w:firstLine="0"/>
        <w:rPr>
          <w:rFonts w:hint="eastAsia" w:ascii="宋体" w:hAnsi="宋体" w:cs="宋体"/>
          <w:color w:val="auto"/>
          <w:sz w:val="28"/>
          <w:szCs w:val="28"/>
          <w:highlight w:val="none"/>
        </w:rPr>
      </w:pPr>
      <w:r>
        <w:rPr>
          <w:rFonts w:hint="eastAsia" w:ascii="宋体" w:hAnsi="宋体" w:cs="宋体"/>
          <w:color w:val="auto"/>
          <w:sz w:val="28"/>
          <w:szCs w:val="28"/>
          <w:highlight w:val="none"/>
        </w:rPr>
        <w:t>7.2</w:t>
      </w:r>
      <w:r>
        <w:rPr>
          <w:rFonts w:hint="eastAsia" w:ascii="宋体" w:hAnsi="宋体" w:cs="宋体"/>
          <w:color w:val="auto"/>
          <w:sz w:val="28"/>
          <w:szCs w:val="28"/>
          <w:highlight w:val="none"/>
          <w:lang w:val="en-US" w:eastAsia="zh-CN"/>
        </w:rPr>
        <w:t>.2</w:t>
      </w:r>
      <w:r>
        <w:rPr>
          <w:rFonts w:hint="eastAsia" w:ascii="宋体" w:hAnsi="宋体" w:cs="宋体"/>
          <w:color w:val="auto"/>
          <w:sz w:val="28"/>
          <w:szCs w:val="28"/>
          <w:highlight w:val="none"/>
        </w:rPr>
        <w:t>对满足采购需求且响应报价不超过最高限制单价的</w:t>
      </w:r>
      <w:r>
        <w:rPr>
          <w:rFonts w:hint="eastAsia" w:ascii="宋体" w:hAnsi="宋体" w:cs="宋体"/>
          <w:color w:val="auto"/>
          <w:sz w:val="28"/>
          <w:szCs w:val="28"/>
          <w:highlight w:val="none"/>
          <w:lang w:val="en-US" w:eastAsia="zh-CN"/>
        </w:rPr>
        <w:t>货物</w:t>
      </w:r>
      <w:r>
        <w:rPr>
          <w:rFonts w:hint="eastAsia" w:ascii="宋体" w:hAnsi="宋体" w:cs="宋体"/>
          <w:color w:val="auto"/>
          <w:sz w:val="28"/>
          <w:szCs w:val="28"/>
          <w:highlight w:val="none"/>
        </w:rPr>
        <w:t>、服务，按照响应报价从低到高排序，根据征集文件规定的淘汰率或者入围供应商数量上限，确定入围供应商。</w:t>
      </w:r>
    </w:p>
    <w:p w14:paraId="3BA4E56C">
      <w:pPr>
        <w:pStyle w:val="12"/>
        <w:widowControl/>
        <w:spacing w:before="0" w:beforeAutospacing="0" w:after="0" w:afterAutospacing="0" w:line="360" w:lineRule="auto"/>
        <w:ind w:firstLine="320"/>
        <w:rPr>
          <w:rFonts w:hint="eastAsia" w:ascii="宋体" w:hAnsi="宋体" w:cs="宋体"/>
          <w:color w:val="auto"/>
          <w:sz w:val="28"/>
          <w:szCs w:val="28"/>
          <w:highlight w:val="none"/>
        </w:rPr>
      </w:pPr>
      <w:r>
        <w:rPr>
          <w:rFonts w:hint="eastAsia" w:ascii="宋体" w:hAnsi="宋体" w:cs="宋体"/>
          <w:color w:val="auto"/>
          <w:sz w:val="28"/>
          <w:szCs w:val="28"/>
          <w:highlight w:val="none"/>
        </w:rPr>
        <w:t>7.2</w:t>
      </w:r>
      <w:r>
        <w:rPr>
          <w:rFonts w:hint="eastAsia" w:ascii="宋体" w:hAnsi="宋体" w:cs="宋体"/>
          <w:color w:val="auto"/>
          <w:sz w:val="28"/>
          <w:szCs w:val="28"/>
          <w:highlight w:val="none"/>
          <w:lang w:val="en-US" w:eastAsia="zh-CN"/>
        </w:rPr>
        <w:t>.3</w:t>
      </w:r>
      <w:r>
        <w:rPr>
          <w:rFonts w:hint="eastAsia" w:ascii="宋体" w:hAnsi="宋体" w:cs="宋体"/>
          <w:color w:val="auto"/>
          <w:sz w:val="28"/>
          <w:szCs w:val="28"/>
          <w:highlight w:val="none"/>
        </w:rPr>
        <w:t>价格扣除的规则如下：</w:t>
      </w:r>
    </w:p>
    <w:tbl>
      <w:tblPr>
        <w:tblStyle w:val="14"/>
        <w:tblW w:w="0" w:type="auto"/>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1325"/>
        <w:gridCol w:w="6996"/>
      </w:tblGrid>
      <w:tr w14:paraId="41A2BCF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0" w:type="auto"/>
            <w:tcBorders>
              <w:top w:val="outset" w:color="auto" w:sz="6" w:space="0"/>
              <w:left w:val="outset" w:color="auto" w:sz="6" w:space="0"/>
              <w:bottom w:val="outset" w:color="auto" w:sz="6" w:space="0"/>
              <w:right w:val="outset" w:color="auto" w:sz="6" w:space="0"/>
            </w:tcBorders>
            <w:vAlign w:val="center"/>
          </w:tcPr>
          <w:p w14:paraId="274925DF">
            <w:pPr>
              <w:widowControl/>
              <w:spacing w:line="360" w:lineRule="auto"/>
              <w:jc w:val="left"/>
              <w:rPr>
                <w:rFonts w:hint="eastAsia" w:ascii="宋体" w:hAnsi="宋体" w:cs="宋体"/>
                <w:color w:val="auto"/>
                <w:sz w:val="28"/>
                <w:szCs w:val="28"/>
                <w:highlight w:val="none"/>
              </w:rPr>
            </w:pPr>
            <w:r>
              <w:rPr>
                <w:rFonts w:hint="eastAsia" w:ascii="宋体" w:hAnsi="宋体" w:cs="宋体"/>
                <w:color w:val="auto"/>
                <w:kern w:val="0"/>
                <w:sz w:val="28"/>
                <w:szCs w:val="28"/>
                <w:highlight w:val="none"/>
              </w:rPr>
              <w:t>评标项目</w:t>
            </w:r>
          </w:p>
        </w:tc>
        <w:tc>
          <w:tcPr>
            <w:tcW w:w="0" w:type="auto"/>
            <w:tcBorders>
              <w:top w:val="outset" w:color="auto" w:sz="6" w:space="0"/>
              <w:left w:val="outset" w:color="auto" w:sz="6" w:space="0"/>
              <w:bottom w:val="outset" w:color="auto" w:sz="6" w:space="0"/>
              <w:right w:val="outset" w:color="auto" w:sz="6" w:space="0"/>
            </w:tcBorders>
            <w:vAlign w:val="center"/>
          </w:tcPr>
          <w:p w14:paraId="009A1DEB">
            <w:pPr>
              <w:widowControl/>
              <w:spacing w:line="360" w:lineRule="auto"/>
              <w:jc w:val="left"/>
              <w:rPr>
                <w:rFonts w:hint="eastAsia" w:ascii="宋体" w:hAnsi="宋体" w:cs="宋体"/>
                <w:color w:val="auto"/>
                <w:sz w:val="28"/>
                <w:szCs w:val="28"/>
                <w:highlight w:val="none"/>
              </w:rPr>
            </w:pPr>
            <w:r>
              <w:rPr>
                <w:rFonts w:hint="eastAsia" w:ascii="宋体" w:hAnsi="宋体" w:cs="宋体"/>
                <w:color w:val="auto"/>
                <w:kern w:val="0"/>
                <w:sz w:val="28"/>
                <w:szCs w:val="28"/>
                <w:highlight w:val="none"/>
              </w:rPr>
              <w:t>评标方法</w:t>
            </w:r>
          </w:p>
        </w:tc>
      </w:tr>
      <w:tr w14:paraId="3FE8342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vAlign w:val="center"/>
          </w:tcPr>
          <w:p w14:paraId="270524FD">
            <w:pPr>
              <w:widowControl/>
              <w:spacing w:line="360" w:lineRule="auto"/>
              <w:jc w:val="left"/>
              <w:rPr>
                <w:rFonts w:hint="eastAsia" w:ascii="宋体" w:hAnsi="宋体" w:cs="宋体"/>
                <w:color w:val="auto"/>
                <w:sz w:val="28"/>
                <w:szCs w:val="28"/>
                <w:highlight w:val="none"/>
              </w:rPr>
            </w:pPr>
            <w:r>
              <w:rPr>
                <w:rFonts w:hint="eastAsia" w:ascii="宋体" w:hAnsi="宋体" w:cs="宋体"/>
                <w:color w:val="auto"/>
                <w:kern w:val="0"/>
                <w:sz w:val="28"/>
                <w:szCs w:val="28"/>
                <w:highlight w:val="none"/>
              </w:rPr>
              <w:t>小型、微型企业，监狱企业，残疾人</w:t>
            </w:r>
          </w:p>
        </w:tc>
        <w:tc>
          <w:tcPr>
            <w:tcW w:w="0" w:type="auto"/>
            <w:tcBorders>
              <w:top w:val="outset" w:color="auto" w:sz="6" w:space="0"/>
              <w:left w:val="outset" w:color="auto" w:sz="6" w:space="0"/>
              <w:bottom w:val="outset" w:color="auto" w:sz="6" w:space="0"/>
              <w:right w:val="outset" w:color="auto" w:sz="6" w:space="0"/>
            </w:tcBorders>
            <w:vAlign w:val="center"/>
          </w:tcPr>
          <w:p w14:paraId="02C2F6D1">
            <w:pPr>
              <w:widowControl/>
              <w:spacing w:line="360" w:lineRule="auto"/>
              <w:jc w:val="left"/>
              <w:rPr>
                <w:rStyle w:val="17"/>
                <w:rFonts w:hint="eastAsia" w:ascii="宋体" w:hAnsi="宋体" w:cs="宋体"/>
                <w:color w:val="auto"/>
                <w:kern w:val="0"/>
                <w:sz w:val="28"/>
                <w:szCs w:val="28"/>
                <w:highlight w:val="none"/>
              </w:rPr>
            </w:pPr>
            <w:r>
              <w:rPr>
                <w:rStyle w:val="17"/>
                <w:rFonts w:hint="eastAsia" w:ascii="宋体" w:hAnsi="宋体" w:cs="宋体"/>
                <w:color w:val="auto"/>
                <w:kern w:val="0"/>
                <w:sz w:val="28"/>
                <w:szCs w:val="28"/>
                <w:highlight w:val="none"/>
              </w:rPr>
              <w:t>本项目</w:t>
            </w:r>
            <w:r>
              <w:rPr>
                <w:rStyle w:val="17"/>
                <w:rFonts w:hint="eastAsia" w:ascii="宋体" w:hAnsi="宋体" w:cs="宋体"/>
                <w:color w:val="auto"/>
                <w:kern w:val="0"/>
                <w:sz w:val="28"/>
                <w:szCs w:val="28"/>
                <w:highlight w:val="none"/>
                <w:lang w:val="en-US"/>
              </w:rPr>
              <w:t>每个采购包</w:t>
            </w:r>
            <w:r>
              <w:rPr>
                <w:rStyle w:val="17"/>
                <w:rFonts w:hint="eastAsia" w:ascii="宋体" w:hAnsi="宋体" w:cs="宋体"/>
                <w:color w:val="auto"/>
                <w:kern w:val="0"/>
                <w:sz w:val="28"/>
                <w:szCs w:val="28"/>
                <w:highlight w:val="none"/>
              </w:rPr>
              <w:t>对应的中小企业划分标准</w:t>
            </w:r>
            <w:r>
              <w:rPr>
                <w:rStyle w:val="17"/>
                <w:rFonts w:hint="eastAsia" w:ascii="宋体" w:hAnsi="宋体" w:cs="宋体"/>
                <w:color w:val="auto"/>
                <w:kern w:val="0"/>
                <w:sz w:val="28"/>
                <w:szCs w:val="28"/>
                <w:highlight w:val="none"/>
                <w:lang w:val="en-US"/>
              </w:rPr>
              <w:t>均</w:t>
            </w:r>
            <w:r>
              <w:rPr>
                <w:rStyle w:val="17"/>
                <w:rFonts w:hint="eastAsia" w:ascii="宋体" w:hAnsi="宋体" w:cs="宋体"/>
                <w:color w:val="auto"/>
                <w:kern w:val="0"/>
                <w:sz w:val="28"/>
                <w:szCs w:val="28"/>
                <w:highlight w:val="none"/>
              </w:rPr>
              <w:t>所属工业。（现行中小企业划分标准行业包括农、林、牧、渔业，工业，建筑业，批发业，零售业，交通运输业，仓储业，邮政业，住宿业，餐饮业，信息传输业，软件和信息技术服</w:t>
            </w:r>
          </w:p>
          <w:p w14:paraId="45C0A9E2">
            <w:pPr>
              <w:widowControl/>
              <w:spacing w:line="360" w:lineRule="auto"/>
              <w:jc w:val="left"/>
              <w:rPr>
                <w:rFonts w:hint="eastAsia" w:ascii="宋体" w:hAnsi="宋体" w:cs="宋体"/>
                <w:color w:val="auto"/>
                <w:sz w:val="28"/>
                <w:szCs w:val="28"/>
                <w:highlight w:val="none"/>
              </w:rPr>
            </w:pPr>
            <w:r>
              <w:rPr>
                <w:rStyle w:val="17"/>
                <w:rFonts w:hint="eastAsia" w:ascii="宋体" w:hAnsi="宋体" w:cs="宋体"/>
                <w:color w:val="auto"/>
                <w:kern w:val="0"/>
                <w:sz w:val="28"/>
                <w:szCs w:val="28"/>
                <w:highlight w:val="none"/>
              </w:rPr>
              <w:t>务业，房地产开发经营，物业管理，租赁和商业服务业和其他未列明行业等十六类。） 投标人提供的产品既有中型企业制造，也有小微企业制造的，不享受办法规定的小微企业扶持政策。对其提供的小型或微型企业产品的投标报价给予</w:t>
            </w:r>
            <w:r>
              <w:rPr>
                <w:rStyle w:val="17"/>
                <w:rFonts w:hint="eastAsia" w:ascii="宋体" w:hAnsi="宋体" w:cs="宋体"/>
                <w:color w:val="auto"/>
                <w:kern w:val="0"/>
                <w:sz w:val="28"/>
                <w:szCs w:val="28"/>
                <w:highlight w:val="none"/>
                <w:lang w:val="en-US"/>
              </w:rPr>
              <w:t>15</w:t>
            </w:r>
            <w:r>
              <w:rPr>
                <w:rStyle w:val="17"/>
                <w:rFonts w:hint="eastAsia" w:ascii="宋体" w:hAnsi="宋体" w:cs="宋体"/>
                <w:color w:val="auto"/>
                <w:kern w:val="0"/>
                <w:sz w:val="28"/>
                <w:szCs w:val="28"/>
                <w:highlight w:val="none"/>
              </w:rPr>
              <w:t>%的扣除，扣除后的价格作为该投标人的评标价参与价格评审。符合财政部、司法部文件（财库[2014]68号）规定的监狱企业（以下简称：“监狱企业”）亦可享受前述价格扣除政策。符合财政部、民政部、中国残联文件（财库[2017]141号）规定的残疾人福利性单位（以下简称：“残疾人福利性单位”）亦可享受前述价格扣除政策。监狱企业、残疾人福利性单位视同小型、微型企业。</w:t>
            </w:r>
          </w:p>
        </w:tc>
      </w:tr>
      <w:tr w14:paraId="27BF67C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vAlign w:val="center"/>
          </w:tcPr>
          <w:p w14:paraId="2CFD6236">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 w:beforeAutospacing="0" w:after="24" w:afterAutospacing="0" w:line="360" w:lineRule="auto"/>
              <w:ind w:left="0" w:right="0" w:firstLine="0"/>
              <w:textAlignment w:val="auto"/>
              <w:rPr>
                <w:rFonts w:hint="eastAsia" w:ascii="宋体" w:hAnsi="宋体" w:eastAsia="宋体" w:cs="宋体"/>
                <w:color w:val="auto"/>
                <w:kern w:val="2"/>
                <w:sz w:val="24"/>
                <w:szCs w:val="24"/>
                <w:highlight w:val="none"/>
                <w:lang w:val="en-US" w:eastAsia="zh-CN"/>
              </w:rPr>
            </w:pPr>
            <w:r>
              <w:rPr>
                <w:rStyle w:val="16"/>
                <w:rFonts w:hint="eastAsia" w:ascii="宋体" w:hAnsi="宋体" w:eastAsia="宋体" w:cs="宋体"/>
                <w:color w:val="auto"/>
                <w:kern w:val="2"/>
                <w:sz w:val="24"/>
                <w:szCs w:val="24"/>
                <w:highlight w:val="none"/>
              </w:rPr>
              <w:t>对本国产品的支持政策</w:t>
            </w:r>
            <w:r>
              <w:rPr>
                <w:rFonts w:hint="eastAsia" w:eastAsia="宋体" w:cs="宋体"/>
                <w:color w:val="auto"/>
                <w:kern w:val="2"/>
                <w:sz w:val="24"/>
                <w:szCs w:val="24"/>
                <w:highlight w:val="none"/>
                <w:lang w:eastAsia="zh-CN"/>
              </w:rPr>
              <w:t>：</w:t>
            </w:r>
          </w:p>
          <w:p w14:paraId="1EA911D4">
            <w:pPr>
              <w:widowControl/>
              <w:spacing w:line="360" w:lineRule="auto"/>
              <w:jc w:val="left"/>
              <w:rPr>
                <w:rFonts w:hint="eastAsia" w:ascii="宋体" w:hAnsi="宋体" w:cs="宋体"/>
                <w:color w:val="auto"/>
                <w:kern w:val="0"/>
                <w:sz w:val="28"/>
                <w:szCs w:val="28"/>
                <w:highlight w:val="none"/>
              </w:rPr>
            </w:pPr>
          </w:p>
        </w:tc>
        <w:tc>
          <w:tcPr>
            <w:tcW w:w="0" w:type="auto"/>
            <w:tcBorders>
              <w:top w:val="outset" w:color="auto" w:sz="6" w:space="0"/>
              <w:left w:val="outset" w:color="auto" w:sz="6" w:space="0"/>
              <w:bottom w:val="outset" w:color="auto" w:sz="6" w:space="0"/>
              <w:right w:val="outset" w:color="auto" w:sz="6" w:space="0"/>
            </w:tcBorders>
            <w:vAlign w:val="center"/>
          </w:tcPr>
          <w:p w14:paraId="197E1737">
            <w:pPr>
              <w:pStyle w:val="21"/>
              <w:spacing w:line="360" w:lineRule="auto"/>
              <w:ind w:left="21" w:right="0" w:firstLine="475" w:firstLineChars="203"/>
              <w:rPr>
                <w:rFonts w:hint="eastAsia" w:ascii="宋体" w:hAnsi="宋体" w:eastAsia="宋体" w:cs="宋体"/>
                <w:color w:val="auto"/>
                <w:spacing w:val="1"/>
                <w:sz w:val="24"/>
                <w:szCs w:val="24"/>
                <w:highlight w:val="none"/>
              </w:rPr>
            </w:pPr>
            <w:r>
              <w:rPr>
                <w:rFonts w:hint="eastAsia" w:ascii="宋体" w:hAnsi="宋体" w:eastAsia="宋体" w:cs="宋体"/>
                <w:color w:val="auto"/>
                <w:spacing w:val="-3"/>
                <w:sz w:val="24"/>
                <w:szCs w:val="24"/>
                <w:highlight w:val="none"/>
              </w:rPr>
              <w:t>（1）本项目适用《国务院办公厅关于在政府采购中实施本国产品</w:t>
            </w:r>
            <w:r>
              <w:rPr>
                <w:rFonts w:hint="eastAsia" w:ascii="宋体" w:hAnsi="宋体" w:eastAsia="宋体" w:cs="宋体"/>
                <w:color w:val="auto"/>
                <w:spacing w:val="-22"/>
                <w:sz w:val="24"/>
                <w:szCs w:val="24"/>
                <w:highlight w:val="none"/>
              </w:rPr>
              <w:t>标准及相关政策的通知》（国办发〔2025〕34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22"/>
                <w:sz w:val="24"/>
                <w:szCs w:val="24"/>
                <w:highlight w:val="none"/>
              </w:rPr>
              <w:t>号，以下简称《通知》）</w:t>
            </w:r>
            <w:r>
              <w:rPr>
                <w:rFonts w:hint="eastAsia" w:ascii="宋体" w:hAnsi="宋体" w:eastAsia="宋体" w:cs="宋体"/>
                <w:color w:val="auto"/>
                <w:spacing w:val="-7"/>
                <w:sz w:val="24"/>
                <w:szCs w:val="24"/>
                <w:highlight w:val="none"/>
              </w:rPr>
              <w:t>规定的本国产品标准及相关政策，</w:t>
            </w:r>
            <w:r>
              <w:rPr>
                <w:rFonts w:hint="eastAsia" w:ascii="宋体" w:hAnsi="宋体" w:eastAsia="宋体" w:cs="宋体"/>
                <w:color w:val="auto"/>
                <w:spacing w:val="1"/>
                <w:sz w:val="24"/>
                <w:szCs w:val="24"/>
                <w:highlight w:val="none"/>
              </w:rPr>
              <w:t>本国产品标准适用于货物，包括政府采购货物项目和服务项目中涉及的货物。适用本国产品标准的货物具体是指《政府采购品目分类目录》 中的货物类产品，但不包括其中的房屋和构筑物，文物和陈列品，图书和档案，特种动植物，农林牧渔业产品，矿与矿物， 电力、城市燃气、蒸汽和热水、水，食品、饮料和烟草原料，无形资产。</w:t>
            </w:r>
          </w:p>
          <w:p w14:paraId="39CC5DFF">
            <w:pPr>
              <w:pStyle w:val="21"/>
              <w:spacing w:line="360" w:lineRule="auto"/>
              <w:ind w:left="22" w:right="17" w:firstLine="491" w:firstLineChars="20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（2）本项目中，国有企业、民营企业、外资</w:t>
            </w:r>
            <w:r>
              <w:rPr>
                <w:rFonts w:hint="eastAsia" w:ascii="宋体" w:hAnsi="宋体" w:eastAsia="宋体" w:cs="宋体"/>
                <w:color w:val="auto"/>
                <w:sz w:val="24"/>
                <w:szCs w:val="24"/>
                <w:highlight w:val="none"/>
              </w:rPr>
              <w:t>企业等各类经营主体</w:t>
            </w:r>
            <w:r>
              <w:rPr>
                <w:rFonts w:hint="eastAsia" w:ascii="宋体" w:hAnsi="宋体" w:eastAsia="宋体" w:cs="宋体"/>
                <w:color w:val="auto"/>
                <w:spacing w:val="-4"/>
                <w:sz w:val="24"/>
                <w:szCs w:val="24"/>
                <w:highlight w:val="none"/>
              </w:rPr>
              <w:t>平等享受本国产品政府采购支持政策，采购人及采购代理机构对各类经营主体一视同仁、平等对待，无差别待遇或歧视待遇，不指定</w:t>
            </w:r>
            <w:r>
              <w:rPr>
                <w:rFonts w:hint="eastAsia" w:ascii="宋体" w:hAnsi="宋体" w:eastAsia="宋体" w:cs="宋体"/>
                <w:color w:val="auto"/>
                <w:spacing w:val="-1"/>
                <w:sz w:val="24"/>
                <w:szCs w:val="24"/>
                <w:highlight w:val="none"/>
              </w:rPr>
              <w:t>品牌、不限制品牌注册地及所有者。</w:t>
            </w:r>
          </w:p>
          <w:p w14:paraId="1D66BF9E">
            <w:pPr>
              <w:pStyle w:val="21"/>
              <w:spacing w:before="0" w:line="360" w:lineRule="auto"/>
              <w:ind w:left="24" w:right="15" w:firstLine="488" w:firstLineChars="202"/>
              <w:rPr>
                <w:rFonts w:hint="eastAsia" w:ascii="宋体" w:hAnsi="宋体" w:eastAsia="宋体" w:cs="宋体"/>
                <w:color w:val="auto"/>
                <w:spacing w:val="-5"/>
                <w:sz w:val="24"/>
                <w:szCs w:val="24"/>
                <w:highlight w:val="none"/>
              </w:rPr>
            </w:pPr>
            <w:r>
              <w:rPr>
                <w:rFonts w:hint="eastAsia" w:ascii="宋体" w:hAnsi="宋体" w:eastAsia="宋体" w:cs="宋体"/>
                <w:color w:val="auto"/>
                <w:spacing w:val="1"/>
                <w:sz w:val="24"/>
                <w:szCs w:val="24"/>
                <w:highlight w:val="none"/>
              </w:rPr>
              <w:t>（3）本项目所称本国产品，是指符合《通知</w:t>
            </w:r>
            <w:r>
              <w:rPr>
                <w:rFonts w:hint="eastAsia" w:ascii="宋体" w:hAnsi="宋体" w:eastAsia="宋体" w:cs="宋体"/>
                <w:color w:val="auto"/>
                <w:sz w:val="24"/>
                <w:szCs w:val="24"/>
                <w:highlight w:val="none"/>
              </w:rPr>
              <w:t>》第一条规定条件的</w:t>
            </w:r>
            <w:r>
              <w:rPr>
                <w:rFonts w:hint="eastAsia" w:ascii="宋体" w:hAnsi="宋体" w:eastAsia="宋体" w:cs="宋体"/>
                <w:color w:val="auto"/>
                <w:spacing w:val="-4"/>
                <w:sz w:val="24"/>
                <w:szCs w:val="24"/>
                <w:highlight w:val="none"/>
              </w:rPr>
              <w:t>产品：①在中国境内生产，即于中华人民共和国关境内经制造、加工、组装等工序实现属性改变，形成有新名称、新特征（用途）的</w:t>
            </w:r>
            <w:r>
              <w:rPr>
                <w:rFonts w:hint="eastAsia" w:ascii="宋体" w:hAnsi="宋体" w:eastAsia="宋体" w:cs="宋体"/>
                <w:color w:val="auto"/>
                <w:spacing w:val="-5"/>
                <w:sz w:val="24"/>
                <w:szCs w:val="24"/>
                <w:highlight w:val="none"/>
              </w:rPr>
              <w:t>新产品，《通知》列明的</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5"/>
                <w:sz w:val="24"/>
                <w:szCs w:val="24"/>
                <w:highlight w:val="none"/>
              </w:rPr>
              <w:t>5</w:t>
            </w:r>
            <w:r>
              <w:rPr>
                <w:rFonts w:hint="eastAsia" w:ascii="宋体" w:hAnsi="宋体" w:eastAsia="宋体" w:cs="宋体"/>
                <w:color w:val="auto"/>
                <w:spacing w:val="-58"/>
                <w:sz w:val="24"/>
                <w:szCs w:val="24"/>
                <w:highlight w:val="none"/>
              </w:rPr>
              <w:t xml:space="preserve"> </w:t>
            </w:r>
            <w:r>
              <w:rPr>
                <w:rFonts w:hint="eastAsia" w:ascii="宋体" w:hAnsi="宋体" w:eastAsia="宋体" w:cs="宋体"/>
                <w:color w:val="auto"/>
                <w:spacing w:val="-5"/>
                <w:sz w:val="24"/>
                <w:szCs w:val="24"/>
                <w:highlight w:val="none"/>
              </w:rPr>
              <w:t>类细微操作不属于属性改变；②在中国</w:t>
            </w:r>
            <w:r>
              <w:rPr>
                <w:rFonts w:hint="eastAsia" w:ascii="宋体" w:hAnsi="宋体" w:eastAsia="宋体" w:cs="宋体"/>
                <w:color w:val="auto"/>
                <w:spacing w:val="6"/>
                <w:sz w:val="24"/>
                <w:szCs w:val="24"/>
                <w:highlight w:val="none"/>
              </w:rPr>
              <w:t>境内生产的组件成本占比达到财政部会同行业主管部门规定比例</w:t>
            </w:r>
            <w:r>
              <w:rPr>
                <w:rFonts w:hint="eastAsia" w:ascii="宋体" w:hAnsi="宋体" w:eastAsia="宋体" w:cs="宋体"/>
                <w:color w:val="auto"/>
                <w:spacing w:val="-4"/>
                <w:sz w:val="24"/>
                <w:szCs w:val="24"/>
                <w:highlight w:val="none"/>
              </w:rPr>
              <w:t>（在分产品比例要求实施前，仅需满足前款境内生产条件即可视同</w:t>
            </w:r>
            <w:r>
              <w:rPr>
                <w:rFonts w:hint="eastAsia" w:ascii="宋体" w:hAnsi="宋体" w:eastAsia="宋体" w:cs="宋体"/>
                <w:color w:val="auto"/>
                <w:spacing w:val="1"/>
                <w:sz w:val="24"/>
                <w:szCs w:val="24"/>
                <w:highlight w:val="none"/>
              </w:rPr>
              <w:t>本国产品</w:t>
            </w:r>
            <w:r>
              <w:rPr>
                <w:rFonts w:hint="eastAsia" w:ascii="宋体" w:hAnsi="宋体" w:eastAsia="宋体" w:cs="宋体"/>
                <w:color w:val="auto"/>
                <w:spacing w:val="-65"/>
                <w:sz w:val="24"/>
                <w:szCs w:val="24"/>
                <w:highlight w:val="none"/>
              </w:rPr>
              <w:t>）；</w:t>
            </w:r>
            <w:r>
              <w:rPr>
                <w:rFonts w:hint="eastAsia" w:ascii="宋体" w:hAnsi="宋体" w:eastAsia="宋体" w:cs="宋体"/>
                <w:color w:val="auto"/>
                <w:spacing w:val="1"/>
                <w:sz w:val="24"/>
                <w:szCs w:val="24"/>
                <w:highlight w:val="none"/>
              </w:rPr>
              <w:t>③特定产品在满足前两项条件基础上</w:t>
            </w:r>
            <w:r>
              <w:rPr>
                <w:rFonts w:hint="eastAsia" w:ascii="宋体" w:hAnsi="宋体" w:eastAsia="宋体" w:cs="宋体"/>
                <w:color w:val="auto"/>
                <w:sz w:val="24"/>
                <w:szCs w:val="24"/>
                <w:highlight w:val="none"/>
              </w:rPr>
              <w:t>，其关键组件、</w:t>
            </w:r>
            <w:r>
              <w:rPr>
                <w:rFonts w:hint="eastAsia" w:ascii="宋体" w:hAnsi="宋体" w:eastAsia="宋体" w:cs="宋体"/>
                <w:color w:val="auto"/>
                <w:spacing w:val="11"/>
                <w:sz w:val="24"/>
                <w:szCs w:val="24"/>
                <w:highlight w:val="none"/>
              </w:rPr>
              <w:t>关键工序符合财政部会同行业主管部门确定的境内生产/完成要</w:t>
            </w:r>
            <w:r>
              <w:rPr>
                <w:rFonts w:hint="eastAsia" w:ascii="宋体" w:hAnsi="宋体" w:eastAsia="宋体" w:cs="宋体"/>
                <w:color w:val="auto"/>
                <w:spacing w:val="-5"/>
                <w:sz w:val="24"/>
                <w:szCs w:val="24"/>
                <w:highlight w:val="none"/>
              </w:rPr>
              <w:t>求。</w:t>
            </w:r>
          </w:p>
          <w:p w14:paraId="0660CA9E">
            <w:pPr>
              <w:pStyle w:val="21"/>
              <w:spacing w:before="0" w:line="360" w:lineRule="auto"/>
              <w:ind w:left="24" w:right="15" w:firstLine="464" w:firstLineChars="202"/>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lang w:val="en-US" w:eastAsia="zh-CN"/>
              </w:rPr>
              <w:t>4</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rPr>
              <w:t>产品在中国境内生产的组件成本核算，严格按照《通知》附件 1《中国境内生产的组件成本核算基本规则》执行，以产品二级组件成本核算为原则，一级组件可满足判定需求的按一级组件核算。</w:t>
            </w:r>
          </w:p>
          <w:p w14:paraId="40AE6C60">
            <w:pPr>
              <w:pStyle w:val="21"/>
              <w:spacing w:before="0" w:line="360" w:lineRule="auto"/>
              <w:ind w:left="24" w:right="15" w:firstLine="484" w:firstLineChars="202"/>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lang w:val="en-US" w:eastAsia="zh-CN"/>
              </w:rPr>
              <w:t>5</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政府采购活动中既有本国产品又有非本国产品参与竞争的，依法对本国产品给予价格评审优惠，对本国产品的报价给予20%的价格扣除，用扣除后的价格参与评审。</w:t>
            </w:r>
          </w:p>
          <w:p w14:paraId="1BDA7FC0">
            <w:pPr>
              <w:pStyle w:val="12"/>
              <w:widowControl/>
              <w:pBdr>
                <w:top w:val="none" w:color="auto" w:sz="0" w:space="0"/>
                <w:left w:val="none" w:color="auto" w:sz="0" w:space="0"/>
                <w:bottom w:val="none" w:color="auto" w:sz="0" w:space="0"/>
                <w:right w:val="none" w:color="auto" w:sz="0" w:space="0"/>
              </w:pBdr>
              <w:spacing w:before="0" w:beforeAutospacing="0" w:after="0" w:afterAutospacing="0" w:line="360" w:lineRule="auto"/>
              <w:ind w:firstLine="42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A444CA5">
            <w:pPr>
              <w:widowControl w:val="0"/>
              <w:spacing w:after="0" w:afterAutospacing="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（6）对符合本国产品标准的产品/供应商报价执行 20%价格扣除的评审优惠，扣除后的价格作为评审价格参与评审，具体规则如下：</w:t>
            </w:r>
          </w:p>
          <w:p w14:paraId="60D46F4F">
            <w:pPr>
              <w:widowControl w:val="0"/>
              <w:spacing w:after="0" w:afterAutospacing="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①单一产品情形：投标产品为单一产品，且投标人已提交合规《声明函》证明该产品为本国产品的，对该产品的投标报价给予 20%的价格扣除。</w:t>
            </w:r>
          </w:p>
          <w:p w14:paraId="0D6A46DB">
            <w:pPr>
              <w:widowControl w:val="0"/>
              <w:spacing w:after="0" w:afterAutospacing="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②多产品组合情形：采购项目/采购包包含多种产品的，投标人提供的符合本国产品标准的产品成本之和 ÷ 投标人提供的全部产品成本之和≥80%的，对该投标人提交的本项目/采购包全部产品总报价给予 20%的价格扣除。</w:t>
            </w:r>
          </w:p>
          <w:p w14:paraId="68859CA8">
            <w:pPr>
              <w:widowControl w:val="0"/>
              <w:spacing w:after="0" w:afterAutospacing="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③上述产品成本均以投标人投标文件中载明的真实成本数据、采购合同、进货记录等会计核算数据为依据；价格扣除仅用于评审阶段的价格比较，不改变投标人的投标报价及中标后的签约结算价格。</w:t>
            </w:r>
          </w:p>
          <w:p w14:paraId="170C6C8B">
            <w:pPr>
              <w:widowControl w:val="0"/>
              <w:spacing w:after="0" w:afterAutospacing="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④中华人民共和国缔结或共同参加的国际条约、协定对政府采购本国产品政策另有规定的，从其规定。</w:t>
            </w:r>
          </w:p>
          <w:p w14:paraId="6B73E206">
            <w:pPr>
              <w:pStyle w:val="12"/>
              <w:widowControl/>
              <w:pBdr>
                <w:top w:val="none" w:color="auto" w:sz="0" w:space="0"/>
                <w:left w:val="none" w:color="auto" w:sz="0" w:space="0"/>
                <w:bottom w:val="none" w:color="auto" w:sz="0" w:space="0"/>
                <w:right w:val="none" w:color="auto" w:sz="0" w:space="0"/>
              </w:pBdr>
              <w:spacing w:before="0" w:beforeAutospacing="0" w:after="0" w:afterAutospacing="0"/>
              <w:ind w:firstLine="420"/>
              <w:jc w:val="left"/>
              <w:rPr>
                <w:rStyle w:val="17"/>
                <w:rFonts w:hint="eastAsia" w:ascii="宋体" w:hAnsi="宋体" w:cs="宋体"/>
                <w:color w:val="auto"/>
                <w:kern w:val="0"/>
                <w:sz w:val="28"/>
                <w:szCs w:val="28"/>
                <w:highlight w:val="none"/>
              </w:rPr>
            </w:pPr>
            <w:r>
              <w:rPr>
                <w:rFonts w:hint="eastAsia" w:ascii="宋体" w:hAnsi="宋体" w:eastAsia="宋体" w:cs="宋体"/>
                <w:color w:val="auto"/>
                <w:sz w:val="24"/>
                <w:szCs w:val="24"/>
                <w:highlight w:val="none"/>
                <w:lang w:val="en-US" w:eastAsia="zh-CN"/>
              </w:rPr>
              <w:t>（7）未提供《</w:t>
            </w:r>
            <w:r>
              <w:rPr>
                <w:rFonts w:hint="eastAsia" w:ascii="宋体" w:hAnsi="宋体" w:eastAsia="宋体" w:cs="宋体"/>
                <w:color w:val="auto"/>
                <w:sz w:val="24"/>
                <w:szCs w:val="24"/>
                <w:highlight w:val="none"/>
              </w:rPr>
              <w:t>关于符合本国产品标准的声明函</w:t>
            </w:r>
            <w:r>
              <w:rPr>
                <w:rFonts w:hint="eastAsia" w:ascii="宋体" w:hAnsi="宋体" w:eastAsia="宋体" w:cs="宋体"/>
                <w:color w:val="auto"/>
                <w:sz w:val="24"/>
                <w:szCs w:val="24"/>
                <w:highlight w:val="none"/>
                <w:lang w:val="en-US" w:eastAsia="zh-CN"/>
              </w:rPr>
              <w:t>》的不</w:t>
            </w:r>
            <w:r>
              <w:rPr>
                <w:rFonts w:hint="eastAsia" w:ascii="宋体" w:hAnsi="宋体" w:eastAsia="宋体" w:cs="宋体"/>
                <w:color w:val="auto"/>
                <w:sz w:val="24"/>
                <w:szCs w:val="24"/>
                <w:highlight w:val="none"/>
              </w:rPr>
              <w:t>给予价格评审优惠</w:t>
            </w:r>
            <w:r>
              <w:rPr>
                <w:rFonts w:hint="eastAsia" w:ascii="宋体" w:hAnsi="宋体" w:eastAsia="宋体" w:cs="宋体"/>
                <w:color w:val="auto"/>
                <w:sz w:val="24"/>
                <w:szCs w:val="24"/>
                <w:highlight w:val="none"/>
                <w:lang w:eastAsia="zh-CN"/>
              </w:rPr>
              <w:t>。</w:t>
            </w:r>
          </w:p>
        </w:tc>
      </w:tr>
    </w:tbl>
    <w:p w14:paraId="321DBC2A">
      <w:pPr>
        <w:pStyle w:val="12"/>
        <w:widowControl/>
        <w:spacing w:before="0" w:beforeAutospacing="0" w:after="0" w:afterAutospacing="0" w:line="360" w:lineRule="auto"/>
        <w:rPr>
          <w:rFonts w:hint="eastAsia" w:ascii="宋体" w:hAnsi="宋体" w:cs="宋体"/>
          <w:color w:val="auto"/>
          <w:sz w:val="28"/>
          <w:szCs w:val="28"/>
          <w:highlight w:val="none"/>
          <w:lang w:eastAsia="zh-CN"/>
        </w:rPr>
      </w:pP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7BDB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8522" w:type="dxa"/>
            <w:noWrap w:val="0"/>
            <w:vAlign w:val="top"/>
          </w:tcPr>
          <w:p w14:paraId="783A2231">
            <w:pPr>
              <w:keepNext w:val="0"/>
              <w:keepLines w:val="0"/>
              <w:widowControl/>
              <w:numPr>
                <w:ilvl w:val="0"/>
                <w:numId w:val="0"/>
              </w:numPr>
              <w:suppressLineNumbers w:val="0"/>
              <w:tabs>
                <w:tab w:val="left" w:pos="-1080"/>
                <w:tab w:val="left" w:pos="180"/>
                <w:tab w:val="left" w:pos="1080"/>
              </w:tabs>
              <w:spacing w:before="0" w:beforeAutospacing="0" w:after="0" w:afterAutospacing="0" w:line="360" w:lineRule="auto"/>
              <w:ind w:left="0" w:right="0" w:firstLine="1968" w:firstLineChars="700"/>
              <w:jc w:val="left"/>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环境标志产品优先采购政策</w:t>
            </w:r>
          </w:p>
          <w:p w14:paraId="171B8A58">
            <w:pPr>
              <w:keepNext w:val="0"/>
              <w:keepLines w:val="0"/>
              <w:widowControl/>
              <w:numPr>
                <w:ilvl w:val="0"/>
                <w:numId w:val="0"/>
              </w:numPr>
              <w:suppressLineNumbers w:val="0"/>
              <w:tabs>
                <w:tab w:val="left" w:pos="-1080"/>
                <w:tab w:val="left" w:pos="180"/>
                <w:tab w:val="left" w:pos="1080"/>
              </w:tabs>
              <w:spacing w:before="0" w:beforeAutospacing="0" w:after="0" w:afterAutospacing="0" w:line="360" w:lineRule="auto"/>
              <w:ind w:left="0" w:right="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（一）环境标志产品按有效的《环境标志产品认证证书》认定；</w:t>
            </w:r>
          </w:p>
          <w:p w14:paraId="0EDA601E">
            <w:pPr>
              <w:widowControl/>
              <w:numPr>
                <w:ilvl w:val="0"/>
                <w:numId w:val="0"/>
              </w:numPr>
              <w:tabs>
                <w:tab w:val="left" w:pos="-1080"/>
                <w:tab w:val="left" w:pos="180"/>
                <w:tab w:val="left" w:pos="1080"/>
              </w:tabs>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（二）</w:t>
            </w:r>
            <w:r>
              <w:rPr>
                <w:rFonts w:hint="eastAsia" w:ascii="宋体" w:hAnsi="宋体" w:eastAsia="宋体" w:cs="宋体"/>
                <w:color w:val="auto"/>
                <w:sz w:val="28"/>
                <w:szCs w:val="28"/>
                <w:highlight w:val="none"/>
                <w:lang w:val="en-US" w:eastAsia="zh-CN"/>
              </w:rPr>
              <w:t>采购的产品属于环境标志产品政府采购品目清单范围的，依据国家确定的认证机构出具的、处于有效期之内的环境标志产品认证证书，对获得证书的产品实施政府优先采购。对环境标志产品政府采购品目清单范围内，实施优先采购的产品，给予产品价格报价</w:t>
            </w:r>
            <w:r>
              <w:rPr>
                <w:rFonts w:hint="eastAsia" w:ascii="宋体" w:hAnsi="宋体" w:eastAsia="宋体" w:cs="宋体"/>
                <w:color w:val="auto"/>
                <w:sz w:val="28"/>
                <w:szCs w:val="28"/>
                <w:highlight w:val="none"/>
                <w:lang w:val="en-US" w:eastAsia="zh-CN"/>
              </w:rPr>
              <w:t>10%的扣除</w:t>
            </w:r>
            <w:r>
              <w:rPr>
                <w:rFonts w:hint="eastAsia" w:ascii="宋体" w:hAnsi="宋体" w:eastAsia="宋体" w:cs="宋体"/>
                <w:color w:val="auto"/>
                <w:sz w:val="28"/>
                <w:szCs w:val="28"/>
                <w:highlight w:val="none"/>
                <w:lang w:val="en-US" w:eastAsia="zh-CN"/>
              </w:rPr>
              <w:t>，用扣除后的价格参加评审。采购标的同时包含其它非优先采购产品的，投标人须对优先采购产品和非优先采购产品进行分项报价，非优先采购产品的报价不得享受给予环境标志产品的价格扣除优惠。</w:t>
            </w:r>
          </w:p>
          <w:p w14:paraId="4D2D4688">
            <w:pPr>
              <w:widowControl/>
              <w:numPr>
                <w:ilvl w:val="0"/>
                <w:numId w:val="0"/>
              </w:numPr>
              <w:tabs>
                <w:tab w:val="left" w:pos="-1080"/>
                <w:tab w:val="left" w:pos="180"/>
                <w:tab w:val="left" w:pos="1080"/>
              </w:tabs>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具体要求如下：</w:t>
            </w:r>
          </w:p>
          <w:p w14:paraId="694D4BAE">
            <w:pPr>
              <w:numPr>
                <w:ilvl w:val="-1"/>
                <w:numId w:val="0"/>
              </w:numPr>
              <w:spacing w:line="24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（1）采购的产品属于《环境标志产品政府采购品目清单》范围内的产品，且供应商提供的产品已取得环境标志产品认证证书（处于有效期内）。</w:t>
            </w:r>
            <w:r>
              <w:rPr>
                <w:rFonts w:hint="eastAsia"/>
                <w:color w:val="auto"/>
                <w:highlight w:val="none"/>
              </w:rPr>
              <w:t>根据《市场监管总局关于发布参与实施政府采购节能产品、环境标志产品认证机构名录的公告》，投标人提供的环境标志产品认证证书需为以下机构颁发</w:t>
            </w:r>
            <w:r>
              <w:rPr>
                <w:rFonts w:hint="eastAsia"/>
                <w:color w:val="auto"/>
                <w:highlight w:val="none"/>
                <w:lang w:eastAsia="zh-CN"/>
              </w:rPr>
              <w:t>：</w:t>
            </w:r>
            <w:r>
              <w:rPr>
                <w:rFonts w:hint="eastAsia"/>
                <w:color w:val="auto"/>
                <w:highlight w:val="none"/>
              </w:rPr>
              <w:t>中环联合（北京）认证中心有限公司、中标合信（北京）认证有限公司、中环协（北京）认证中心、天津华诚认证有限公司</w:t>
            </w:r>
            <w:r>
              <w:rPr>
                <w:rFonts w:hint="eastAsia"/>
                <w:color w:val="auto"/>
                <w:highlight w:val="none"/>
              </w:rPr>
              <w:t>。</w:t>
            </w:r>
          </w:p>
          <w:p w14:paraId="06728D52">
            <w:pPr>
              <w:widowControl/>
              <w:numPr>
                <w:ilvl w:val="0"/>
                <w:numId w:val="0"/>
              </w:numPr>
              <w:tabs>
                <w:tab w:val="left" w:pos="-1080"/>
                <w:tab w:val="left" w:pos="180"/>
                <w:tab w:val="left" w:pos="1080"/>
              </w:tabs>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投标人应明确环境标志产品的名称、数量、分项报价、总报价，并提供认证证书复印件，否则不予</w:t>
            </w:r>
            <w:r>
              <w:rPr>
                <w:rFonts w:hint="eastAsia" w:ascii="宋体" w:hAnsi="宋体" w:eastAsia="宋体" w:cs="宋体"/>
                <w:color w:val="auto"/>
                <w:sz w:val="28"/>
                <w:szCs w:val="28"/>
                <w:highlight w:val="none"/>
                <w:lang w:eastAsia="zh-CN"/>
              </w:rPr>
              <w:t>价格扣除</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若环境标志产品认证证书不能反映产品具体信息的，须提供认证证书附件。</w:t>
            </w:r>
            <w:r>
              <w:rPr>
                <w:rFonts w:hint="eastAsia" w:ascii="宋体" w:hAnsi="宋体" w:eastAsia="宋体" w:cs="宋体"/>
                <w:color w:val="auto"/>
                <w:sz w:val="28"/>
                <w:szCs w:val="28"/>
                <w:highlight w:val="none"/>
              </w:rPr>
              <w:t>此外，若投标人对环境标志产品的报价明显高于其他同类产品的报价，投标人应按评标委员会要求作出说明并提供相关证明材料，不能合理说明或不能提供相关证明材料的，不予</w:t>
            </w:r>
            <w:r>
              <w:rPr>
                <w:rFonts w:hint="eastAsia" w:ascii="宋体" w:hAnsi="宋体" w:eastAsia="宋体" w:cs="宋体"/>
                <w:color w:val="auto"/>
                <w:sz w:val="28"/>
                <w:szCs w:val="28"/>
                <w:highlight w:val="none"/>
                <w:lang w:eastAsia="zh-CN"/>
              </w:rPr>
              <w:t>价格扣除</w:t>
            </w:r>
            <w:r>
              <w:rPr>
                <w:rFonts w:hint="eastAsia" w:ascii="宋体" w:hAnsi="宋体" w:eastAsia="宋体" w:cs="宋体"/>
                <w:color w:val="auto"/>
                <w:sz w:val="28"/>
                <w:szCs w:val="28"/>
                <w:highlight w:val="none"/>
              </w:rPr>
              <w:t>。</w:t>
            </w:r>
          </w:p>
          <w:p w14:paraId="212B3BFA">
            <w:pPr>
              <w:ind w:firstLine="560" w:firstLineChars="200"/>
              <w:rPr>
                <w:color w:val="auto"/>
                <w:highlight w:val="none"/>
              </w:rPr>
            </w:pPr>
            <w:r>
              <w:rPr>
                <w:rFonts w:hint="eastAsia" w:ascii="宋体" w:hAnsi="宋体" w:eastAsia="宋体" w:cs="宋体"/>
                <w:color w:val="auto"/>
                <w:sz w:val="28"/>
                <w:szCs w:val="28"/>
                <w:highlight w:val="none"/>
              </w:rPr>
              <w:t>若环境标志产品仅是构成投标产品的部件、组件或零件，则该投标产品不享受鼓励优惠政策。</w:t>
            </w:r>
          </w:p>
          <w:p w14:paraId="591DA548">
            <w:pPr>
              <w:keepNext w:val="0"/>
              <w:keepLines w:val="0"/>
              <w:widowControl/>
              <w:numPr>
                <w:ilvl w:val="0"/>
                <w:numId w:val="0"/>
              </w:numPr>
              <w:suppressLineNumbers w:val="0"/>
              <w:tabs>
                <w:tab w:val="left" w:pos="-1080"/>
                <w:tab w:val="left" w:pos="180"/>
                <w:tab w:val="left" w:pos="1080"/>
              </w:tabs>
              <w:spacing w:before="0" w:beforeAutospacing="0" w:after="0" w:afterAutospacing="0" w:line="360" w:lineRule="auto"/>
              <w:ind w:left="0" w:right="0" w:firstLine="0" w:firstLineChars="0"/>
              <w:rPr>
                <w:rFonts w:hint="eastAsia" w:ascii="宋体" w:hAnsi="宋体" w:eastAsia="宋体" w:cs="宋体"/>
                <w:color w:val="auto"/>
                <w:sz w:val="28"/>
                <w:szCs w:val="28"/>
                <w:highlight w:val="none"/>
              </w:rPr>
            </w:pPr>
          </w:p>
        </w:tc>
      </w:tr>
    </w:tbl>
    <w:p w14:paraId="55C16264">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8、其他规定</w:t>
      </w:r>
    </w:p>
    <w:p w14:paraId="005E287D">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8.1评标应全程保密且不得透露给任一投标人或与评标工作无关的人员。</w:t>
      </w:r>
    </w:p>
    <w:p w14:paraId="03C265AD">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8.2评标将进行全程实时录音录像，录音录像资料随</w:t>
      </w:r>
      <w:r>
        <w:rPr>
          <w:rFonts w:hint="eastAsia" w:ascii="宋体" w:hAnsi="宋体" w:cs="宋体"/>
          <w:color w:val="auto"/>
          <w:sz w:val="28"/>
          <w:szCs w:val="28"/>
          <w:highlight w:val="none"/>
          <w:lang w:eastAsia="zh-CN"/>
        </w:rPr>
        <w:t>征集文件</w:t>
      </w:r>
      <w:r>
        <w:rPr>
          <w:rFonts w:hint="eastAsia" w:ascii="宋体" w:hAnsi="宋体" w:cs="宋体"/>
          <w:color w:val="auto"/>
          <w:sz w:val="28"/>
          <w:szCs w:val="28"/>
          <w:highlight w:val="none"/>
        </w:rPr>
        <w:t>一并存档。</w:t>
      </w:r>
    </w:p>
    <w:p w14:paraId="40376E6B">
      <w:pPr>
        <w:pStyle w:val="12"/>
        <w:widowControl/>
        <w:spacing w:before="0" w:beforeAutospacing="0" w:after="0" w:afterAutospacing="0"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8.3若投标人有任何试图干扰具体评标事务，影响评标委员会独立履行职责的行为，其投标无效且不予退还投标保证金。情节严重的，由财政部门列入不良行为记录。</w:t>
      </w:r>
    </w:p>
    <w:p w14:paraId="1A2D497C">
      <w:pPr>
        <w:pStyle w:val="12"/>
        <w:widowControl/>
        <w:spacing w:before="0" w:beforeAutospacing="0" w:after="0" w:afterAutospacing="0" w:line="360" w:lineRule="auto"/>
        <w:ind w:firstLine="2249" w:firstLineChars="800"/>
        <w:rPr>
          <w:rFonts w:hint="eastAsia" w:ascii="宋体" w:hAnsi="宋体" w:cs="宋体"/>
          <w:b/>
          <w:bCs/>
          <w:color w:val="auto"/>
          <w:sz w:val="28"/>
          <w:szCs w:val="28"/>
          <w:highlight w:val="none"/>
        </w:rPr>
      </w:pPr>
    </w:p>
    <w:p w14:paraId="26AAF136">
      <w:pPr>
        <w:spacing w:line="360" w:lineRule="auto"/>
        <w:rPr>
          <w:rFonts w:hint="eastAsia" w:ascii="宋体" w:hAnsi="宋体" w:cs="宋体"/>
          <w:color w:val="auto"/>
          <w:szCs w:val="28"/>
          <w:highlight w:val="none"/>
        </w:rPr>
      </w:pPr>
    </w:p>
    <w:p w14:paraId="749D455D">
      <w:pPr>
        <w:spacing w:line="360" w:lineRule="auto"/>
        <w:rPr>
          <w:rFonts w:hint="eastAsia" w:ascii="宋体" w:hAnsi="宋体" w:cs="宋体"/>
          <w:color w:val="auto"/>
          <w:szCs w:val="28"/>
          <w:highlight w:val="none"/>
        </w:rPr>
      </w:pPr>
    </w:p>
    <w:p w14:paraId="63A68E76">
      <w:pP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br w:type="page"/>
      </w:r>
    </w:p>
    <w:p w14:paraId="6E84D59A">
      <w:pPr>
        <w:pStyle w:val="12"/>
        <w:widowControl/>
        <w:spacing w:before="0" w:beforeAutospacing="0" w:after="0" w:afterAutospacing="0" w:line="360" w:lineRule="auto"/>
        <w:jc w:val="center"/>
        <w:outlineLvl w:val="0"/>
        <w:rPr>
          <w:rFonts w:hint="eastAsia" w:ascii="宋体" w:hAnsi="宋体" w:cs="宋体"/>
          <w:color w:val="auto"/>
          <w:sz w:val="32"/>
          <w:szCs w:val="32"/>
          <w:highlight w:val="none"/>
        </w:rPr>
      </w:pPr>
      <w:bookmarkStart w:id="1" w:name="_GoBack"/>
      <w:bookmarkEnd w:id="1"/>
      <w:r>
        <w:rPr>
          <w:rFonts w:hint="eastAsia" w:ascii="宋体" w:hAnsi="宋体" w:cs="宋体"/>
          <w:b/>
          <w:bCs/>
          <w:color w:val="auto"/>
          <w:sz w:val="32"/>
          <w:szCs w:val="32"/>
          <w:highlight w:val="none"/>
        </w:rPr>
        <w:t>第五章</w:t>
      </w:r>
      <w:r>
        <w:rPr>
          <w:rFonts w:hint="default" w:ascii="宋体" w:hAnsi="宋体" w:cs="宋体"/>
          <w:b/>
          <w:bCs/>
          <w:color w:val="auto"/>
          <w:sz w:val="32"/>
          <w:szCs w:val="32"/>
          <w:highlight w:val="none"/>
        </w:rPr>
        <w:t xml:space="preserve">  </w:t>
      </w:r>
      <w:r>
        <w:rPr>
          <w:rFonts w:hint="eastAsia" w:ascii="宋体" w:hAnsi="宋体" w:cs="宋体"/>
          <w:b/>
          <w:bCs/>
          <w:color w:val="auto"/>
          <w:sz w:val="32"/>
          <w:szCs w:val="32"/>
          <w:highlight w:val="none"/>
        </w:rPr>
        <w:t>征集内容及要求</w:t>
      </w:r>
    </w:p>
    <w:p w14:paraId="37BB49FB">
      <w:pPr>
        <w:pStyle w:val="12"/>
        <w:widowControl/>
        <w:numPr>
          <w:ilvl w:val="0"/>
          <w:numId w:val="3"/>
        </w:numPr>
        <w:spacing w:before="0" w:beforeAutospacing="0" w:after="0" w:afterAutospacing="0" w:line="360" w:lineRule="auto"/>
        <w:outlineLvl w:val="1"/>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项目概况（采购标的）</w:t>
      </w:r>
    </w:p>
    <w:p w14:paraId="43FF9817">
      <w:pPr>
        <w:tabs>
          <w:tab w:val="left" w:pos="5236"/>
        </w:tabs>
        <w:spacing w:line="360" w:lineRule="auto"/>
        <w:ind w:right="4547"/>
        <w:outlineLvl w:val="2"/>
        <w:rPr>
          <w:rFonts w:hint="eastAsia" w:ascii="宋体" w:hAnsi="宋体" w:cs="宋体"/>
          <w:color w:val="auto"/>
          <w:sz w:val="28"/>
          <w:szCs w:val="28"/>
          <w:highlight w:val="none"/>
        </w:rPr>
      </w:pPr>
      <w:r>
        <w:rPr>
          <w:rFonts w:hint="eastAsia" w:ascii="宋体" w:hAnsi="宋体" w:cs="宋体"/>
          <w:color w:val="auto"/>
          <w:sz w:val="28"/>
          <w:szCs w:val="28"/>
          <w:highlight w:val="none"/>
        </w:rPr>
        <w:t>（一）项目概况</w:t>
      </w:r>
    </w:p>
    <w:p w14:paraId="6FAFD627">
      <w:pPr>
        <w:widowControl/>
        <w:spacing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1、项目名称：</w:t>
      </w:r>
      <w:r>
        <w:rPr>
          <w:rFonts w:hint="eastAsia" w:ascii="宋体" w:hAnsi="宋体" w:cs="宋体"/>
          <w:color w:val="auto"/>
          <w:sz w:val="28"/>
          <w:szCs w:val="28"/>
          <w:highlight w:val="none"/>
          <w:lang w:eastAsia="zh-CN"/>
        </w:rPr>
        <w:t>2026年度</w:t>
      </w:r>
      <w:r>
        <w:rPr>
          <w:rFonts w:hint="eastAsia" w:ascii="宋体" w:hAnsi="宋体" w:cs="宋体"/>
          <w:color w:val="auto"/>
          <w:sz w:val="28"/>
          <w:szCs w:val="28"/>
          <w:highlight w:val="none"/>
        </w:rPr>
        <w:t>大宗触控一体机采购项目。</w:t>
      </w:r>
    </w:p>
    <w:p w14:paraId="45A5E579">
      <w:pPr>
        <w:widowControl/>
        <w:spacing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2、本项目</w:t>
      </w:r>
      <w:r>
        <w:rPr>
          <w:rFonts w:hint="eastAsia" w:ascii="宋体" w:hAnsi="宋体" w:cs="宋体"/>
          <w:color w:val="auto"/>
          <w:sz w:val="28"/>
          <w:szCs w:val="28"/>
          <w:highlight w:val="none"/>
          <w:lang w:val="en-US" w:eastAsia="zh-CN"/>
        </w:rPr>
        <w:t>各个采购包均</w:t>
      </w:r>
      <w:r>
        <w:rPr>
          <w:rFonts w:hint="eastAsia" w:ascii="宋体" w:hAnsi="宋体" w:cs="宋体"/>
          <w:color w:val="auto"/>
          <w:sz w:val="28"/>
          <w:szCs w:val="28"/>
          <w:highlight w:val="none"/>
        </w:rPr>
        <w:t>不得转包和分包。</w:t>
      </w:r>
    </w:p>
    <w:p w14:paraId="24FB3E9B">
      <w:pPr>
        <w:pStyle w:val="9"/>
        <w:rPr>
          <w:rFonts w:hint="eastAsia" w:ascii="宋体" w:hAnsi="宋体" w:cs="宋体"/>
          <w:color w:val="auto"/>
          <w:szCs w:val="28"/>
          <w:highlight w:val="none"/>
        </w:rPr>
      </w:pPr>
    </w:p>
    <w:p w14:paraId="64CA19A7">
      <w:pPr>
        <w:spacing w:line="360" w:lineRule="auto"/>
        <w:outlineLvl w:val="2"/>
        <w:rPr>
          <w:rFonts w:hint="eastAsia" w:ascii="宋体" w:hAnsi="宋体" w:cs="宋体"/>
          <w:color w:val="auto"/>
          <w:sz w:val="28"/>
          <w:szCs w:val="28"/>
          <w:highlight w:val="none"/>
        </w:rPr>
      </w:pPr>
      <w:r>
        <w:rPr>
          <w:rFonts w:hint="eastAsia" w:ascii="宋体" w:hAnsi="宋体" w:cs="宋体"/>
          <w:color w:val="auto"/>
          <w:sz w:val="28"/>
          <w:szCs w:val="28"/>
          <w:highlight w:val="none"/>
        </w:rPr>
        <w:t>（</w:t>
      </w:r>
      <w:r>
        <w:rPr>
          <w:rFonts w:hint="eastAsia" w:ascii="宋体" w:hAnsi="宋体" w:cs="宋体"/>
          <w:color w:val="auto"/>
          <w:sz w:val="28"/>
          <w:szCs w:val="28"/>
          <w:highlight w:val="none"/>
          <w:lang w:val="en-US" w:eastAsia="zh-CN"/>
        </w:rPr>
        <w:t>二</w:t>
      </w:r>
      <w:r>
        <w:rPr>
          <w:rFonts w:hint="eastAsia" w:ascii="宋体" w:hAnsi="宋体" w:cs="宋体"/>
          <w:color w:val="auto"/>
          <w:sz w:val="28"/>
          <w:szCs w:val="28"/>
          <w:highlight w:val="none"/>
        </w:rPr>
        <w:t>）采购标的</w:t>
      </w:r>
      <w:r>
        <w:rPr>
          <w:rFonts w:hint="eastAsia" w:ascii="宋体" w:hAnsi="宋体" w:cs="宋体"/>
          <w:color w:val="auto"/>
          <w:sz w:val="28"/>
          <w:szCs w:val="28"/>
          <w:highlight w:val="none"/>
          <w:lang w:val="en-US" w:eastAsia="zh-CN"/>
        </w:rPr>
        <w:t>一览</w:t>
      </w:r>
      <w:r>
        <w:rPr>
          <w:rFonts w:hint="eastAsia" w:ascii="宋体" w:hAnsi="宋体" w:cs="宋体"/>
          <w:color w:val="auto"/>
          <w:sz w:val="28"/>
          <w:szCs w:val="28"/>
          <w:highlight w:val="none"/>
        </w:rPr>
        <w:t>表</w:t>
      </w:r>
    </w:p>
    <w:tbl>
      <w:tblPr>
        <w:tblStyle w:val="14"/>
        <w:tblW w:w="9427" w:type="dxa"/>
        <w:tblInd w:w="-4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82"/>
        <w:gridCol w:w="1093"/>
        <w:gridCol w:w="1843"/>
        <w:gridCol w:w="1701"/>
        <w:gridCol w:w="992"/>
        <w:gridCol w:w="1196"/>
        <w:gridCol w:w="1320"/>
      </w:tblGrid>
      <w:tr w14:paraId="3D553A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2" w:type="dxa"/>
            <w:vAlign w:val="center"/>
          </w:tcPr>
          <w:p w14:paraId="7143ED42">
            <w:pPr>
              <w:spacing w:line="360" w:lineRule="auto"/>
              <w:ind w:right="113"/>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包号</w:t>
            </w:r>
          </w:p>
        </w:tc>
        <w:tc>
          <w:tcPr>
            <w:tcW w:w="1093" w:type="dxa"/>
            <w:vAlign w:val="center"/>
          </w:tcPr>
          <w:p w14:paraId="0250422A">
            <w:pPr>
              <w:spacing w:line="360" w:lineRule="auto"/>
              <w:ind w:right="113"/>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序号</w:t>
            </w:r>
          </w:p>
        </w:tc>
        <w:tc>
          <w:tcPr>
            <w:tcW w:w="1843" w:type="dxa"/>
            <w:vAlign w:val="center"/>
          </w:tcPr>
          <w:p w14:paraId="2F494294">
            <w:pPr>
              <w:spacing w:line="360" w:lineRule="auto"/>
              <w:ind w:right="113"/>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标的名称</w:t>
            </w:r>
          </w:p>
        </w:tc>
        <w:tc>
          <w:tcPr>
            <w:tcW w:w="1701" w:type="dxa"/>
            <w:vAlign w:val="center"/>
          </w:tcPr>
          <w:p w14:paraId="297F85FB">
            <w:pPr>
              <w:spacing w:line="360" w:lineRule="auto"/>
              <w:ind w:right="113"/>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品目分类编码</w:t>
            </w:r>
          </w:p>
        </w:tc>
        <w:tc>
          <w:tcPr>
            <w:tcW w:w="992" w:type="dxa"/>
            <w:vAlign w:val="center"/>
          </w:tcPr>
          <w:p w14:paraId="08EDB8CA">
            <w:pPr>
              <w:spacing w:line="360" w:lineRule="auto"/>
              <w:ind w:right="113"/>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计量单位</w:t>
            </w:r>
          </w:p>
        </w:tc>
        <w:tc>
          <w:tcPr>
            <w:tcW w:w="1196" w:type="dxa"/>
            <w:vAlign w:val="center"/>
          </w:tcPr>
          <w:p w14:paraId="16252067">
            <w:pPr>
              <w:spacing w:line="360" w:lineRule="auto"/>
              <w:ind w:right="113"/>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lang w:eastAsia="zh-CN"/>
              </w:rPr>
              <w:t>参考</w:t>
            </w:r>
            <w:r>
              <w:rPr>
                <w:rFonts w:hint="eastAsia" w:ascii="宋体" w:hAnsi="宋体" w:cs="宋体"/>
                <w:b/>
                <w:color w:val="auto"/>
                <w:sz w:val="24"/>
                <w:szCs w:val="24"/>
                <w:highlight w:val="none"/>
              </w:rPr>
              <w:t>数量</w:t>
            </w:r>
          </w:p>
        </w:tc>
        <w:tc>
          <w:tcPr>
            <w:tcW w:w="1320" w:type="dxa"/>
            <w:vAlign w:val="center"/>
          </w:tcPr>
          <w:p w14:paraId="09ECD2D6">
            <w:pPr>
              <w:spacing w:line="360" w:lineRule="auto"/>
              <w:ind w:right="113"/>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是否进口</w:t>
            </w:r>
          </w:p>
        </w:tc>
      </w:tr>
      <w:tr w14:paraId="6349C8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2" w:type="dxa"/>
            <w:vAlign w:val="center"/>
          </w:tcPr>
          <w:p w14:paraId="0BA57AAF">
            <w:pPr>
              <w:pStyle w:val="12"/>
              <w:keepNext w:val="0"/>
              <w:keepLines w:val="0"/>
              <w:widowControl/>
              <w:suppressLineNumbers w:val="0"/>
              <w:ind w:left="0" w:leftChars="0" w:right="0" w:rightChars="0"/>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color w:val="auto"/>
                <w:sz w:val="24"/>
                <w:szCs w:val="24"/>
                <w:highlight w:val="none"/>
              </w:rPr>
              <w:t>1</w:t>
            </w:r>
          </w:p>
        </w:tc>
        <w:tc>
          <w:tcPr>
            <w:tcW w:w="1093" w:type="dxa"/>
            <w:vAlign w:val="center"/>
          </w:tcPr>
          <w:p w14:paraId="688CFE66">
            <w:pPr>
              <w:pStyle w:val="12"/>
              <w:keepNext w:val="0"/>
              <w:keepLines w:val="0"/>
              <w:widowControl/>
              <w:suppressLineNumbers w:val="0"/>
              <w:ind w:left="0" w:leftChars="0" w:right="0" w:rightChars="0"/>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color w:val="auto"/>
                <w:sz w:val="24"/>
                <w:szCs w:val="24"/>
                <w:highlight w:val="none"/>
              </w:rPr>
              <w:t>1-1</w:t>
            </w:r>
          </w:p>
        </w:tc>
        <w:tc>
          <w:tcPr>
            <w:tcW w:w="1843" w:type="dxa"/>
            <w:vAlign w:val="center"/>
          </w:tcPr>
          <w:p w14:paraId="07A5D5ED">
            <w:pPr>
              <w:pStyle w:val="12"/>
              <w:keepNext w:val="0"/>
              <w:keepLines w:val="0"/>
              <w:widowControl/>
              <w:suppressLineNumbers w:val="0"/>
              <w:ind w:left="0" w:leftChars="0" w:right="0" w:rightChars="0"/>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color w:val="auto"/>
                <w:sz w:val="24"/>
                <w:szCs w:val="24"/>
                <w:highlight w:val="none"/>
                <w:lang w:eastAsia="zh-CN"/>
              </w:rPr>
              <w:t>触控一体机</w:t>
            </w:r>
          </w:p>
        </w:tc>
        <w:tc>
          <w:tcPr>
            <w:tcW w:w="1701" w:type="dxa"/>
            <w:vAlign w:val="center"/>
          </w:tcPr>
          <w:p w14:paraId="61DE1C4D">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color w:val="auto"/>
                <w:sz w:val="24"/>
                <w:szCs w:val="24"/>
                <w:highlight w:val="none"/>
              </w:rPr>
              <w:t>A02020800</w:t>
            </w:r>
          </w:p>
        </w:tc>
        <w:tc>
          <w:tcPr>
            <w:tcW w:w="992" w:type="dxa"/>
            <w:vAlign w:val="center"/>
          </w:tcPr>
          <w:p w14:paraId="14A9CC15">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color w:val="auto"/>
                <w:sz w:val="24"/>
                <w:szCs w:val="24"/>
                <w:highlight w:val="none"/>
              </w:rPr>
              <w:t>台</w:t>
            </w:r>
          </w:p>
        </w:tc>
        <w:tc>
          <w:tcPr>
            <w:tcW w:w="1196" w:type="dxa"/>
            <w:vAlign w:val="center"/>
          </w:tcPr>
          <w:p w14:paraId="50EC387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 xml:space="preserve">150 </w:t>
            </w:r>
          </w:p>
        </w:tc>
        <w:tc>
          <w:tcPr>
            <w:tcW w:w="1320" w:type="dxa"/>
            <w:vAlign w:val="center"/>
          </w:tcPr>
          <w:p w14:paraId="16CA463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color w:val="auto"/>
                <w:kern w:val="0"/>
                <w:sz w:val="24"/>
                <w:szCs w:val="24"/>
                <w:highlight w:val="none"/>
              </w:rPr>
              <w:t>否</w:t>
            </w:r>
          </w:p>
        </w:tc>
      </w:tr>
      <w:tr w14:paraId="5C811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2" w:type="dxa"/>
            <w:vAlign w:val="center"/>
          </w:tcPr>
          <w:p w14:paraId="12A55199">
            <w:pPr>
              <w:pStyle w:val="12"/>
              <w:keepNext w:val="0"/>
              <w:keepLines w:val="0"/>
              <w:widowControl/>
              <w:suppressLineNumbers w:val="0"/>
              <w:ind w:left="0" w:leftChars="0" w:right="0" w:rightChars="0"/>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color w:val="auto"/>
                <w:sz w:val="24"/>
                <w:szCs w:val="24"/>
                <w:highlight w:val="none"/>
                <w:lang w:val="en-US" w:eastAsia="zh-CN"/>
              </w:rPr>
              <w:t>1</w:t>
            </w:r>
          </w:p>
        </w:tc>
        <w:tc>
          <w:tcPr>
            <w:tcW w:w="1093" w:type="dxa"/>
            <w:vAlign w:val="center"/>
          </w:tcPr>
          <w:p w14:paraId="7A2165E4">
            <w:pPr>
              <w:pStyle w:val="12"/>
              <w:keepNext w:val="0"/>
              <w:keepLines w:val="0"/>
              <w:widowControl/>
              <w:suppressLineNumbers w:val="0"/>
              <w:ind w:left="0" w:leftChars="0" w:right="0" w:rightChars="0"/>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2</w:t>
            </w:r>
          </w:p>
        </w:tc>
        <w:tc>
          <w:tcPr>
            <w:tcW w:w="1843" w:type="dxa"/>
            <w:vAlign w:val="center"/>
          </w:tcPr>
          <w:p w14:paraId="4F467551">
            <w:pPr>
              <w:pStyle w:val="12"/>
              <w:keepNext w:val="0"/>
              <w:keepLines w:val="0"/>
              <w:widowControl/>
              <w:suppressLineNumbers w:val="0"/>
              <w:ind w:left="0" w:leftChars="0" w:right="0" w:rightChars="0"/>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color w:val="auto"/>
                <w:sz w:val="24"/>
                <w:szCs w:val="24"/>
                <w:highlight w:val="none"/>
                <w:lang w:eastAsia="zh-CN"/>
              </w:rPr>
              <w:t>触控一体机</w:t>
            </w:r>
          </w:p>
        </w:tc>
        <w:tc>
          <w:tcPr>
            <w:tcW w:w="1701" w:type="dxa"/>
            <w:vAlign w:val="center"/>
          </w:tcPr>
          <w:p w14:paraId="66D01E55">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Theme="minorEastAsia" w:hAnsiTheme="minorEastAsia" w:cstheme="minorEastAsia"/>
                <w:color w:val="auto"/>
                <w:sz w:val="24"/>
                <w:szCs w:val="24"/>
                <w:highlight w:val="none"/>
              </w:rPr>
              <w:t>A02020800</w:t>
            </w:r>
          </w:p>
        </w:tc>
        <w:tc>
          <w:tcPr>
            <w:tcW w:w="992" w:type="dxa"/>
            <w:vAlign w:val="center"/>
          </w:tcPr>
          <w:p w14:paraId="45FA412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color w:val="auto"/>
                <w:sz w:val="24"/>
                <w:szCs w:val="24"/>
                <w:highlight w:val="none"/>
              </w:rPr>
              <w:t>台</w:t>
            </w:r>
          </w:p>
        </w:tc>
        <w:tc>
          <w:tcPr>
            <w:tcW w:w="1196" w:type="dxa"/>
            <w:vAlign w:val="center"/>
          </w:tcPr>
          <w:p w14:paraId="01C52B5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 xml:space="preserve">250 </w:t>
            </w:r>
          </w:p>
        </w:tc>
        <w:tc>
          <w:tcPr>
            <w:tcW w:w="1320" w:type="dxa"/>
            <w:vAlign w:val="center"/>
          </w:tcPr>
          <w:p w14:paraId="56B0760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color w:val="auto"/>
                <w:kern w:val="0"/>
                <w:sz w:val="24"/>
                <w:szCs w:val="24"/>
                <w:highlight w:val="none"/>
              </w:rPr>
              <w:t>否</w:t>
            </w:r>
          </w:p>
        </w:tc>
      </w:tr>
      <w:tr w14:paraId="447601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2" w:type="dxa"/>
            <w:vAlign w:val="center"/>
          </w:tcPr>
          <w:p w14:paraId="28E3FD12">
            <w:pPr>
              <w:pStyle w:val="12"/>
              <w:keepNext w:val="0"/>
              <w:keepLines w:val="0"/>
              <w:widowControl/>
              <w:suppressLineNumbers w:val="0"/>
              <w:ind w:left="0" w:leftChars="0" w:right="0" w:rightChars="0"/>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color w:val="auto"/>
                <w:sz w:val="24"/>
                <w:szCs w:val="24"/>
                <w:highlight w:val="none"/>
                <w:lang w:val="en-US" w:eastAsia="zh-CN"/>
              </w:rPr>
              <w:t>1</w:t>
            </w:r>
          </w:p>
        </w:tc>
        <w:tc>
          <w:tcPr>
            <w:tcW w:w="1093" w:type="dxa"/>
            <w:vAlign w:val="center"/>
          </w:tcPr>
          <w:p w14:paraId="396E2DFC">
            <w:pPr>
              <w:pStyle w:val="12"/>
              <w:keepNext w:val="0"/>
              <w:keepLines w:val="0"/>
              <w:widowControl/>
              <w:suppressLineNumbers w:val="0"/>
              <w:ind w:left="0" w:leftChars="0" w:right="0" w:rightChars="0"/>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color w:val="auto"/>
                <w:sz w:val="24"/>
                <w:szCs w:val="24"/>
                <w:highlight w:val="none"/>
                <w:lang w:val="en-US" w:eastAsia="zh-CN"/>
              </w:rPr>
              <w:t>1-3</w:t>
            </w:r>
          </w:p>
        </w:tc>
        <w:tc>
          <w:tcPr>
            <w:tcW w:w="1843" w:type="dxa"/>
            <w:vAlign w:val="center"/>
          </w:tcPr>
          <w:p w14:paraId="7B48793D">
            <w:pPr>
              <w:pStyle w:val="12"/>
              <w:keepNext w:val="0"/>
              <w:keepLines w:val="0"/>
              <w:widowControl/>
              <w:suppressLineNumbers w:val="0"/>
              <w:ind w:left="0" w:leftChars="0" w:right="0" w:rightChars="0"/>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color w:val="auto"/>
                <w:sz w:val="24"/>
                <w:szCs w:val="24"/>
                <w:highlight w:val="none"/>
                <w:lang w:eastAsia="zh-CN"/>
              </w:rPr>
              <w:t>触控一体机</w:t>
            </w:r>
          </w:p>
        </w:tc>
        <w:tc>
          <w:tcPr>
            <w:tcW w:w="1701" w:type="dxa"/>
            <w:vAlign w:val="center"/>
          </w:tcPr>
          <w:p w14:paraId="3E90B5C0">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Theme="minorEastAsia" w:hAnsiTheme="minorEastAsia" w:cstheme="minorEastAsia"/>
                <w:color w:val="auto"/>
                <w:sz w:val="24"/>
                <w:szCs w:val="24"/>
                <w:highlight w:val="none"/>
              </w:rPr>
              <w:t>A02020800</w:t>
            </w:r>
          </w:p>
        </w:tc>
        <w:tc>
          <w:tcPr>
            <w:tcW w:w="992" w:type="dxa"/>
            <w:vAlign w:val="center"/>
          </w:tcPr>
          <w:p w14:paraId="5AECCE0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color w:val="auto"/>
                <w:sz w:val="24"/>
                <w:szCs w:val="24"/>
                <w:highlight w:val="none"/>
              </w:rPr>
              <w:t>台</w:t>
            </w:r>
          </w:p>
        </w:tc>
        <w:tc>
          <w:tcPr>
            <w:tcW w:w="1196" w:type="dxa"/>
            <w:vAlign w:val="center"/>
          </w:tcPr>
          <w:p w14:paraId="16CB14D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3,</w:t>
            </w:r>
            <w:r>
              <w:rPr>
                <w:rFonts w:hint="eastAsia" w:ascii="宋体" w:hAnsi="宋体" w:cs="宋体"/>
                <w:i w:val="0"/>
                <w:iCs w:val="0"/>
                <w:color w:val="auto"/>
                <w:kern w:val="0"/>
                <w:sz w:val="22"/>
                <w:szCs w:val="22"/>
                <w:highlight w:val="none"/>
                <w:u w:val="none"/>
                <w:lang w:val="en-US" w:eastAsia="zh-CN" w:bidi="ar"/>
              </w:rPr>
              <w:t>00</w:t>
            </w:r>
            <w:r>
              <w:rPr>
                <w:rFonts w:hint="eastAsia" w:ascii="宋体" w:hAnsi="宋体" w:eastAsia="宋体" w:cs="宋体"/>
                <w:i w:val="0"/>
                <w:iCs w:val="0"/>
                <w:color w:val="auto"/>
                <w:kern w:val="0"/>
                <w:sz w:val="22"/>
                <w:szCs w:val="22"/>
                <w:highlight w:val="none"/>
                <w:u w:val="none"/>
                <w:lang w:val="en-US" w:eastAsia="zh-CN" w:bidi="ar"/>
              </w:rPr>
              <w:t xml:space="preserve">0 </w:t>
            </w:r>
          </w:p>
        </w:tc>
        <w:tc>
          <w:tcPr>
            <w:tcW w:w="1320" w:type="dxa"/>
            <w:vAlign w:val="center"/>
          </w:tcPr>
          <w:p w14:paraId="5E9B3BD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color w:val="auto"/>
                <w:kern w:val="0"/>
                <w:sz w:val="24"/>
                <w:szCs w:val="24"/>
                <w:highlight w:val="none"/>
              </w:rPr>
              <w:t>否</w:t>
            </w:r>
          </w:p>
        </w:tc>
      </w:tr>
      <w:tr w14:paraId="57A283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2" w:type="dxa"/>
            <w:vAlign w:val="center"/>
          </w:tcPr>
          <w:p w14:paraId="1339F266">
            <w:pPr>
              <w:pStyle w:val="12"/>
              <w:keepNext w:val="0"/>
              <w:keepLines w:val="0"/>
              <w:widowControl/>
              <w:suppressLineNumbers w:val="0"/>
              <w:ind w:left="0" w:leftChars="0" w:right="0" w:rightChars="0"/>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color w:val="auto"/>
                <w:sz w:val="24"/>
                <w:szCs w:val="24"/>
                <w:highlight w:val="none"/>
                <w:lang w:val="en-US" w:eastAsia="zh-CN"/>
              </w:rPr>
              <w:t>1</w:t>
            </w:r>
          </w:p>
        </w:tc>
        <w:tc>
          <w:tcPr>
            <w:tcW w:w="1093" w:type="dxa"/>
            <w:vAlign w:val="center"/>
          </w:tcPr>
          <w:p w14:paraId="2A544312">
            <w:pPr>
              <w:pStyle w:val="12"/>
              <w:keepNext w:val="0"/>
              <w:keepLines w:val="0"/>
              <w:widowControl/>
              <w:suppressLineNumbers w:val="0"/>
              <w:ind w:left="0" w:leftChars="0" w:right="0" w:rightChars="0"/>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4</w:t>
            </w:r>
          </w:p>
        </w:tc>
        <w:tc>
          <w:tcPr>
            <w:tcW w:w="1843" w:type="dxa"/>
            <w:vAlign w:val="center"/>
          </w:tcPr>
          <w:p w14:paraId="01F052C4">
            <w:pPr>
              <w:pStyle w:val="12"/>
              <w:keepNext w:val="0"/>
              <w:keepLines w:val="0"/>
              <w:widowControl/>
              <w:suppressLineNumbers w:val="0"/>
              <w:ind w:left="0" w:leftChars="0" w:right="0" w:rightChars="0"/>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color w:val="auto"/>
                <w:sz w:val="24"/>
                <w:szCs w:val="24"/>
                <w:highlight w:val="none"/>
                <w:lang w:eastAsia="zh-CN"/>
              </w:rPr>
              <w:t>触控一体机</w:t>
            </w:r>
          </w:p>
        </w:tc>
        <w:tc>
          <w:tcPr>
            <w:tcW w:w="1701" w:type="dxa"/>
            <w:vAlign w:val="center"/>
          </w:tcPr>
          <w:p w14:paraId="25543036">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Theme="minorEastAsia" w:hAnsiTheme="minorEastAsia" w:cstheme="minorEastAsia"/>
                <w:color w:val="auto"/>
                <w:sz w:val="24"/>
                <w:szCs w:val="24"/>
                <w:highlight w:val="none"/>
              </w:rPr>
              <w:t>A02020800</w:t>
            </w:r>
          </w:p>
        </w:tc>
        <w:tc>
          <w:tcPr>
            <w:tcW w:w="992" w:type="dxa"/>
            <w:vAlign w:val="center"/>
          </w:tcPr>
          <w:p w14:paraId="5F44B6A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color w:val="auto"/>
                <w:sz w:val="24"/>
                <w:szCs w:val="24"/>
                <w:highlight w:val="none"/>
              </w:rPr>
              <w:t>台</w:t>
            </w:r>
          </w:p>
        </w:tc>
        <w:tc>
          <w:tcPr>
            <w:tcW w:w="1196" w:type="dxa"/>
            <w:vAlign w:val="center"/>
          </w:tcPr>
          <w:p w14:paraId="2AD098E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sz w:val="24"/>
                <w:szCs w:val="24"/>
                <w:highlight w:val="none"/>
              </w:rPr>
            </w:pPr>
            <w:r>
              <w:rPr>
                <w:rFonts w:hint="eastAsia" w:ascii="宋体" w:hAnsi="宋体" w:cs="宋体"/>
                <w:i w:val="0"/>
                <w:iCs w:val="0"/>
                <w:color w:val="auto"/>
                <w:kern w:val="0"/>
                <w:sz w:val="22"/>
                <w:szCs w:val="22"/>
                <w:highlight w:val="none"/>
                <w:u w:val="none"/>
                <w:lang w:val="en-US" w:eastAsia="zh-CN" w:bidi="ar"/>
              </w:rPr>
              <w:t>6</w:t>
            </w:r>
            <w:r>
              <w:rPr>
                <w:rFonts w:hint="eastAsia" w:ascii="宋体" w:hAnsi="宋体" w:eastAsia="宋体" w:cs="宋体"/>
                <w:i w:val="0"/>
                <w:iCs w:val="0"/>
                <w:color w:val="auto"/>
                <w:kern w:val="0"/>
                <w:sz w:val="22"/>
                <w:szCs w:val="22"/>
                <w:highlight w:val="none"/>
                <w:u w:val="none"/>
                <w:lang w:val="en-US" w:eastAsia="zh-CN" w:bidi="ar"/>
              </w:rPr>
              <w:t xml:space="preserve">0 </w:t>
            </w:r>
          </w:p>
        </w:tc>
        <w:tc>
          <w:tcPr>
            <w:tcW w:w="1320" w:type="dxa"/>
            <w:vAlign w:val="center"/>
          </w:tcPr>
          <w:p w14:paraId="72DDE77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color w:val="auto"/>
                <w:kern w:val="0"/>
                <w:sz w:val="24"/>
                <w:szCs w:val="24"/>
                <w:highlight w:val="none"/>
              </w:rPr>
              <w:t>否</w:t>
            </w:r>
          </w:p>
        </w:tc>
      </w:tr>
      <w:tr w14:paraId="222E83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2" w:type="dxa"/>
            <w:vAlign w:val="center"/>
          </w:tcPr>
          <w:p w14:paraId="6EE9DB16">
            <w:pPr>
              <w:pStyle w:val="12"/>
              <w:keepNext w:val="0"/>
              <w:keepLines w:val="0"/>
              <w:widowControl/>
              <w:suppressLineNumbers w:val="0"/>
              <w:ind w:left="0" w:leftChars="0" w:right="0" w:rightChars="0"/>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color w:val="auto"/>
                <w:sz w:val="24"/>
                <w:szCs w:val="24"/>
                <w:highlight w:val="none"/>
                <w:lang w:val="en-US" w:eastAsia="zh-CN"/>
              </w:rPr>
              <w:t>2</w:t>
            </w:r>
          </w:p>
        </w:tc>
        <w:tc>
          <w:tcPr>
            <w:tcW w:w="1093" w:type="dxa"/>
            <w:vAlign w:val="center"/>
          </w:tcPr>
          <w:p w14:paraId="405D28E0">
            <w:pPr>
              <w:pStyle w:val="12"/>
              <w:keepNext w:val="0"/>
              <w:keepLines w:val="0"/>
              <w:widowControl/>
              <w:suppressLineNumbers w:val="0"/>
              <w:ind w:left="0" w:leftChars="0" w:right="0" w:rightChars="0"/>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-1</w:t>
            </w:r>
          </w:p>
        </w:tc>
        <w:tc>
          <w:tcPr>
            <w:tcW w:w="1843" w:type="dxa"/>
            <w:vAlign w:val="center"/>
          </w:tcPr>
          <w:p w14:paraId="1EBF2283">
            <w:pPr>
              <w:pStyle w:val="12"/>
              <w:keepNext w:val="0"/>
              <w:keepLines w:val="0"/>
              <w:widowControl/>
              <w:suppressLineNumbers w:val="0"/>
              <w:ind w:left="0" w:leftChars="0" w:right="0" w:rightChars="0"/>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color w:val="auto"/>
                <w:sz w:val="24"/>
                <w:szCs w:val="24"/>
                <w:highlight w:val="none"/>
                <w:lang w:eastAsia="zh-CN"/>
              </w:rPr>
              <w:t>智慧黑板</w:t>
            </w:r>
          </w:p>
        </w:tc>
        <w:tc>
          <w:tcPr>
            <w:tcW w:w="1701" w:type="dxa"/>
            <w:vAlign w:val="center"/>
          </w:tcPr>
          <w:p w14:paraId="7F094B10">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Theme="minorEastAsia" w:hAnsiTheme="minorEastAsia" w:cstheme="minorEastAsia"/>
                <w:color w:val="auto"/>
                <w:sz w:val="24"/>
                <w:szCs w:val="24"/>
                <w:highlight w:val="none"/>
              </w:rPr>
              <w:t>A02020800</w:t>
            </w:r>
          </w:p>
        </w:tc>
        <w:tc>
          <w:tcPr>
            <w:tcW w:w="992" w:type="dxa"/>
            <w:vAlign w:val="center"/>
          </w:tcPr>
          <w:p w14:paraId="3DA5F69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color w:val="auto"/>
                <w:sz w:val="24"/>
                <w:szCs w:val="24"/>
                <w:highlight w:val="none"/>
              </w:rPr>
              <w:t>台</w:t>
            </w:r>
          </w:p>
        </w:tc>
        <w:tc>
          <w:tcPr>
            <w:tcW w:w="1196" w:type="dxa"/>
            <w:vAlign w:val="center"/>
          </w:tcPr>
          <w:p w14:paraId="054A3F8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sz w:val="24"/>
                <w:szCs w:val="24"/>
                <w:highlight w:val="none"/>
              </w:rPr>
            </w:pPr>
            <w:r>
              <w:rPr>
                <w:rFonts w:hint="eastAsia" w:ascii="宋体" w:hAnsi="宋体" w:cs="宋体"/>
                <w:i w:val="0"/>
                <w:iCs w:val="0"/>
                <w:color w:val="auto"/>
                <w:kern w:val="0"/>
                <w:sz w:val="22"/>
                <w:szCs w:val="22"/>
                <w:highlight w:val="none"/>
                <w:u w:val="none"/>
                <w:lang w:val="en-US" w:eastAsia="zh-CN" w:bidi="ar"/>
              </w:rPr>
              <w:t>7</w:t>
            </w:r>
            <w:r>
              <w:rPr>
                <w:rFonts w:hint="eastAsia" w:ascii="宋体" w:hAnsi="宋体" w:eastAsia="宋体" w:cs="宋体"/>
                <w:i w:val="0"/>
                <w:iCs w:val="0"/>
                <w:color w:val="auto"/>
                <w:kern w:val="0"/>
                <w:sz w:val="22"/>
                <w:szCs w:val="22"/>
                <w:highlight w:val="none"/>
                <w:u w:val="none"/>
                <w:lang w:val="en-US" w:eastAsia="zh-CN" w:bidi="ar"/>
              </w:rPr>
              <w:t xml:space="preserve">0 </w:t>
            </w:r>
          </w:p>
        </w:tc>
        <w:tc>
          <w:tcPr>
            <w:tcW w:w="1320" w:type="dxa"/>
            <w:vAlign w:val="center"/>
          </w:tcPr>
          <w:p w14:paraId="302FF3D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color w:val="auto"/>
                <w:kern w:val="0"/>
                <w:sz w:val="24"/>
                <w:szCs w:val="24"/>
                <w:highlight w:val="none"/>
              </w:rPr>
              <w:t>否</w:t>
            </w:r>
          </w:p>
        </w:tc>
      </w:tr>
      <w:tr w14:paraId="652483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2" w:type="dxa"/>
            <w:vAlign w:val="center"/>
          </w:tcPr>
          <w:p w14:paraId="44504267">
            <w:pPr>
              <w:pStyle w:val="12"/>
              <w:keepNext w:val="0"/>
              <w:keepLines w:val="0"/>
              <w:widowControl/>
              <w:suppressLineNumbers w:val="0"/>
              <w:ind w:left="0" w:leftChars="0" w:right="0" w:rightChars="0"/>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color w:val="auto"/>
                <w:sz w:val="24"/>
                <w:szCs w:val="24"/>
                <w:highlight w:val="none"/>
                <w:lang w:val="en-US" w:eastAsia="zh-CN"/>
              </w:rPr>
              <w:t>2</w:t>
            </w:r>
          </w:p>
        </w:tc>
        <w:tc>
          <w:tcPr>
            <w:tcW w:w="1093" w:type="dxa"/>
            <w:vAlign w:val="center"/>
          </w:tcPr>
          <w:p w14:paraId="5423716C">
            <w:pPr>
              <w:pStyle w:val="12"/>
              <w:keepNext w:val="0"/>
              <w:keepLines w:val="0"/>
              <w:widowControl/>
              <w:suppressLineNumbers w:val="0"/>
              <w:ind w:left="0" w:leftChars="0" w:right="0" w:rightChars="0"/>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-2</w:t>
            </w:r>
          </w:p>
        </w:tc>
        <w:tc>
          <w:tcPr>
            <w:tcW w:w="1843" w:type="dxa"/>
            <w:vAlign w:val="center"/>
          </w:tcPr>
          <w:p w14:paraId="1220DD14">
            <w:pPr>
              <w:pStyle w:val="12"/>
              <w:keepNext w:val="0"/>
              <w:keepLines w:val="0"/>
              <w:widowControl/>
              <w:suppressLineNumbers w:val="0"/>
              <w:ind w:left="0" w:leftChars="0" w:right="0" w:rightChars="0"/>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color w:val="auto"/>
                <w:sz w:val="24"/>
                <w:szCs w:val="24"/>
                <w:highlight w:val="none"/>
                <w:lang w:eastAsia="zh-CN"/>
              </w:rPr>
              <w:t>智慧黑板</w:t>
            </w:r>
          </w:p>
        </w:tc>
        <w:tc>
          <w:tcPr>
            <w:tcW w:w="1701" w:type="dxa"/>
            <w:vAlign w:val="center"/>
          </w:tcPr>
          <w:p w14:paraId="35AE7F20">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color w:val="auto"/>
                <w:sz w:val="24"/>
                <w:szCs w:val="24"/>
                <w:highlight w:val="none"/>
              </w:rPr>
              <w:t>A02020800</w:t>
            </w:r>
          </w:p>
        </w:tc>
        <w:tc>
          <w:tcPr>
            <w:tcW w:w="992" w:type="dxa"/>
            <w:vAlign w:val="center"/>
          </w:tcPr>
          <w:p w14:paraId="70C1510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color w:val="auto"/>
                <w:sz w:val="24"/>
                <w:szCs w:val="24"/>
                <w:highlight w:val="none"/>
              </w:rPr>
              <w:t>台</w:t>
            </w:r>
          </w:p>
        </w:tc>
        <w:tc>
          <w:tcPr>
            <w:tcW w:w="1196" w:type="dxa"/>
            <w:vAlign w:val="center"/>
          </w:tcPr>
          <w:p w14:paraId="438CD42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1</w:t>
            </w:r>
            <w:r>
              <w:rPr>
                <w:rFonts w:hint="eastAsia" w:ascii="宋体" w:hAnsi="宋体" w:cs="宋体"/>
                <w:i w:val="0"/>
                <w:iCs w:val="0"/>
                <w:color w:val="auto"/>
                <w:kern w:val="0"/>
                <w:sz w:val="22"/>
                <w:szCs w:val="22"/>
                <w:highlight w:val="none"/>
                <w:u w:val="none"/>
                <w:lang w:val="en-US" w:eastAsia="zh-CN" w:bidi="ar"/>
              </w:rPr>
              <w:t>1</w:t>
            </w:r>
            <w:r>
              <w:rPr>
                <w:rFonts w:hint="eastAsia" w:ascii="宋体" w:hAnsi="宋体" w:eastAsia="宋体" w:cs="宋体"/>
                <w:i w:val="0"/>
                <w:iCs w:val="0"/>
                <w:color w:val="auto"/>
                <w:kern w:val="0"/>
                <w:sz w:val="22"/>
                <w:szCs w:val="22"/>
                <w:highlight w:val="none"/>
                <w:u w:val="none"/>
                <w:lang w:val="en-US" w:eastAsia="zh-CN" w:bidi="ar"/>
              </w:rPr>
              <w:t xml:space="preserve">0 </w:t>
            </w:r>
          </w:p>
        </w:tc>
        <w:tc>
          <w:tcPr>
            <w:tcW w:w="1320" w:type="dxa"/>
            <w:vAlign w:val="center"/>
          </w:tcPr>
          <w:p w14:paraId="6D93C91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color w:val="auto"/>
                <w:kern w:val="0"/>
                <w:sz w:val="24"/>
                <w:szCs w:val="24"/>
                <w:highlight w:val="none"/>
              </w:rPr>
              <w:t>否</w:t>
            </w:r>
          </w:p>
        </w:tc>
      </w:tr>
    </w:tbl>
    <w:p w14:paraId="3336A890">
      <w:pPr>
        <w:pStyle w:val="12"/>
        <w:widowControl/>
        <w:numPr>
          <w:ilvl w:val="-1"/>
          <w:numId w:val="0"/>
        </w:numPr>
        <w:spacing w:before="0" w:beforeAutospacing="0" w:after="0" w:afterAutospacing="0" w:line="360" w:lineRule="auto"/>
        <w:outlineLvl w:val="9"/>
        <w:rPr>
          <w:rStyle w:val="17"/>
          <w:rFonts w:hint="eastAsia" w:ascii="宋体" w:hAnsi="宋体" w:cs="宋体"/>
          <w:bCs/>
          <w:color w:val="auto"/>
          <w:sz w:val="28"/>
          <w:szCs w:val="28"/>
          <w:highlight w:val="none"/>
        </w:rPr>
      </w:pPr>
    </w:p>
    <w:p w14:paraId="28C3A1A1">
      <w:pPr>
        <w:pStyle w:val="12"/>
        <w:widowControl/>
        <w:numPr>
          <w:ilvl w:val="0"/>
          <w:numId w:val="3"/>
        </w:numPr>
        <w:spacing w:before="0" w:beforeAutospacing="0" w:after="0" w:afterAutospacing="0" w:line="360" w:lineRule="auto"/>
        <w:outlineLvl w:val="1"/>
        <w:rPr>
          <w:rStyle w:val="17"/>
          <w:rFonts w:hint="eastAsia" w:ascii="宋体" w:hAnsi="宋体" w:cs="宋体"/>
          <w:bCs/>
          <w:color w:val="auto"/>
          <w:sz w:val="28"/>
          <w:szCs w:val="28"/>
          <w:highlight w:val="none"/>
        </w:rPr>
      </w:pPr>
      <w:r>
        <w:rPr>
          <w:rFonts w:hint="eastAsia" w:ascii="宋体" w:hAnsi="宋体" w:cs="宋体"/>
          <w:b/>
          <w:bCs/>
          <w:color w:val="auto"/>
          <w:sz w:val="28"/>
          <w:szCs w:val="28"/>
          <w:highlight w:val="none"/>
        </w:rPr>
        <w:t>技术和服务要求</w:t>
      </w:r>
      <w:r>
        <w:rPr>
          <w:rStyle w:val="17"/>
          <w:rFonts w:hint="eastAsia" w:ascii="宋体" w:hAnsi="宋体" w:cs="宋体"/>
          <w:bCs/>
          <w:color w:val="auto"/>
          <w:sz w:val="28"/>
          <w:szCs w:val="28"/>
          <w:highlight w:val="none"/>
        </w:rPr>
        <w:t>（以“★”标示的内容为不允许负偏离的实质性要求）</w:t>
      </w:r>
    </w:p>
    <w:p w14:paraId="3D53DE77">
      <w:pPr>
        <w:tabs>
          <w:tab w:val="left" w:pos="2123"/>
        </w:tabs>
        <w:spacing w:line="360" w:lineRule="auto"/>
        <w:outlineLvl w:val="2"/>
        <w:rPr>
          <w:rFonts w:hint="eastAsia" w:ascii="宋体" w:hAnsi="宋体" w:eastAsia="宋体" w:cs="宋体"/>
          <w:color w:val="auto"/>
          <w:sz w:val="28"/>
          <w:szCs w:val="28"/>
          <w:highlight w:val="none"/>
          <w:lang w:eastAsia="zh-CN"/>
        </w:rPr>
      </w:pPr>
      <w:r>
        <w:rPr>
          <w:rFonts w:hint="eastAsia" w:ascii="宋体" w:hAnsi="宋体" w:cs="宋体"/>
          <w:color w:val="auto"/>
          <w:sz w:val="28"/>
          <w:szCs w:val="28"/>
          <w:highlight w:val="none"/>
        </w:rPr>
        <w:t>（1）技术要求</w:t>
      </w:r>
    </w:p>
    <w:p w14:paraId="37279557">
      <w:pPr>
        <w:tabs>
          <w:tab w:val="left" w:pos="2123"/>
        </w:tabs>
        <w:spacing w:line="360" w:lineRule="auto"/>
        <w:outlineLvl w:val="3"/>
        <w:rPr>
          <w:rFonts w:hint="eastAsia" w:ascii="宋体" w:hAnsi="宋体" w:cs="宋体"/>
          <w:b/>
          <w:bCs/>
          <w:color w:val="auto"/>
          <w:sz w:val="28"/>
          <w:szCs w:val="28"/>
          <w:highlight w:val="none"/>
          <w:lang w:eastAsia="zh-CN"/>
        </w:rPr>
      </w:pPr>
      <w:r>
        <w:rPr>
          <w:rFonts w:hint="eastAsia" w:ascii="宋体" w:hAnsi="宋体" w:cs="宋体"/>
          <w:b/>
          <w:bCs/>
          <w:color w:val="auto"/>
          <w:sz w:val="28"/>
          <w:szCs w:val="28"/>
          <w:highlight w:val="none"/>
          <w:lang w:eastAsia="zh-CN"/>
        </w:rPr>
        <w:t>包</w:t>
      </w:r>
      <w:r>
        <w:rPr>
          <w:rFonts w:hint="eastAsia" w:ascii="宋体" w:hAnsi="宋体" w:cs="宋体"/>
          <w:b/>
          <w:bCs/>
          <w:color w:val="auto"/>
          <w:sz w:val="28"/>
          <w:szCs w:val="28"/>
          <w:highlight w:val="none"/>
          <w:lang w:val="en-US" w:eastAsia="zh-CN"/>
        </w:rPr>
        <w:t>1：</w:t>
      </w:r>
      <w:r>
        <w:rPr>
          <w:rFonts w:hint="eastAsia" w:ascii="宋体" w:hAnsi="宋体" w:cs="宋体"/>
          <w:b/>
          <w:bCs/>
          <w:color w:val="auto"/>
          <w:sz w:val="28"/>
          <w:szCs w:val="28"/>
          <w:highlight w:val="none"/>
          <w:lang w:eastAsia="zh-CN"/>
        </w:rPr>
        <w:t>触控一体机</w:t>
      </w:r>
    </w:p>
    <w:tbl>
      <w:tblPr>
        <w:tblStyle w:val="14"/>
        <w:tblW w:w="940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080"/>
        <w:gridCol w:w="7246"/>
      </w:tblGrid>
      <w:tr w14:paraId="4F7E5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28F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品目号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E71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类型</w:t>
            </w: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BF9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参数</w:t>
            </w:r>
          </w:p>
        </w:tc>
      </w:tr>
      <w:tr w14:paraId="64993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42A2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1-1</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B604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65寸触控一体机</w:t>
            </w: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AFA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一、整机参数</w:t>
            </w:r>
          </w:p>
        </w:tc>
      </w:tr>
      <w:tr w14:paraId="038A0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28B1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764A1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FCFDF">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b/>
                <w:bCs w:val="0"/>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1、屏幕类型：LED背光( A级或A级以上硬屏，不接受A-及以下标准 ) ，设备带厚度≤4mm的防眩钢化玻璃，硬度≥莫氏7级或者石墨硬度≥9H。</w:t>
            </w:r>
            <w:r>
              <w:rPr>
                <w:rFonts w:ascii="宋体" w:hAnsi="宋体" w:eastAsia="宋体" w:cs="宋体"/>
                <w:b/>
                <w:bCs/>
                <w:color w:val="auto"/>
                <w:kern w:val="0"/>
                <w:sz w:val="24"/>
                <w:szCs w:val="24"/>
                <w:highlight w:val="none"/>
                <w:lang w:val="en-US" w:eastAsia="zh-CN" w:bidi="ar"/>
              </w:rPr>
              <w:t>符合国家标准 GB 40070-2021 《儿童青少年学习用品近视防控卫生要求》。显示尺寸规格：65英寸（允许正偏差1%以内），显示比例：16:9（允许正负偏差0.1%以内），可视角度≥178度，分辨率≥ 3840(H)×2160(V)。随机附件：书写笔、教鞭。</w:t>
            </w:r>
          </w:p>
        </w:tc>
      </w:tr>
      <w:tr w14:paraId="2E6CF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28DCF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5EC2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F9ACC">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b/>
                <w:bCs w:val="0"/>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2、采用金属材质边框；支持内置摄像头，摄像头有效像素≥1300万。摄像头要求内嵌在触控一体机中，无任何可见外接线材及模块化拼接痕迹。内置扬声器，位于设备正面，朝前发声额定总功率≥40W。</w:t>
            </w:r>
          </w:p>
        </w:tc>
      </w:tr>
      <w:tr w14:paraId="24477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AC95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BEE1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D45DD">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3、前置面板双边侧面具有物理快捷键设计或者屏幕左右两侧具有软件形态的快捷键设计。</w:t>
            </w:r>
          </w:p>
        </w:tc>
      </w:tr>
      <w:tr w14:paraId="45544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0D0D4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96C63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8B8BE">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4、屏幕感应方式：红外触摸感应，触摸点数≥20点（免驱触摸，无需校准），任意通道下20点（含）以上同时书写。书写方式：手指或书写笔。支持在任何通道下，实现批注、擦除功能。</w:t>
            </w:r>
          </w:p>
        </w:tc>
      </w:tr>
      <w:tr w14:paraId="229AB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C4DD9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CC788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7EEF3">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5、音频：整机内置非独立外扩展的4阵列麦克风。</w:t>
            </w:r>
          </w:p>
        </w:tc>
      </w:tr>
      <w:tr w14:paraId="01E24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BE1E5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F3242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6E517">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6、输入接口:HDMI≥1；USB 3.0 ≥ 2（至少1路前置）；RS-232 ≥1；Type-C≥1。具有前置USB接口可翻转防撞挡板设计。</w:t>
            </w:r>
          </w:p>
        </w:tc>
      </w:tr>
      <w:tr w14:paraId="201B7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27873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67A6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144CB">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7、输出接口：音频输出≥1</w:t>
            </w:r>
          </w:p>
        </w:tc>
      </w:tr>
      <w:tr w14:paraId="42504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5DFCB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4DF9E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ACF3A">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b/>
                <w:bCs w:val="0"/>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8、Wi-Fi：内置无线网卡802.11b/g/n/ac，支持Wifi 6及以上标准。整机支持蓝牙Bluetooth 5.2及以上标准。</w:t>
            </w:r>
          </w:p>
        </w:tc>
      </w:tr>
      <w:tr w14:paraId="6A105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9187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D7911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3F4FD">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二、内置系统</w:t>
            </w:r>
          </w:p>
        </w:tc>
      </w:tr>
      <w:tr w14:paraId="61865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D196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F474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F687C">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b/>
                <w:bCs w:val="0"/>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1、PC类型：采用插拔式模块化电脑，外部无任何可见连接线。不可提供背包式外挂PC。CPU配置要求符合中国信息安全测评中心/国家保密科技测评中心发布的安全可靠测评公告要求，处理器核数≥8核，主频≥3.0GHz,内存配置要求不低于DDR4 16G，硬盘配置要求不低于SSD 512G，预装正版符合安全可靠测评要求的操作系统（操作系统版本根据客户需求提供）。</w:t>
            </w:r>
          </w:p>
        </w:tc>
      </w:tr>
      <w:tr w14:paraId="06654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F99D1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2463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300CA">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2、PC模块：集成高清晰立体音效声卡，集成10/100/1000M自适应网卡，USB接口≥2，网络接口≥1，HDMI输出≥1，麦克风输入≥1</w:t>
            </w:r>
          </w:p>
        </w:tc>
      </w:tr>
      <w:tr w14:paraId="25393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0950C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3856A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BED09">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b/>
                <w:bCs w:val="0"/>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3、具有与教育部现行教学大纲相配套的资源库网站或者云平台，能实时通过网络下载各科课件资源（涵盖小学、初中及高中课程）。配套电子白板功能，支持书写、批注、绘图、画板、板擦及辅助教具功能。实配套集中管理功能，实现远程关机、重启等，并查看设备的状态和基本信息；配套还原功能，每次重启可还原到初始系统状态,支持软件一键静默安装；支持无人使用自动保护设备、多场景屏幕锁。</w:t>
            </w:r>
          </w:p>
        </w:tc>
      </w:tr>
      <w:tr w14:paraId="44812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5B87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583D9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B5838">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4、支持童锁功能，通过遥控器或组合按键锁定和解锁整机。</w:t>
            </w:r>
          </w:p>
        </w:tc>
      </w:tr>
      <w:tr w14:paraId="5F34F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4AF0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1-2</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F0BB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75寸触控一体机</w:t>
            </w: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335A9">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一、整机参数</w:t>
            </w:r>
          </w:p>
        </w:tc>
      </w:tr>
      <w:tr w14:paraId="2A236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0CE3C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F0296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D98A4">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b/>
                <w:bCs w:val="0"/>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1、屏幕类型：LED背光( A级或A级以上硬屏，不接受A-及以下标准 ) ，设备带厚度≤4mm的防眩钢化玻璃，硬度≥莫氏7级或者石墨硬度≥9H。</w:t>
            </w:r>
            <w:r>
              <w:rPr>
                <w:rFonts w:ascii="宋体" w:hAnsi="宋体" w:eastAsia="宋体" w:cs="宋体"/>
                <w:b/>
                <w:bCs/>
                <w:color w:val="auto"/>
                <w:kern w:val="0"/>
                <w:sz w:val="24"/>
                <w:szCs w:val="24"/>
                <w:highlight w:val="none"/>
                <w:lang w:val="en-US" w:eastAsia="zh-CN" w:bidi="ar"/>
              </w:rPr>
              <w:t>符合国家标准 GB 40070-2021 《儿童青少年学习用品近视防控卫生要求》。显示尺寸规格：75英寸（允许正偏差1%以内），显示比例：16:9（允许正负偏差0.1%以内），可视角度≥178度，分辨率≥ 3840(H)×2160(V)。随机附件：书写笔、教鞭。</w:t>
            </w:r>
          </w:p>
        </w:tc>
      </w:tr>
      <w:tr w14:paraId="4B65F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B9E3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FE5B0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93B32">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b/>
                <w:bCs w:val="0"/>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2、采用金属材质边框；支持内置摄像头，摄像头有效像素≥1300万。摄像头要求内嵌在触控一体机中，无任何可见外接线材及模块化拼接痕迹。内置扬声器，位于设备正面，朝前发声额定总功率≥40W。</w:t>
            </w:r>
          </w:p>
        </w:tc>
      </w:tr>
      <w:tr w14:paraId="22BA1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1C18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F793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7DF86">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3、前置面板双边侧面具有物理快捷键设计或者屏幕左右两侧具有软件形态的快捷键设计。</w:t>
            </w:r>
          </w:p>
        </w:tc>
      </w:tr>
      <w:tr w14:paraId="72A7D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2CFA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BFAF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D254D">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4、屏幕感应方式：红外触摸感应，触摸点数≥20点（免驱触摸，无需校准），任意通道下20点（含）以上同时书写。书写方式：手指或书写笔。支持在任何通道下，实现批注、擦除功能。</w:t>
            </w:r>
          </w:p>
        </w:tc>
      </w:tr>
      <w:tr w14:paraId="4E7FB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52B03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8C20D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5F646">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5、音频：整机内置非独立外扩展的4阵列麦克风。</w:t>
            </w:r>
          </w:p>
        </w:tc>
      </w:tr>
      <w:tr w14:paraId="18ABF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2E58E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97E66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2E7B8">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6、输入接口:HDMI≥1；USB 3.0 ≥ 2（至少1路前置）；RS-232 ≥1；Type-C≥1。具有前置USB接口可翻转防撞挡板设计。</w:t>
            </w:r>
          </w:p>
        </w:tc>
      </w:tr>
      <w:tr w14:paraId="40B38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431FA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2FF94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BBDE5">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7、输出接口：音频输出≥1</w:t>
            </w:r>
          </w:p>
        </w:tc>
      </w:tr>
      <w:tr w14:paraId="1BB24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61EF0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E5D3B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E73EE">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b/>
                <w:bCs w:val="0"/>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8、Wi-Fi：内置无线网卡802.11b/g/n/ac，支持Wifi 6及以上标准。整机支持蓝牙Bluetooth 5.2及以上标准。</w:t>
            </w:r>
          </w:p>
        </w:tc>
      </w:tr>
      <w:tr w14:paraId="63311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9402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F341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5386F">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二、内置系统</w:t>
            </w:r>
          </w:p>
        </w:tc>
      </w:tr>
      <w:tr w14:paraId="3C105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AAC7F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EA6D3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3AB13">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b/>
                <w:bCs w:val="0"/>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1、PC类型：采用插拔式模块化电脑，外部无任何可见连接线。不可提供背包式外挂PC。CPU配置要求符合中国信息安全测评中心/国家保密科技测评中心发布的安全可靠测评公告要求，处理器核数≥8核，主频≥3.0GHz,内存配置要求不低于DDR4 16G，硬盘配置要求不低于SSD 512G，预装正版符合安全可靠测评要求的操作系统（操作系统版本根据客户需求提供）。</w:t>
            </w:r>
          </w:p>
        </w:tc>
      </w:tr>
      <w:tr w14:paraId="0473D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F508D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E07B1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09293">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2、PC模块：集成高清晰立体音效声卡，集成10/100/1000M自适应网卡，USB接口≥2，网络接口≥1，HDMI输出≥1，麦克风输入≥1</w:t>
            </w:r>
          </w:p>
        </w:tc>
      </w:tr>
      <w:tr w14:paraId="14AA8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65C4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B16E0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C9568">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b/>
                <w:bCs w:val="0"/>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3、具有与教育部现行教学大纲相配套的资源库网站或者云平台，能实时通过网络下载各科课件资源（涵盖小学、初中及高中课程）。配套电子白板功能，支持书写、批注、绘图、画板、板擦及辅助教具功能。实配套集中管理功能，实现远程关机、重启等，并查看设备的状态和基本信息；配套还原功能，每次重启可还原到初始系统状态,支持软件一键静默安装；支持无人使用自动保护设备、多场景屏幕锁。</w:t>
            </w:r>
          </w:p>
        </w:tc>
      </w:tr>
      <w:tr w14:paraId="1554D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CEB7A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C35D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2F0FB">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4、支持童锁功能，通过遥控器或组合按键锁定和解锁整机。</w:t>
            </w:r>
          </w:p>
        </w:tc>
      </w:tr>
      <w:tr w14:paraId="60D1A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FEC2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1-3</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DC17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86寸触控一体机</w:t>
            </w: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B7923">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一、整机参数</w:t>
            </w:r>
          </w:p>
        </w:tc>
      </w:tr>
      <w:tr w14:paraId="0D851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EF4AB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EC9CE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FA691">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b/>
                <w:bCs w:val="0"/>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1、屏幕类型：LED背光( A级或A级以上硬屏，不接受A-及以下标准 ) ，设备带厚度≤4mm的防眩钢化玻璃，硬度≥莫氏7级或者石墨硬度≥9H。</w:t>
            </w:r>
            <w:r>
              <w:rPr>
                <w:rFonts w:ascii="宋体" w:hAnsi="宋体" w:eastAsia="宋体" w:cs="宋体"/>
                <w:b/>
                <w:bCs/>
                <w:color w:val="auto"/>
                <w:kern w:val="0"/>
                <w:sz w:val="24"/>
                <w:szCs w:val="24"/>
                <w:highlight w:val="none"/>
                <w:lang w:val="en-US" w:eastAsia="zh-CN" w:bidi="ar"/>
              </w:rPr>
              <w:t>符合国家标准 GB 40070-2021 《儿童青少年学习用品近视防控卫生要求》。显示尺寸规格：86英寸（允许正偏差1%以内），显示比例：16:9（允许正负偏差0.1%以内），可视角度≥178度，分辨率≥ 3840(H)×2160(V)。随机附件：书写笔、教鞭。</w:t>
            </w:r>
          </w:p>
        </w:tc>
      </w:tr>
      <w:tr w14:paraId="03388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1E110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1C47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26176">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b/>
                <w:bCs w:val="0"/>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2、采用金属材质边框；支持内置摄像头，摄像头有效像素≥1300万。摄像头要求内嵌在触控一体机中，无任何可见外接线材及模块化拼接痕迹。内置扬声器，位于设备正面，朝前发声额定总功率≥40W。</w:t>
            </w:r>
          </w:p>
        </w:tc>
      </w:tr>
      <w:tr w14:paraId="37E29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F56CB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C00C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E57ED">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3、前置面板双边侧面具有物理快捷键设计或者屏幕左右两侧具有软件形态的快捷键设计。</w:t>
            </w:r>
          </w:p>
        </w:tc>
      </w:tr>
      <w:tr w14:paraId="10A79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DA35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4062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3EF5C">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4、屏幕感应方式：红外触摸感应，触摸点数≥20点（免驱触摸，无需校准），任意通道下20点（含）以上同时书写。书写方式：手指或书写笔。支持在任何通道下，实现批注、擦除功能。</w:t>
            </w:r>
          </w:p>
        </w:tc>
      </w:tr>
      <w:tr w14:paraId="4F986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8E97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7476A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C437A">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5、音频：整机内置非独立外扩展的4阵列麦克风。</w:t>
            </w:r>
          </w:p>
        </w:tc>
      </w:tr>
      <w:tr w14:paraId="60C6E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4A5CB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6729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7E36F">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6、输入接口:HDMI≥1；USB 3.0 ≥ 2（至少1路前置）；RS-232 ≥1；Type-C≥1。具有前置USB接口可翻转防撞挡板设计。</w:t>
            </w:r>
          </w:p>
        </w:tc>
      </w:tr>
      <w:tr w14:paraId="2B710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B98A0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6A76B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17DDC">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7、输出接口：音频输出≥1</w:t>
            </w:r>
          </w:p>
        </w:tc>
      </w:tr>
      <w:tr w14:paraId="64397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0D2AE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65021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2B15D">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b/>
                <w:bCs w:val="0"/>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8、Wi-Fi：内置无线网卡802.11b/g/n/ac，支持Wifi 6及以上标准。整机支持蓝牙Bluetooth 5.2及以上标准。</w:t>
            </w:r>
          </w:p>
        </w:tc>
      </w:tr>
      <w:tr w14:paraId="00CAA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6C3A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0DF3F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863F5">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二、内置系统</w:t>
            </w:r>
          </w:p>
        </w:tc>
      </w:tr>
      <w:tr w14:paraId="1412F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5951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3202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DC5F4">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b/>
                <w:bCs w:val="0"/>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1、PC类型：采用插拔式模块化电脑，外部无任何可见连接线。不可提供背包式外挂PC。CPU配置要求符合中国信息安全测评中心/国家保密科技测评中心发布的安全可靠测评公告要求，处理器核数≥8核，主频≥3.0GHz,内存配置要求不低于DDR4 16G，硬盘配置要求不低于SSD 512G，预装正版符合安全可靠测评要求的操作系统（操作系统版本根据客户需求提供）。</w:t>
            </w:r>
          </w:p>
        </w:tc>
      </w:tr>
      <w:tr w14:paraId="213C1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C5EAD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7E9E1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7732E">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2、PC模块：集成高清晰立体音效声卡，集成10/100/1000M自适应网卡，USB接口≥2，网络接口≥1，HDMI输出≥1，麦克风输入≥1</w:t>
            </w:r>
          </w:p>
        </w:tc>
      </w:tr>
      <w:tr w14:paraId="5A09F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23C2B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EB63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A2203">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b/>
                <w:bCs w:val="0"/>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3、具有与教育部现行教学大纲相配套的资源库网站或者云平台，能实时通过网络下载各科课件资源（涵盖小学、初中及高中课程）。配套电子白板功能，支持书写、批注、绘图、画板、板擦及辅助教具功能。实配套集中管理功能，实现远程关机、重启等，并查看设备的状态和基本信息；配套还原功能，每次重启可还原到初始系统状态,支持软件一键静默安装；支持无人使用自动保护设备、多场景屏幕锁。</w:t>
            </w:r>
          </w:p>
        </w:tc>
      </w:tr>
      <w:tr w14:paraId="66433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F960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05271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432DA">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4、支持童锁功能，通过遥控器或组合按键锁定和解锁整机。</w:t>
            </w:r>
          </w:p>
        </w:tc>
      </w:tr>
      <w:tr w14:paraId="6A862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F673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1-4</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EB04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98寸触控一体机</w:t>
            </w: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6E773">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一、整机参数</w:t>
            </w:r>
          </w:p>
        </w:tc>
      </w:tr>
      <w:tr w14:paraId="5A3A8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FAC13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FE5A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2D335">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b/>
                <w:bCs w:val="0"/>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1、屏幕类型：LED背光( A级或A级以上硬屏，不接受A-及以下标准 ) ，设备带厚度≤4mm的防眩钢化玻璃，硬度≥莫氏7级或者石墨硬度≥9H。</w:t>
            </w:r>
            <w:r>
              <w:rPr>
                <w:rFonts w:ascii="宋体" w:hAnsi="宋体" w:eastAsia="宋体" w:cs="宋体"/>
                <w:b/>
                <w:bCs/>
                <w:color w:val="auto"/>
                <w:kern w:val="0"/>
                <w:sz w:val="24"/>
                <w:szCs w:val="24"/>
                <w:highlight w:val="none"/>
                <w:lang w:val="en-US" w:eastAsia="zh-CN" w:bidi="ar"/>
              </w:rPr>
              <w:t>符合国家标准 GB 40070-2021 《儿童青少年学习用品近视防控卫生要求》。显示尺寸规格：98英寸（允许正偏差1%以内），显示比例：16:9（允许正负偏差0.1%以内），可视角度≥178度，分辨率≥ 3840(H)×2160(V)。随机附件：书写笔、教鞭。</w:t>
            </w:r>
          </w:p>
        </w:tc>
      </w:tr>
      <w:tr w14:paraId="7DAFA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CF322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3E041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143CB">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b/>
                <w:bCs w:val="0"/>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2、采用金属材质边框；支持内置摄像头，摄像头有效像素≥1300万。摄像头要求内嵌在触控一体机中，无任何可见外接线材及模块化拼接痕迹。内置扬声器，位于设备正面，朝前发声额定总功率≥40W。</w:t>
            </w:r>
          </w:p>
        </w:tc>
      </w:tr>
      <w:tr w14:paraId="3D233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CAA8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0DDF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AF995">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3、前置面板双边侧面具有物理快捷键设计或者屏幕左右两侧具有软件形态的快捷键设计。</w:t>
            </w:r>
          </w:p>
        </w:tc>
      </w:tr>
      <w:tr w14:paraId="181D8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E566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0EC9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86991">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4、屏幕感应方式：红外触摸感应，触摸点数≥20点（免驱触摸，无需校准），任意通道下20点（含）以上同时书写。书写方式：手指或书写笔。支持在任何通道下，实现批注、擦除功能。</w:t>
            </w:r>
          </w:p>
        </w:tc>
      </w:tr>
      <w:tr w14:paraId="7F552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A286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926A1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9122A">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5、音频：整机内置非独立外扩展的4阵列麦克风。</w:t>
            </w:r>
          </w:p>
        </w:tc>
      </w:tr>
      <w:tr w14:paraId="3C103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C67AF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5A9D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B08B8">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6、输入接口:HDMI≥1；USB 3.0 ≥ 2（至少1路前置）；RS-232 ≥1；Type-C≥1。具有前置USB接口可翻转防撞挡板设计。</w:t>
            </w:r>
          </w:p>
        </w:tc>
      </w:tr>
      <w:tr w14:paraId="6BAF1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E0A1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C840D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51780">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7、输出接口：音频输出≥1</w:t>
            </w:r>
          </w:p>
        </w:tc>
      </w:tr>
      <w:tr w14:paraId="11166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D3E89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2371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B5E85">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b/>
                <w:bCs w:val="0"/>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8、Wi-Fi：内置无线网卡802.11b/g/n/ac，支持Wifi 6及以上标准。整机支持蓝牙Bluetooth 5.2及以上标准。</w:t>
            </w:r>
          </w:p>
        </w:tc>
      </w:tr>
      <w:tr w14:paraId="6BC1C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691C4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1E0DA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CF8AB">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二、内置系统</w:t>
            </w:r>
          </w:p>
        </w:tc>
      </w:tr>
      <w:tr w14:paraId="00E1E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C526F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29556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3CB6F">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b/>
                <w:bCs w:val="0"/>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1、PC类型：采用插拔式模块化电脑，外部无任何可见连接线。不可提供背包式外挂PC。CPU配置要求符合中国信息安全测评中心/国家保密科技测评中心发布的安全可靠测评公告要求，处理器核数≥8核，主频≥3.0GHz,内存配置要求不低于DDR4 16G，硬盘配置要求不低于SSD 512G，预装正版符合安全可靠测评要求的操作系统（操作系统版本根据客户需求提供）。</w:t>
            </w:r>
          </w:p>
        </w:tc>
      </w:tr>
      <w:tr w14:paraId="0CDBD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9E2F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7EC4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6A1F">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2、PC模块：集成高清晰立体音效声卡，集成10/100/1000M自适应网卡，USB接口≥2，网络接口≥1，HDMI输出≥1，麦克风输入≥1</w:t>
            </w:r>
          </w:p>
        </w:tc>
      </w:tr>
      <w:tr w14:paraId="5DC2B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DE66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36CB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29F6D">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b/>
                <w:bCs w:val="0"/>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3、具有与教育部现行教学大纲相配套的资源库网站或者云平台，能实时通过网络下载各科课件资源（涵盖小学、初中及高中课程）。配套电子白板功能，支持书写、批注、绘图、画板、板擦及辅助教具功能。实配套集中管理功能，实现远程关机、重启等，并查看设备的状态和基本信息；配套还原功能，每次重启可还原到初始系统状态,支持软件一键静默安装；支持无人使用自动保护设备、多场景屏幕锁。</w:t>
            </w:r>
          </w:p>
        </w:tc>
      </w:tr>
      <w:tr w14:paraId="6451D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E32A0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42F9D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016A3">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4、支持童锁功能，通过遥控器或组合按键锁定和解锁整机。</w:t>
            </w:r>
          </w:p>
        </w:tc>
      </w:tr>
    </w:tbl>
    <w:p w14:paraId="5F467A7A">
      <w:pPr>
        <w:rPr>
          <w:rFonts w:hint="eastAsia" w:ascii="宋体" w:hAnsi="宋体" w:cs="宋体"/>
          <w:color w:val="auto"/>
          <w:kern w:val="0"/>
          <w:sz w:val="24"/>
          <w:szCs w:val="24"/>
          <w:highlight w:val="none"/>
        </w:rPr>
      </w:pPr>
    </w:p>
    <w:p w14:paraId="7E75B6CB">
      <w:pPr>
        <w:keepNext w:val="0"/>
        <w:keepLines w:val="0"/>
        <w:pageBreakBefore w:val="0"/>
        <w:widowControl w:val="0"/>
        <w:kinsoku/>
        <w:wordWrap/>
        <w:overflowPunct/>
        <w:topLinePunct w:val="0"/>
        <w:autoSpaceDE/>
        <w:autoSpaceDN/>
        <w:bidi w:val="0"/>
        <w:adjustRightInd/>
        <w:snapToGrid/>
        <w:spacing w:line="360" w:lineRule="auto"/>
        <w:textAlignment w:val="auto"/>
        <w:outlineLvl w:val="3"/>
        <w:rPr>
          <w:rFonts w:hint="eastAsia" w:ascii="宋体" w:hAnsi="宋体" w:cs="宋体"/>
          <w:b/>
          <w:bCs/>
          <w:color w:val="auto"/>
          <w:kern w:val="0"/>
          <w:sz w:val="28"/>
          <w:szCs w:val="28"/>
          <w:highlight w:val="none"/>
          <w:lang w:eastAsia="zh-CN"/>
        </w:rPr>
      </w:pPr>
      <w:r>
        <w:rPr>
          <w:rFonts w:hint="eastAsia" w:ascii="宋体" w:hAnsi="宋体" w:cs="宋体"/>
          <w:b/>
          <w:bCs/>
          <w:color w:val="auto"/>
          <w:kern w:val="0"/>
          <w:sz w:val="28"/>
          <w:szCs w:val="28"/>
          <w:highlight w:val="none"/>
          <w:lang w:eastAsia="zh-CN"/>
        </w:rPr>
        <w:t>包</w:t>
      </w:r>
      <w:r>
        <w:rPr>
          <w:rFonts w:hint="eastAsia" w:ascii="宋体" w:hAnsi="宋体" w:cs="宋体"/>
          <w:b/>
          <w:bCs/>
          <w:color w:val="auto"/>
          <w:kern w:val="0"/>
          <w:sz w:val="28"/>
          <w:szCs w:val="28"/>
          <w:highlight w:val="none"/>
          <w:lang w:val="en-US" w:eastAsia="zh-CN"/>
        </w:rPr>
        <w:t>2：</w:t>
      </w:r>
      <w:r>
        <w:rPr>
          <w:rFonts w:hint="eastAsia" w:ascii="宋体" w:hAnsi="宋体" w:cs="宋体"/>
          <w:b/>
          <w:bCs/>
          <w:color w:val="auto"/>
          <w:kern w:val="0"/>
          <w:sz w:val="28"/>
          <w:szCs w:val="28"/>
          <w:highlight w:val="none"/>
          <w:lang w:eastAsia="zh-CN"/>
        </w:rPr>
        <w:t>智慧黑板</w:t>
      </w:r>
    </w:p>
    <w:tbl>
      <w:tblPr>
        <w:tblStyle w:val="14"/>
        <w:tblW w:w="940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080"/>
        <w:gridCol w:w="7249"/>
      </w:tblGrid>
      <w:tr w14:paraId="044B8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3"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3DF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品目号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09D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类型</w:t>
            </w:r>
          </w:p>
        </w:tc>
        <w:tc>
          <w:tcPr>
            <w:tcW w:w="7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CC5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参数</w:t>
            </w:r>
          </w:p>
        </w:tc>
      </w:tr>
      <w:tr w14:paraId="55A75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616B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2-1</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FFC8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86寸智慧黑板</w:t>
            </w:r>
          </w:p>
        </w:tc>
        <w:tc>
          <w:tcPr>
            <w:tcW w:w="7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078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一、整机参数</w:t>
            </w:r>
          </w:p>
        </w:tc>
      </w:tr>
      <w:tr w14:paraId="2FC91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5525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E29BF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B481C">
            <w:pPr>
              <w:keepNext w:val="0"/>
              <w:keepLines w:val="0"/>
              <w:widowControl/>
              <w:suppressLineNumbers w:val="0"/>
              <w:spacing w:line="360" w:lineRule="auto"/>
              <w:jc w:val="left"/>
              <w:textAlignment w:val="center"/>
              <w:rPr>
                <w:rFonts w:hint="eastAsia" w:ascii="宋体" w:hAnsi="宋体" w:eastAsia="宋体" w:cs="宋体"/>
                <w:b/>
                <w:bCs w:val="0"/>
                <w:i w:val="0"/>
                <w:iCs w:val="0"/>
                <w:color w:val="auto"/>
                <w:kern w:val="0"/>
                <w:sz w:val="24"/>
                <w:szCs w:val="24"/>
                <w:highlight w:val="none"/>
                <w:u w:val="none"/>
                <w:lang w:bidi="ar"/>
              </w:rPr>
            </w:pPr>
            <w:r>
              <w:rPr>
                <w:rFonts w:hint="eastAsia" w:ascii="宋体" w:hAnsi="宋体" w:eastAsia="宋体" w:cs="宋体"/>
                <w:b/>
                <w:bCs w:val="0"/>
                <w:color w:val="auto"/>
                <w:kern w:val="0"/>
                <w:sz w:val="24"/>
                <w:szCs w:val="24"/>
                <w:highlight w:val="none"/>
                <w:lang w:val="en-US" w:eastAsia="zh-CN" w:bidi="ar-SA"/>
              </w:rPr>
              <w:t>★</w:t>
            </w:r>
            <w:r>
              <w:rPr>
                <w:rFonts w:hint="eastAsia" w:ascii="宋体" w:hAnsi="宋体" w:eastAsia="宋体" w:cs="宋体"/>
                <w:b/>
                <w:bCs w:val="0"/>
                <w:i w:val="0"/>
                <w:iCs w:val="0"/>
                <w:color w:val="auto"/>
                <w:kern w:val="0"/>
                <w:sz w:val="24"/>
                <w:szCs w:val="24"/>
                <w:highlight w:val="none"/>
                <w:u w:val="none"/>
                <w:lang w:val="en-US" w:eastAsia="zh-CN" w:bidi="ar"/>
              </w:rPr>
              <w:t>1、整体外观尺寸：宽≥4200mm，高≥1100mm，厚≤135mm（含侧板）。整机采用三拼接平面一体化设计，无推拉式结构及外露连接线。整机中间主屏支持普通粉笔直接书写，两侧副屏可支持以下媒介（普通粉笔、液体粉笔）进行板书书写。两侧副屏支持磁吸附功能，可以满足带有磁吸的板擦等教具进行吸附在副屏上。屏幕类型：LED背光( A级或A级以上硬屏，不接受A-及以下标准 ) ，设备带厚度≤4mm的防眩钢化玻璃，硬度≥莫氏7级或者石墨硬度≥9H。符合国家标准 GB 40070-2021 《儿童青少年学习用品近视防控卫生要求》。显示尺寸规格：86英寸（允许正偏差1%以内），显示比例：16:9（允许正负偏差0.1%以内），可视角度≥178度，分辨率≥ 3840(H)×2160(V)。 随机附件：书写笔、教鞭。</w:t>
            </w:r>
          </w:p>
        </w:tc>
      </w:tr>
      <w:tr w14:paraId="67FB4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A7DA7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1006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737EA">
            <w:pPr>
              <w:keepNext w:val="0"/>
              <w:keepLines w:val="0"/>
              <w:widowControl/>
              <w:suppressLineNumbers w:val="0"/>
              <w:spacing w:line="360" w:lineRule="auto"/>
              <w:jc w:val="left"/>
              <w:textAlignment w:val="center"/>
              <w:rPr>
                <w:rFonts w:hint="eastAsia" w:ascii="宋体" w:hAnsi="宋体" w:eastAsia="宋体" w:cs="宋体"/>
                <w:b/>
                <w:bCs w:val="0"/>
                <w:i w:val="0"/>
                <w:iCs w:val="0"/>
                <w:color w:val="auto"/>
                <w:kern w:val="0"/>
                <w:sz w:val="24"/>
                <w:szCs w:val="24"/>
                <w:highlight w:val="none"/>
                <w:u w:val="none"/>
                <w:lang w:bidi="ar"/>
              </w:rPr>
            </w:pPr>
            <w:r>
              <w:rPr>
                <w:rFonts w:hint="eastAsia" w:ascii="宋体" w:hAnsi="宋体" w:eastAsia="宋体" w:cs="宋体"/>
                <w:b/>
                <w:bCs w:val="0"/>
                <w:color w:val="auto"/>
                <w:kern w:val="0"/>
                <w:sz w:val="24"/>
                <w:szCs w:val="24"/>
                <w:highlight w:val="none"/>
                <w:lang w:val="en-US" w:eastAsia="zh-CN" w:bidi="ar-SA"/>
              </w:rPr>
              <w:t>★</w:t>
            </w:r>
            <w:r>
              <w:rPr>
                <w:rFonts w:hint="eastAsia" w:ascii="宋体" w:hAnsi="宋体" w:eastAsia="宋体" w:cs="宋体"/>
                <w:b/>
                <w:bCs w:val="0"/>
                <w:i w:val="0"/>
                <w:iCs w:val="0"/>
                <w:color w:val="auto"/>
                <w:kern w:val="0"/>
                <w:sz w:val="24"/>
                <w:szCs w:val="24"/>
                <w:highlight w:val="none"/>
                <w:u w:val="none"/>
                <w:lang w:val="en-US" w:eastAsia="zh-CN" w:bidi="ar"/>
              </w:rPr>
              <w:t>2、内置扬声器，位于设备正面，朝前发声额定总功率≥60W。</w:t>
            </w:r>
          </w:p>
        </w:tc>
      </w:tr>
      <w:tr w14:paraId="7D9CA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674FC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4210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BB314">
            <w:pPr>
              <w:keepNext w:val="0"/>
              <w:keepLines w:val="0"/>
              <w:widowControl/>
              <w:suppressLineNumbers w:val="0"/>
              <w:spacing w:line="360" w:lineRule="auto"/>
              <w:jc w:val="left"/>
              <w:textAlignment w:val="center"/>
              <w:rPr>
                <w:rFonts w:hint="eastAsia" w:ascii="宋体" w:hAnsi="宋体" w:eastAsia="宋体" w:cs="宋体"/>
                <w:b/>
                <w:bCs w:val="0"/>
                <w:i w:val="0"/>
                <w:iCs w:val="0"/>
                <w:color w:val="auto"/>
                <w:kern w:val="0"/>
                <w:sz w:val="24"/>
                <w:szCs w:val="24"/>
                <w:highlight w:val="none"/>
                <w:u w:val="none"/>
                <w:lang w:bidi="ar"/>
              </w:rPr>
            </w:pPr>
            <w:r>
              <w:rPr>
                <w:rFonts w:hint="eastAsia" w:ascii="宋体" w:hAnsi="宋体" w:eastAsia="宋体" w:cs="宋体"/>
                <w:b/>
                <w:bCs w:val="0"/>
                <w:color w:val="auto"/>
                <w:kern w:val="0"/>
                <w:sz w:val="24"/>
                <w:szCs w:val="24"/>
                <w:highlight w:val="none"/>
                <w:lang w:val="en-US" w:eastAsia="zh-CN" w:bidi="ar-SA"/>
              </w:rPr>
              <w:t>★</w:t>
            </w:r>
            <w:r>
              <w:rPr>
                <w:rFonts w:hint="eastAsia" w:ascii="宋体" w:hAnsi="宋体" w:eastAsia="宋体" w:cs="宋体"/>
                <w:b/>
                <w:bCs w:val="0"/>
                <w:i w:val="0"/>
                <w:iCs w:val="0"/>
                <w:color w:val="auto"/>
                <w:kern w:val="0"/>
                <w:sz w:val="24"/>
                <w:szCs w:val="24"/>
                <w:highlight w:val="none"/>
                <w:u w:val="none"/>
                <w:lang w:val="en-US" w:eastAsia="zh-CN" w:bidi="ar"/>
              </w:rPr>
              <w:t>3、采用金属材质边框；支持内置摄像头，摄像头有效像素≥1600万，无任何可见外接线材及模块化拼接痕迹。支持同时查看8个（含）及以上教室的实时摄像头画面、设备屏幕画面；并支持在一个显示界面同时查看单个教室内所有屏幕、所有摄像头的实时画面，以及所有麦克风的声音，完整还原课堂全貌。</w:t>
            </w:r>
          </w:p>
        </w:tc>
      </w:tr>
      <w:tr w14:paraId="5C794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0989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9E49D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0BA5A">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4、整机屏幕边缘采用金属圆角包边防护，整机背板采用金属材质，有效屏蔽内部电路器件辐射。</w:t>
            </w:r>
          </w:p>
        </w:tc>
      </w:tr>
      <w:tr w14:paraId="5B76C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71B5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5FC0D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FDFB1">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5、前置面板双边侧面具有物理快捷键设计或者屏幕左右两侧具有软件形态的快捷键设计。</w:t>
            </w:r>
          </w:p>
        </w:tc>
      </w:tr>
      <w:tr w14:paraId="4E9BF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4DF62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E4FE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FE7F3">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6、屏幕感应方式：红外触摸感应，触摸点数≥20点（免驱触摸，无需校准），任意通道下20点（含）以上同时书写。书写方式：手指或书写笔。支持在任何通道下，实现批注、擦除功能。</w:t>
            </w:r>
          </w:p>
        </w:tc>
      </w:tr>
      <w:tr w14:paraId="2F1CA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B1C20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AC43D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CA266">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7、音频：整机内置非独立外扩展的4阵列麦克风。</w:t>
            </w:r>
          </w:p>
        </w:tc>
      </w:tr>
      <w:tr w14:paraId="0F6A0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91C7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F641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761A9">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8、输入接口:HDMI≥1；USB 3.0≥ 2（至少1路前置）；RS-232 ≥1；Type-C≥1。</w:t>
            </w:r>
          </w:p>
        </w:tc>
      </w:tr>
      <w:tr w14:paraId="52986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92B2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AA99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62676">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9、输出接口：音频输出≥1</w:t>
            </w:r>
          </w:p>
        </w:tc>
      </w:tr>
      <w:tr w14:paraId="2A6EF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D0A93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F2FA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F96E6">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b/>
                <w:bCs w:val="0"/>
                <w:color w:val="auto"/>
                <w:kern w:val="0"/>
                <w:sz w:val="24"/>
                <w:szCs w:val="24"/>
                <w:highlight w:val="none"/>
                <w:lang w:val="en-US" w:eastAsia="zh-CN" w:bidi="ar-SA"/>
              </w:rPr>
              <w:t>★</w:t>
            </w:r>
            <w:r>
              <w:rPr>
                <w:rFonts w:hint="eastAsia" w:ascii="宋体" w:hAnsi="宋体" w:eastAsia="宋体" w:cs="宋体"/>
                <w:b/>
                <w:bCs w:val="0"/>
                <w:i w:val="0"/>
                <w:iCs w:val="0"/>
                <w:color w:val="auto"/>
                <w:kern w:val="0"/>
                <w:sz w:val="24"/>
                <w:szCs w:val="24"/>
                <w:highlight w:val="none"/>
                <w:u w:val="none"/>
                <w:lang w:val="en-US" w:eastAsia="zh-CN" w:bidi="ar"/>
              </w:rPr>
              <w:t>10、Wi-Fi：内置无线网卡802.11b/g/n/ac，支持Wifi 6及以上标准。整机支持蓝牙Bluetooth 5.2及以上标准。</w:t>
            </w:r>
          </w:p>
        </w:tc>
      </w:tr>
      <w:tr w14:paraId="6CA0F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60B51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8AB9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0887F">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二、内置系统</w:t>
            </w:r>
          </w:p>
        </w:tc>
      </w:tr>
      <w:tr w14:paraId="69441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C956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F89B9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FF02F">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b/>
                <w:bCs w:val="0"/>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1、PC类型：采用插拔式模块化电脑，外部无任何可见连接线。不可提供背包式外挂PC。CPU配置要求符合中国信息安全测评中心/国家保密科技测评中心发布的安全可靠测评公告要求，处理器核数≥8核，主频≥3.0GHz,内存配置要求不低于DDR4 16G，硬盘配置要求不低于SSD 512G，预装正版符合安全可靠测评要求的操作系统（操作系统版本根据客户需求提供）。</w:t>
            </w:r>
          </w:p>
        </w:tc>
      </w:tr>
      <w:tr w14:paraId="24B70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C3DE1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958E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C2917">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2、PC模块：集成高清晰立体音效声卡，集成10/100/1000M自适应网卡，USB接口≥2，网络接口≥1，HDMI输出≥1，麦克风输入≥1</w:t>
            </w:r>
          </w:p>
        </w:tc>
      </w:tr>
      <w:tr w14:paraId="74352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A6B36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F451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9158E">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b/>
                <w:bCs w:val="0"/>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3、具有与教育部现行教学大纲相配套的资源库网站或者云平台，能实时通过网络下载各科课件资源（涵盖小学、初中及高中课程）。配套电子白板功能，支持书写、批注、绘图、画板、板擦及辅助教具功能。实配套集中管理功能，实现远程关机、重启等，并查看设备的状态和基本信息；配套还原功能，每次重启可还原到初始系统状态,支持软件一键静默安装；支持无人使用自动保护设备、多场景屏幕锁。</w:t>
            </w:r>
          </w:p>
        </w:tc>
      </w:tr>
      <w:tr w14:paraId="39A3D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34E00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0C28A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82999">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4、支持童锁功能，通过遥控器或组合按键锁定和解锁整机。</w:t>
            </w:r>
          </w:p>
        </w:tc>
      </w:tr>
      <w:tr w14:paraId="4F904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DA67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2-2</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CA49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86寸互联智慧黑板</w:t>
            </w:r>
          </w:p>
        </w:tc>
        <w:tc>
          <w:tcPr>
            <w:tcW w:w="7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80A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一、整机参数</w:t>
            </w:r>
          </w:p>
        </w:tc>
      </w:tr>
      <w:tr w14:paraId="308BC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BC615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A46B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73FBC">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b/>
                <w:bCs w:val="0"/>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1、 整体外观尺寸：宽≥4200mm，高≥1100mm，厚≤135mm（含侧板）。整机采用三拼接平面一体化设计，无推拉式结构及外露连接线。整机中间主屏支持普通粉笔直接书写，两侧副屏可支持以下媒介（普通粉笔、液体粉笔）进行板书书写。两侧副屏支持磁吸附功能，可以满足带有磁吸的板擦等教具进行吸附在副屏上。具有板书记录功能，支持两侧副屏黑板与主屏同步显示，自动保存两侧副屏黑板的板书内容，板书支持本地保存或进行二维码分享。屏幕类型：LED背光( A级或A级以上硬屏，不接受A-及以下标准 ) ，设备带厚度≤4mm的防眩钢化玻璃，硬度≥莫氏7级或者石墨硬度≥9H。符合国家标准 GB 40070-2021 《儿童青少年学习用品近视防控卫生要求》。显示尺寸规格：86英寸（允许正偏差1%以内），显示比例：16:9（允许正负偏差0.1%以内），可视角度≥178度，分辨率≥ 3840(H)×2160(V)。 随机附件：书写笔、教鞭。</w:t>
            </w:r>
          </w:p>
        </w:tc>
      </w:tr>
      <w:tr w14:paraId="056DC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0768F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2318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E2B5D">
            <w:pPr>
              <w:keepNext w:val="0"/>
              <w:keepLines w:val="0"/>
              <w:widowControl/>
              <w:suppressLineNumbers w:val="0"/>
              <w:spacing w:line="360" w:lineRule="auto"/>
              <w:jc w:val="left"/>
              <w:textAlignment w:val="center"/>
              <w:rPr>
                <w:rFonts w:hint="eastAsia" w:ascii="宋体" w:hAnsi="宋体" w:eastAsia="宋体" w:cs="宋体"/>
                <w:b/>
                <w:bCs w:val="0"/>
                <w:i w:val="0"/>
                <w:iCs w:val="0"/>
                <w:color w:val="auto"/>
                <w:kern w:val="0"/>
                <w:sz w:val="24"/>
                <w:szCs w:val="24"/>
                <w:highlight w:val="none"/>
                <w:u w:val="none"/>
                <w:lang w:bidi="ar"/>
              </w:rPr>
            </w:pPr>
            <w:r>
              <w:rPr>
                <w:rFonts w:hint="eastAsia" w:ascii="宋体" w:hAnsi="宋体" w:eastAsia="宋体" w:cs="宋体"/>
                <w:b/>
                <w:bCs w:val="0"/>
                <w:color w:val="auto"/>
                <w:kern w:val="0"/>
                <w:sz w:val="24"/>
                <w:szCs w:val="24"/>
                <w:highlight w:val="none"/>
                <w:lang w:val="en-US" w:eastAsia="zh-CN" w:bidi="ar-SA"/>
              </w:rPr>
              <w:t>★</w:t>
            </w:r>
            <w:r>
              <w:rPr>
                <w:rFonts w:hint="eastAsia" w:ascii="宋体" w:hAnsi="宋体" w:eastAsia="宋体" w:cs="宋体"/>
                <w:b/>
                <w:bCs w:val="0"/>
                <w:i w:val="0"/>
                <w:iCs w:val="0"/>
                <w:color w:val="auto"/>
                <w:kern w:val="0"/>
                <w:sz w:val="24"/>
                <w:szCs w:val="24"/>
                <w:highlight w:val="none"/>
                <w:u w:val="none"/>
                <w:lang w:val="en-US" w:eastAsia="zh-CN" w:bidi="ar"/>
              </w:rPr>
              <w:t>2、内置扬声器，位于设备正面，朝前发声额定总功率≥60W。</w:t>
            </w:r>
          </w:p>
        </w:tc>
      </w:tr>
      <w:tr w14:paraId="76C96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CD386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11B23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2B1A8">
            <w:pPr>
              <w:keepNext w:val="0"/>
              <w:keepLines w:val="0"/>
              <w:widowControl/>
              <w:suppressLineNumbers w:val="0"/>
              <w:spacing w:line="360" w:lineRule="auto"/>
              <w:jc w:val="left"/>
              <w:textAlignment w:val="center"/>
              <w:rPr>
                <w:rFonts w:hint="eastAsia" w:ascii="宋体" w:hAnsi="宋体" w:eastAsia="宋体" w:cs="宋体"/>
                <w:b/>
                <w:bCs w:val="0"/>
                <w:i w:val="0"/>
                <w:iCs w:val="0"/>
                <w:color w:val="auto"/>
                <w:kern w:val="0"/>
                <w:sz w:val="24"/>
                <w:szCs w:val="24"/>
                <w:highlight w:val="none"/>
                <w:u w:val="none"/>
                <w:lang w:bidi="ar"/>
              </w:rPr>
            </w:pPr>
            <w:r>
              <w:rPr>
                <w:rFonts w:hint="eastAsia" w:ascii="宋体" w:hAnsi="宋体" w:eastAsia="宋体" w:cs="宋体"/>
                <w:b/>
                <w:bCs w:val="0"/>
                <w:color w:val="auto"/>
                <w:kern w:val="0"/>
                <w:sz w:val="24"/>
                <w:szCs w:val="24"/>
                <w:highlight w:val="none"/>
                <w:lang w:val="en-US" w:eastAsia="zh-CN" w:bidi="ar-SA"/>
              </w:rPr>
              <w:t>★</w:t>
            </w:r>
            <w:r>
              <w:rPr>
                <w:rFonts w:hint="eastAsia" w:ascii="宋体" w:hAnsi="宋体" w:eastAsia="宋体" w:cs="宋体"/>
                <w:b/>
                <w:bCs w:val="0"/>
                <w:i w:val="0"/>
                <w:iCs w:val="0"/>
                <w:color w:val="auto"/>
                <w:kern w:val="0"/>
                <w:sz w:val="24"/>
                <w:szCs w:val="24"/>
                <w:highlight w:val="none"/>
                <w:u w:val="none"/>
                <w:lang w:val="en-US" w:eastAsia="zh-CN" w:bidi="ar"/>
              </w:rPr>
              <w:t>3、采用金属材质边框；支持内置摄像头，摄像头有效像素≥1600万，无任何可见外接线材及模块化拼接痕迹。支持同时查看8个（含）及以上教室的实时摄像头画面、设备屏幕画面；并支持在一个显示界面同时查看单个教室内所有屏幕、所有摄像头的实时画面，以及所有麦克风的声音，完整还原课堂全貌。</w:t>
            </w:r>
          </w:p>
        </w:tc>
      </w:tr>
      <w:tr w14:paraId="067CF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87C9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D9D0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9994B">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4、整机屏幕边缘采用金属圆角包边防护，整机背板采用金属材质，有效屏蔽内部电路器件辐射。</w:t>
            </w:r>
          </w:p>
        </w:tc>
      </w:tr>
      <w:tr w14:paraId="0A2E3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3A66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53B9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5B7D5">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5、前置面板双边侧面具有物理快捷键设计或者屏幕左右两侧具有软件形态的快捷键设计。</w:t>
            </w:r>
          </w:p>
        </w:tc>
      </w:tr>
      <w:tr w14:paraId="6AFF2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9203B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B7FA2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E6C56">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6、屏幕感应方式：红外触摸感应，触摸点数≥20点（免驱触摸，无需校准），任意通道下20点（含）以上同时书写。书写方式：手指或书写笔。支持在任何通道下，实现批注、擦除功能。</w:t>
            </w:r>
          </w:p>
        </w:tc>
      </w:tr>
      <w:tr w14:paraId="2245A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6C1B1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9A2D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5F34F">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7、音频：整机内置非独立外扩展的4阵列麦克风。</w:t>
            </w:r>
          </w:p>
        </w:tc>
      </w:tr>
      <w:tr w14:paraId="77C45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B1CA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D4B3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B0DB4">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8、输入接口:HDMI≥1；USB 3.0≥ 2（至少1路前置）；RS-232 ≥1；Type-C≥1。</w:t>
            </w:r>
          </w:p>
        </w:tc>
      </w:tr>
      <w:tr w14:paraId="06DF5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013A1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8C6B4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F0F46">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9、输出接口：音频输出≥1</w:t>
            </w:r>
          </w:p>
        </w:tc>
      </w:tr>
      <w:tr w14:paraId="0DA86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87DFC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6B0E1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6A9F6">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b/>
                <w:bCs w:val="0"/>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10、Wi-Fi：内置无线网卡802.11b/g/n/ac，支持Wifi 6及以上标准。整机支持蓝牙Bluetooth 5.2及以上标准。</w:t>
            </w:r>
          </w:p>
        </w:tc>
      </w:tr>
      <w:tr w14:paraId="216A7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65309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9DCC6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B5FC3">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二、内置系统</w:t>
            </w:r>
          </w:p>
        </w:tc>
      </w:tr>
      <w:tr w14:paraId="5D534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7C084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9CA25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1C59D">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b/>
                <w:bCs w:val="0"/>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1、PC类型：采用插拔式模块化电脑，外部无任何可见连接线。不可提供背包式外挂PC。CPU配置要求符合中国信息安全测评中心/国家保密科技测评中心发布的安全可靠测评公告要求，处理器核数≥8核，主频≥3.0GHz,内存配置要求不低于DDR4 16G，硬盘配置要求不低于SSD 512G，预装正版符合安全可靠测评要求的操作系统（操作系统版本根据客户需求提供）。</w:t>
            </w:r>
          </w:p>
        </w:tc>
      </w:tr>
      <w:tr w14:paraId="16954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095E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37683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7BBCC">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2、PC模块：集成高清晰立体音效声卡，集成10/100/1000M自适应网卡，USB接口≥2，网络接口≥1，HDMI输出≥1，麦克风输入≥1</w:t>
            </w:r>
          </w:p>
        </w:tc>
      </w:tr>
      <w:tr w14:paraId="5290E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205C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E9EB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CDB9E">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b/>
                <w:bCs w:val="0"/>
                <w:color w:val="auto"/>
                <w:kern w:val="0"/>
                <w:sz w:val="24"/>
                <w:szCs w:val="24"/>
                <w:highlight w:val="none"/>
                <w:lang w:val="en-US" w:eastAsia="zh-CN" w:bidi="ar-SA"/>
              </w:rPr>
              <w:t>★</w:t>
            </w:r>
            <w:r>
              <w:rPr>
                <w:rFonts w:hint="eastAsia" w:ascii="宋体" w:hAnsi="宋体" w:eastAsia="宋体" w:cs="宋体"/>
                <w:b/>
                <w:bCs/>
                <w:i w:val="0"/>
                <w:iCs w:val="0"/>
                <w:color w:val="auto"/>
                <w:kern w:val="0"/>
                <w:sz w:val="24"/>
                <w:szCs w:val="24"/>
                <w:highlight w:val="none"/>
                <w:u w:val="none"/>
                <w:lang w:val="en-US" w:eastAsia="zh-CN" w:bidi="ar"/>
              </w:rPr>
              <w:t>3、具有与教育部现行教学大纲相配套的资源库网站或者云平台，能实时通过网络下载各科课件资源（涵盖小学、初中及高中课程）。配套电子白板功能，支持书写、批注、绘图、画板、板擦及辅助教具功能。实配套集中管理功能，实现远程关机、重启等，并查看设备的状态和基本信息；配套还原功能，每次重启可还原到初始系统状态,支持软件一键静默安装；支持无人使用自动保护设备、多场景屏幕锁。</w:t>
            </w:r>
          </w:p>
        </w:tc>
      </w:tr>
      <w:tr w14:paraId="227DC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13E9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EC16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i w:val="0"/>
                <w:iCs w:val="0"/>
                <w:color w:val="auto"/>
                <w:sz w:val="24"/>
                <w:szCs w:val="24"/>
                <w:highlight w:val="none"/>
                <w:u w:val="none"/>
              </w:rPr>
            </w:pPr>
          </w:p>
        </w:tc>
        <w:tc>
          <w:tcPr>
            <w:tcW w:w="7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7AA72">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4、支持童锁功能，通过遥控器或组合按键锁定和解锁整机。</w:t>
            </w:r>
          </w:p>
        </w:tc>
      </w:tr>
    </w:tbl>
    <w:p w14:paraId="25874157">
      <w:pPr>
        <w:spacing w:line="360" w:lineRule="auto"/>
        <w:jc w:val="left"/>
        <w:outlineLvl w:val="9"/>
        <w:rPr>
          <w:rFonts w:hint="eastAsia" w:ascii="宋体" w:hAnsi="宋体" w:eastAsia="宋体" w:cs="宋体"/>
          <w:b/>
          <w:color w:val="auto"/>
          <w:sz w:val="28"/>
          <w:szCs w:val="28"/>
          <w:highlight w:val="none"/>
          <w:shd w:val="clear" w:color="auto" w:fill="FFFFFF"/>
        </w:rPr>
      </w:pPr>
    </w:p>
    <w:p w14:paraId="3FC730A8">
      <w:pPr>
        <w:spacing w:line="360" w:lineRule="auto"/>
        <w:jc w:val="left"/>
        <w:outlineLvl w:val="2"/>
        <w:rPr>
          <w:rFonts w:hint="eastAsia" w:ascii="宋体" w:hAnsi="宋体" w:eastAsia="宋体" w:cs="宋体"/>
          <w:b/>
          <w:color w:val="auto"/>
          <w:sz w:val="28"/>
          <w:szCs w:val="28"/>
          <w:highlight w:val="none"/>
          <w:shd w:val="clear" w:color="auto" w:fill="FFFFFF"/>
        </w:rPr>
      </w:pPr>
      <w:r>
        <w:rPr>
          <w:rFonts w:hint="eastAsia" w:ascii="宋体" w:hAnsi="宋体" w:eastAsia="宋体" w:cs="宋体"/>
          <w:b/>
          <w:color w:val="auto"/>
          <w:sz w:val="28"/>
          <w:szCs w:val="28"/>
          <w:highlight w:val="none"/>
          <w:shd w:val="clear" w:color="auto" w:fill="FFFFFF"/>
        </w:rPr>
        <w:t>（</w:t>
      </w:r>
      <w:r>
        <w:rPr>
          <w:rFonts w:hint="eastAsia" w:ascii="宋体" w:hAnsi="宋体" w:eastAsia="宋体" w:cs="宋体"/>
          <w:b/>
          <w:color w:val="auto"/>
          <w:sz w:val="28"/>
          <w:szCs w:val="28"/>
          <w:highlight w:val="none"/>
          <w:shd w:val="clear" w:color="auto" w:fill="FFFFFF"/>
          <w:lang w:val="en-US" w:eastAsia="zh-CN"/>
        </w:rPr>
        <w:t>2</w:t>
      </w:r>
      <w:r>
        <w:rPr>
          <w:rFonts w:hint="eastAsia" w:ascii="宋体" w:hAnsi="宋体" w:eastAsia="宋体" w:cs="宋体"/>
          <w:b/>
          <w:color w:val="auto"/>
          <w:sz w:val="28"/>
          <w:szCs w:val="28"/>
          <w:highlight w:val="none"/>
          <w:shd w:val="clear" w:color="auto" w:fill="FFFFFF"/>
        </w:rPr>
        <w:t>）</w:t>
      </w:r>
      <w:r>
        <w:rPr>
          <w:rFonts w:hint="eastAsia" w:ascii="宋体" w:hAnsi="宋体" w:eastAsia="宋体" w:cs="宋体"/>
          <w:b/>
          <w:color w:val="auto"/>
          <w:sz w:val="28"/>
          <w:szCs w:val="28"/>
          <w:highlight w:val="none"/>
          <w:shd w:val="clear" w:color="auto" w:fill="FFFFFF"/>
          <w:lang w:eastAsia="zh-CN"/>
        </w:rPr>
        <w:t>商务</w:t>
      </w:r>
      <w:r>
        <w:rPr>
          <w:rFonts w:hint="eastAsia" w:ascii="宋体" w:hAnsi="宋体" w:eastAsia="宋体" w:cs="宋体"/>
          <w:b/>
          <w:color w:val="auto"/>
          <w:sz w:val="28"/>
          <w:szCs w:val="28"/>
          <w:highlight w:val="none"/>
          <w:shd w:val="clear" w:color="auto" w:fill="FFFFFF"/>
        </w:rPr>
        <w:t>要求</w:t>
      </w:r>
      <w:r>
        <w:rPr>
          <w:rFonts w:hint="eastAsia" w:ascii="宋体" w:hAnsi="宋体" w:eastAsia="宋体" w:cs="宋体"/>
          <w:b/>
          <w:color w:val="auto"/>
          <w:sz w:val="28"/>
          <w:szCs w:val="28"/>
          <w:highlight w:val="none"/>
          <w:shd w:val="clear" w:color="auto" w:fill="FFFFFF"/>
          <w:lang w:eastAsia="zh-CN"/>
        </w:rPr>
        <w:t>（</w:t>
      </w:r>
      <w:r>
        <w:rPr>
          <w:rFonts w:hint="eastAsia" w:ascii="宋体" w:hAnsi="宋体" w:eastAsia="宋体" w:cs="宋体"/>
          <w:b/>
          <w:color w:val="auto"/>
          <w:sz w:val="28"/>
          <w:szCs w:val="28"/>
          <w:highlight w:val="none"/>
          <w:shd w:val="clear" w:color="auto" w:fill="FFFFFF"/>
          <w:lang w:val="en-US" w:eastAsia="zh-CN"/>
        </w:rPr>
        <w:t>采购包1至采购包2</w:t>
      </w:r>
      <w:r>
        <w:rPr>
          <w:rFonts w:hint="eastAsia" w:ascii="宋体" w:hAnsi="宋体" w:eastAsia="宋体" w:cs="宋体"/>
          <w:b/>
          <w:color w:val="auto"/>
          <w:sz w:val="28"/>
          <w:szCs w:val="28"/>
          <w:highlight w:val="none"/>
          <w:shd w:val="clear" w:color="auto" w:fill="FFFFFF"/>
          <w:lang w:eastAsia="zh-CN"/>
        </w:rPr>
        <w:t>）</w:t>
      </w:r>
    </w:p>
    <w:p w14:paraId="6167C636">
      <w:pPr>
        <w:shd w:val="clear" w:color="auto" w:fill="FFFFFF"/>
        <w:spacing w:line="360" w:lineRule="auto"/>
        <w:ind w:firstLine="484"/>
        <w:rPr>
          <w:rFonts w:hint="default" w:ascii="宋体" w:hAnsi="宋体" w:eastAsia="宋体" w:cs="宋体"/>
          <w:b/>
          <w:bCs w:val="0"/>
          <w:color w:val="auto"/>
          <w:kern w:val="0"/>
          <w:sz w:val="24"/>
          <w:szCs w:val="24"/>
          <w:highlight w:val="none"/>
          <w:lang w:val="en-US" w:eastAsia="zh-CN" w:bidi="ar-SA"/>
        </w:rPr>
      </w:pPr>
      <w:r>
        <w:rPr>
          <w:rFonts w:ascii="宋体" w:hAnsi="宋体" w:eastAsia="宋体" w:cs="宋体"/>
          <w:b/>
          <w:bCs w:val="0"/>
          <w:color w:val="auto"/>
          <w:kern w:val="0"/>
          <w:sz w:val="24"/>
          <w:szCs w:val="24"/>
          <w:highlight w:val="none"/>
          <w:lang w:val="en-US" w:eastAsia="zh-CN" w:bidi="ar-SA"/>
        </w:rPr>
        <w:t>★1、</w:t>
      </w:r>
      <w:r>
        <w:rPr>
          <w:rFonts w:hint="eastAsia" w:ascii="宋体" w:hAnsi="宋体" w:eastAsia="宋体" w:cs="宋体"/>
          <w:b/>
          <w:bCs w:val="0"/>
          <w:color w:val="auto"/>
          <w:kern w:val="0"/>
          <w:sz w:val="24"/>
          <w:szCs w:val="24"/>
          <w:highlight w:val="none"/>
          <w:lang w:val="en-US" w:eastAsia="zh-CN" w:bidi="ar-SA"/>
        </w:rPr>
        <w:t>投标人应为生产者（制造商）或者生产者（制造商）唯一授权供应商，投标人为生产者（制造商）唯一授权供应商时，投标人需要出具生产厂家的唯一授权函</w:t>
      </w:r>
      <w:r>
        <w:rPr>
          <w:rFonts w:ascii="宋体" w:hAnsi="宋体" w:eastAsia="宋体" w:cs="宋体"/>
          <w:b/>
          <w:bCs w:val="0"/>
          <w:color w:val="auto"/>
          <w:kern w:val="0"/>
          <w:sz w:val="24"/>
          <w:szCs w:val="24"/>
          <w:highlight w:val="none"/>
          <w:lang w:val="en-US" w:eastAsia="zh-CN" w:bidi="ar-SA"/>
        </w:rPr>
        <w:t>。</w:t>
      </w:r>
    </w:p>
    <w:p w14:paraId="4AC89BFD">
      <w:pPr>
        <w:shd w:val="clear" w:color="auto" w:fill="FFFFFF"/>
        <w:spacing w:line="360" w:lineRule="auto"/>
        <w:ind w:firstLine="484"/>
        <w:rPr>
          <w:rFonts w:hint="eastAsia" w:ascii="宋体" w:hAnsi="宋体" w:eastAsia="宋体" w:cs="宋体"/>
          <w:b/>
          <w:bCs w:val="0"/>
          <w:color w:val="auto"/>
          <w:kern w:val="0"/>
          <w:sz w:val="24"/>
          <w:szCs w:val="24"/>
          <w:highlight w:val="none"/>
          <w:lang w:val="en-US" w:eastAsia="zh-CN" w:bidi="ar-SA"/>
        </w:rPr>
      </w:pPr>
      <w:r>
        <w:rPr>
          <w:rFonts w:ascii="宋体" w:hAnsi="宋体" w:eastAsia="宋体" w:cs="宋体"/>
          <w:b/>
          <w:bCs w:val="0"/>
          <w:color w:val="auto"/>
          <w:kern w:val="0"/>
          <w:sz w:val="24"/>
          <w:szCs w:val="24"/>
          <w:highlight w:val="none"/>
          <w:lang w:val="en-US" w:eastAsia="zh-CN" w:bidi="ar-SA"/>
        </w:rPr>
        <w:t>★2、</w:t>
      </w:r>
      <w:r>
        <w:rPr>
          <w:rFonts w:hint="eastAsia" w:ascii="宋体" w:hAnsi="宋体" w:eastAsia="宋体" w:cs="宋体"/>
          <w:b/>
          <w:bCs w:val="0"/>
          <w:color w:val="auto"/>
          <w:kern w:val="0"/>
          <w:sz w:val="24"/>
          <w:szCs w:val="24"/>
          <w:highlight w:val="none"/>
          <w:lang w:val="en-US" w:bidi="ar-SA"/>
        </w:rPr>
        <w:t>投标人响应的货物和服务的技术、商务等条件不得低于采购需求</w:t>
      </w:r>
      <w:r>
        <w:rPr>
          <w:rFonts w:hint="eastAsia" w:ascii="宋体" w:hAnsi="宋体" w:eastAsia="宋体" w:cs="宋体"/>
          <w:b/>
          <w:bCs w:val="0"/>
          <w:color w:val="auto"/>
          <w:kern w:val="0"/>
          <w:sz w:val="24"/>
          <w:szCs w:val="24"/>
          <w:highlight w:val="none"/>
          <w:u w:val="none"/>
          <w:lang w:val="en-US" w:bidi="ar-SA"/>
        </w:rPr>
        <w:t>。</w:t>
      </w:r>
      <w:r>
        <w:rPr>
          <w:rFonts w:hint="eastAsia" w:ascii="宋体" w:hAnsi="宋体" w:eastAsia="宋体" w:cs="宋体"/>
          <w:b/>
          <w:bCs w:val="0"/>
          <w:color w:val="auto"/>
          <w:kern w:val="0"/>
          <w:sz w:val="24"/>
          <w:szCs w:val="24"/>
          <w:highlight w:val="none"/>
          <w:lang w:val="en-US" w:bidi="ar-SA"/>
        </w:rPr>
        <w:t>虚假响应的一经发现取消入围资格，并按照政府采购相关</w:t>
      </w:r>
      <w:r>
        <w:rPr>
          <w:rFonts w:hint="eastAsia" w:ascii="宋体" w:hAnsi="宋体" w:eastAsia="宋体" w:cs="宋体"/>
          <w:b/>
          <w:bCs w:val="0"/>
          <w:color w:val="auto"/>
          <w:kern w:val="0"/>
          <w:sz w:val="24"/>
          <w:szCs w:val="24"/>
          <w:highlight w:val="none"/>
          <w:lang w:val="en-US" w:eastAsia="zh-CN" w:bidi="ar-SA"/>
        </w:rPr>
        <w:t>规定</w:t>
      </w:r>
      <w:r>
        <w:rPr>
          <w:rFonts w:hint="eastAsia" w:ascii="宋体" w:hAnsi="宋体" w:eastAsia="宋体" w:cs="宋体"/>
          <w:b/>
          <w:bCs w:val="0"/>
          <w:color w:val="auto"/>
          <w:kern w:val="0"/>
          <w:sz w:val="24"/>
          <w:szCs w:val="24"/>
          <w:highlight w:val="none"/>
          <w:lang w:val="en-US" w:bidi="ar-SA"/>
        </w:rPr>
        <w:t>处理。</w:t>
      </w:r>
    </w:p>
    <w:p w14:paraId="429ED2B3">
      <w:pPr>
        <w:shd w:val="clear" w:color="auto" w:fill="FFFFFF"/>
        <w:spacing w:line="360" w:lineRule="auto"/>
        <w:ind w:firstLine="484"/>
        <w:rPr>
          <w:rFonts w:ascii="宋体" w:hAnsi="宋体" w:eastAsia="宋体" w:cs="宋体"/>
          <w:b/>
          <w:bCs w:val="0"/>
          <w:color w:val="auto"/>
          <w:kern w:val="0"/>
          <w:sz w:val="24"/>
          <w:szCs w:val="24"/>
          <w:highlight w:val="none"/>
          <w:lang w:val="en-US" w:eastAsia="zh-CN" w:bidi="ar-SA"/>
        </w:rPr>
      </w:pPr>
      <w:r>
        <w:rPr>
          <w:rFonts w:ascii="宋体" w:hAnsi="宋体" w:eastAsia="宋体" w:cs="宋体"/>
          <w:b/>
          <w:bCs w:val="0"/>
          <w:color w:val="auto"/>
          <w:kern w:val="0"/>
          <w:sz w:val="24"/>
          <w:szCs w:val="24"/>
          <w:highlight w:val="none"/>
          <w:lang w:val="en-US" w:eastAsia="zh-CN" w:bidi="ar-SA"/>
        </w:rPr>
        <w:t>★3、</w:t>
      </w:r>
      <w:r>
        <w:rPr>
          <w:rFonts w:hint="eastAsia" w:ascii="宋体" w:hAnsi="宋体" w:eastAsia="宋体" w:cs="宋体"/>
          <w:b/>
          <w:bCs w:val="0"/>
          <w:color w:val="auto"/>
          <w:kern w:val="0"/>
          <w:sz w:val="24"/>
          <w:szCs w:val="24"/>
          <w:highlight w:val="none"/>
          <w:lang w:val="en-US" w:eastAsia="zh-CN" w:bidi="ar-SA"/>
        </w:rPr>
        <w:t>投标人针对每个采购包只能用同一个品牌产品进行响应，且每个品目号只能用一个产品响应（所投产品生产者须提供承诺函）。</w:t>
      </w:r>
    </w:p>
    <w:p w14:paraId="1658385F">
      <w:pPr>
        <w:shd w:val="clear" w:color="auto" w:fill="FFFFFF"/>
        <w:spacing w:line="360" w:lineRule="auto"/>
        <w:ind w:firstLine="484"/>
        <w:rPr>
          <w:rFonts w:ascii="宋体" w:hAnsi="宋体" w:eastAsia="宋体" w:cs="宋体"/>
          <w:b/>
          <w:bCs w:val="0"/>
          <w:color w:val="auto"/>
          <w:kern w:val="0"/>
          <w:sz w:val="24"/>
          <w:szCs w:val="24"/>
          <w:highlight w:val="none"/>
          <w:lang w:val="en-US" w:eastAsia="zh-CN" w:bidi="ar-SA"/>
        </w:rPr>
      </w:pPr>
      <w:r>
        <w:rPr>
          <w:rFonts w:ascii="宋体" w:hAnsi="宋体" w:eastAsia="宋体" w:cs="宋体"/>
          <w:b/>
          <w:bCs w:val="0"/>
          <w:color w:val="auto"/>
          <w:kern w:val="0"/>
          <w:sz w:val="24"/>
          <w:szCs w:val="24"/>
          <w:highlight w:val="none"/>
          <w:lang w:val="en-US" w:eastAsia="zh-CN" w:bidi="ar-SA"/>
        </w:rPr>
        <w:t>★</w:t>
      </w:r>
      <w:r>
        <w:rPr>
          <w:rFonts w:hint="eastAsia" w:ascii="宋体" w:hAnsi="宋体" w:cs="宋体"/>
          <w:b/>
          <w:bCs w:val="0"/>
          <w:color w:val="auto"/>
          <w:kern w:val="0"/>
          <w:sz w:val="24"/>
          <w:szCs w:val="24"/>
          <w:highlight w:val="none"/>
          <w:lang w:val="en-US" w:eastAsia="zh-CN" w:bidi="ar-SA"/>
        </w:rPr>
        <w:t>4</w:t>
      </w:r>
      <w:r>
        <w:rPr>
          <w:rFonts w:ascii="宋体" w:hAnsi="宋体" w:eastAsia="宋体" w:cs="宋体"/>
          <w:b/>
          <w:bCs w:val="0"/>
          <w:color w:val="auto"/>
          <w:kern w:val="0"/>
          <w:sz w:val="24"/>
          <w:szCs w:val="24"/>
          <w:highlight w:val="none"/>
          <w:lang w:val="en-US" w:eastAsia="zh-CN" w:bidi="ar-SA"/>
        </w:rPr>
        <w:t>、我司承诺：</w:t>
      </w:r>
    </w:p>
    <w:p w14:paraId="46DDA412">
      <w:pPr>
        <w:shd w:val="clear" w:color="auto" w:fill="FFFFFF"/>
        <w:spacing w:line="360" w:lineRule="auto"/>
        <w:ind w:firstLine="484"/>
        <w:rPr>
          <w:rFonts w:ascii="宋体" w:hAnsi="宋体" w:eastAsia="宋体" w:cs="宋体"/>
          <w:b/>
          <w:bCs w:val="0"/>
          <w:color w:val="auto"/>
          <w:kern w:val="0"/>
          <w:sz w:val="24"/>
          <w:szCs w:val="24"/>
          <w:highlight w:val="none"/>
          <w:lang w:val="en-US" w:eastAsia="zh-CN" w:bidi="ar-SA"/>
        </w:rPr>
      </w:pPr>
      <w:r>
        <w:rPr>
          <w:rFonts w:hint="eastAsia" w:ascii="宋体" w:hAnsi="宋体" w:eastAsia="宋体" w:cs="宋体"/>
          <w:b/>
          <w:bCs w:val="0"/>
          <w:color w:val="auto"/>
          <w:kern w:val="0"/>
          <w:sz w:val="24"/>
          <w:szCs w:val="24"/>
          <w:highlight w:val="none"/>
          <w:lang w:val="en-US" w:eastAsia="zh-CN" w:bidi="ar-SA"/>
        </w:rPr>
        <w:t>针对本项目征集文件中第三章中“征集内容及要求”部分，根据投标人所提供的：①产品彩页；②投标品牌市面流通的同一品牌同一型号产品设备（该产品设备可由征集人从市场上自行购买）内附说明书或光盘信息；</w:t>
      </w:r>
      <w:r>
        <w:rPr>
          <w:rFonts w:hint="eastAsia" w:ascii="宋体" w:hAnsi="宋体" w:cs="宋体"/>
          <w:b/>
          <w:bCs w:val="0"/>
          <w:color w:val="auto"/>
          <w:kern w:val="0"/>
          <w:sz w:val="24"/>
          <w:szCs w:val="24"/>
          <w:highlight w:val="none"/>
          <w:lang w:val="en-US" w:eastAsia="zh-CN" w:bidi="ar-SA"/>
        </w:rPr>
        <w:t>③</w:t>
      </w:r>
      <w:r>
        <w:rPr>
          <w:rFonts w:hint="eastAsia" w:ascii="宋体" w:hAnsi="宋体" w:eastAsia="宋体" w:cs="宋体"/>
          <w:b/>
          <w:bCs w:val="0"/>
          <w:color w:val="auto"/>
          <w:kern w:val="0"/>
          <w:sz w:val="24"/>
          <w:szCs w:val="24"/>
          <w:highlight w:val="none"/>
          <w:lang w:val="en-US" w:eastAsia="zh-CN" w:bidi="ar-SA"/>
        </w:rPr>
        <w:t>针对本项目的投标响应文件。若上述材料或文件出现技术参数不一致的，投标人接受以如下参数选择作为评价依据：</w:t>
      </w:r>
    </w:p>
    <w:p w14:paraId="5E58367D">
      <w:pPr>
        <w:widowControl/>
        <w:shd w:val="clear"/>
        <w:spacing w:line="360" w:lineRule="auto"/>
        <w:ind w:firstLine="482" w:firstLineChars="200"/>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分辨率：取最小值</w:t>
      </w:r>
    </w:p>
    <w:p w14:paraId="4180F1CF">
      <w:pPr>
        <w:widowControl/>
        <w:shd w:val="clear"/>
        <w:spacing w:line="360" w:lineRule="auto"/>
        <w:ind w:firstLine="482" w:firstLineChars="200"/>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可视角度：取最小值</w:t>
      </w:r>
    </w:p>
    <w:p w14:paraId="1943C7D9">
      <w:pPr>
        <w:widowControl/>
        <w:shd w:val="clear"/>
        <w:spacing w:line="360" w:lineRule="auto"/>
        <w:ind w:firstLine="482" w:firstLineChars="200"/>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触摸点数：取最小值</w:t>
      </w:r>
    </w:p>
    <w:p w14:paraId="2F43EEC1">
      <w:pPr>
        <w:widowControl/>
        <w:shd w:val="clear"/>
        <w:spacing w:line="360" w:lineRule="auto"/>
        <w:ind w:firstLine="482" w:firstLineChars="200"/>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PC系统内存：取最小值</w:t>
      </w:r>
    </w:p>
    <w:p w14:paraId="50F36498">
      <w:pPr>
        <w:widowControl/>
        <w:shd w:val="clear"/>
        <w:spacing w:line="360" w:lineRule="auto"/>
        <w:ind w:firstLine="482" w:firstLineChars="200"/>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PC系统硬盘：取最小值</w:t>
      </w:r>
    </w:p>
    <w:p w14:paraId="0A883BF0">
      <w:pPr>
        <w:widowControl/>
        <w:shd w:val="clear"/>
        <w:spacing w:line="360" w:lineRule="auto"/>
        <w:ind w:firstLine="482" w:firstLineChars="200"/>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一键开关液晶屏背光实现节电的能力：取最小值</w:t>
      </w:r>
    </w:p>
    <w:p w14:paraId="2AD51A56">
      <w:pPr>
        <w:widowControl/>
        <w:shd w:val="clear"/>
        <w:spacing w:line="360" w:lineRule="auto"/>
        <w:ind w:firstLine="482" w:firstLineChars="200"/>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任意通道下同时书写的点数：取最小值</w:t>
      </w:r>
    </w:p>
    <w:p w14:paraId="13BEF2F1">
      <w:pPr>
        <w:widowControl/>
        <w:shd w:val="clear"/>
        <w:spacing w:line="360" w:lineRule="auto"/>
        <w:ind w:firstLine="482" w:firstLineChars="200"/>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防遮挡功能支持遮挡点数：取最小值</w:t>
      </w:r>
    </w:p>
    <w:p w14:paraId="05786B21">
      <w:pPr>
        <w:widowControl/>
        <w:shd w:val="clear"/>
        <w:spacing w:line="360" w:lineRule="auto"/>
        <w:ind w:firstLine="482" w:firstLineChars="200"/>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平均无故障时间：取最小值</w:t>
      </w:r>
    </w:p>
    <w:p w14:paraId="78ECACE3">
      <w:pPr>
        <w:widowControl/>
        <w:shd w:val="clear"/>
        <w:spacing w:line="360" w:lineRule="auto"/>
        <w:ind w:firstLine="482" w:firstLineChars="200"/>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前置面板双边物理快捷键数量：取最小值</w:t>
      </w:r>
    </w:p>
    <w:p w14:paraId="6E73B9CC">
      <w:pPr>
        <w:widowControl/>
        <w:shd w:val="clear"/>
        <w:spacing w:line="360" w:lineRule="auto"/>
        <w:ind w:firstLine="482" w:firstLineChars="200"/>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书写延迟时间：取最大值</w:t>
      </w:r>
    </w:p>
    <w:p w14:paraId="5505CED9">
      <w:pPr>
        <w:shd w:val="clear" w:color="auto" w:fill="FFFFFF"/>
        <w:spacing w:line="360" w:lineRule="auto"/>
        <w:ind w:firstLine="484"/>
        <w:rPr>
          <w:rFonts w:ascii="宋体" w:hAnsi="宋体" w:eastAsia="宋体" w:cs="宋体"/>
          <w:bCs/>
          <w:color w:val="auto"/>
          <w:kern w:val="0"/>
          <w:sz w:val="24"/>
          <w:szCs w:val="24"/>
          <w:highlight w:val="none"/>
          <w:lang w:val="en-US" w:eastAsia="zh-CN" w:bidi="ar-SA"/>
        </w:rPr>
      </w:pPr>
    </w:p>
    <w:p w14:paraId="72A56A4D">
      <w:pPr>
        <w:shd w:val="clear" w:color="auto" w:fill="FFFFFF"/>
        <w:spacing w:line="360" w:lineRule="auto"/>
        <w:ind w:firstLine="484"/>
        <w:rPr>
          <w:rFonts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针对上述承诺，我司将严格遵守，若有违背，视为我司虚假应标，采购代理机构有权没收全部投标保证金；若本项目框架采购协议已签订的，在框架采购协议签订后的</w:t>
      </w:r>
      <w:r>
        <w:rPr>
          <w:rFonts w:ascii="宋体" w:hAnsi="宋体" w:eastAsia="宋体" w:cs="宋体"/>
          <w:bCs/>
          <w:color w:val="auto"/>
          <w:kern w:val="0"/>
          <w:sz w:val="24"/>
          <w:szCs w:val="24"/>
          <w:highlight w:val="none"/>
          <w:lang w:val="en-US" w:eastAsia="zh-CN" w:bidi="ar-SA"/>
        </w:rPr>
        <w:t>60个日历日内，</w:t>
      </w:r>
      <w:r>
        <w:rPr>
          <w:rFonts w:hint="eastAsia" w:ascii="宋体" w:hAnsi="宋体" w:eastAsia="宋体" w:cs="宋体"/>
          <w:bCs/>
          <w:color w:val="auto"/>
          <w:kern w:val="0"/>
          <w:sz w:val="24"/>
          <w:szCs w:val="24"/>
          <w:highlight w:val="none"/>
          <w:lang w:val="en-US" w:eastAsia="zh-CN" w:bidi="ar-SA"/>
        </w:rPr>
        <w:t>征集人</w:t>
      </w:r>
      <w:r>
        <w:rPr>
          <w:rFonts w:ascii="宋体" w:hAnsi="宋体" w:eastAsia="宋体" w:cs="宋体"/>
          <w:bCs/>
          <w:color w:val="auto"/>
          <w:kern w:val="0"/>
          <w:sz w:val="24"/>
          <w:szCs w:val="24"/>
          <w:highlight w:val="none"/>
          <w:lang w:val="en-US" w:eastAsia="zh-CN" w:bidi="ar-SA"/>
        </w:rPr>
        <w:t>有权单方面解除合同，没收全部履约保证金，同时接受</w:t>
      </w:r>
      <w:r>
        <w:rPr>
          <w:rFonts w:hint="eastAsia" w:ascii="宋体" w:hAnsi="宋体" w:eastAsia="宋体" w:cs="宋体"/>
          <w:bCs/>
          <w:color w:val="auto"/>
          <w:kern w:val="0"/>
          <w:sz w:val="24"/>
          <w:szCs w:val="24"/>
          <w:highlight w:val="none"/>
          <w:lang w:val="en-US" w:eastAsia="zh-CN" w:bidi="ar-SA"/>
        </w:rPr>
        <w:t>征集人</w:t>
      </w:r>
      <w:r>
        <w:rPr>
          <w:rFonts w:ascii="宋体" w:hAnsi="宋体" w:eastAsia="宋体" w:cs="宋体"/>
          <w:bCs/>
          <w:color w:val="auto"/>
          <w:kern w:val="0"/>
          <w:sz w:val="24"/>
          <w:szCs w:val="24"/>
          <w:highlight w:val="none"/>
          <w:lang w:val="en-US" w:eastAsia="zh-CN" w:bidi="ar-SA"/>
        </w:rPr>
        <w:t>拒绝我司参与下一年度</w:t>
      </w:r>
      <w:r>
        <w:rPr>
          <w:rFonts w:hint="eastAsia" w:ascii="宋体" w:hAnsi="宋体" w:eastAsia="宋体" w:cs="宋体"/>
          <w:bCs/>
          <w:color w:val="auto"/>
          <w:kern w:val="0"/>
          <w:sz w:val="24"/>
          <w:szCs w:val="24"/>
          <w:highlight w:val="none"/>
          <w:lang w:val="en-US" w:eastAsia="zh-CN" w:bidi="ar-SA"/>
        </w:rPr>
        <w:t>大宗</w:t>
      </w:r>
      <w:r>
        <w:rPr>
          <w:rFonts w:hint="eastAsia" w:ascii="宋体" w:hAnsi="宋体" w:cs="宋体"/>
          <w:bCs/>
          <w:color w:val="auto"/>
          <w:kern w:val="0"/>
          <w:sz w:val="24"/>
          <w:szCs w:val="24"/>
          <w:highlight w:val="none"/>
          <w:lang w:val="en-US" w:eastAsia="zh-CN" w:bidi="ar-SA"/>
        </w:rPr>
        <w:t>触控一体机</w:t>
      </w:r>
      <w:r>
        <w:rPr>
          <w:rFonts w:hint="eastAsia" w:ascii="宋体" w:hAnsi="宋体" w:eastAsia="宋体" w:cs="宋体"/>
          <w:bCs/>
          <w:color w:val="auto"/>
          <w:kern w:val="0"/>
          <w:sz w:val="24"/>
          <w:szCs w:val="24"/>
          <w:highlight w:val="none"/>
          <w:lang w:val="en-US" w:eastAsia="zh-CN" w:bidi="ar-SA"/>
        </w:rPr>
        <w:t>产品框架采购项目</w:t>
      </w:r>
      <w:r>
        <w:rPr>
          <w:rFonts w:ascii="宋体" w:hAnsi="宋体" w:eastAsia="宋体" w:cs="宋体"/>
          <w:bCs/>
          <w:color w:val="auto"/>
          <w:kern w:val="0"/>
          <w:sz w:val="24"/>
          <w:szCs w:val="24"/>
          <w:highlight w:val="none"/>
          <w:lang w:val="en-US" w:eastAsia="zh-CN" w:bidi="ar-SA"/>
        </w:rPr>
        <w:t>的投标</w:t>
      </w:r>
      <w:r>
        <w:rPr>
          <w:rFonts w:hint="eastAsia" w:ascii="宋体" w:hAnsi="宋体" w:eastAsia="宋体" w:cs="宋体"/>
          <w:bCs/>
          <w:color w:val="auto"/>
          <w:kern w:val="0"/>
          <w:sz w:val="24"/>
          <w:szCs w:val="24"/>
          <w:highlight w:val="none"/>
          <w:lang w:val="en-US" w:eastAsia="zh-CN" w:bidi="ar-SA"/>
        </w:rPr>
        <w:t>。</w:t>
      </w:r>
    </w:p>
    <w:p w14:paraId="009DB7AD">
      <w:pPr>
        <w:shd w:val="clear" w:color="auto" w:fill="FFFFFF"/>
        <w:spacing w:line="360" w:lineRule="auto"/>
        <w:ind w:firstLine="484"/>
        <w:rPr>
          <w:rFonts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特此承诺！</w:t>
      </w:r>
    </w:p>
    <w:p w14:paraId="26227481">
      <w:pPr>
        <w:shd w:val="clear" w:color="auto" w:fill="FFFFFF"/>
        <w:spacing w:line="360" w:lineRule="auto"/>
        <w:ind w:firstLine="484"/>
        <w:rPr>
          <w:rFonts w:ascii="宋体" w:hAnsi="宋体" w:eastAsia="宋体" w:cs="宋体"/>
          <w:bCs/>
          <w:color w:val="auto"/>
          <w:kern w:val="0"/>
          <w:sz w:val="24"/>
          <w:szCs w:val="24"/>
          <w:highlight w:val="none"/>
          <w:lang w:val="en-US" w:eastAsia="zh-CN" w:bidi="ar-SA"/>
        </w:rPr>
      </w:pPr>
    </w:p>
    <w:p w14:paraId="5F8E0523">
      <w:pPr>
        <w:shd w:val="clear" w:color="auto" w:fill="FFFFFF"/>
        <w:spacing w:line="360" w:lineRule="auto"/>
        <w:ind w:firstLine="484"/>
        <w:rPr>
          <w:rFonts w:ascii="宋体" w:hAnsi="宋体" w:eastAsia="宋体" w:cs="宋体"/>
          <w:bCs/>
          <w:color w:val="auto"/>
          <w:kern w:val="0"/>
          <w:sz w:val="24"/>
          <w:szCs w:val="24"/>
          <w:highlight w:val="none"/>
          <w:lang w:val="en-US" w:eastAsia="zh-CN" w:bidi="ar-SA"/>
        </w:rPr>
      </w:pPr>
      <w:r>
        <w:rPr>
          <w:rFonts w:ascii="宋体" w:hAnsi="宋体" w:eastAsia="宋体" w:cs="宋体"/>
          <w:bCs/>
          <w:color w:val="auto"/>
          <w:kern w:val="0"/>
          <w:sz w:val="24"/>
          <w:szCs w:val="24"/>
          <w:highlight w:val="none"/>
          <w:lang w:val="en-US" w:eastAsia="zh-CN" w:bidi="ar-SA"/>
        </w:rPr>
        <w:t xml:space="preserve">                     </w:t>
      </w:r>
    </w:p>
    <w:p w14:paraId="22C0C779">
      <w:pPr>
        <w:shd w:val="clear" w:color="auto" w:fill="FFFFFF"/>
        <w:spacing w:line="360" w:lineRule="auto"/>
        <w:ind w:firstLine="484"/>
        <w:rPr>
          <w:rFonts w:ascii="宋体" w:hAnsi="宋体" w:eastAsia="宋体" w:cs="宋体"/>
          <w:bCs/>
          <w:color w:val="auto"/>
          <w:kern w:val="0"/>
          <w:sz w:val="24"/>
          <w:szCs w:val="24"/>
          <w:highlight w:val="none"/>
          <w:lang w:val="en-US" w:eastAsia="zh-CN" w:bidi="ar-SA"/>
        </w:rPr>
      </w:pPr>
      <w:r>
        <w:rPr>
          <w:rFonts w:ascii="宋体" w:hAnsi="宋体" w:eastAsia="宋体" w:cs="宋体"/>
          <w:bCs/>
          <w:color w:val="auto"/>
          <w:kern w:val="0"/>
          <w:sz w:val="24"/>
          <w:szCs w:val="24"/>
          <w:highlight w:val="none"/>
          <w:lang w:val="en-US" w:eastAsia="zh-CN" w:bidi="ar-SA"/>
        </w:rPr>
        <w:t xml:space="preserve">                        投标人（全称并加盖公章）：                         </w:t>
      </w:r>
    </w:p>
    <w:p w14:paraId="28369DCE">
      <w:pPr>
        <w:shd w:val="clear" w:color="auto" w:fill="FFFFFF"/>
        <w:spacing w:line="360" w:lineRule="auto"/>
        <w:ind w:firstLine="484"/>
        <w:rPr>
          <w:rFonts w:ascii="宋体" w:hAnsi="宋体" w:eastAsia="宋体" w:cs="宋体"/>
          <w:bCs/>
          <w:color w:val="auto"/>
          <w:kern w:val="0"/>
          <w:sz w:val="24"/>
          <w:szCs w:val="24"/>
          <w:highlight w:val="none"/>
          <w:lang w:val="en-US" w:eastAsia="zh-CN" w:bidi="ar-SA"/>
        </w:rPr>
      </w:pPr>
      <w:r>
        <w:rPr>
          <w:rFonts w:ascii="宋体" w:hAnsi="宋体" w:eastAsia="宋体" w:cs="宋体"/>
          <w:bCs/>
          <w:color w:val="auto"/>
          <w:kern w:val="0"/>
          <w:sz w:val="24"/>
          <w:szCs w:val="24"/>
          <w:highlight w:val="none"/>
          <w:lang w:val="en-US" w:eastAsia="zh-CN" w:bidi="ar-SA"/>
        </w:rPr>
        <w:t xml:space="preserve">                        日  期：      年     月     日</w:t>
      </w:r>
    </w:p>
    <w:p w14:paraId="1296E18C">
      <w:pPr>
        <w:shd w:val="clear" w:color="auto" w:fill="FFFFFF"/>
        <w:spacing w:line="360" w:lineRule="auto"/>
        <w:ind w:firstLine="484"/>
        <w:rPr>
          <w:rFonts w:ascii="宋体" w:hAnsi="宋体" w:eastAsia="宋体" w:cs="宋体"/>
          <w:bCs/>
          <w:color w:val="auto"/>
          <w:kern w:val="0"/>
          <w:sz w:val="24"/>
          <w:szCs w:val="24"/>
          <w:highlight w:val="none"/>
          <w:lang w:val="en-US" w:eastAsia="zh-CN" w:bidi="ar-SA"/>
        </w:rPr>
      </w:pPr>
      <w:r>
        <w:rPr>
          <w:rFonts w:hint="eastAsia" w:ascii="宋体" w:hAnsi="宋体" w:cs="宋体"/>
          <w:bCs/>
          <w:color w:val="auto"/>
          <w:kern w:val="0"/>
          <w:sz w:val="24"/>
          <w:szCs w:val="24"/>
          <w:highlight w:val="none"/>
          <w:lang w:val="en-US" w:eastAsia="zh-CN" w:bidi="ar-SA"/>
        </w:rPr>
        <w:t>5</w:t>
      </w:r>
      <w:r>
        <w:rPr>
          <w:rFonts w:ascii="宋体" w:hAnsi="宋体" w:eastAsia="宋体" w:cs="宋体"/>
          <w:bCs/>
          <w:color w:val="auto"/>
          <w:kern w:val="0"/>
          <w:sz w:val="24"/>
          <w:szCs w:val="24"/>
          <w:highlight w:val="none"/>
          <w:lang w:val="en-US" w:eastAsia="zh-CN" w:bidi="ar-SA"/>
        </w:rPr>
        <w:t>、</w:t>
      </w:r>
      <w:r>
        <w:rPr>
          <w:rFonts w:hint="eastAsia" w:ascii="宋体" w:hAnsi="宋体" w:eastAsia="宋体" w:cs="宋体"/>
          <w:bCs/>
          <w:color w:val="auto"/>
          <w:kern w:val="0"/>
          <w:sz w:val="24"/>
          <w:szCs w:val="24"/>
          <w:highlight w:val="none"/>
          <w:lang w:val="en-US" w:eastAsia="zh-CN" w:bidi="ar-SA"/>
        </w:rPr>
        <w:t>商务其它</w:t>
      </w:r>
      <w:r>
        <w:rPr>
          <w:rFonts w:ascii="宋体" w:hAnsi="宋体" w:eastAsia="宋体" w:cs="宋体"/>
          <w:bCs/>
          <w:color w:val="auto"/>
          <w:kern w:val="0"/>
          <w:sz w:val="24"/>
          <w:szCs w:val="24"/>
          <w:highlight w:val="none"/>
          <w:lang w:val="en-US" w:eastAsia="zh-CN" w:bidi="ar-SA"/>
        </w:rPr>
        <w:t>要求</w:t>
      </w:r>
    </w:p>
    <w:p w14:paraId="56942602">
      <w:pPr>
        <w:shd w:val="clear" w:color="auto" w:fill="FFFFFF"/>
        <w:spacing w:line="360" w:lineRule="auto"/>
        <w:ind w:firstLine="484"/>
        <w:rPr>
          <w:rFonts w:hint="default" w:ascii="宋体" w:hAnsi="宋体" w:eastAsia="宋体" w:cs="宋体"/>
          <w:b/>
          <w:bCs w:val="0"/>
          <w:color w:val="auto"/>
          <w:kern w:val="0"/>
          <w:sz w:val="24"/>
          <w:szCs w:val="24"/>
          <w:highlight w:val="none"/>
          <w:lang w:val="en-US" w:eastAsia="zh-CN" w:bidi="ar-SA"/>
        </w:rPr>
      </w:pPr>
      <w:r>
        <w:rPr>
          <w:rFonts w:ascii="宋体" w:hAnsi="宋体" w:eastAsia="宋体" w:cs="宋体"/>
          <w:b/>
          <w:bCs w:val="0"/>
          <w:color w:val="auto"/>
          <w:kern w:val="0"/>
          <w:sz w:val="24"/>
          <w:szCs w:val="24"/>
          <w:highlight w:val="none"/>
          <w:lang w:val="en-US" w:eastAsia="zh-CN" w:bidi="ar-SA"/>
        </w:rPr>
        <w:t>★</w:t>
      </w:r>
      <w:r>
        <w:rPr>
          <w:rFonts w:hint="eastAsia" w:ascii="宋体" w:hAnsi="宋体" w:cs="宋体"/>
          <w:b/>
          <w:bCs w:val="0"/>
          <w:color w:val="auto"/>
          <w:kern w:val="0"/>
          <w:sz w:val="24"/>
          <w:szCs w:val="24"/>
          <w:highlight w:val="none"/>
          <w:lang w:val="en-US" w:eastAsia="zh-CN" w:bidi="ar-SA"/>
        </w:rPr>
        <w:t>5</w:t>
      </w:r>
      <w:r>
        <w:rPr>
          <w:rFonts w:ascii="宋体" w:hAnsi="宋体" w:eastAsia="宋体" w:cs="宋体"/>
          <w:b/>
          <w:bCs w:val="0"/>
          <w:color w:val="auto"/>
          <w:kern w:val="0"/>
          <w:sz w:val="24"/>
          <w:szCs w:val="24"/>
          <w:highlight w:val="none"/>
          <w:lang w:val="en-US" w:eastAsia="zh-CN" w:bidi="ar-SA"/>
        </w:rPr>
        <w:t>.1</w:t>
      </w:r>
      <w:r>
        <w:rPr>
          <w:rFonts w:hint="eastAsia" w:ascii="宋体" w:hAnsi="宋体" w:eastAsia="宋体" w:cs="宋体"/>
          <w:b/>
          <w:bCs w:val="0"/>
          <w:color w:val="auto"/>
          <w:kern w:val="0"/>
          <w:sz w:val="24"/>
          <w:szCs w:val="24"/>
          <w:highlight w:val="none"/>
          <w:lang w:val="en-US" w:eastAsia="zh-CN" w:bidi="ar-SA"/>
        </w:rPr>
        <w:t>投标人应提供所投标设备的品牌、型号及主要技术参数、性能说明及功能介绍。</w:t>
      </w:r>
    </w:p>
    <w:p w14:paraId="13DCB9A7">
      <w:pPr>
        <w:shd w:val="clear" w:color="auto" w:fill="FFFFFF"/>
        <w:spacing w:line="360" w:lineRule="auto"/>
        <w:ind w:firstLine="484"/>
        <w:rPr>
          <w:rFonts w:ascii="宋体" w:hAnsi="宋体" w:eastAsia="宋体" w:cs="宋体"/>
          <w:bCs/>
          <w:color w:val="auto"/>
          <w:kern w:val="0"/>
          <w:sz w:val="24"/>
          <w:szCs w:val="24"/>
          <w:highlight w:val="none"/>
          <w:lang w:val="en-US" w:eastAsia="zh-CN" w:bidi="ar-SA"/>
        </w:rPr>
      </w:pPr>
      <w:r>
        <w:rPr>
          <w:rFonts w:hint="eastAsia" w:ascii="宋体" w:hAnsi="宋体" w:cs="宋体"/>
          <w:bCs/>
          <w:color w:val="auto"/>
          <w:kern w:val="0"/>
          <w:sz w:val="24"/>
          <w:szCs w:val="24"/>
          <w:highlight w:val="none"/>
          <w:lang w:val="en-US" w:eastAsia="zh-CN" w:bidi="ar-SA"/>
        </w:rPr>
        <w:t>5</w:t>
      </w:r>
      <w:r>
        <w:rPr>
          <w:rFonts w:ascii="宋体" w:hAnsi="宋体" w:eastAsia="宋体" w:cs="宋体"/>
          <w:bCs/>
          <w:color w:val="auto"/>
          <w:kern w:val="0"/>
          <w:sz w:val="24"/>
          <w:szCs w:val="24"/>
          <w:highlight w:val="none"/>
          <w:lang w:val="en-US" w:eastAsia="zh-CN" w:bidi="ar-SA"/>
        </w:rPr>
        <w:t>.2、投标人应提供所投标设备的全套配置清单（名称、规格型号、数量、产地及单价）。</w:t>
      </w:r>
    </w:p>
    <w:p w14:paraId="2EFDCA2E">
      <w:pPr>
        <w:shd w:val="clear" w:color="auto" w:fill="FFFFFF"/>
        <w:spacing w:line="360" w:lineRule="auto"/>
        <w:ind w:firstLine="484"/>
        <w:rPr>
          <w:rFonts w:ascii="宋体" w:hAnsi="宋体" w:eastAsia="宋体" w:cs="宋体"/>
          <w:bCs/>
          <w:color w:val="auto"/>
          <w:kern w:val="0"/>
          <w:sz w:val="24"/>
          <w:szCs w:val="24"/>
          <w:highlight w:val="none"/>
          <w:lang w:val="en-US" w:eastAsia="zh-CN" w:bidi="ar-SA"/>
        </w:rPr>
      </w:pPr>
      <w:r>
        <w:rPr>
          <w:rFonts w:hint="eastAsia" w:ascii="宋体" w:hAnsi="宋体" w:cs="宋体"/>
          <w:bCs/>
          <w:color w:val="auto"/>
          <w:kern w:val="0"/>
          <w:sz w:val="24"/>
          <w:szCs w:val="24"/>
          <w:highlight w:val="none"/>
          <w:lang w:val="en-US" w:eastAsia="zh-CN" w:bidi="ar-SA"/>
        </w:rPr>
        <w:t>5</w:t>
      </w:r>
      <w:r>
        <w:rPr>
          <w:rFonts w:ascii="宋体" w:hAnsi="宋体" w:eastAsia="宋体" w:cs="宋体"/>
          <w:bCs/>
          <w:color w:val="auto"/>
          <w:kern w:val="0"/>
          <w:sz w:val="24"/>
          <w:szCs w:val="24"/>
          <w:highlight w:val="none"/>
          <w:lang w:val="en-US" w:eastAsia="zh-CN" w:bidi="ar-SA"/>
        </w:rPr>
        <w:t>.3、投标人应提供所投标设备的产品手册、最新彩页及其他相关资料并加盖投标人公章，产品彩页样本必须与所投设备一致，并对彩页资料的真实性及与所投产品的符合性负责。</w:t>
      </w:r>
    </w:p>
    <w:p w14:paraId="7B6A3307">
      <w:pPr>
        <w:shd w:val="clear" w:color="auto" w:fill="FFFFFF"/>
        <w:spacing w:line="360" w:lineRule="auto"/>
        <w:ind w:firstLine="484"/>
        <w:rPr>
          <w:rFonts w:ascii="宋体" w:hAnsi="宋体" w:eastAsia="宋体" w:cs="宋体"/>
          <w:bCs/>
          <w:color w:val="auto"/>
          <w:kern w:val="0"/>
          <w:sz w:val="24"/>
          <w:szCs w:val="24"/>
          <w:highlight w:val="none"/>
          <w:lang w:val="en-US" w:eastAsia="zh-CN" w:bidi="ar-SA"/>
        </w:rPr>
      </w:pPr>
      <w:r>
        <w:rPr>
          <w:rFonts w:hint="eastAsia" w:ascii="宋体" w:hAnsi="宋体" w:cs="宋体"/>
          <w:bCs/>
          <w:color w:val="auto"/>
          <w:kern w:val="0"/>
          <w:sz w:val="24"/>
          <w:szCs w:val="24"/>
          <w:highlight w:val="none"/>
          <w:lang w:val="en-US" w:eastAsia="zh-CN" w:bidi="ar-SA"/>
        </w:rPr>
        <w:t>5</w:t>
      </w:r>
      <w:r>
        <w:rPr>
          <w:rFonts w:ascii="宋体" w:hAnsi="宋体" w:eastAsia="宋体" w:cs="宋体"/>
          <w:bCs/>
          <w:color w:val="auto"/>
          <w:kern w:val="0"/>
          <w:sz w:val="24"/>
          <w:szCs w:val="24"/>
          <w:highlight w:val="none"/>
          <w:lang w:val="en-US" w:eastAsia="zh-CN" w:bidi="ar-SA"/>
        </w:rPr>
        <w:t>.4、投标人提供的货物技术规格、安装标准及技术规范等必须符合国家和行业规定标准、规范要求，技术参数与配置要求不得低于本采购项目提出的技术参数与配置要求。</w:t>
      </w:r>
    </w:p>
    <w:p w14:paraId="3DC16371">
      <w:pPr>
        <w:shd w:val="clear" w:color="auto" w:fill="FFFFFF"/>
        <w:spacing w:line="360" w:lineRule="auto"/>
        <w:ind w:firstLine="484"/>
        <w:rPr>
          <w:rFonts w:ascii="宋体" w:hAnsi="宋体" w:eastAsia="宋体" w:cs="宋体"/>
          <w:bCs/>
          <w:color w:val="auto"/>
          <w:kern w:val="0"/>
          <w:sz w:val="24"/>
          <w:szCs w:val="24"/>
          <w:highlight w:val="none"/>
          <w:lang w:val="en-US" w:eastAsia="zh-CN" w:bidi="ar-SA"/>
        </w:rPr>
      </w:pPr>
      <w:r>
        <w:rPr>
          <w:rFonts w:hint="eastAsia" w:ascii="宋体" w:hAnsi="宋体" w:cs="宋体"/>
          <w:bCs/>
          <w:color w:val="auto"/>
          <w:kern w:val="0"/>
          <w:sz w:val="24"/>
          <w:szCs w:val="24"/>
          <w:highlight w:val="none"/>
          <w:lang w:val="en-US" w:eastAsia="zh-CN" w:bidi="ar-SA"/>
        </w:rPr>
        <w:t>5</w:t>
      </w:r>
      <w:r>
        <w:rPr>
          <w:rFonts w:ascii="宋体" w:hAnsi="宋体" w:eastAsia="宋体" w:cs="宋体"/>
          <w:bCs/>
          <w:color w:val="auto"/>
          <w:kern w:val="0"/>
          <w:sz w:val="24"/>
          <w:szCs w:val="24"/>
          <w:highlight w:val="none"/>
          <w:lang w:val="en-US" w:eastAsia="zh-CN" w:bidi="ar-SA"/>
        </w:rPr>
        <w:t>.5、投标人应保证提供的所有设备是未经拆封、原厂全新正规合格、品质优良的产品，技术资料齐全、满足</w:t>
      </w:r>
      <w:r>
        <w:rPr>
          <w:rFonts w:hint="eastAsia" w:ascii="宋体" w:hAnsi="宋体" w:eastAsia="宋体" w:cs="宋体"/>
          <w:bCs/>
          <w:color w:val="auto"/>
          <w:kern w:val="0"/>
          <w:sz w:val="24"/>
          <w:szCs w:val="24"/>
          <w:highlight w:val="none"/>
          <w:lang w:val="en-US" w:eastAsia="zh-CN" w:bidi="ar-SA"/>
        </w:rPr>
        <w:t>征集文件</w:t>
      </w:r>
      <w:r>
        <w:rPr>
          <w:rFonts w:ascii="宋体" w:hAnsi="宋体" w:eastAsia="宋体" w:cs="宋体"/>
          <w:bCs/>
          <w:color w:val="auto"/>
          <w:kern w:val="0"/>
          <w:sz w:val="24"/>
          <w:szCs w:val="24"/>
          <w:highlight w:val="none"/>
          <w:lang w:val="en-US" w:eastAsia="zh-CN" w:bidi="ar-SA"/>
        </w:rPr>
        <w:t>的基本要求。</w:t>
      </w:r>
    </w:p>
    <w:p w14:paraId="68E6599B">
      <w:pPr>
        <w:shd w:val="clear" w:color="auto" w:fill="FFFFFF"/>
        <w:spacing w:line="360" w:lineRule="auto"/>
        <w:ind w:firstLine="484"/>
        <w:rPr>
          <w:rFonts w:ascii="宋体" w:hAnsi="宋体" w:eastAsia="宋体" w:cs="宋体"/>
          <w:bCs/>
          <w:color w:val="auto"/>
          <w:kern w:val="0"/>
          <w:sz w:val="24"/>
          <w:szCs w:val="24"/>
          <w:highlight w:val="none"/>
          <w:lang w:val="en-US" w:eastAsia="zh-CN" w:bidi="ar-SA"/>
        </w:rPr>
      </w:pPr>
      <w:r>
        <w:rPr>
          <w:rFonts w:hint="eastAsia" w:ascii="宋体" w:hAnsi="宋体" w:cs="宋体"/>
          <w:bCs/>
          <w:color w:val="auto"/>
          <w:kern w:val="0"/>
          <w:sz w:val="24"/>
          <w:szCs w:val="24"/>
          <w:highlight w:val="none"/>
          <w:lang w:val="en-US" w:eastAsia="zh-CN" w:bidi="ar-SA"/>
        </w:rPr>
        <w:t>5</w:t>
      </w:r>
      <w:r>
        <w:rPr>
          <w:rFonts w:ascii="宋体" w:hAnsi="宋体" w:eastAsia="宋体" w:cs="宋体"/>
          <w:bCs/>
          <w:color w:val="auto"/>
          <w:kern w:val="0"/>
          <w:sz w:val="24"/>
          <w:szCs w:val="24"/>
          <w:highlight w:val="none"/>
          <w:lang w:val="en-US" w:eastAsia="zh-CN" w:bidi="ar-SA"/>
        </w:rPr>
        <w:t>.6、投标人应根据本征集文件内容、范围要求提供符合要求的货物，并负责所提供设备的安装调试。</w:t>
      </w:r>
    </w:p>
    <w:p w14:paraId="2ACB397A">
      <w:pPr>
        <w:shd w:val="clear" w:color="auto" w:fill="FFFFFF"/>
        <w:spacing w:line="360" w:lineRule="auto"/>
        <w:ind w:firstLine="484"/>
        <w:rPr>
          <w:rFonts w:ascii="宋体" w:hAnsi="宋体" w:eastAsia="宋体" w:cs="宋体"/>
          <w:bCs/>
          <w:color w:val="auto"/>
          <w:kern w:val="0"/>
          <w:sz w:val="24"/>
          <w:szCs w:val="24"/>
          <w:highlight w:val="none"/>
          <w:lang w:val="en-US" w:eastAsia="zh-CN" w:bidi="ar-SA"/>
        </w:rPr>
      </w:pPr>
      <w:r>
        <w:rPr>
          <w:rFonts w:hint="eastAsia" w:ascii="宋体" w:hAnsi="宋体" w:cs="宋体"/>
          <w:bCs/>
          <w:color w:val="auto"/>
          <w:kern w:val="0"/>
          <w:sz w:val="24"/>
          <w:szCs w:val="24"/>
          <w:highlight w:val="none"/>
          <w:lang w:val="en-US" w:eastAsia="zh-CN" w:bidi="ar-SA"/>
        </w:rPr>
        <w:t>5</w:t>
      </w:r>
      <w:r>
        <w:rPr>
          <w:rFonts w:ascii="宋体" w:hAnsi="宋体" w:eastAsia="宋体" w:cs="宋体"/>
          <w:bCs/>
          <w:color w:val="auto"/>
          <w:kern w:val="0"/>
          <w:sz w:val="24"/>
          <w:szCs w:val="24"/>
          <w:highlight w:val="none"/>
          <w:lang w:val="en-US" w:eastAsia="zh-CN" w:bidi="ar-SA"/>
        </w:rPr>
        <w:t>.7、投标人应提供详细的售后服务情况说明等。</w:t>
      </w:r>
    </w:p>
    <w:p w14:paraId="18E87C74">
      <w:pPr>
        <w:shd w:val="clear" w:color="auto" w:fill="FFFFFF"/>
        <w:spacing w:line="360" w:lineRule="auto"/>
        <w:ind w:firstLine="484"/>
        <w:rPr>
          <w:rFonts w:ascii="宋体" w:hAnsi="宋体" w:eastAsia="宋体" w:cs="宋体"/>
          <w:bCs/>
          <w:color w:val="auto"/>
          <w:kern w:val="0"/>
          <w:sz w:val="24"/>
          <w:szCs w:val="24"/>
          <w:highlight w:val="none"/>
          <w:lang w:val="en-US" w:eastAsia="zh-CN" w:bidi="ar-SA"/>
        </w:rPr>
      </w:pPr>
      <w:r>
        <w:rPr>
          <w:rFonts w:hint="eastAsia" w:ascii="宋体" w:hAnsi="宋体" w:cs="宋体"/>
          <w:bCs/>
          <w:color w:val="auto"/>
          <w:kern w:val="0"/>
          <w:sz w:val="24"/>
          <w:szCs w:val="24"/>
          <w:highlight w:val="none"/>
          <w:lang w:val="en-US" w:eastAsia="zh-CN" w:bidi="ar-SA"/>
        </w:rPr>
        <w:t>5</w:t>
      </w:r>
      <w:r>
        <w:rPr>
          <w:rFonts w:ascii="宋体" w:hAnsi="宋体" w:eastAsia="宋体" w:cs="宋体"/>
          <w:bCs/>
          <w:color w:val="auto"/>
          <w:kern w:val="0"/>
          <w:sz w:val="24"/>
          <w:szCs w:val="24"/>
          <w:highlight w:val="none"/>
          <w:lang w:val="en-US" w:eastAsia="zh-CN" w:bidi="ar-SA"/>
        </w:rPr>
        <w:t>.8、投标人应明确投标报价的产品和采购要求存在正负偏离情况。</w:t>
      </w:r>
    </w:p>
    <w:p w14:paraId="568205BC">
      <w:pPr>
        <w:shd w:val="clear" w:color="auto" w:fill="FFFFFF"/>
        <w:spacing w:line="360" w:lineRule="auto"/>
        <w:ind w:firstLine="484"/>
        <w:rPr>
          <w:rFonts w:ascii="宋体" w:hAnsi="宋体" w:eastAsia="宋体" w:cs="宋体"/>
          <w:bCs/>
          <w:color w:val="auto"/>
          <w:kern w:val="0"/>
          <w:sz w:val="24"/>
          <w:szCs w:val="24"/>
          <w:highlight w:val="none"/>
          <w:lang w:val="en-US" w:eastAsia="zh-CN" w:bidi="ar-SA"/>
        </w:rPr>
      </w:pPr>
      <w:r>
        <w:rPr>
          <w:rFonts w:ascii="宋体" w:hAnsi="宋体" w:eastAsia="宋体" w:cs="宋体"/>
          <w:b/>
          <w:bCs w:val="0"/>
          <w:color w:val="auto"/>
          <w:kern w:val="0"/>
          <w:sz w:val="24"/>
          <w:szCs w:val="24"/>
          <w:highlight w:val="none"/>
          <w:lang w:val="en-US" w:eastAsia="zh-CN" w:bidi="ar-SA"/>
        </w:rPr>
        <w:t>★</w:t>
      </w:r>
      <w:r>
        <w:rPr>
          <w:rFonts w:hint="eastAsia" w:ascii="宋体" w:hAnsi="宋体" w:cs="宋体"/>
          <w:b/>
          <w:bCs w:val="0"/>
          <w:color w:val="auto"/>
          <w:kern w:val="0"/>
          <w:sz w:val="24"/>
          <w:szCs w:val="24"/>
          <w:highlight w:val="none"/>
          <w:lang w:val="en-US" w:eastAsia="zh-CN" w:bidi="ar-SA"/>
        </w:rPr>
        <w:t>5</w:t>
      </w:r>
      <w:r>
        <w:rPr>
          <w:rFonts w:ascii="宋体" w:hAnsi="宋体" w:eastAsia="宋体" w:cs="宋体"/>
          <w:b/>
          <w:bCs w:val="0"/>
          <w:color w:val="auto"/>
          <w:kern w:val="0"/>
          <w:sz w:val="24"/>
          <w:szCs w:val="24"/>
          <w:highlight w:val="none"/>
          <w:lang w:val="en-US" w:eastAsia="zh-CN" w:bidi="ar-SA"/>
        </w:rPr>
        <w:t>.9、投标人需作出书面承诺</w:t>
      </w:r>
      <w:r>
        <w:rPr>
          <w:rFonts w:hint="default" w:ascii="宋体" w:hAnsi="宋体" w:eastAsia="宋体" w:cs="宋体"/>
          <w:b/>
          <w:bCs w:val="0"/>
          <w:color w:val="auto"/>
          <w:kern w:val="0"/>
          <w:sz w:val="24"/>
          <w:szCs w:val="24"/>
          <w:highlight w:val="none"/>
          <w:lang w:val="en-US" w:eastAsia="zh-CN" w:bidi="ar-SA"/>
        </w:rPr>
        <w:t>并提供书面承诺函（格式自拟，加盖投标人公章）：</w:t>
      </w:r>
      <w:r>
        <w:rPr>
          <w:rFonts w:ascii="宋体" w:hAnsi="宋体" w:eastAsia="宋体" w:cs="宋体"/>
          <w:b/>
          <w:bCs w:val="0"/>
          <w:color w:val="auto"/>
          <w:kern w:val="0"/>
          <w:sz w:val="24"/>
          <w:szCs w:val="24"/>
          <w:highlight w:val="none"/>
          <w:lang w:val="en-US" w:eastAsia="zh-CN" w:bidi="ar-SA"/>
        </w:rPr>
        <w:t>投标报价的产品为全新的、未使用过的、且不存在任何权利瑕疵或质量瑕疵的原厂正品。</w:t>
      </w:r>
    </w:p>
    <w:p w14:paraId="1CBDB5DC">
      <w:pPr>
        <w:shd w:val="clear" w:color="auto" w:fill="FFFFFF"/>
        <w:spacing w:line="360" w:lineRule="auto"/>
        <w:ind w:firstLine="484"/>
        <w:rPr>
          <w:rFonts w:ascii="宋体" w:hAnsi="宋体" w:eastAsia="宋体" w:cs="宋体"/>
          <w:bCs/>
          <w:color w:val="auto"/>
          <w:kern w:val="0"/>
          <w:sz w:val="24"/>
          <w:szCs w:val="24"/>
          <w:highlight w:val="none"/>
          <w:lang w:val="en-US" w:eastAsia="zh-CN" w:bidi="ar-SA"/>
        </w:rPr>
      </w:pPr>
      <w:r>
        <w:rPr>
          <w:rFonts w:hint="eastAsia" w:ascii="宋体" w:hAnsi="宋体" w:cs="宋体"/>
          <w:bCs/>
          <w:color w:val="auto"/>
          <w:kern w:val="0"/>
          <w:sz w:val="24"/>
          <w:szCs w:val="24"/>
          <w:highlight w:val="none"/>
          <w:lang w:val="en-US" w:eastAsia="zh-CN" w:bidi="ar-SA"/>
        </w:rPr>
        <w:t>6</w:t>
      </w:r>
      <w:r>
        <w:rPr>
          <w:rFonts w:ascii="宋体" w:hAnsi="宋体" w:eastAsia="宋体" w:cs="宋体"/>
          <w:bCs/>
          <w:color w:val="auto"/>
          <w:kern w:val="0"/>
          <w:sz w:val="24"/>
          <w:szCs w:val="24"/>
          <w:highlight w:val="none"/>
          <w:lang w:val="en-US" w:eastAsia="zh-CN" w:bidi="ar-SA"/>
        </w:rPr>
        <w:t>、商务响应要求</w:t>
      </w:r>
    </w:p>
    <w:p w14:paraId="5D03D9EA">
      <w:pPr>
        <w:shd w:val="clear" w:color="auto" w:fill="FFFFFF"/>
        <w:spacing w:line="360" w:lineRule="auto"/>
        <w:ind w:firstLine="484"/>
        <w:rPr>
          <w:rFonts w:ascii="宋体" w:hAnsi="宋体" w:eastAsia="宋体" w:cs="宋体"/>
          <w:bCs/>
          <w:color w:val="auto"/>
          <w:kern w:val="0"/>
          <w:sz w:val="24"/>
          <w:szCs w:val="24"/>
          <w:highlight w:val="none"/>
          <w:lang w:val="en-US" w:eastAsia="zh-CN" w:bidi="ar-SA"/>
        </w:rPr>
      </w:pPr>
      <w:r>
        <w:rPr>
          <w:rFonts w:hint="eastAsia" w:ascii="宋体" w:hAnsi="宋体" w:cs="宋体"/>
          <w:bCs/>
          <w:color w:val="auto"/>
          <w:kern w:val="0"/>
          <w:sz w:val="24"/>
          <w:szCs w:val="24"/>
          <w:highlight w:val="none"/>
          <w:lang w:val="en-US" w:eastAsia="zh-CN" w:bidi="ar-SA"/>
        </w:rPr>
        <w:t>6</w:t>
      </w:r>
      <w:r>
        <w:rPr>
          <w:rFonts w:ascii="宋体" w:hAnsi="宋体" w:eastAsia="宋体" w:cs="宋体"/>
          <w:bCs/>
          <w:color w:val="auto"/>
          <w:kern w:val="0"/>
          <w:sz w:val="24"/>
          <w:szCs w:val="24"/>
          <w:highlight w:val="none"/>
          <w:lang w:val="en-US" w:eastAsia="zh-CN" w:bidi="ar-SA"/>
        </w:rPr>
        <w:t>.1、投标人应提供产品的验收标准、安装及技术规范等有关资料，产品应符合产品制造商的产品出厂标准、国家标准以及征集文件规定的技术要求。</w:t>
      </w:r>
    </w:p>
    <w:p w14:paraId="17787B35">
      <w:pPr>
        <w:shd w:val="clear" w:color="auto" w:fill="FFFFFF"/>
        <w:spacing w:line="360" w:lineRule="auto"/>
        <w:ind w:firstLine="484"/>
        <w:rPr>
          <w:rFonts w:ascii="宋体" w:hAnsi="宋体" w:eastAsia="宋体" w:cs="宋体"/>
          <w:bCs/>
          <w:color w:val="auto"/>
          <w:kern w:val="0"/>
          <w:sz w:val="24"/>
          <w:szCs w:val="24"/>
          <w:highlight w:val="none"/>
          <w:lang w:val="en-US" w:eastAsia="zh-CN" w:bidi="ar-SA"/>
        </w:rPr>
      </w:pPr>
      <w:r>
        <w:rPr>
          <w:rFonts w:hint="eastAsia" w:ascii="宋体" w:hAnsi="宋体" w:cs="宋体"/>
          <w:bCs/>
          <w:color w:val="auto"/>
          <w:kern w:val="0"/>
          <w:sz w:val="24"/>
          <w:szCs w:val="24"/>
          <w:highlight w:val="none"/>
          <w:lang w:val="en-US" w:eastAsia="zh-CN" w:bidi="ar-SA"/>
        </w:rPr>
        <w:t>6</w:t>
      </w:r>
      <w:r>
        <w:rPr>
          <w:rFonts w:ascii="宋体" w:hAnsi="宋体" w:eastAsia="宋体" w:cs="宋体"/>
          <w:bCs/>
          <w:color w:val="auto"/>
          <w:kern w:val="0"/>
          <w:sz w:val="24"/>
          <w:szCs w:val="24"/>
          <w:highlight w:val="none"/>
          <w:lang w:val="en-US" w:eastAsia="zh-CN" w:bidi="ar-SA"/>
        </w:rPr>
        <w:t>.2、投标人应提供企业供货、履约能力基本情况的说明。</w:t>
      </w:r>
    </w:p>
    <w:p w14:paraId="2A5D28AC">
      <w:pPr>
        <w:shd w:val="clear" w:color="auto" w:fill="FFFFFF"/>
        <w:spacing w:line="360" w:lineRule="auto"/>
        <w:ind w:firstLine="484"/>
        <w:rPr>
          <w:rFonts w:ascii="宋体" w:hAnsi="宋体" w:eastAsia="宋体" w:cs="宋体"/>
          <w:bCs/>
          <w:color w:val="auto"/>
          <w:kern w:val="0"/>
          <w:sz w:val="24"/>
          <w:szCs w:val="24"/>
          <w:highlight w:val="none"/>
          <w:lang w:val="en-US" w:eastAsia="zh-CN" w:bidi="ar-SA"/>
        </w:rPr>
      </w:pPr>
      <w:r>
        <w:rPr>
          <w:rFonts w:hint="eastAsia" w:ascii="宋体" w:hAnsi="宋体" w:cs="宋体"/>
          <w:bCs/>
          <w:color w:val="auto"/>
          <w:kern w:val="0"/>
          <w:sz w:val="24"/>
          <w:szCs w:val="24"/>
          <w:highlight w:val="none"/>
          <w:lang w:val="en-US" w:eastAsia="zh-CN" w:bidi="ar-SA"/>
        </w:rPr>
        <w:t>6</w:t>
      </w:r>
      <w:r>
        <w:rPr>
          <w:rFonts w:ascii="宋体" w:hAnsi="宋体" w:eastAsia="宋体" w:cs="宋体"/>
          <w:bCs/>
          <w:color w:val="auto"/>
          <w:kern w:val="0"/>
          <w:sz w:val="24"/>
          <w:szCs w:val="24"/>
          <w:highlight w:val="none"/>
          <w:lang w:val="en-US" w:eastAsia="zh-CN" w:bidi="ar-SA"/>
        </w:rPr>
        <w:t>.3、投标人应具有良好的商业信誉和健全的财务会计制度，具有履行合同所必需的设备和专业技术能力，有依法缴纳税收和社会保障资金的良好记录。</w:t>
      </w:r>
    </w:p>
    <w:p w14:paraId="060FD50C">
      <w:pPr>
        <w:shd w:val="clear" w:color="auto" w:fill="FFFFFF"/>
        <w:spacing w:line="360" w:lineRule="auto"/>
        <w:ind w:firstLine="484"/>
        <w:rPr>
          <w:rFonts w:ascii="宋体" w:hAnsi="宋体" w:eastAsia="宋体" w:cs="宋体"/>
          <w:bCs/>
          <w:color w:val="auto"/>
          <w:kern w:val="0"/>
          <w:sz w:val="24"/>
          <w:szCs w:val="24"/>
          <w:highlight w:val="none"/>
          <w:lang w:val="en-US" w:eastAsia="zh-CN" w:bidi="ar-SA"/>
        </w:rPr>
      </w:pPr>
      <w:r>
        <w:rPr>
          <w:rFonts w:hint="eastAsia" w:ascii="宋体" w:hAnsi="宋体" w:cs="宋体"/>
          <w:bCs/>
          <w:color w:val="auto"/>
          <w:kern w:val="0"/>
          <w:sz w:val="24"/>
          <w:szCs w:val="24"/>
          <w:highlight w:val="none"/>
          <w:lang w:val="en-US" w:eastAsia="zh-CN" w:bidi="ar-SA"/>
        </w:rPr>
        <w:t>6</w:t>
      </w:r>
      <w:r>
        <w:rPr>
          <w:rFonts w:ascii="宋体" w:hAnsi="宋体" w:eastAsia="宋体" w:cs="宋体"/>
          <w:bCs/>
          <w:color w:val="auto"/>
          <w:kern w:val="0"/>
          <w:sz w:val="24"/>
          <w:szCs w:val="24"/>
          <w:highlight w:val="none"/>
          <w:lang w:val="en-US" w:eastAsia="zh-CN" w:bidi="ar-SA"/>
        </w:rPr>
        <w:t>.4、投标人所报产品的制造商若获得</w:t>
      </w:r>
      <w:r>
        <w:rPr>
          <w:rFonts w:hint="eastAsia" w:ascii="宋体" w:hAnsi="宋体" w:eastAsia="宋体" w:cs="宋体"/>
          <w:bCs/>
          <w:color w:val="auto"/>
          <w:kern w:val="0"/>
          <w:sz w:val="24"/>
          <w:szCs w:val="24"/>
          <w:highlight w:val="none"/>
          <w:lang w:val="en-US" w:eastAsia="zh-CN" w:bidi="ar-SA"/>
        </w:rPr>
        <w:t>质量体系认证及环保体系认证或国家部委行政主管部门以及国家质量测评机构评奖的，应提供相应证明材料。</w:t>
      </w:r>
    </w:p>
    <w:p w14:paraId="05901BF0">
      <w:pPr>
        <w:shd w:val="clear" w:color="auto" w:fill="FFFFFF"/>
        <w:spacing w:line="360" w:lineRule="auto"/>
        <w:ind w:firstLine="484"/>
        <w:rPr>
          <w:rFonts w:ascii="宋体" w:hAnsi="宋体" w:eastAsia="宋体" w:cs="宋体"/>
          <w:bCs/>
          <w:color w:val="auto"/>
          <w:kern w:val="0"/>
          <w:sz w:val="24"/>
          <w:szCs w:val="24"/>
          <w:highlight w:val="none"/>
          <w:lang w:val="en-US" w:eastAsia="zh-CN" w:bidi="ar-SA"/>
        </w:rPr>
      </w:pPr>
      <w:r>
        <w:rPr>
          <w:rFonts w:hint="eastAsia" w:ascii="宋体" w:hAnsi="宋体" w:cs="宋体"/>
          <w:bCs/>
          <w:color w:val="auto"/>
          <w:kern w:val="0"/>
          <w:sz w:val="24"/>
          <w:szCs w:val="24"/>
          <w:highlight w:val="none"/>
          <w:lang w:val="en-US" w:eastAsia="zh-CN" w:bidi="ar-SA"/>
        </w:rPr>
        <w:t>6</w:t>
      </w:r>
      <w:r>
        <w:rPr>
          <w:rFonts w:ascii="宋体" w:hAnsi="宋体" w:eastAsia="宋体" w:cs="宋体"/>
          <w:bCs/>
          <w:color w:val="auto"/>
          <w:kern w:val="0"/>
          <w:sz w:val="24"/>
          <w:szCs w:val="24"/>
          <w:highlight w:val="none"/>
          <w:lang w:val="en-US" w:eastAsia="zh-CN" w:bidi="ar-SA"/>
        </w:rPr>
        <w:t>.5、投标产品的制造商应在厦门设有常驻的维修保养机构，能保证定期对设备巡检；并在投标文件中详细介绍和提供维修保养机构的相关资料，如维修保养机构的具体地点、联系电话、传真等。</w:t>
      </w:r>
    </w:p>
    <w:p w14:paraId="7137DE5A">
      <w:pPr>
        <w:shd w:val="clear" w:color="auto" w:fill="FFFFFF"/>
        <w:spacing w:line="360" w:lineRule="auto"/>
        <w:ind w:firstLine="484"/>
        <w:rPr>
          <w:rFonts w:ascii="宋体" w:hAnsi="宋体" w:eastAsia="宋体" w:cs="宋体"/>
          <w:bCs/>
          <w:color w:val="auto"/>
          <w:kern w:val="0"/>
          <w:sz w:val="24"/>
          <w:szCs w:val="24"/>
          <w:highlight w:val="none"/>
          <w:lang w:val="en-US" w:eastAsia="zh-CN" w:bidi="ar-SA"/>
        </w:rPr>
      </w:pPr>
      <w:r>
        <w:rPr>
          <w:rFonts w:hint="eastAsia" w:ascii="宋体" w:hAnsi="宋体" w:cs="宋体"/>
          <w:bCs/>
          <w:color w:val="auto"/>
          <w:kern w:val="0"/>
          <w:sz w:val="24"/>
          <w:szCs w:val="24"/>
          <w:highlight w:val="none"/>
          <w:lang w:val="en-US" w:eastAsia="zh-CN" w:bidi="ar-SA"/>
        </w:rPr>
        <w:t>6</w:t>
      </w:r>
      <w:r>
        <w:rPr>
          <w:rFonts w:ascii="宋体" w:hAnsi="宋体" w:eastAsia="宋体" w:cs="宋体"/>
          <w:bCs/>
          <w:color w:val="auto"/>
          <w:kern w:val="0"/>
          <w:sz w:val="24"/>
          <w:szCs w:val="24"/>
          <w:highlight w:val="none"/>
          <w:lang w:val="en-US" w:eastAsia="zh-CN" w:bidi="ar-SA"/>
        </w:rPr>
        <w:t>.6、投标人应提供能证明其设备制造商实力、设备品质的有关文件资料。</w:t>
      </w:r>
    </w:p>
    <w:p w14:paraId="4EC6BA69">
      <w:pPr>
        <w:shd w:val="clear" w:color="auto" w:fill="FFFFFF"/>
        <w:spacing w:line="360" w:lineRule="auto"/>
        <w:ind w:firstLine="484"/>
        <w:rPr>
          <w:rFonts w:ascii="宋体" w:hAnsi="宋体" w:eastAsia="宋体" w:cs="宋体"/>
          <w:bCs/>
          <w:color w:val="auto"/>
          <w:kern w:val="0"/>
          <w:sz w:val="24"/>
          <w:szCs w:val="24"/>
          <w:highlight w:val="none"/>
          <w:lang w:val="en-US" w:eastAsia="zh-CN" w:bidi="ar-SA"/>
        </w:rPr>
      </w:pPr>
      <w:r>
        <w:rPr>
          <w:rFonts w:hint="eastAsia" w:ascii="宋体" w:hAnsi="宋体" w:cs="宋体"/>
          <w:bCs/>
          <w:color w:val="auto"/>
          <w:kern w:val="0"/>
          <w:sz w:val="24"/>
          <w:szCs w:val="24"/>
          <w:highlight w:val="none"/>
          <w:lang w:val="en-US" w:eastAsia="zh-CN" w:bidi="ar-SA"/>
        </w:rPr>
        <w:t>6</w:t>
      </w:r>
      <w:r>
        <w:rPr>
          <w:rFonts w:ascii="宋体" w:hAnsi="宋体" w:eastAsia="宋体" w:cs="宋体"/>
          <w:bCs/>
          <w:color w:val="auto"/>
          <w:kern w:val="0"/>
          <w:sz w:val="24"/>
          <w:szCs w:val="24"/>
          <w:highlight w:val="none"/>
          <w:lang w:val="en-US" w:eastAsia="zh-CN" w:bidi="ar-SA"/>
        </w:rPr>
        <w:t>.7、投标人应在投标文件中列表对征集文件中的技术、商务条款进行一对一的响应说明。</w:t>
      </w:r>
    </w:p>
    <w:p w14:paraId="65A0BDDF">
      <w:pPr>
        <w:shd w:val="clear" w:color="auto" w:fill="FFFFFF"/>
        <w:spacing w:line="360" w:lineRule="auto"/>
        <w:ind w:firstLine="484"/>
        <w:rPr>
          <w:rFonts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备注：以上证明文件均应加盖投标人公章。</w:t>
      </w:r>
    </w:p>
    <w:p w14:paraId="22CBFBFF">
      <w:pPr>
        <w:shd w:val="clear" w:color="auto" w:fill="FFFFFF"/>
        <w:spacing w:line="360" w:lineRule="auto"/>
        <w:ind w:firstLine="484"/>
        <w:rPr>
          <w:rFonts w:ascii="宋体" w:hAnsi="宋体" w:eastAsia="宋体" w:cs="宋体"/>
          <w:b/>
          <w:bCs w:val="0"/>
          <w:color w:val="auto"/>
          <w:kern w:val="0"/>
          <w:sz w:val="24"/>
          <w:szCs w:val="24"/>
          <w:highlight w:val="none"/>
          <w:lang w:val="en-US" w:eastAsia="zh-CN" w:bidi="ar-SA"/>
        </w:rPr>
      </w:pPr>
      <w:r>
        <w:rPr>
          <w:rFonts w:ascii="宋体" w:hAnsi="宋体" w:eastAsia="宋体" w:cs="宋体"/>
          <w:b/>
          <w:bCs w:val="0"/>
          <w:color w:val="auto"/>
          <w:kern w:val="0"/>
          <w:sz w:val="24"/>
          <w:szCs w:val="24"/>
          <w:highlight w:val="none"/>
          <w:lang w:val="en-US" w:eastAsia="zh-CN" w:bidi="ar-SA"/>
        </w:rPr>
        <w:t>★</w:t>
      </w:r>
      <w:r>
        <w:rPr>
          <w:rFonts w:hint="eastAsia" w:ascii="宋体" w:hAnsi="宋体" w:cs="宋体"/>
          <w:b/>
          <w:bCs w:val="0"/>
          <w:color w:val="auto"/>
          <w:kern w:val="0"/>
          <w:sz w:val="24"/>
          <w:szCs w:val="24"/>
          <w:highlight w:val="none"/>
          <w:lang w:val="en-US" w:eastAsia="zh-CN" w:bidi="ar-SA"/>
        </w:rPr>
        <w:t>7</w:t>
      </w:r>
      <w:r>
        <w:rPr>
          <w:rFonts w:ascii="宋体" w:hAnsi="宋体" w:eastAsia="宋体" w:cs="宋体"/>
          <w:b/>
          <w:bCs w:val="0"/>
          <w:color w:val="auto"/>
          <w:kern w:val="0"/>
          <w:sz w:val="24"/>
          <w:szCs w:val="24"/>
          <w:highlight w:val="none"/>
          <w:lang w:val="en-US" w:eastAsia="zh-CN" w:bidi="ar-SA"/>
        </w:rPr>
        <w:t>、售后服务要求</w:t>
      </w:r>
    </w:p>
    <w:p w14:paraId="6D400207">
      <w:pPr>
        <w:shd w:val="clear" w:color="auto"/>
        <w:spacing w:line="360" w:lineRule="auto"/>
        <w:ind w:firstLine="482" w:firstLineChars="200"/>
        <w:rPr>
          <w:rFonts w:hint="eastAsia" w:ascii="宋体" w:hAnsi="宋体" w:eastAsia="宋体" w:cs="宋体"/>
          <w:b/>
          <w:bCs w:val="0"/>
          <w:color w:val="auto"/>
          <w:kern w:val="0"/>
          <w:sz w:val="24"/>
          <w:szCs w:val="24"/>
          <w:highlight w:val="none"/>
          <w:lang w:val="en-US" w:eastAsia="zh-CN" w:bidi="ar-SA"/>
        </w:rPr>
      </w:pPr>
      <w:r>
        <w:rPr>
          <w:rFonts w:hint="eastAsia" w:ascii="宋体" w:hAnsi="宋体" w:cs="宋体"/>
          <w:b/>
          <w:bCs w:val="0"/>
          <w:color w:val="auto"/>
          <w:sz w:val="24"/>
          <w:szCs w:val="24"/>
          <w:highlight w:val="none"/>
          <w:lang w:val="en-US" w:eastAsia="zh-CN"/>
        </w:rPr>
        <w:t>7.1</w:t>
      </w:r>
      <w:r>
        <w:rPr>
          <w:rFonts w:hint="eastAsia" w:ascii="宋体" w:hAnsi="宋体" w:eastAsia="宋体" w:cs="宋体"/>
          <w:b/>
          <w:bCs w:val="0"/>
          <w:color w:val="auto"/>
          <w:kern w:val="0"/>
          <w:sz w:val="24"/>
          <w:szCs w:val="24"/>
          <w:highlight w:val="none"/>
          <w:lang w:val="en-US" w:eastAsia="zh-CN" w:bidi="ar-SA"/>
        </w:rPr>
        <w:t>投标人</w:t>
      </w:r>
      <w:r>
        <w:rPr>
          <w:rFonts w:hint="eastAsia" w:ascii="宋体" w:hAnsi="宋体" w:eastAsia="宋体" w:cs="宋体"/>
          <w:b/>
          <w:bCs w:val="0"/>
          <w:color w:val="auto"/>
          <w:kern w:val="0"/>
          <w:sz w:val="24"/>
          <w:szCs w:val="24"/>
          <w:highlight w:val="none"/>
        </w:rPr>
        <w:t>所投设备自最终验收合格之日</w:t>
      </w:r>
      <w:r>
        <w:rPr>
          <w:rFonts w:hint="eastAsia" w:ascii="宋体" w:hAnsi="宋体" w:eastAsia="宋体" w:cs="宋体"/>
          <w:b/>
          <w:bCs w:val="0"/>
          <w:color w:val="auto"/>
          <w:kern w:val="0"/>
          <w:sz w:val="24"/>
          <w:szCs w:val="24"/>
          <w:highlight w:val="none"/>
          <w:lang w:eastAsia="zh-CN"/>
        </w:rPr>
        <w:t>起</w:t>
      </w:r>
      <w:r>
        <w:rPr>
          <w:rFonts w:hint="eastAsia" w:ascii="宋体" w:hAnsi="宋体" w:eastAsia="宋体" w:cs="宋体"/>
          <w:b/>
          <w:bCs w:val="0"/>
          <w:color w:val="auto"/>
          <w:kern w:val="0"/>
          <w:sz w:val="24"/>
          <w:szCs w:val="24"/>
          <w:highlight w:val="none"/>
        </w:rPr>
        <w:t>在保修期内起应当提供免费上门保修服务，</w:t>
      </w:r>
      <w:r>
        <w:rPr>
          <w:rFonts w:hint="eastAsia" w:ascii="宋体" w:hAnsi="宋体" w:eastAsia="宋体" w:cs="宋体"/>
          <w:b/>
          <w:bCs w:val="0"/>
          <w:color w:val="auto"/>
          <w:kern w:val="0"/>
          <w:sz w:val="24"/>
          <w:szCs w:val="24"/>
          <w:highlight w:val="none"/>
          <w:lang w:val="en-US" w:eastAsia="zh-CN"/>
        </w:rPr>
        <w:t>所投设备</w:t>
      </w:r>
      <w:r>
        <w:rPr>
          <w:rFonts w:hint="eastAsia" w:ascii="宋体" w:hAnsi="宋体" w:eastAsia="宋体" w:cs="宋体"/>
          <w:b/>
          <w:bCs w:val="0"/>
          <w:color w:val="auto"/>
          <w:kern w:val="0"/>
          <w:sz w:val="24"/>
          <w:szCs w:val="24"/>
          <w:highlight w:val="none"/>
        </w:rPr>
        <w:t>至少免费上门保修</w:t>
      </w:r>
      <w:r>
        <w:rPr>
          <w:rFonts w:hint="eastAsia" w:ascii="宋体" w:hAnsi="宋体" w:eastAsia="宋体" w:cs="宋体"/>
          <w:b/>
          <w:bCs w:val="0"/>
          <w:color w:val="auto"/>
          <w:kern w:val="0"/>
          <w:sz w:val="24"/>
          <w:szCs w:val="24"/>
          <w:highlight w:val="none"/>
          <w:lang w:val="en-US" w:eastAsia="zh-CN"/>
        </w:rPr>
        <w:t>六</w:t>
      </w:r>
      <w:r>
        <w:rPr>
          <w:rFonts w:hint="eastAsia" w:ascii="宋体" w:hAnsi="宋体" w:eastAsia="宋体" w:cs="宋体"/>
          <w:b/>
          <w:bCs w:val="0"/>
          <w:color w:val="auto"/>
          <w:kern w:val="0"/>
          <w:sz w:val="24"/>
          <w:szCs w:val="24"/>
          <w:highlight w:val="none"/>
        </w:rPr>
        <w:t>年；至少</w:t>
      </w:r>
      <w:r>
        <w:rPr>
          <w:rFonts w:hint="eastAsia" w:ascii="宋体" w:hAnsi="宋体" w:eastAsia="宋体" w:cs="宋体"/>
          <w:b/>
          <w:bCs w:val="0"/>
          <w:color w:val="auto"/>
          <w:kern w:val="0"/>
          <w:sz w:val="24"/>
          <w:szCs w:val="24"/>
          <w:highlight w:val="none"/>
          <w:lang w:val="en-US" w:eastAsia="zh-CN"/>
        </w:rPr>
        <w:t>六</w:t>
      </w:r>
      <w:r>
        <w:rPr>
          <w:rFonts w:hint="eastAsia" w:ascii="宋体" w:hAnsi="宋体" w:eastAsia="宋体" w:cs="宋体"/>
          <w:b/>
          <w:bCs w:val="0"/>
          <w:color w:val="auto"/>
          <w:kern w:val="0"/>
          <w:sz w:val="24"/>
          <w:szCs w:val="24"/>
          <w:highlight w:val="none"/>
        </w:rPr>
        <w:t>年免费</w:t>
      </w:r>
      <w:r>
        <w:rPr>
          <w:rFonts w:hint="eastAsia" w:ascii="宋体" w:hAnsi="宋体" w:eastAsia="宋体" w:cs="宋体"/>
          <w:b/>
          <w:bCs w:val="0"/>
          <w:color w:val="auto"/>
          <w:spacing w:val="0"/>
          <w:kern w:val="0"/>
          <w:sz w:val="24"/>
          <w:szCs w:val="24"/>
          <w:highlight w:val="none"/>
          <w:lang w:val="en-GB" w:eastAsia="zh-CN"/>
        </w:rPr>
        <w:t>软件授权、</w:t>
      </w:r>
      <w:r>
        <w:rPr>
          <w:rFonts w:hint="eastAsia" w:ascii="宋体" w:hAnsi="宋体" w:eastAsia="宋体" w:cs="宋体"/>
          <w:b/>
          <w:bCs w:val="0"/>
          <w:color w:val="auto"/>
          <w:kern w:val="0"/>
          <w:sz w:val="24"/>
          <w:szCs w:val="24"/>
          <w:highlight w:val="none"/>
        </w:rPr>
        <w:t>软件升级及提供免费资源库更新服务。</w:t>
      </w:r>
    </w:p>
    <w:p w14:paraId="263E57A2">
      <w:pPr>
        <w:shd w:val="clear" w:color="auto"/>
        <w:spacing w:line="360" w:lineRule="auto"/>
        <w:ind w:firstLine="482" w:firstLineChars="200"/>
        <w:rPr>
          <w:rFonts w:hint="eastAsia" w:ascii="宋体" w:hAnsi="宋体" w:eastAsia="宋体" w:cs="宋体"/>
          <w:b/>
          <w:bCs w:val="0"/>
          <w:color w:val="auto"/>
          <w:kern w:val="0"/>
          <w:sz w:val="24"/>
          <w:szCs w:val="24"/>
          <w:highlight w:val="none"/>
        </w:rPr>
      </w:pPr>
      <w:r>
        <w:rPr>
          <w:rFonts w:hint="eastAsia" w:ascii="宋体" w:hAnsi="宋体" w:cs="宋体"/>
          <w:b/>
          <w:bCs w:val="0"/>
          <w:color w:val="auto"/>
          <w:kern w:val="0"/>
          <w:sz w:val="24"/>
          <w:szCs w:val="24"/>
          <w:highlight w:val="none"/>
          <w:lang w:val="en-US" w:eastAsia="zh-CN" w:bidi="ar-SA"/>
        </w:rPr>
        <w:t>7</w:t>
      </w:r>
      <w:r>
        <w:rPr>
          <w:rFonts w:ascii="宋体" w:hAnsi="宋体" w:eastAsia="宋体" w:cs="宋体"/>
          <w:b/>
          <w:bCs w:val="0"/>
          <w:color w:val="auto"/>
          <w:kern w:val="0"/>
          <w:sz w:val="24"/>
          <w:szCs w:val="24"/>
          <w:highlight w:val="none"/>
          <w:lang w:val="en-US" w:eastAsia="zh-CN" w:bidi="ar-SA"/>
        </w:rPr>
        <w:t>.</w:t>
      </w:r>
      <w:r>
        <w:rPr>
          <w:rFonts w:hint="eastAsia" w:ascii="宋体" w:hAnsi="宋体" w:eastAsia="宋体" w:cs="宋体"/>
          <w:b/>
          <w:bCs w:val="0"/>
          <w:color w:val="auto"/>
          <w:kern w:val="0"/>
          <w:sz w:val="24"/>
          <w:szCs w:val="24"/>
          <w:highlight w:val="none"/>
          <w:lang w:val="en-US" w:eastAsia="zh-CN" w:bidi="ar-SA"/>
        </w:rPr>
        <w:t>2投标人一旦入围</w:t>
      </w:r>
      <w:r>
        <w:rPr>
          <w:rFonts w:ascii="宋体" w:hAnsi="宋体" w:eastAsia="宋体" w:cs="宋体"/>
          <w:b/>
          <w:bCs w:val="0"/>
          <w:color w:val="auto"/>
          <w:kern w:val="0"/>
          <w:sz w:val="24"/>
          <w:szCs w:val="24"/>
          <w:highlight w:val="none"/>
          <w:lang w:val="en-US" w:eastAsia="zh-CN" w:bidi="ar-SA"/>
        </w:rPr>
        <w:t>，在接到</w:t>
      </w:r>
      <w:r>
        <w:rPr>
          <w:rFonts w:hint="eastAsia" w:ascii="宋体" w:hAnsi="宋体" w:eastAsia="宋体" w:cs="宋体"/>
          <w:b/>
          <w:bCs w:val="0"/>
          <w:color w:val="auto"/>
          <w:kern w:val="0"/>
          <w:sz w:val="24"/>
          <w:szCs w:val="24"/>
          <w:highlight w:val="none"/>
          <w:lang w:val="en-US" w:eastAsia="zh-CN" w:bidi="ar-SA"/>
        </w:rPr>
        <w:t>征集人</w:t>
      </w:r>
      <w:r>
        <w:rPr>
          <w:rFonts w:ascii="宋体" w:hAnsi="宋体" w:eastAsia="宋体" w:cs="宋体"/>
          <w:b/>
          <w:bCs w:val="0"/>
          <w:color w:val="auto"/>
          <w:kern w:val="0"/>
          <w:sz w:val="24"/>
          <w:szCs w:val="24"/>
          <w:highlight w:val="none"/>
          <w:lang w:val="en-US" w:eastAsia="zh-CN" w:bidi="ar-SA"/>
        </w:rPr>
        <w:t>或最终用户的报修电话，</w:t>
      </w:r>
      <w:r>
        <w:rPr>
          <w:rFonts w:hint="eastAsia" w:ascii="宋体" w:hAnsi="宋体" w:eastAsia="宋体" w:cs="宋体"/>
          <w:b/>
          <w:bCs w:val="0"/>
          <w:color w:val="auto"/>
          <w:kern w:val="0"/>
          <w:sz w:val="24"/>
          <w:szCs w:val="24"/>
          <w:highlight w:val="none"/>
          <w:lang w:val="en-US" w:eastAsia="zh-CN" w:bidi="ar-SA"/>
        </w:rPr>
        <w:t>0.5个工作小时内电话响应，4个工作小时内到达，到达后8个工作小时内处理完客户需求；若维修在 8个工作小时内无法修复的，投标人应在24个小时内提供备用机供最终用户使用，直至设备修复。(注:上门服务时间，主要根据最终用户需求而定。假如最终用户需要第二天上门处理的，要根据最终用户时间上门。但是同样的，如果最终用户需要晚上19：30后上门，投标人也要根据最终用户的要求上门。)</w:t>
      </w:r>
      <w:r>
        <w:rPr>
          <w:rFonts w:hint="eastAsia" w:ascii="宋体" w:hAnsi="宋体" w:eastAsia="宋体" w:cs="宋体"/>
          <w:b/>
          <w:bCs w:val="0"/>
          <w:color w:val="auto"/>
          <w:kern w:val="0"/>
          <w:sz w:val="24"/>
          <w:szCs w:val="24"/>
          <w:highlight w:val="none"/>
        </w:rPr>
        <w:t>如果</w:t>
      </w:r>
      <w:r>
        <w:rPr>
          <w:rFonts w:hint="eastAsia" w:ascii="宋体" w:hAnsi="宋体" w:eastAsia="宋体" w:cs="宋体"/>
          <w:b/>
          <w:bCs w:val="0"/>
          <w:color w:val="auto"/>
          <w:kern w:val="0"/>
          <w:sz w:val="24"/>
          <w:szCs w:val="24"/>
          <w:highlight w:val="none"/>
          <w:lang w:val="en-US" w:eastAsia="zh-CN" w:bidi="ar-SA"/>
        </w:rPr>
        <w:t>投标人</w:t>
      </w:r>
      <w:r>
        <w:rPr>
          <w:rFonts w:hint="eastAsia" w:ascii="宋体" w:hAnsi="宋体" w:eastAsia="宋体" w:cs="宋体"/>
          <w:b/>
          <w:bCs w:val="0"/>
          <w:color w:val="auto"/>
          <w:kern w:val="0"/>
          <w:sz w:val="24"/>
          <w:szCs w:val="24"/>
          <w:highlight w:val="none"/>
        </w:rPr>
        <w:t>未在承诺的时间内将设备修复或者提供备用机的则</w:t>
      </w:r>
      <w:r>
        <w:rPr>
          <w:rFonts w:hint="eastAsia" w:ascii="宋体" w:hAnsi="宋体" w:eastAsia="宋体" w:cs="宋体"/>
          <w:b/>
          <w:bCs w:val="0"/>
          <w:color w:val="auto"/>
          <w:kern w:val="0"/>
          <w:sz w:val="24"/>
          <w:szCs w:val="24"/>
          <w:highlight w:val="none"/>
          <w:lang w:val="en-US" w:eastAsia="zh-CN" w:bidi="ar-SA"/>
        </w:rPr>
        <w:t>投标人</w:t>
      </w:r>
      <w:r>
        <w:rPr>
          <w:rFonts w:hint="eastAsia" w:ascii="宋体" w:hAnsi="宋体" w:eastAsia="宋体" w:cs="宋体"/>
          <w:b/>
          <w:bCs w:val="0"/>
          <w:color w:val="auto"/>
          <w:kern w:val="0"/>
          <w:sz w:val="24"/>
          <w:szCs w:val="24"/>
          <w:highlight w:val="none"/>
        </w:rPr>
        <w:t>应按200.00元/台/天向</w:t>
      </w:r>
      <w:r>
        <w:rPr>
          <w:rFonts w:hint="eastAsia" w:ascii="宋体" w:hAnsi="宋体" w:eastAsia="宋体" w:cs="宋体"/>
          <w:b/>
          <w:bCs w:val="0"/>
          <w:color w:val="auto"/>
          <w:kern w:val="0"/>
          <w:sz w:val="24"/>
          <w:szCs w:val="24"/>
          <w:highlight w:val="none"/>
          <w:lang w:eastAsia="zh-CN"/>
        </w:rPr>
        <w:t>征集人</w:t>
      </w:r>
      <w:r>
        <w:rPr>
          <w:rFonts w:hint="eastAsia" w:ascii="宋体" w:hAnsi="宋体" w:eastAsia="宋体" w:cs="宋体"/>
          <w:b/>
          <w:bCs w:val="0"/>
          <w:color w:val="auto"/>
          <w:kern w:val="0"/>
          <w:sz w:val="24"/>
          <w:szCs w:val="24"/>
          <w:highlight w:val="none"/>
        </w:rPr>
        <w:t>支付逾期违约金。</w:t>
      </w:r>
    </w:p>
    <w:p w14:paraId="6E63E898">
      <w:pPr>
        <w:shd w:val="clear" w:color="auto"/>
        <w:spacing w:line="360" w:lineRule="auto"/>
        <w:ind w:firstLine="482" w:firstLineChars="200"/>
        <w:rPr>
          <w:rFonts w:hint="eastAsia" w:ascii="宋体" w:hAnsi="宋体" w:eastAsia="宋体" w:cs="宋体"/>
          <w:b/>
          <w:bCs w:val="0"/>
          <w:color w:val="auto"/>
          <w:kern w:val="0"/>
          <w:sz w:val="24"/>
          <w:szCs w:val="24"/>
          <w:highlight w:val="none"/>
        </w:rPr>
      </w:pPr>
      <w:r>
        <w:rPr>
          <w:rFonts w:hint="eastAsia" w:ascii="宋体" w:hAnsi="宋体" w:cs="宋体"/>
          <w:b/>
          <w:bCs w:val="0"/>
          <w:color w:val="auto"/>
          <w:kern w:val="0"/>
          <w:sz w:val="24"/>
          <w:szCs w:val="24"/>
          <w:highlight w:val="none"/>
          <w:lang w:val="en-US" w:eastAsia="zh-CN"/>
        </w:rPr>
        <w:t>7</w:t>
      </w:r>
      <w:r>
        <w:rPr>
          <w:rFonts w:hint="eastAsia" w:ascii="宋体" w:hAnsi="宋体" w:eastAsia="宋体" w:cs="宋体"/>
          <w:b/>
          <w:bCs w:val="0"/>
          <w:color w:val="auto"/>
          <w:kern w:val="0"/>
          <w:sz w:val="24"/>
          <w:szCs w:val="24"/>
          <w:highlight w:val="none"/>
          <w:lang w:val="en-US" w:eastAsia="zh-CN"/>
        </w:rPr>
        <w:t>.3</w:t>
      </w:r>
      <w:r>
        <w:rPr>
          <w:rFonts w:hint="eastAsia" w:ascii="宋体" w:hAnsi="宋体" w:eastAsia="宋体" w:cs="宋体"/>
          <w:b/>
          <w:bCs w:val="0"/>
          <w:color w:val="auto"/>
          <w:kern w:val="0"/>
          <w:sz w:val="24"/>
          <w:szCs w:val="24"/>
          <w:highlight w:val="none"/>
        </w:rPr>
        <w:t>实施安装验收标准</w:t>
      </w:r>
    </w:p>
    <w:p w14:paraId="35FF42EA">
      <w:pPr>
        <w:shd w:val="clear" w:color="auto"/>
        <w:spacing w:line="360" w:lineRule="auto"/>
        <w:ind w:firstLine="482" w:firstLineChars="200"/>
        <w:rPr>
          <w:rFonts w:hint="eastAsia" w:ascii="宋体" w:hAnsi="宋体" w:eastAsia="宋体" w:cs="宋体"/>
          <w:b/>
          <w:bCs w:val="0"/>
          <w:color w:val="auto"/>
          <w:kern w:val="0"/>
          <w:sz w:val="24"/>
          <w:szCs w:val="24"/>
          <w:highlight w:val="none"/>
        </w:rPr>
      </w:pPr>
      <w:r>
        <w:rPr>
          <w:rFonts w:hint="eastAsia" w:ascii="宋体" w:hAnsi="宋体" w:cs="宋体"/>
          <w:b/>
          <w:bCs w:val="0"/>
          <w:color w:val="auto"/>
          <w:kern w:val="0"/>
          <w:sz w:val="24"/>
          <w:szCs w:val="24"/>
          <w:highlight w:val="none"/>
          <w:lang w:val="en-US" w:eastAsia="zh-CN"/>
        </w:rPr>
        <w:t>7</w:t>
      </w:r>
      <w:r>
        <w:rPr>
          <w:rFonts w:hint="eastAsia" w:ascii="宋体" w:hAnsi="宋体" w:eastAsia="宋体" w:cs="宋体"/>
          <w:b/>
          <w:bCs w:val="0"/>
          <w:color w:val="auto"/>
          <w:kern w:val="0"/>
          <w:sz w:val="24"/>
          <w:szCs w:val="24"/>
          <w:highlight w:val="none"/>
          <w:lang w:val="en-US" w:eastAsia="zh-CN"/>
        </w:rPr>
        <w:t>.3</w:t>
      </w:r>
      <w:r>
        <w:rPr>
          <w:rFonts w:hint="eastAsia" w:ascii="宋体" w:hAnsi="宋体" w:eastAsia="宋体" w:cs="宋体"/>
          <w:b/>
          <w:bCs w:val="0"/>
          <w:color w:val="auto"/>
          <w:kern w:val="0"/>
          <w:sz w:val="24"/>
          <w:szCs w:val="24"/>
          <w:highlight w:val="none"/>
        </w:rPr>
        <w:t>.1触控一体机</w:t>
      </w:r>
      <w:r>
        <w:rPr>
          <w:rFonts w:hint="eastAsia" w:ascii="宋体" w:hAnsi="宋体" w:cs="宋体"/>
          <w:b/>
          <w:bCs w:val="0"/>
          <w:color w:val="auto"/>
          <w:kern w:val="0"/>
          <w:sz w:val="24"/>
          <w:szCs w:val="24"/>
          <w:highlight w:val="none"/>
          <w:lang w:val="en-US" w:eastAsia="zh-CN"/>
        </w:rPr>
        <w:t>/智慧黑板</w:t>
      </w:r>
      <w:r>
        <w:rPr>
          <w:rFonts w:hint="eastAsia" w:ascii="宋体" w:hAnsi="宋体" w:eastAsia="宋体" w:cs="宋体"/>
          <w:b/>
          <w:bCs w:val="0"/>
          <w:color w:val="auto"/>
          <w:kern w:val="0"/>
          <w:sz w:val="24"/>
          <w:szCs w:val="24"/>
          <w:highlight w:val="none"/>
        </w:rPr>
        <w:t>实施安装验收标准</w:t>
      </w:r>
    </w:p>
    <w:p w14:paraId="5FD10357">
      <w:pPr>
        <w:shd w:val="clear" w:color="auto"/>
        <w:spacing w:line="360" w:lineRule="auto"/>
        <w:ind w:firstLine="482" w:firstLineChars="200"/>
        <w:rPr>
          <w:rFonts w:hint="eastAsia" w:ascii="宋体" w:hAnsi="宋体" w:eastAsia="宋体" w:cs="宋体"/>
          <w:b/>
          <w:bCs w:val="0"/>
          <w:color w:val="auto"/>
          <w:kern w:val="0"/>
          <w:sz w:val="24"/>
          <w:szCs w:val="24"/>
          <w:highlight w:val="none"/>
          <w:lang w:val="en-US" w:eastAsia="zh-CN"/>
        </w:rPr>
      </w:pPr>
      <w:r>
        <w:rPr>
          <w:rFonts w:hint="eastAsia" w:ascii="宋体" w:hAnsi="宋体" w:cs="宋体"/>
          <w:b/>
          <w:bCs w:val="0"/>
          <w:color w:val="auto"/>
          <w:kern w:val="0"/>
          <w:sz w:val="24"/>
          <w:szCs w:val="24"/>
          <w:highlight w:val="none"/>
          <w:lang w:val="en-US" w:eastAsia="zh-CN"/>
        </w:rPr>
        <w:t>7</w:t>
      </w:r>
      <w:r>
        <w:rPr>
          <w:rFonts w:hint="eastAsia" w:ascii="宋体" w:hAnsi="宋体" w:eastAsia="宋体" w:cs="宋体"/>
          <w:b/>
          <w:bCs w:val="0"/>
          <w:color w:val="auto"/>
          <w:kern w:val="0"/>
          <w:sz w:val="24"/>
          <w:szCs w:val="24"/>
          <w:highlight w:val="none"/>
          <w:lang w:val="en-US" w:eastAsia="zh-CN"/>
        </w:rPr>
        <w:t>.3.1.1在安装前应确认安装环境，教室若有旧投影机或旧触控一体机</w:t>
      </w:r>
      <w:r>
        <w:rPr>
          <w:rFonts w:hint="eastAsia" w:ascii="宋体" w:hAnsi="宋体" w:cs="宋体"/>
          <w:b/>
          <w:bCs w:val="0"/>
          <w:color w:val="auto"/>
          <w:kern w:val="0"/>
          <w:sz w:val="24"/>
          <w:szCs w:val="24"/>
          <w:highlight w:val="none"/>
          <w:lang w:val="en-US" w:eastAsia="zh-CN"/>
        </w:rPr>
        <w:t>或旧智慧黑板</w:t>
      </w:r>
      <w:r>
        <w:rPr>
          <w:rFonts w:hint="eastAsia" w:ascii="宋体" w:hAnsi="宋体" w:eastAsia="宋体" w:cs="宋体"/>
          <w:b/>
          <w:bCs w:val="0"/>
          <w:color w:val="auto"/>
          <w:kern w:val="0"/>
          <w:sz w:val="24"/>
          <w:szCs w:val="24"/>
          <w:highlight w:val="none"/>
          <w:lang w:val="en-US" w:eastAsia="zh-CN"/>
        </w:rPr>
        <w:t>以及配套的旧投影幕布、旧黑板、旧讲台、旧音响设备、旧功放设备、旧电脑主机及显示器、旧话筒及话筒主机设备、旧中控设备、旧实物展台等设备，经最终用户确认需要拆除，需免费协助客户拆除并运输至最终用户指定的位置。拆除的旧设备最终用户需要利旧并在新的位置安装，需免费协助客户在新的位置安装需要利旧的设备，并提供安装所需的所有辅材。</w:t>
      </w:r>
    </w:p>
    <w:p w14:paraId="325C81D4">
      <w:pPr>
        <w:shd w:val="clear" w:color="auto"/>
        <w:spacing w:line="360" w:lineRule="auto"/>
        <w:ind w:firstLine="482" w:firstLineChars="200"/>
        <w:rPr>
          <w:rFonts w:hint="eastAsia" w:ascii="宋体" w:hAnsi="宋体" w:eastAsia="宋体" w:cs="宋体"/>
          <w:b/>
          <w:bCs w:val="0"/>
          <w:color w:val="auto"/>
          <w:kern w:val="0"/>
          <w:sz w:val="24"/>
          <w:szCs w:val="24"/>
          <w:highlight w:val="none"/>
        </w:rPr>
      </w:pPr>
      <w:r>
        <w:rPr>
          <w:rFonts w:hint="eastAsia" w:ascii="宋体" w:hAnsi="宋体" w:cs="宋体"/>
          <w:b/>
          <w:bCs w:val="0"/>
          <w:color w:val="auto"/>
          <w:kern w:val="0"/>
          <w:sz w:val="24"/>
          <w:szCs w:val="24"/>
          <w:highlight w:val="none"/>
          <w:lang w:val="en-US" w:eastAsia="zh-CN"/>
        </w:rPr>
        <w:t>7</w:t>
      </w:r>
      <w:r>
        <w:rPr>
          <w:rFonts w:hint="eastAsia" w:ascii="宋体" w:hAnsi="宋体" w:eastAsia="宋体" w:cs="宋体"/>
          <w:b/>
          <w:bCs w:val="0"/>
          <w:color w:val="auto"/>
          <w:kern w:val="0"/>
          <w:sz w:val="24"/>
          <w:szCs w:val="24"/>
          <w:highlight w:val="none"/>
          <w:lang w:val="en-US" w:eastAsia="zh-CN"/>
        </w:rPr>
        <w:t>.3</w:t>
      </w:r>
      <w:r>
        <w:rPr>
          <w:rFonts w:hint="eastAsia" w:ascii="宋体" w:hAnsi="宋体" w:eastAsia="宋体" w:cs="宋体"/>
          <w:b/>
          <w:bCs w:val="0"/>
          <w:color w:val="auto"/>
          <w:kern w:val="0"/>
          <w:sz w:val="24"/>
          <w:szCs w:val="24"/>
          <w:highlight w:val="none"/>
        </w:rPr>
        <w:t>.1.</w:t>
      </w:r>
      <w:r>
        <w:rPr>
          <w:rFonts w:hint="eastAsia" w:ascii="宋体" w:hAnsi="宋体" w:eastAsia="宋体" w:cs="宋体"/>
          <w:b/>
          <w:bCs w:val="0"/>
          <w:color w:val="auto"/>
          <w:kern w:val="0"/>
          <w:sz w:val="24"/>
          <w:szCs w:val="24"/>
          <w:highlight w:val="none"/>
          <w:lang w:val="en-US" w:eastAsia="zh-CN"/>
        </w:rPr>
        <w:t>2</w:t>
      </w:r>
      <w:r>
        <w:rPr>
          <w:rFonts w:hint="eastAsia" w:ascii="宋体" w:hAnsi="宋体" w:eastAsia="宋体" w:cs="宋体"/>
          <w:b/>
          <w:bCs w:val="0"/>
          <w:color w:val="auto"/>
          <w:kern w:val="0"/>
          <w:sz w:val="24"/>
          <w:szCs w:val="24"/>
          <w:highlight w:val="none"/>
        </w:rPr>
        <w:t>采用壁挂支架固定触控一体机</w:t>
      </w:r>
      <w:r>
        <w:rPr>
          <w:rFonts w:hint="eastAsia" w:ascii="宋体" w:hAnsi="宋体" w:cs="宋体"/>
          <w:b/>
          <w:bCs w:val="0"/>
          <w:color w:val="auto"/>
          <w:kern w:val="0"/>
          <w:sz w:val="24"/>
          <w:szCs w:val="24"/>
          <w:highlight w:val="none"/>
          <w:lang w:val="en-US" w:eastAsia="zh-CN"/>
        </w:rPr>
        <w:t>/智慧黑板</w:t>
      </w:r>
      <w:r>
        <w:rPr>
          <w:rFonts w:hint="eastAsia" w:ascii="宋体" w:hAnsi="宋体" w:eastAsia="宋体" w:cs="宋体"/>
          <w:b/>
          <w:bCs w:val="0"/>
          <w:color w:val="auto"/>
          <w:kern w:val="0"/>
          <w:sz w:val="24"/>
          <w:szCs w:val="24"/>
          <w:highlight w:val="none"/>
        </w:rPr>
        <w:t>时，要求提供至少4个受力性能在240KG以上的膨胀螺栓进行固定支架，触控一体机</w:t>
      </w:r>
      <w:r>
        <w:rPr>
          <w:rFonts w:hint="eastAsia" w:ascii="宋体" w:hAnsi="宋体" w:cs="宋体"/>
          <w:b/>
          <w:bCs w:val="0"/>
          <w:color w:val="auto"/>
          <w:kern w:val="0"/>
          <w:sz w:val="24"/>
          <w:szCs w:val="24"/>
          <w:highlight w:val="none"/>
          <w:lang w:val="en-US" w:eastAsia="zh-CN"/>
        </w:rPr>
        <w:t>/智慧黑板</w:t>
      </w:r>
      <w:r>
        <w:rPr>
          <w:rFonts w:hint="eastAsia" w:ascii="宋体" w:hAnsi="宋体" w:eastAsia="宋体" w:cs="宋体"/>
          <w:b/>
          <w:bCs w:val="0"/>
          <w:color w:val="auto"/>
          <w:kern w:val="0"/>
          <w:sz w:val="24"/>
          <w:szCs w:val="24"/>
          <w:highlight w:val="none"/>
        </w:rPr>
        <w:t>安装至墙面时要求稳定，不晃动，且与地面保持平行。安装完成后要求提供现场图片，并编入验收报告中。</w:t>
      </w:r>
    </w:p>
    <w:p w14:paraId="3A58FFD7">
      <w:pPr>
        <w:shd w:val="clear" w:color="auto"/>
        <w:spacing w:line="360" w:lineRule="auto"/>
        <w:ind w:firstLine="482" w:firstLineChars="200"/>
        <w:rPr>
          <w:rFonts w:hint="eastAsia" w:ascii="宋体" w:hAnsi="宋体" w:eastAsia="宋体" w:cs="宋体"/>
          <w:b/>
          <w:bCs w:val="0"/>
          <w:color w:val="auto"/>
          <w:kern w:val="0"/>
          <w:sz w:val="24"/>
          <w:szCs w:val="24"/>
          <w:highlight w:val="none"/>
        </w:rPr>
      </w:pPr>
      <w:r>
        <w:rPr>
          <w:rFonts w:hint="eastAsia" w:ascii="宋体" w:hAnsi="宋体" w:cs="宋体"/>
          <w:b/>
          <w:bCs w:val="0"/>
          <w:color w:val="auto"/>
          <w:kern w:val="0"/>
          <w:sz w:val="24"/>
          <w:szCs w:val="24"/>
          <w:highlight w:val="none"/>
          <w:lang w:val="en-US" w:eastAsia="zh-CN"/>
        </w:rPr>
        <w:t>7</w:t>
      </w:r>
      <w:r>
        <w:rPr>
          <w:rFonts w:hint="eastAsia" w:ascii="宋体" w:hAnsi="宋体" w:eastAsia="宋体" w:cs="宋体"/>
          <w:b/>
          <w:bCs w:val="0"/>
          <w:color w:val="auto"/>
          <w:kern w:val="0"/>
          <w:sz w:val="24"/>
          <w:szCs w:val="24"/>
          <w:highlight w:val="none"/>
          <w:lang w:val="en-US" w:eastAsia="zh-CN"/>
        </w:rPr>
        <w:t>.3</w:t>
      </w:r>
      <w:r>
        <w:rPr>
          <w:rFonts w:hint="eastAsia" w:ascii="宋体" w:hAnsi="宋体" w:eastAsia="宋体" w:cs="宋体"/>
          <w:b/>
          <w:bCs w:val="0"/>
          <w:color w:val="auto"/>
          <w:kern w:val="0"/>
          <w:sz w:val="24"/>
          <w:szCs w:val="24"/>
          <w:highlight w:val="none"/>
        </w:rPr>
        <w:t>.1.</w:t>
      </w:r>
      <w:r>
        <w:rPr>
          <w:rFonts w:hint="eastAsia" w:ascii="宋体" w:hAnsi="宋体" w:eastAsia="宋体" w:cs="宋体"/>
          <w:b/>
          <w:bCs w:val="0"/>
          <w:color w:val="auto"/>
          <w:kern w:val="0"/>
          <w:sz w:val="24"/>
          <w:szCs w:val="24"/>
          <w:highlight w:val="none"/>
          <w:lang w:val="en-US" w:eastAsia="zh-CN"/>
        </w:rPr>
        <w:t>3</w:t>
      </w:r>
      <w:r>
        <w:rPr>
          <w:rFonts w:hint="eastAsia" w:ascii="宋体" w:hAnsi="宋体" w:eastAsia="宋体" w:cs="宋体"/>
          <w:b/>
          <w:bCs w:val="0"/>
          <w:color w:val="auto"/>
          <w:kern w:val="0"/>
          <w:sz w:val="24"/>
          <w:szCs w:val="24"/>
          <w:highlight w:val="none"/>
        </w:rPr>
        <w:t>与触控一体机</w:t>
      </w:r>
      <w:r>
        <w:rPr>
          <w:rFonts w:hint="eastAsia" w:ascii="宋体" w:hAnsi="宋体" w:cs="宋体"/>
          <w:b/>
          <w:bCs w:val="0"/>
          <w:color w:val="auto"/>
          <w:kern w:val="0"/>
          <w:sz w:val="24"/>
          <w:szCs w:val="24"/>
          <w:highlight w:val="none"/>
          <w:lang w:val="en-US" w:eastAsia="zh-CN"/>
        </w:rPr>
        <w:t>/智慧黑板</w:t>
      </w:r>
      <w:r>
        <w:rPr>
          <w:rFonts w:hint="eastAsia" w:ascii="宋体" w:hAnsi="宋体" w:eastAsia="宋体" w:cs="宋体"/>
          <w:b/>
          <w:bCs w:val="0"/>
          <w:color w:val="auto"/>
          <w:kern w:val="0"/>
          <w:sz w:val="24"/>
          <w:szCs w:val="24"/>
          <w:highlight w:val="none"/>
        </w:rPr>
        <w:t>连接的线缆如网线、VGA线、电源线、USB线等，不允许出现裸线悬挂的情况，要求使用线槽进行收敛。安装完成后要求提供现场图片，并编入验收报告中。</w:t>
      </w:r>
    </w:p>
    <w:p w14:paraId="6276B5A2">
      <w:pPr>
        <w:shd w:val="clear" w:color="auto"/>
        <w:spacing w:line="360" w:lineRule="auto"/>
        <w:ind w:firstLine="482" w:firstLineChars="200"/>
        <w:rPr>
          <w:rFonts w:hint="eastAsia" w:ascii="宋体" w:hAnsi="宋体" w:eastAsia="宋体" w:cs="宋体"/>
          <w:b/>
          <w:bCs w:val="0"/>
          <w:color w:val="auto"/>
          <w:kern w:val="0"/>
          <w:sz w:val="24"/>
          <w:szCs w:val="24"/>
          <w:highlight w:val="none"/>
        </w:rPr>
      </w:pPr>
      <w:r>
        <w:rPr>
          <w:rFonts w:hint="eastAsia" w:ascii="宋体" w:hAnsi="宋体" w:cs="宋体"/>
          <w:b/>
          <w:bCs w:val="0"/>
          <w:color w:val="auto"/>
          <w:kern w:val="0"/>
          <w:sz w:val="24"/>
          <w:szCs w:val="24"/>
          <w:highlight w:val="none"/>
          <w:lang w:val="en-US" w:eastAsia="zh-CN"/>
        </w:rPr>
        <w:t>7</w:t>
      </w:r>
      <w:r>
        <w:rPr>
          <w:rFonts w:hint="eastAsia" w:ascii="宋体" w:hAnsi="宋体" w:eastAsia="宋体" w:cs="宋体"/>
          <w:b/>
          <w:bCs w:val="0"/>
          <w:color w:val="auto"/>
          <w:kern w:val="0"/>
          <w:sz w:val="24"/>
          <w:szCs w:val="24"/>
          <w:highlight w:val="none"/>
          <w:lang w:val="en-US" w:eastAsia="zh-CN"/>
        </w:rPr>
        <w:t>.3</w:t>
      </w:r>
      <w:r>
        <w:rPr>
          <w:rFonts w:hint="eastAsia" w:ascii="宋体" w:hAnsi="宋体" w:eastAsia="宋体" w:cs="宋体"/>
          <w:b/>
          <w:bCs w:val="0"/>
          <w:color w:val="auto"/>
          <w:kern w:val="0"/>
          <w:sz w:val="24"/>
          <w:szCs w:val="24"/>
          <w:highlight w:val="none"/>
        </w:rPr>
        <w:t>.1.</w:t>
      </w:r>
      <w:r>
        <w:rPr>
          <w:rFonts w:hint="eastAsia" w:ascii="宋体" w:hAnsi="宋体" w:eastAsia="宋体" w:cs="宋体"/>
          <w:b/>
          <w:bCs w:val="0"/>
          <w:color w:val="auto"/>
          <w:kern w:val="0"/>
          <w:sz w:val="24"/>
          <w:szCs w:val="24"/>
          <w:highlight w:val="none"/>
          <w:lang w:val="en-US" w:eastAsia="zh-CN"/>
        </w:rPr>
        <w:t>4触控一体机</w:t>
      </w:r>
      <w:r>
        <w:rPr>
          <w:rFonts w:hint="eastAsia" w:ascii="宋体" w:hAnsi="宋体" w:cs="宋体"/>
          <w:b/>
          <w:bCs w:val="0"/>
          <w:color w:val="auto"/>
          <w:kern w:val="0"/>
          <w:sz w:val="24"/>
          <w:szCs w:val="24"/>
          <w:highlight w:val="none"/>
          <w:lang w:val="en-US" w:eastAsia="zh-CN"/>
        </w:rPr>
        <w:t>/智慧黑板</w:t>
      </w:r>
      <w:r>
        <w:rPr>
          <w:rFonts w:hint="eastAsia" w:ascii="宋体" w:hAnsi="宋体" w:eastAsia="宋体" w:cs="宋体"/>
          <w:b/>
          <w:bCs w:val="0"/>
          <w:color w:val="auto"/>
          <w:kern w:val="0"/>
          <w:sz w:val="24"/>
          <w:szCs w:val="24"/>
          <w:highlight w:val="none"/>
          <w:lang w:val="en-US" w:eastAsia="zh-CN"/>
        </w:rPr>
        <w:t>配置的插拔式模块化电脑要求安装正版</w:t>
      </w:r>
      <w:r>
        <w:rPr>
          <w:rFonts w:hint="eastAsia" w:ascii="宋体" w:hAnsi="宋体" w:eastAsia="宋体" w:cs="宋体"/>
          <w:b/>
          <w:bCs w:val="0"/>
          <w:i w:val="0"/>
          <w:iCs w:val="0"/>
          <w:color w:val="auto"/>
          <w:kern w:val="0"/>
          <w:sz w:val="24"/>
          <w:szCs w:val="24"/>
          <w:highlight w:val="none"/>
          <w:u w:val="none"/>
          <w:lang w:val="en-US" w:eastAsia="zh-CN" w:bidi="ar-SA"/>
        </w:rPr>
        <w:t>符合安全可靠测评要求的</w:t>
      </w:r>
      <w:r>
        <w:rPr>
          <w:rFonts w:hint="eastAsia" w:ascii="宋体" w:hAnsi="宋体" w:eastAsia="宋体" w:cs="宋体"/>
          <w:b/>
          <w:bCs w:val="0"/>
          <w:color w:val="auto"/>
          <w:kern w:val="0"/>
          <w:sz w:val="24"/>
          <w:szCs w:val="24"/>
          <w:highlight w:val="none"/>
          <w:lang w:val="en-US" w:eastAsia="zh-CN"/>
        </w:rPr>
        <w:t>操作系统并激活。在操作系统中要求安装触控一体机</w:t>
      </w:r>
      <w:r>
        <w:rPr>
          <w:rFonts w:hint="eastAsia" w:ascii="宋体" w:hAnsi="宋体" w:cs="宋体"/>
          <w:b/>
          <w:bCs w:val="0"/>
          <w:color w:val="auto"/>
          <w:kern w:val="0"/>
          <w:sz w:val="24"/>
          <w:szCs w:val="24"/>
          <w:highlight w:val="none"/>
          <w:lang w:val="en-US" w:eastAsia="zh-CN"/>
        </w:rPr>
        <w:t>/智慧黑板</w:t>
      </w:r>
      <w:r>
        <w:rPr>
          <w:rFonts w:hint="eastAsia" w:ascii="宋体" w:hAnsi="宋体" w:eastAsia="宋体" w:cs="宋体"/>
          <w:b/>
          <w:bCs w:val="0"/>
          <w:color w:val="auto"/>
          <w:kern w:val="0"/>
          <w:sz w:val="24"/>
          <w:szCs w:val="24"/>
          <w:highlight w:val="none"/>
          <w:lang w:val="en-US" w:eastAsia="zh-CN"/>
        </w:rPr>
        <w:t>配套的软件，软件包含但不限于白板软件、集中管理软件等，要求所安装的软件可以正常运行。</w:t>
      </w:r>
    </w:p>
    <w:p w14:paraId="5BACB43A">
      <w:pPr>
        <w:shd w:val="clear" w:color="auto"/>
        <w:spacing w:line="360" w:lineRule="auto"/>
        <w:ind w:firstLine="482" w:firstLineChars="200"/>
        <w:rPr>
          <w:rFonts w:hint="eastAsia" w:ascii="宋体" w:hAnsi="宋体" w:eastAsia="宋体" w:cs="宋体"/>
          <w:b/>
          <w:bCs w:val="0"/>
          <w:color w:val="auto"/>
          <w:kern w:val="0"/>
          <w:sz w:val="24"/>
          <w:szCs w:val="24"/>
          <w:highlight w:val="none"/>
        </w:rPr>
      </w:pPr>
      <w:r>
        <w:rPr>
          <w:rFonts w:hint="eastAsia" w:ascii="宋体" w:hAnsi="宋体" w:cs="宋体"/>
          <w:b/>
          <w:bCs w:val="0"/>
          <w:color w:val="auto"/>
          <w:kern w:val="0"/>
          <w:sz w:val="24"/>
          <w:szCs w:val="24"/>
          <w:highlight w:val="none"/>
          <w:lang w:val="en-US" w:eastAsia="zh-CN"/>
        </w:rPr>
        <w:t>7</w:t>
      </w:r>
      <w:r>
        <w:rPr>
          <w:rFonts w:hint="eastAsia" w:ascii="宋体" w:hAnsi="宋体" w:eastAsia="宋体" w:cs="宋体"/>
          <w:b/>
          <w:bCs w:val="0"/>
          <w:color w:val="auto"/>
          <w:kern w:val="0"/>
          <w:sz w:val="24"/>
          <w:szCs w:val="24"/>
          <w:highlight w:val="none"/>
          <w:lang w:val="en-US" w:eastAsia="zh-CN"/>
        </w:rPr>
        <w:t>.3</w:t>
      </w:r>
      <w:r>
        <w:rPr>
          <w:rFonts w:hint="eastAsia" w:ascii="宋体" w:hAnsi="宋体" w:eastAsia="宋体" w:cs="宋体"/>
          <w:b/>
          <w:bCs w:val="0"/>
          <w:color w:val="auto"/>
          <w:kern w:val="0"/>
          <w:sz w:val="24"/>
          <w:szCs w:val="24"/>
          <w:highlight w:val="none"/>
        </w:rPr>
        <w:t>.1.</w:t>
      </w:r>
      <w:r>
        <w:rPr>
          <w:rFonts w:hint="eastAsia" w:ascii="宋体" w:hAnsi="宋体" w:eastAsia="宋体" w:cs="宋体"/>
          <w:b/>
          <w:bCs w:val="0"/>
          <w:color w:val="auto"/>
          <w:kern w:val="0"/>
          <w:sz w:val="24"/>
          <w:szCs w:val="24"/>
          <w:highlight w:val="none"/>
          <w:lang w:val="en-US" w:eastAsia="zh-CN"/>
        </w:rPr>
        <w:t>5</w:t>
      </w:r>
      <w:r>
        <w:rPr>
          <w:rFonts w:hint="eastAsia" w:ascii="宋体" w:hAnsi="宋体" w:eastAsia="宋体" w:cs="宋体"/>
          <w:b/>
          <w:bCs w:val="0"/>
          <w:color w:val="auto"/>
          <w:kern w:val="0"/>
          <w:sz w:val="24"/>
          <w:szCs w:val="24"/>
          <w:highlight w:val="none"/>
        </w:rPr>
        <w:t>触控一体机</w:t>
      </w:r>
      <w:r>
        <w:rPr>
          <w:rFonts w:hint="eastAsia" w:ascii="宋体" w:hAnsi="宋体" w:cs="宋体"/>
          <w:b/>
          <w:bCs w:val="0"/>
          <w:color w:val="auto"/>
          <w:kern w:val="0"/>
          <w:sz w:val="24"/>
          <w:szCs w:val="24"/>
          <w:highlight w:val="none"/>
          <w:lang w:val="en-US" w:eastAsia="zh-CN"/>
        </w:rPr>
        <w:t>/智慧黑板</w:t>
      </w:r>
      <w:r>
        <w:rPr>
          <w:rFonts w:hint="eastAsia" w:ascii="宋体" w:hAnsi="宋体" w:eastAsia="宋体" w:cs="宋体"/>
          <w:b/>
          <w:bCs w:val="0"/>
          <w:color w:val="auto"/>
          <w:kern w:val="0"/>
          <w:sz w:val="24"/>
          <w:szCs w:val="24"/>
          <w:highlight w:val="none"/>
        </w:rPr>
        <w:t>安装完成后，需要进行WIFI模块、风扇、主机运行情况的检查，要求WIFI模块能够正常连接无线信号；要求风扇运行无异常声响；要求主机运行过程无卡顿、死机和重启的现象。</w:t>
      </w:r>
    </w:p>
    <w:p w14:paraId="0CD98897">
      <w:pPr>
        <w:shd w:val="clear" w:color="auto"/>
        <w:spacing w:line="360" w:lineRule="auto"/>
        <w:ind w:firstLine="482" w:firstLineChars="200"/>
        <w:rPr>
          <w:rFonts w:hint="eastAsia" w:ascii="宋体" w:hAnsi="宋体" w:eastAsia="宋体" w:cs="宋体"/>
          <w:b/>
          <w:bCs w:val="0"/>
          <w:color w:val="auto"/>
          <w:kern w:val="0"/>
          <w:sz w:val="24"/>
          <w:szCs w:val="24"/>
          <w:highlight w:val="none"/>
        </w:rPr>
      </w:pPr>
      <w:r>
        <w:rPr>
          <w:rFonts w:hint="eastAsia" w:ascii="宋体" w:hAnsi="宋体" w:cs="宋体"/>
          <w:b/>
          <w:bCs w:val="0"/>
          <w:color w:val="auto"/>
          <w:kern w:val="0"/>
          <w:sz w:val="24"/>
          <w:szCs w:val="24"/>
          <w:highlight w:val="none"/>
          <w:lang w:val="en-US" w:eastAsia="zh-CN"/>
        </w:rPr>
        <w:t>7</w:t>
      </w:r>
      <w:r>
        <w:rPr>
          <w:rFonts w:hint="eastAsia" w:ascii="宋体" w:hAnsi="宋体" w:eastAsia="宋体" w:cs="宋体"/>
          <w:b/>
          <w:bCs w:val="0"/>
          <w:color w:val="auto"/>
          <w:kern w:val="0"/>
          <w:sz w:val="24"/>
          <w:szCs w:val="24"/>
          <w:highlight w:val="none"/>
          <w:lang w:val="en-US" w:eastAsia="zh-CN"/>
        </w:rPr>
        <w:t>.3</w:t>
      </w:r>
      <w:r>
        <w:rPr>
          <w:rFonts w:hint="eastAsia" w:ascii="宋体" w:hAnsi="宋体" w:eastAsia="宋体" w:cs="宋体"/>
          <w:b/>
          <w:bCs w:val="0"/>
          <w:color w:val="auto"/>
          <w:kern w:val="0"/>
          <w:sz w:val="24"/>
          <w:szCs w:val="24"/>
          <w:highlight w:val="none"/>
        </w:rPr>
        <w:t>.1.</w:t>
      </w:r>
      <w:r>
        <w:rPr>
          <w:rFonts w:hint="eastAsia" w:ascii="宋体" w:hAnsi="宋体" w:eastAsia="宋体" w:cs="宋体"/>
          <w:b/>
          <w:bCs w:val="0"/>
          <w:color w:val="auto"/>
          <w:kern w:val="0"/>
          <w:sz w:val="24"/>
          <w:szCs w:val="24"/>
          <w:highlight w:val="none"/>
          <w:lang w:val="en-US" w:eastAsia="zh-CN"/>
        </w:rPr>
        <w:t>6</w:t>
      </w:r>
      <w:r>
        <w:rPr>
          <w:rFonts w:hint="eastAsia" w:ascii="宋体" w:hAnsi="宋体" w:eastAsia="宋体" w:cs="宋体"/>
          <w:b/>
          <w:bCs w:val="0"/>
          <w:color w:val="auto"/>
          <w:kern w:val="0"/>
          <w:sz w:val="24"/>
          <w:szCs w:val="24"/>
          <w:highlight w:val="none"/>
        </w:rPr>
        <w:t>要求触控一体机</w:t>
      </w:r>
      <w:r>
        <w:rPr>
          <w:rFonts w:hint="eastAsia" w:ascii="宋体" w:hAnsi="宋体" w:cs="宋体"/>
          <w:b/>
          <w:bCs w:val="0"/>
          <w:color w:val="auto"/>
          <w:kern w:val="0"/>
          <w:sz w:val="24"/>
          <w:szCs w:val="24"/>
          <w:highlight w:val="none"/>
          <w:lang w:val="en-US" w:eastAsia="zh-CN"/>
        </w:rPr>
        <w:t>/智慧黑板</w:t>
      </w:r>
      <w:r>
        <w:rPr>
          <w:rFonts w:hint="eastAsia" w:ascii="宋体" w:hAnsi="宋体" w:eastAsia="宋体" w:cs="宋体"/>
          <w:b/>
          <w:bCs w:val="0"/>
          <w:color w:val="auto"/>
          <w:kern w:val="0"/>
          <w:sz w:val="24"/>
          <w:szCs w:val="24"/>
          <w:highlight w:val="none"/>
        </w:rPr>
        <w:t>外观完好，液晶屏表面不允许有划痕；触控一体机</w:t>
      </w:r>
      <w:r>
        <w:rPr>
          <w:rFonts w:hint="eastAsia" w:ascii="宋体" w:hAnsi="宋体" w:cs="宋体"/>
          <w:b/>
          <w:bCs w:val="0"/>
          <w:color w:val="auto"/>
          <w:kern w:val="0"/>
          <w:sz w:val="24"/>
          <w:szCs w:val="24"/>
          <w:highlight w:val="none"/>
          <w:lang w:val="en-US" w:eastAsia="zh-CN"/>
        </w:rPr>
        <w:t>/智慧黑板</w:t>
      </w:r>
      <w:r>
        <w:rPr>
          <w:rFonts w:hint="eastAsia" w:ascii="宋体" w:hAnsi="宋体" w:eastAsia="宋体" w:cs="宋体"/>
          <w:b/>
          <w:bCs w:val="0"/>
          <w:color w:val="auto"/>
          <w:kern w:val="0"/>
          <w:sz w:val="24"/>
          <w:szCs w:val="24"/>
          <w:highlight w:val="none"/>
        </w:rPr>
        <w:t>边框不允许有磨损或者掉漆的现象。安装完成后要求提供现场图片，并编入验收报告中。若存在外观受损的情况，</w:t>
      </w:r>
      <w:r>
        <w:rPr>
          <w:rFonts w:hint="eastAsia" w:ascii="宋体" w:hAnsi="宋体" w:eastAsia="宋体" w:cs="宋体"/>
          <w:b/>
          <w:bCs w:val="0"/>
          <w:color w:val="auto"/>
          <w:kern w:val="0"/>
          <w:sz w:val="24"/>
          <w:szCs w:val="24"/>
          <w:highlight w:val="none"/>
          <w:lang w:eastAsia="zh-CN"/>
        </w:rPr>
        <w:t>征集人</w:t>
      </w:r>
      <w:r>
        <w:rPr>
          <w:rFonts w:hint="eastAsia" w:ascii="宋体" w:hAnsi="宋体" w:eastAsia="宋体" w:cs="宋体"/>
          <w:b/>
          <w:bCs w:val="0"/>
          <w:color w:val="auto"/>
          <w:kern w:val="0"/>
          <w:sz w:val="24"/>
          <w:szCs w:val="24"/>
          <w:highlight w:val="none"/>
        </w:rPr>
        <w:t>有权要求更换一台同型号的新机器。</w:t>
      </w:r>
    </w:p>
    <w:p w14:paraId="6393A9AA">
      <w:pPr>
        <w:shd w:val="clear" w:color="auto"/>
        <w:spacing w:line="360" w:lineRule="auto"/>
        <w:ind w:firstLine="482" w:firstLineChars="200"/>
        <w:rPr>
          <w:rFonts w:hint="eastAsia" w:ascii="宋体" w:hAnsi="宋体" w:eastAsia="宋体" w:cs="宋体"/>
          <w:b/>
          <w:bCs w:val="0"/>
          <w:color w:val="auto"/>
          <w:kern w:val="0"/>
          <w:sz w:val="24"/>
          <w:szCs w:val="24"/>
          <w:highlight w:val="none"/>
        </w:rPr>
      </w:pPr>
      <w:r>
        <w:rPr>
          <w:rFonts w:hint="eastAsia" w:ascii="宋体" w:hAnsi="宋体" w:cs="宋体"/>
          <w:b/>
          <w:bCs w:val="0"/>
          <w:color w:val="auto"/>
          <w:kern w:val="0"/>
          <w:sz w:val="24"/>
          <w:szCs w:val="24"/>
          <w:highlight w:val="none"/>
          <w:lang w:val="en-US" w:eastAsia="zh-CN"/>
        </w:rPr>
        <w:t>7</w:t>
      </w:r>
      <w:r>
        <w:rPr>
          <w:rFonts w:hint="eastAsia" w:ascii="宋体" w:hAnsi="宋体" w:eastAsia="宋体" w:cs="宋体"/>
          <w:b/>
          <w:bCs w:val="0"/>
          <w:color w:val="auto"/>
          <w:kern w:val="0"/>
          <w:sz w:val="24"/>
          <w:szCs w:val="24"/>
          <w:highlight w:val="none"/>
          <w:lang w:val="en-US" w:eastAsia="zh-CN"/>
        </w:rPr>
        <w:t>.3</w:t>
      </w:r>
      <w:r>
        <w:rPr>
          <w:rFonts w:hint="eastAsia" w:ascii="宋体" w:hAnsi="宋体" w:eastAsia="宋体" w:cs="宋体"/>
          <w:b/>
          <w:bCs w:val="0"/>
          <w:color w:val="auto"/>
          <w:kern w:val="0"/>
          <w:sz w:val="24"/>
          <w:szCs w:val="24"/>
          <w:highlight w:val="none"/>
        </w:rPr>
        <w:t>.1.</w:t>
      </w:r>
      <w:r>
        <w:rPr>
          <w:rFonts w:hint="eastAsia" w:ascii="宋体" w:hAnsi="宋体" w:eastAsia="宋体" w:cs="宋体"/>
          <w:b/>
          <w:bCs w:val="0"/>
          <w:color w:val="auto"/>
          <w:kern w:val="0"/>
          <w:sz w:val="24"/>
          <w:szCs w:val="24"/>
          <w:highlight w:val="none"/>
          <w:lang w:val="en-US" w:eastAsia="zh-CN"/>
        </w:rPr>
        <w:t>7</w:t>
      </w:r>
      <w:r>
        <w:rPr>
          <w:rFonts w:hint="eastAsia" w:ascii="宋体" w:hAnsi="宋体" w:eastAsia="宋体" w:cs="宋体"/>
          <w:b/>
          <w:bCs w:val="0"/>
          <w:color w:val="auto"/>
          <w:kern w:val="0"/>
          <w:sz w:val="24"/>
          <w:szCs w:val="24"/>
          <w:highlight w:val="none"/>
        </w:rPr>
        <w:t>触控一体机</w:t>
      </w:r>
      <w:r>
        <w:rPr>
          <w:rFonts w:hint="eastAsia" w:ascii="宋体" w:hAnsi="宋体" w:cs="宋体"/>
          <w:b/>
          <w:bCs w:val="0"/>
          <w:color w:val="auto"/>
          <w:kern w:val="0"/>
          <w:sz w:val="24"/>
          <w:szCs w:val="24"/>
          <w:highlight w:val="none"/>
          <w:lang w:val="en-US" w:eastAsia="zh-CN"/>
        </w:rPr>
        <w:t>/智慧黑板</w:t>
      </w:r>
      <w:r>
        <w:rPr>
          <w:rFonts w:hint="eastAsia" w:ascii="宋体" w:hAnsi="宋体" w:eastAsia="宋体" w:cs="宋体"/>
          <w:b/>
          <w:bCs w:val="0"/>
          <w:color w:val="auto"/>
          <w:kern w:val="0"/>
          <w:sz w:val="24"/>
          <w:szCs w:val="24"/>
          <w:highlight w:val="none"/>
        </w:rPr>
        <w:t>安装完成后，需要组织最终用户进行触控一体机</w:t>
      </w:r>
      <w:r>
        <w:rPr>
          <w:rFonts w:hint="eastAsia" w:ascii="宋体" w:hAnsi="宋体" w:cs="宋体"/>
          <w:b/>
          <w:bCs w:val="0"/>
          <w:color w:val="auto"/>
          <w:kern w:val="0"/>
          <w:sz w:val="24"/>
          <w:szCs w:val="24"/>
          <w:highlight w:val="none"/>
          <w:lang w:val="en-US" w:eastAsia="zh-CN"/>
        </w:rPr>
        <w:t>/智慧黑板</w:t>
      </w:r>
      <w:r>
        <w:rPr>
          <w:rFonts w:hint="eastAsia" w:ascii="宋体" w:hAnsi="宋体" w:eastAsia="宋体" w:cs="宋体"/>
          <w:b/>
          <w:bCs w:val="0"/>
          <w:color w:val="auto"/>
          <w:kern w:val="0"/>
          <w:sz w:val="24"/>
          <w:szCs w:val="24"/>
          <w:highlight w:val="none"/>
        </w:rPr>
        <w:t>硬件及软件的使用培训</w:t>
      </w:r>
      <w:r>
        <w:rPr>
          <w:rFonts w:hint="eastAsia" w:ascii="宋体" w:hAnsi="宋体" w:eastAsia="宋体" w:cs="宋体"/>
          <w:b/>
          <w:bCs w:val="0"/>
          <w:color w:val="auto"/>
          <w:kern w:val="0"/>
          <w:sz w:val="24"/>
          <w:szCs w:val="24"/>
          <w:highlight w:val="none"/>
          <w:lang w:eastAsia="zh-CN"/>
        </w:rPr>
        <w:t>，</w:t>
      </w:r>
      <w:r>
        <w:rPr>
          <w:rFonts w:hint="eastAsia" w:ascii="宋体" w:hAnsi="宋体" w:eastAsia="宋体" w:cs="宋体"/>
          <w:b/>
          <w:bCs w:val="0"/>
          <w:color w:val="auto"/>
          <w:kern w:val="0"/>
          <w:sz w:val="24"/>
          <w:szCs w:val="24"/>
          <w:highlight w:val="none"/>
          <w:lang w:val="en-US" w:eastAsia="zh-CN"/>
        </w:rPr>
        <w:t>并提供硬件使用说明书或使用手册、软件使用说明书或使用手册</w:t>
      </w:r>
      <w:r>
        <w:rPr>
          <w:rFonts w:hint="eastAsia" w:ascii="宋体" w:hAnsi="宋体" w:eastAsia="宋体" w:cs="宋体"/>
          <w:b/>
          <w:bCs w:val="0"/>
          <w:color w:val="auto"/>
          <w:kern w:val="0"/>
          <w:sz w:val="24"/>
          <w:szCs w:val="24"/>
          <w:highlight w:val="none"/>
        </w:rPr>
        <w:t>。</w:t>
      </w:r>
    </w:p>
    <w:p w14:paraId="5FE13972">
      <w:pPr>
        <w:shd w:val="clear" w:color="auto"/>
        <w:spacing w:line="360" w:lineRule="auto"/>
        <w:ind w:firstLine="482" w:firstLineChars="200"/>
        <w:rPr>
          <w:rFonts w:hint="eastAsia" w:ascii="宋体" w:hAnsi="宋体" w:eastAsia="宋体" w:cs="宋体"/>
          <w:b/>
          <w:bCs w:val="0"/>
          <w:color w:val="auto"/>
          <w:kern w:val="0"/>
          <w:sz w:val="24"/>
          <w:szCs w:val="24"/>
          <w:highlight w:val="none"/>
        </w:rPr>
      </w:pPr>
      <w:r>
        <w:rPr>
          <w:rFonts w:hint="eastAsia" w:ascii="宋体" w:hAnsi="宋体" w:cs="宋体"/>
          <w:b/>
          <w:bCs w:val="0"/>
          <w:color w:val="auto"/>
          <w:kern w:val="0"/>
          <w:sz w:val="24"/>
          <w:szCs w:val="24"/>
          <w:highlight w:val="none"/>
          <w:lang w:val="en-US" w:eastAsia="zh-CN"/>
        </w:rPr>
        <w:t>7</w:t>
      </w:r>
      <w:r>
        <w:rPr>
          <w:rFonts w:hint="eastAsia" w:ascii="宋体" w:hAnsi="宋体" w:eastAsia="宋体" w:cs="宋体"/>
          <w:b/>
          <w:bCs w:val="0"/>
          <w:color w:val="auto"/>
          <w:kern w:val="0"/>
          <w:sz w:val="24"/>
          <w:szCs w:val="24"/>
          <w:highlight w:val="none"/>
          <w:lang w:val="en-US" w:eastAsia="zh-CN"/>
        </w:rPr>
        <w:t>.3</w:t>
      </w:r>
      <w:r>
        <w:rPr>
          <w:rFonts w:hint="eastAsia" w:ascii="宋体" w:hAnsi="宋体" w:eastAsia="宋体" w:cs="宋体"/>
          <w:b/>
          <w:bCs w:val="0"/>
          <w:color w:val="auto"/>
          <w:kern w:val="0"/>
          <w:sz w:val="24"/>
          <w:szCs w:val="24"/>
          <w:highlight w:val="none"/>
        </w:rPr>
        <w:t>.1.</w:t>
      </w:r>
      <w:r>
        <w:rPr>
          <w:rFonts w:hint="eastAsia" w:ascii="宋体" w:hAnsi="宋体" w:eastAsia="宋体" w:cs="宋体"/>
          <w:b/>
          <w:bCs w:val="0"/>
          <w:color w:val="auto"/>
          <w:kern w:val="0"/>
          <w:sz w:val="24"/>
          <w:szCs w:val="24"/>
          <w:highlight w:val="none"/>
          <w:lang w:val="en-US" w:eastAsia="zh-CN"/>
        </w:rPr>
        <w:t>8</w:t>
      </w:r>
      <w:r>
        <w:rPr>
          <w:rFonts w:hint="eastAsia" w:ascii="宋体" w:hAnsi="宋体" w:eastAsia="宋体" w:cs="宋体"/>
          <w:b/>
          <w:bCs w:val="0"/>
          <w:color w:val="auto"/>
          <w:kern w:val="0"/>
          <w:sz w:val="24"/>
          <w:szCs w:val="24"/>
          <w:highlight w:val="none"/>
        </w:rPr>
        <w:t>如有绿板、高拍仪</w:t>
      </w:r>
      <w:r>
        <w:rPr>
          <w:rFonts w:hint="eastAsia" w:ascii="宋体" w:hAnsi="宋体" w:eastAsia="宋体" w:cs="宋体"/>
          <w:b/>
          <w:bCs w:val="0"/>
          <w:color w:val="auto"/>
          <w:kern w:val="0"/>
          <w:sz w:val="24"/>
          <w:szCs w:val="24"/>
          <w:highlight w:val="none"/>
          <w:lang w:val="en-US" w:eastAsia="zh-CN"/>
        </w:rPr>
        <w:t>或实物展台、钢制讲台、音箱或其他</w:t>
      </w:r>
      <w:r>
        <w:rPr>
          <w:rFonts w:hint="eastAsia" w:ascii="宋体" w:hAnsi="宋体" w:eastAsia="宋体" w:cs="宋体"/>
          <w:b/>
          <w:bCs w:val="0"/>
          <w:color w:val="auto"/>
          <w:kern w:val="0"/>
          <w:sz w:val="24"/>
          <w:szCs w:val="24"/>
          <w:highlight w:val="none"/>
        </w:rPr>
        <w:t>扩声设备</w:t>
      </w:r>
      <w:r>
        <w:rPr>
          <w:rFonts w:hint="eastAsia" w:ascii="宋体" w:hAnsi="宋体" w:eastAsia="宋体" w:cs="宋体"/>
          <w:b/>
          <w:bCs w:val="0"/>
          <w:color w:val="auto"/>
          <w:kern w:val="0"/>
          <w:sz w:val="24"/>
          <w:szCs w:val="24"/>
          <w:highlight w:val="none"/>
          <w:lang w:val="en-US" w:eastAsia="zh-CN"/>
        </w:rPr>
        <w:t>等触控一体机</w:t>
      </w:r>
      <w:r>
        <w:rPr>
          <w:rFonts w:hint="eastAsia" w:ascii="宋体" w:hAnsi="宋体" w:cs="宋体"/>
          <w:b/>
          <w:bCs w:val="0"/>
          <w:color w:val="auto"/>
          <w:kern w:val="0"/>
          <w:sz w:val="24"/>
          <w:szCs w:val="24"/>
          <w:highlight w:val="none"/>
          <w:lang w:val="en-US" w:eastAsia="zh-CN"/>
        </w:rPr>
        <w:t>/智慧黑板</w:t>
      </w:r>
      <w:r>
        <w:rPr>
          <w:rFonts w:hint="eastAsia" w:ascii="宋体" w:hAnsi="宋体" w:eastAsia="宋体" w:cs="宋体"/>
          <w:b/>
          <w:bCs w:val="0"/>
          <w:color w:val="auto"/>
          <w:kern w:val="0"/>
          <w:sz w:val="24"/>
          <w:szCs w:val="24"/>
          <w:highlight w:val="none"/>
          <w:lang w:val="en-US" w:eastAsia="zh-CN"/>
        </w:rPr>
        <w:t>配套产品</w:t>
      </w:r>
      <w:r>
        <w:rPr>
          <w:rFonts w:hint="eastAsia" w:ascii="宋体" w:hAnsi="宋体" w:eastAsia="宋体" w:cs="宋体"/>
          <w:b/>
          <w:bCs w:val="0"/>
          <w:color w:val="auto"/>
          <w:kern w:val="0"/>
          <w:sz w:val="24"/>
          <w:szCs w:val="24"/>
          <w:highlight w:val="none"/>
        </w:rPr>
        <w:t>一起安装时，需免费</w:t>
      </w:r>
      <w:r>
        <w:rPr>
          <w:rFonts w:hint="eastAsia" w:ascii="宋体" w:hAnsi="宋体" w:eastAsia="宋体" w:cs="宋体"/>
          <w:b/>
          <w:bCs w:val="0"/>
          <w:color w:val="auto"/>
          <w:kern w:val="0"/>
          <w:sz w:val="24"/>
          <w:szCs w:val="24"/>
          <w:highlight w:val="none"/>
          <w:lang w:val="en-US" w:eastAsia="zh-CN"/>
        </w:rPr>
        <w:t>提供安装调试服务</w:t>
      </w:r>
      <w:r>
        <w:rPr>
          <w:rFonts w:hint="eastAsia" w:ascii="宋体" w:hAnsi="宋体" w:eastAsia="宋体" w:cs="宋体"/>
          <w:b/>
          <w:bCs w:val="0"/>
          <w:color w:val="auto"/>
          <w:kern w:val="0"/>
          <w:sz w:val="24"/>
          <w:szCs w:val="24"/>
          <w:highlight w:val="none"/>
        </w:rPr>
        <w:t>。</w:t>
      </w:r>
    </w:p>
    <w:p w14:paraId="1E5EAC60">
      <w:pPr>
        <w:shd w:val="clear" w:color="auto"/>
        <w:spacing w:line="360" w:lineRule="auto"/>
        <w:ind w:firstLine="482" w:firstLineChars="200"/>
        <w:rPr>
          <w:rFonts w:hint="eastAsia" w:ascii="宋体" w:hAnsi="宋体" w:eastAsia="宋体" w:cs="宋体"/>
          <w:b/>
          <w:bCs w:val="0"/>
          <w:color w:val="auto"/>
          <w:kern w:val="0"/>
          <w:sz w:val="24"/>
          <w:szCs w:val="24"/>
          <w:highlight w:val="none"/>
        </w:rPr>
      </w:pPr>
      <w:r>
        <w:rPr>
          <w:rFonts w:hint="eastAsia" w:ascii="宋体" w:hAnsi="宋体" w:cs="宋体"/>
          <w:b/>
          <w:bCs w:val="0"/>
          <w:color w:val="auto"/>
          <w:kern w:val="0"/>
          <w:sz w:val="24"/>
          <w:szCs w:val="24"/>
          <w:highlight w:val="none"/>
          <w:lang w:val="en-US" w:eastAsia="zh-CN"/>
        </w:rPr>
        <w:t>7</w:t>
      </w:r>
      <w:r>
        <w:rPr>
          <w:rFonts w:hint="eastAsia" w:ascii="宋体" w:hAnsi="宋体" w:eastAsia="宋体" w:cs="宋体"/>
          <w:b/>
          <w:bCs w:val="0"/>
          <w:color w:val="auto"/>
          <w:kern w:val="0"/>
          <w:sz w:val="24"/>
          <w:szCs w:val="24"/>
          <w:highlight w:val="none"/>
          <w:lang w:val="en-US" w:eastAsia="zh-CN"/>
        </w:rPr>
        <w:t>.3</w:t>
      </w:r>
      <w:r>
        <w:rPr>
          <w:rFonts w:hint="eastAsia" w:ascii="宋体" w:hAnsi="宋体" w:eastAsia="宋体" w:cs="宋体"/>
          <w:b/>
          <w:bCs w:val="0"/>
          <w:color w:val="auto"/>
          <w:kern w:val="0"/>
          <w:sz w:val="24"/>
          <w:szCs w:val="24"/>
          <w:highlight w:val="none"/>
        </w:rPr>
        <w:t>.1.</w:t>
      </w:r>
      <w:r>
        <w:rPr>
          <w:rFonts w:hint="eastAsia" w:ascii="宋体" w:hAnsi="宋体" w:eastAsia="宋体" w:cs="宋体"/>
          <w:b/>
          <w:bCs w:val="0"/>
          <w:color w:val="auto"/>
          <w:kern w:val="0"/>
          <w:sz w:val="24"/>
          <w:szCs w:val="24"/>
          <w:highlight w:val="none"/>
          <w:lang w:val="en-US" w:eastAsia="zh-CN"/>
        </w:rPr>
        <w:t>9</w:t>
      </w:r>
      <w:r>
        <w:rPr>
          <w:rFonts w:hint="eastAsia" w:ascii="宋体" w:hAnsi="宋体" w:eastAsia="宋体" w:cs="宋体"/>
          <w:b/>
          <w:bCs w:val="0"/>
          <w:color w:val="auto"/>
          <w:kern w:val="0"/>
          <w:sz w:val="24"/>
          <w:szCs w:val="24"/>
          <w:highlight w:val="none"/>
        </w:rPr>
        <w:t>在最终用户验收合格前，最终用户若要求安装除触控一体机</w:t>
      </w:r>
      <w:r>
        <w:rPr>
          <w:rFonts w:hint="eastAsia" w:ascii="宋体" w:hAnsi="宋体" w:cs="宋体"/>
          <w:b/>
          <w:bCs w:val="0"/>
          <w:color w:val="auto"/>
          <w:kern w:val="0"/>
          <w:sz w:val="24"/>
          <w:szCs w:val="24"/>
          <w:highlight w:val="none"/>
          <w:lang w:val="en-US" w:eastAsia="zh-CN"/>
        </w:rPr>
        <w:t>/智慧黑板</w:t>
      </w:r>
      <w:r>
        <w:rPr>
          <w:rFonts w:hint="eastAsia" w:ascii="宋体" w:hAnsi="宋体" w:eastAsia="宋体" w:cs="宋体"/>
          <w:b/>
          <w:bCs w:val="0"/>
          <w:color w:val="auto"/>
          <w:kern w:val="0"/>
          <w:sz w:val="24"/>
          <w:szCs w:val="24"/>
          <w:highlight w:val="none"/>
        </w:rPr>
        <w:t>配套软件外的第三方软件，在最终用户提供安装软件的前提下，需免费协助安装。</w:t>
      </w:r>
    </w:p>
    <w:p w14:paraId="1C904F92">
      <w:pPr>
        <w:shd w:val="clear" w:color="auto"/>
        <w:spacing w:line="360" w:lineRule="auto"/>
        <w:ind w:firstLine="482" w:firstLineChars="200"/>
        <w:rPr>
          <w:rFonts w:hint="eastAsia" w:ascii="宋体" w:hAnsi="宋体" w:eastAsia="宋体" w:cs="宋体"/>
          <w:b/>
          <w:bCs w:val="0"/>
          <w:color w:val="auto"/>
          <w:kern w:val="0"/>
          <w:sz w:val="24"/>
          <w:szCs w:val="24"/>
          <w:highlight w:val="none"/>
          <w:lang w:val="en-US" w:eastAsia="zh-CN"/>
        </w:rPr>
      </w:pPr>
      <w:r>
        <w:rPr>
          <w:rFonts w:hint="eastAsia" w:ascii="宋体" w:hAnsi="宋体" w:cs="宋体"/>
          <w:b/>
          <w:bCs w:val="0"/>
          <w:color w:val="auto"/>
          <w:kern w:val="0"/>
          <w:sz w:val="24"/>
          <w:szCs w:val="24"/>
          <w:highlight w:val="none"/>
          <w:lang w:val="en-US" w:eastAsia="zh-CN"/>
        </w:rPr>
        <w:t>7</w:t>
      </w:r>
      <w:r>
        <w:rPr>
          <w:rFonts w:hint="eastAsia" w:ascii="宋体" w:hAnsi="宋体" w:eastAsia="宋体" w:cs="宋体"/>
          <w:b/>
          <w:bCs w:val="0"/>
          <w:color w:val="auto"/>
          <w:kern w:val="0"/>
          <w:sz w:val="24"/>
          <w:szCs w:val="24"/>
          <w:highlight w:val="none"/>
          <w:lang w:val="en-US" w:eastAsia="zh-CN"/>
        </w:rPr>
        <w:t>.3.1.10在触控一体机</w:t>
      </w:r>
      <w:r>
        <w:rPr>
          <w:rFonts w:hint="eastAsia" w:ascii="宋体" w:hAnsi="宋体" w:cs="宋体"/>
          <w:b/>
          <w:bCs w:val="0"/>
          <w:color w:val="auto"/>
          <w:kern w:val="0"/>
          <w:sz w:val="24"/>
          <w:szCs w:val="24"/>
          <w:highlight w:val="none"/>
          <w:lang w:val="en-US" w:eastAsia="zh-CN"/>
        </w:rPr>
        <w:t>/智慧黑板</w:t>
      </w:r>
      <w:r>
        <w:rPr>
          <w:rFonts w:hint="eastAsia" w:ascii="宋体" w:hAnsi="宋体" w:eastAsia="宋体" w:cs="宋体"/>
          <w:b/>
          <w:bCs w:val="0"/>
          <w:color w:val="auto"/>
          <w:kern w:val="0"/>
          <w:sz w:val="24"/>
          <w:szCs w:val="24"/>
          <w:highlight w:val="none"/>
          <w:lang w:val="en-US" w:eastAsia="zh-CN"/>
        </w:rPr>
        <w:t>硬件和配套软件安装完成后，应向最终用户免费提供还原软件，辅助最终用户设置还原节点并指导最终用户使用还原软件。</w:t>
      </w:r>
    </w:p>
    <w:p w14:paraId="203056A5">
      <w:pPr>
        <w:shd w:val="clear" w:color="auto"/>
        <w:spacing w:line="360" w:lineRule="auto"/>
        <w:ind w:firstLine="482" w:firstLineChars="200"/>
        <w:rPr>
          <w:rFonts w:hint="eastAsia" w:ascii="宋体" w:hAnsi="宋体" w:eastAsia="宋体" w:cs="宋体"/>
          <w:b/>
          <w:bCs w:val="0"/>
          <w:color w:val="auto"/>
          <w:kern w:val="0"/>
          <w:sz w:val="24"/>
          <w:szCs w:val="24"/>
          <w:highlight w:val="none"/>
          <w:lang w:val="en-US" w:eastAsia="zh-CN"/>
        </w:rPr>
      </w:pPr>
      <w:r>
        <w:rPr>
          <w:rFonts w:hint="eastAsia" w:ascii="宋体" w:hAnsi="宋体" w:cs="宋体"/>
          <w:b/>
          <w:bCs w:val="0"/>
          <w:color w:val="auto"/>
          <w:kern w:val="0"/>
          <w:sz w:val="24"/>
          <w:szCs w:val="24"/>
          <w:highlight w:val="none"/>
          <w:lang w:val="en-US" w:eastAsia="zh-CN"/>
        </w:rPr>
        <w:t>7</w:t>
      </w:r>
      <w:r>
        <w:rPr>
          <w:rFonts w:hint="eastAsia" w:ascii="宋体" w:hAnsi="宋体" w:eastAsia="宋体" w:cs="宋体"/>
          <w:b/>
          <w:bCs w:val="0"/>
          <w:color w:val="auto"/>
          <w:kern w:val="0"/>
          <w:sz w:val="24"/>
          <w:szCs w:val="24"/>
          <w:highlight w:val="none"/>
          <w:lang w:val="en-US" w:eastAsia="zh-CN"/>
        </w:rPr>
        <w:t>.3.1.11触控一体机</w:t>
      </w:r>
      <w:r>
        <w:rPr>
          <w:rFonts w:hint="eastAsia" w:ascii="宋体" w:hAnsi="宋体" w:cs="宋体"/>
          <w:b/>
          <w:bCs w:val="0"/>
          <w:color w:val="auto"/>
          <w:kern w:val="0"/>
          <w:sz w:val="24"/>
          <w:szCs w:val="24"/>
          <w:highlight w:val="none"/>
          <w:lang w:val="en-US" w:eastAsia="zh-CN"/>
        </w:rPr>
        <w:t>/智慧黑板</w:t>
      </w:r>
      <w:r>
        <w:rPr>
          <w:rFonts w:hint="eastAsia" w:ascii="宋体" w:hAnsi="宋体" w:eastAsia="宋体" w:cs="宋体"/>
          <w:b/>
          <w:bCs w:val="0"/>
          <w:color w:val="auto"/>
          <w:kern w:val="0"/>
          <w:sz w:val="24"/>
          <w:szCs w:val="24"/>
          <w:highlight w:val="none"/>
          <w:lang w:val="en-US" w:eastAsia="zh-CN"/>
        </w:rPr>
        <w:t>安装完成后，需要在设备合适的地方填(贴)上万翔网商售后服务标签。</w:t>
      </w:r>
    </w:p>
    <w:p w14:paraId="34BA251D">
      <w:pPr>
        <w:shd w:val="clear" w:color="auto"/>
        <w:spacing w:line="360" w:lineRule="auto"/>
        <w:ind w:firstLine="482" w:firstLineChars="200"/>
        <w:rPr>
          <w:rFonts w:hint="eastAsia" w:ascii="宋体" w:hAnsi="宋体" w:eastAsia="宋体" w:cs="宋体"/>
          <w:b/>
          <w:bCs w:val="0"/>
          <w:color w:val="auto"/>
          <w:kern w:val="0"/>
          <w:sz w:val="24"/>
          <w:szCs w:val="24"/>
          <w:highlight w:val="none"/>
        </w:rPr>
      </w:pPr>
      <w:r>
        <w:rPr>
          <w:rFonts w:hint="eastAsia" w:ascii="宋体" w:hAnsi="宋体" w:cs="宋体"/>
          <w:b/>
          <w:bCs w:val="0"/>
          <w:color w:val="auto"/>
          <w:kern w:val="0"/>
          <w:sz w:val="24"/>
          <w:szCs w:val="24"/>
          <w:highlight w:val="none"/>
          <w:lang w:val="en-US" w:eastAsia="zh-CN"/>
        </w:rPr>
        <w:t>7</w:t>
      </w:r>
      <w:r>
        <w:rPr>
          <w:rFonts w:hint="eastAsia" w:ascii="宋体" w:hAnsi="宋体" w:eastAsia="宋体" w:cs="宋体"/>
          <w:b/>
          <w:bCs w:val="0"/>
          <w:color w:val="auto"/>
          <w:kern w:val="0"/>
          <w:sz w:val="24"/>
          <w:szCs w:val="24"/>
          <w:highlight w:val="none"/>
          <w:lang w:val="en-US" w:eastAsia="zh-CN"/>
        </w:rPr>
        <w:t>.3</w:t>
      </w:r>
      <w:r>
        <w:rPr>
          <w:rFonts w:hint="eastAsia" w:ascii="宋体" w:hAnsi="宋体" w:eastAsia="宋体" w:cs="宋体"/>
          <w:b/>
          <w:bCs w:val="0"/>
          <w:color w:val="auto"/>
          <w:kern w:val="0"/>
          <w:sz w:val="24"/>
          <w:szCs w:val="24"/>
          <w:highlight w:val="none"/>
        </w:rPr>
        <w:t>.2触控一体机</w:t>
      </w:r>
      <w:r>
        <w:rPr>
          <w:rFonts w:hint="eastAsia" w:ascii="宋体" w:hAnsi="宋体" w:cs="宋体"/>
          <w:b/>
          <w:bCs w:val="0"/>
          <w:color w:val="auto"/>
          <w:kern w:val="0"/>
          <w:sz w:val="24"/>
          <w:szCs w:val="24"/>
          <w:highlight w:val="none"/>
          <w:lang w:val="en-US" w:eastAsia="zh-CN"/>
        </w:rPr>
        <w:t>/智慧黑板</w:t>
      </w:r>
      <w:r>
        <w:rPr>
          <w:rFonts w:hint="eastAsia" w:ascii="宋体" w:hAnsi="宋体" w:eastAsia="宋体" w:cs="宋体"/>
          <w:b/>
          <w:bCs w:val="0"/>
          <w:color w:val="auto"/>
          <w:kern w:val="0"/>
          <w:sz w:val="24"/>
          <w:szCs w:val="24"/>
          <w:highlight w:val="none"/>
        </w:rPr>
        <w:t>标准安装</w:t>
      </w:r>
      <w:r>
        <w:rPr>
          <w:rFonts w:hint="eastAsia" w:ascii="宋体" w:hAnsi="宋体" w:eastAsia="宋体" w:cs="宋体"/>
          <w:b/>
          <w:bCs w:val="0"/>
          <w:color w:val="auto"/>
          <w:kern w:val="0"/>
          <w:sz w:val="24"/>
          <w:szCs w:val="24"/>
          <w:highlight w:val="none"/>
          <w:lang w:eastAsia="zh-CN"/>
        </w:rPr>
        <w:t>投标人</w:t>
      </w:r>
      <w:r>
        <w:rPr>
          <w:rFonts w:hint="eastAsia" w:ascii="宋体" w:hAnsi="宋体" w:eastAsia="宋体" w:cs="宋体"/>
          <w:b/>
          <w:bCs w:val="0"/>
          <w:color w:val="auto"/>
          <w:kern w:val="0"/>
          <w:sz w:val="24"/>
          <w:szCs w:val="24"/>
          <w:highlight w:val="none"/>
        </w:rPr>
        <w:t>所需提供的辅材和耗材</w:t>
      </w:r>
    </w:p>
    <w:p w14:paraId="109B4DC0">
      <w:pPr>
        <w:shd w:val="clear" w:color="auto"/>
        <w:spacing w:line="360" w:lineRule="auto"/>
        <w:ind w:firstLine="482" w:firstLineChars="200"/>
        <w:rPr>
          <w:rFonts w:hint="eastAsia" w:ascii="宋体" w:hAnsi="宋体" w:eastAsia="宋体" w:cs="宋体"/>
          <w:b/>
          <w:bCs w:val="0"/>
          <w:color w:val="auto"/>
          <w:kern w:val="0"/>
          <w:sz w:val="24"/>
          <w:szCs w:val="24"/>
          <w:highlight w:val="none"/>
        </w:rPr>
      </w:pPr>
      <w:r>
        <w:rPr>
          <w:rFonts w:hint="eastAsia" w:ascii="宋体" w:hAnsi="宋体" w:cs="宋体"/>
          <w:b/>
          <w:bCs w:val="0"/>
          <w:color w:val="auto"/>
          <w:kern w:val="0"/>
          <w:sz w:val="24"/>
          <w:szCs w:val="24"/>
          <w:highlight w:val="none"/>
          <w:lang w:val="en-US" w:eastAsia="zh-CN"/>
        </w:rPr>
        <w:t>7</w:t>
      </w:r>
      <w:r>
        <w:rPr>
          <w:rFonts w:hint="eastAsia" w:ascii="宋体" w:hAnsi="宋体" w:eastAsia="宋体" w:cs="宋体"/>
          <w:b/>
          <w:bCs w:val="0"/>
          <w:color w:val="auto"/>
          <w:kern w:val="0"/>
          <w:sz w:val="24"/>
          <w:szCs w:val="24"/>
          <w:highlight w:val="none"/>
          <w:lang w:val="en-US" w:eastAsia="zh-CN"/>
        </w:rPr>
        <w:t>.3</w:t>
      </w:r>
      <w:r>
        <w:rPr>
          <w:rFonts w:hint="eastAsia" w:ascii="宋体" w:hAnsi="宋体" w:eastAsia="宋体" w:cs="宋体"/>
          <w:b/>
          <w:bCs w:val="0"/>
          <w:color w:val="auto"/>
          <w:kern w:val="0"/>
          <w:sz w:val="24"/>
          <w:szCs w:val="24"/>
          <w:highlight w:val="none"/>
        </w:rPr>
        <w:t>.2.1包括网络线-UTP超</w:t>
      </w:r>
      <w:r>
        <w:rPr>
          <w:rFonts w:hint="eastAsia" w:ascii="宋体" w:hAnsi="宋体" w:eastAsia="宋体" w:cs="宋体"/>
          <w:b/>
          <w:bCs w:val="0"/>
          <w:color w:val="auto"/>
          <w:kern w:val="0"/>
          <w:sz w:val="24"/>
          <w:szCs w:val="24"/>
          <w:highlight w:val="none"/>
          <w:lang w:eastAsia="zh-CN"/>
        </w:rPr>
        <w:t>六</w:t>
      </w:r>
      <w:r>
        <w:rPr>
          <w:rFonts w:hint="eastAsia" w:ascii="宋体" w:hAnsi="宋体" w:eastAsia="宋体" w:cs="宋体"/>
          <w:b/>
          <w:bCs w:val="0"/>
          <w:color w:val="auto"/>
          <w:kern w:val="0"/>
          <w:sz w:val="24"/>
          <w:szCs w:val="24"/>
          <w:highlight w:val="none"/>
        </w:rPr>
        <w:t>类网络线、3+4 VGA线</w:t>
      </w:r>
      <w:r>
        <w:rPr>
          <w:rFonts w:hint="eastAsia" w:ascii="宋体" w:hAnsi="宋体" w:eastAsia="宋体" w:cs="宋体"/>
          <w:b/>
          <w:bCs w:val="0"/>
          <w:color w:val="auto"/>
          <w:kern w:val="0"/>
          <w:sz w:val="24"/>
          <w:szCs w:val="24"/>
          <w:highlight w:val="none"/>
          <w:lang w:eastAsia="zh-CN"/>
        </w:rPr>
        <w:t>（带屏蔽）</w:t>
      </w:r>
      <w:r>
        <w:rPr>
          <w:rFonts w:hint="eastAsia" w:ascii="宋体" w:hAnsi="宋体" w:eastAsia="宋体" w:cs="宋体"/>
          <w:b/>
          <w:bCs w:val="0"/>
          <w:color w:val="auto"/>
          <w:kern w:val="0"/>
          <w:sz w:val="24"/>
          <w:szCs w:val="24"/>
          <w:highlight w:val="none"/>
        </w:rPr>
        <w:t xml:space="preserve">、电源线3×1.0mm、SYV-75-3视频线、音频线、线槽、多功能排插安装辅材。 </w:t>
      </w:r>
    </w:p>
    <w:p w14:paraId="173E15B6">
      <w:pPr>
        <w:shd w:val="clear" w:color="auto"/>
        <w:spacing w:line="360" w:lineRule="auto"/>
        <w:ind w:firstLine="482" w:firstLineChars="200"/>
        <w:rPr>
          <w:rFonts w:hint="eastAsia" w:ascii="宋体" w:hAnsi="宋体" w:eastAsia="宋体" w:cs="宋体"/>
          <w:b/>
          <w:bCs w:val="0"/>
          <w:color w:val="auto"/>
          <w:kern w:val="0"/>
          <w:sz w:val="24"/>
          <w:szCs w:val="24"/>
          <w:highlight w:val="none"/>
        </w:rPr>
      </w:pPr>
      <w:r>
        <w:rPr>
          <w:rFonts w:hint="eastAsia" w:ascii="宋体" w:hAnsi="宋体" w:cs="宋体"/>
          <w:b/>
          <w:bCs w:val="0"/>
          <w:color w:val="auto"/>
          <w:kern w:val="0"/>
          <w:sz w:val="24"/>
          <w:szCs w:val="24"/>
          <w:highlight w:val="none"/>
          <w:lang w:val="en-US" w:eastAsia="zh-CN"/>
        </w:rPr>
        <w:t>7</w:t>
      </w:r>
      <w:r>
        <w:rPr>
          <w:rFonts w:hint="eastAsia" w:ascii="宋体" w:hAnsi="宋体" w:eastAsia="宋体" w:cs="宋体"/>
          <w:b/>
          <w:bCs w:val="0"/>
          <w:color w:val="auto"/>
          <w:kern w:val="0"/>
          <w:sz w:val="24"/>
          <w:szCs w:val="24"/>
          <w:highlight w:val="none"/>
          <w:lang w:val="en-US" w:eastAsia="zh-CN"/>
        </w:rPr>
        <w:t>.</w:t>
      </w:r>
      <w:r>
        <w:rPr>
          <w:rFonts w:hint="eastAsia" w:ascii="宋体" w:hAnsi="宋体" w:eastAsia="宋体" w:cs="宋体"/>
          <w:b/>
          <w:bCs w:val="0"/>
          <w:color w:val="auto"/>
          <w:kern w:val="0"/>
          <w:sz w:val="24"/>
          <w:szCs w:val="24"/>
          <w:highlight w:val="none"/>
        </w:rPr>
        <w:t>3.2.2所有单种类线材长度不超过25米，安装的层高不超过3.5米，超过部分根据现场实际情况另行结算。</w:t>
      </w:r>
    </w:p>
    <w:p w14:paraId="50BF40F1">
      <w:pPr>
        <w:shd w:val="clear" w:color="auto"/>
        <w:spacing w:line="360" w:lineRule="auto"/>
        <w:ind w:firstLine="482" w:firstLineChars="200"/>
        <w:rPr>
          <w:rFonts w:hint="eastAsia" w:ascii="宋体" w:hAnsi="宋体" w:eastAsia="宋体" w:cs="宋体"/>
          <w:b/>
          <w:bCs w:val="0"/>
          <w:color w:val="auto"/>
          <w:kern w:val="0"/>
          <w:sz w:val="24"/>
          <w:szCs w:val="24"/>
          <w:highlight w:val="none"/>
        </w:rPr>
      </w:pPr>
      <w:r>
        <w:rPr>
          <w:rFonts w:hint="eastAsia" w:ascii="宋体" w:hAnsi="宋体" w:cs="宋体"/>
          <w:b/>
          <w:bCs w:val="0"/>
          <w:color w:val="auto"/>
          <w:kern w:val="0"/>
          <w:sz w:val="24"/>
          <w:szCs w:val="24"/>
          <w:highlight w:val="none"/>
          <w:lang w:val="en-US" w:eastAsia="zh-CN"/>
        </w:rPr>
        <w:t>7</w:t>
      </w:r>
      <w:r>
        <w:rPr>
          <w:rFonts w:hint="eastAsia" w:ascii="宋体" w:hAnsi="宋体" w:eastAsia="宋体" w:cs="宋体"/>
          <w:b/>
          <w:bCs w:val="0"/>
          <w:color w:val="auto"/>
          <w:kern w:val="0"/>
          <w:sz w:val="24"/>
          <w:szCs w:val="24"/>
          <w:highlight w:val="none"/>
          <w:lang w:val="en-US" w:eastAsia="zh-CN"/>
        </w:rPr>
        <w:t>.3</w:t>
      </w:r>
      <w:r>
        <w:rPr>
          <w:rFonts w:hint="eastAsia" w:ascii="宋体" w:hAnsi="宋体" w:eastAsia="宋体" w:cs="宋体"/>
          <w:b/>
          <w:bCs w:val="0"/>
          <w:color w:val="auto"/>
          <w:kern w:val="0"/>
          <w:sz w:val="24"/>
          <w:szCs w:val="24"/>
          <w:highlight w:val="none"/>
        </w:rPr>
        <w:t>.3安装完毕后保持产品及周边的清洁，不能有明显的污渍，安装过程中产生的垃圾必须在安装的当日及时清理干净，相关的配件及讲台钥匙要安全的交于指定人员，并做好标记。</w:t>
      </w:r>
    </w:p>
    <w:p w14:paraId="1C4447F0">
      <w:pPr>
        <w:shd w:val="clear" w:color="auto"/>
        <w:spacing w:line="360" w:lineRule="auto"/>
        <w:ind w:firstLine="482" w:firstLineChars="200"/>
        <w:rPr>
          <w:rFonts w:hint="eastAsia" w:ascii="宋体" w:hAnsi="宋体" w:eastAsia="宋体" w:cs="宋体"/>
          <w:b/>
          <w:bCs w:val="0"/>
          <w:color w:val="auto"/>
          <w:kern w:val="0"/>
          <w:sz w:val="24"/>
          <w:szCs w:val="24"/>
          <w:highlight w:val="none"/>
        </w:rPr>
      </w:pPr>
      <w:r>
        <w:rPr>
          <w:rFonts w:hint="eastAsia" w:ascii="宋体" w:hAnsi="宋体" w:cs="宋体"/>
          <w:b/>
          <w:bCs w:val="0"/>
          <w:color w:val="auto"/>
          <w:kern w:val="0"/>
          <w:sz w:val="24"/>
          <w:szCs w:val="24"/>
          <w:highlight w:val="none"/>
          <w:lang w:val="en-US" w:eastAsia="zh-CN"/>
        </w:rPr>
        <w:t>7</w:t>
      </w:r>
      <w:r>
        <w:rPr>
          <w:rFonts w:hint="eastAsia" w:ascii="宋体" w:hAnsi="宋体" w:eastAsia="宋体" w:cs="宋体"/>
          <w:b/>
          <w:bCs w:val="0"/>
          <w:color w:val="auto"/>
          <w:kern w:val="0"/>
          <w:sz w:val="24"/>
          <w:szCs w:val="24"/>
          <w:highlight w:val="none"/>
          <w:lang w:val="en-US" w:eastAsia="zh-CN"/>
        </w:rPr>
        <w:t>.3.4</w:t>
      </w:r>
      <w:r>
        <w:rPr>
          <w:rFonts w:hint="eastAsia" w:ascii="宋体" w:hAnsi="宋体" w:eastAsia="宋体" w:cs="宋体"/>
          <w:b/>
          <w:bCs w:val="0"/>
          <w:color w:val="auto"/>
          <w:kern w:val="0"/>
          <w:sz w:val="24"/>
          <w:szCs w:val="24"/>
          <w:highlight w:val="none"/>
        </w:rPr>
        <w:t>在安装过程中，所有需要取孔或者需要调整楼房结构的工程，要求在得到最终用户纸质确认书后才可以动工。</w:t>
      </w:r>
    </w:p>
    <w:p w14:paraId="4BE2EB20">
      <w:pPr>
        <w:shd w:val="clear" w:color="auto"/>
        <w:spacing w:line="360" w:lineRule="auto"/>
        <w:ind w:firstLine="482" w:firstLineChars="200"/>
        <w:rPr>
          <w:rFonts w:hint="eastAsia" w:ascii="宋体" w:hAnsi="宋体" w:eastAsia="宋体" w:cs="宋体"/>
          <w:b/>
          <w:bCs w:val="0"/>
          <w:color w:val="auto"/>
          <w:kern w:val="0"/>
          <w:sz w:val="24"/>
          <w:szCs w:val="24"/>
          <w:highlight w:val="none"/>
        </w:rPr>
      </w:pPr>
      <w:r>
        <w:rPr>
          <w:rFonts w:hint="eastAsia" w:ascii="宋体" w:hAnsi="宋体" w:cs="宋体"/>
          <w:b/>
          <w:bCs w:val="0"/>
          <w:color w:val="auto"/>
          <w:kern w:val="0"/>
          <w:sz w:val="24"/>
          <w:szCs w:val="24"/>
          <w:highlight w:val="none"/>
          <w:lang w:val="en-US" w:eastAsia="zh-CN"/>
        </w:rPr>
        <w:t>7</w:t>
      </w:r>
      <w:r>
        <w:rPr>
          <w:rFonts w:hint="eastAsia" w:ascii="宋体" w:hAnsi="宋体" w:eastAsia="宋体" w:cs="宋体"/>
          <w:b/>
          <w:bCs w:val="0"/>
          <w:color w:val="auto"/>
          <w:kern w:val="0"/>
          <w:sz w:val="24"/>
          <w:szCs w:val="24"/>
          <w:highlight w:val="none"/>
          <w:lang w:val="en-US" w:eastAsia="zh-CN"/>
        </w:rPr>
        <w:t>.3.</w:t>
      </w:r>
      <w:r>
        <w:rPr>
          <w:rFonts w:hint="eastAsia" w:ascii="宋体" w:hAnsi="宋体" w:eastAsia="宋体" w:cs="宋体"/>
          <w:b/>
          <w:bCs w:val="0"/>
          <w:color w:val="auto"/>
          <w:kern w:val="0"/>
          <w:sz w:val="24"/>
          <w:szCs w:val="24"/>
          <w:highlight w:val="none"/>
        </w:rPr>
        <w:t>5</w:t>
      </w:r>
      <w:r>
        <w:rPr>
          <w:rFonts w:hint="eastAsia" w:ascii="宋体" w:hAnsi="宋体" w:eastAsia="宋体" w:cs="宋体"/>
          <w:b/>
          <w:bCs w:val="0"/>
          <w:color w:val="auto"/>
          <w:kern w:val="0"/>
          <w:sz w:val="24"/>
          <w:szCs w:val="24"/>
          <w:highlight w:val="none"/>
          <w:lang w:eastAsia="zh-CN"/>
        </w:rPr>
        <w:t>投标人</w:t>
      </w:r>
      <w:r>
        <w:rPr>
          <w:rFonts w:hint="eastAsia" w:ascii="宋体" w:hAnsi="宋体" w:eastAsia="宋体" w:cs="宋体"/>
          <w:b/>
          <w:bCs w:val="0"/>
          <w:color w:val="auto"/>
          <w:kern w:val="0"/>
          <w:sz w:val="24"/>
          <w:szCs w:val="24"/>
          <w:highlight w:val="none"/>
        </w:rPr>
        <w:t>一旦中标，</w:t>
      </w:r>
      <w:r>
        <w:rPr>
          <w:rFonts w:hint="eastAsia" w:ascii="宋体" w:hAnsi="宋体" w:eastAsia="宋体" w:cs="宋体"/>
          <w:b/>
          <w:bCs w:val="0"/>
          <w:color w:val="auto"/>
          <w:kern w:val="0"/>
          <w:sz w:val="24"/>
          <w:szCs w:val="24"/>
          <w:highlight w:val="none"/>
          <w:lang w:eastAsia="zh-CN"/>
        </w:rPr>
        <w:t>投标人</w:t>
      </w:r>
      <w:r>
        <w:rPr>
          <w:rFonts w:hint="eastAsia" w:ascii="宋体" w:hAnsi="宋体" w:eastAsia="宋体" w:cs="宋体"/>
          <w:b/>
          <w:bCs w:val="0"/>
          <w:color w:val="auto"/>
          <w:kern w:val="0"/>
          <w:sz w:val="24"/>
          <w:szCs w:val="24"/>
          <w:highlight w:val="none"/>
        </w:rPr>
        <w:t>应在货物到</w:t>
      </w:r>
      <w:r>
        <w:rPr>
          <w:rFonts w:hint="eastAsia" w:ascii="宋体" w:hAnsi="宋体" w:eastAsia="宋体" w:cs="宋体"/>
          <w:b/>
          <w:bCs w:val="0"/>
          <w:color w:val="auto"/>
          <w:kern w:val="0"/>
          <w:sz w:val="24"/>
          <w:szCs w:val="24"/>
          <w:highlight w:val="none"/>
          <w:lang w:eastAsia="zh-CN"/>
        </w:rPr>
        <w:t>最终用户</w:t>
      </w:r>
      <w:r>
        <w:rPr>
          <w:rFonts w:hint="eastAsia" w:ascii="宋体" w:hAnsi="宋体" w:eastAsia="宋体" w:cs="宋体"/>
          <w:b/>
          <w:bCs w:val="0"/>
          <w:color w:val="auto"/>
          <w:kern w:val="0"/>
          <w:sz w:val="24"/>
          <w:szCs w:val="24"/>
          <w:highlight w:val="none"/>
        </w:rPr>
        <w:t>之日起8个工作小时内与最终用户确认上门安装时间。</w:t>
      </w:r>
    </w:p>
    <w:p w14:paraId="7AB6AFFB">
      <w:pPr>
        <w:shd w:val="clear" w:color="auto" w:fill="FFFFFF"/>
        <w:spacing w:line="360" w:lineRule="auto"/>
        <w:ind w:firstLine="484"/>
        <w:rPr>
          <w:rFonts w:hint="eastAsia" w:ascii="宋体" w:hAnsi="宋体" w:eastAsia="宋体" w:cs="宋体"/>
          <w:b/>
          <w:bCs w:val="0"/>
          <w:color w:val="auto"/>
          <w:kern w:val="0"/>
          <w:sz w:val="24"/>
          <w:szCs w:val="24"/>
          <w:highlight w:val="none"/>
          <w:lang w:val="en-US" w:eastAsia="zh-CN" w:bidi="ar-SA"/>
        </w:rPr>
      </w:pPr>
      <w:r>
        <w:rPr>
          <w:rFonts w:hint="eastAsia" w:ascii="宋体" w:hAnsi="宋体" w:cs="宋体"/>
          <w:b/>
          <w:bCs w:val="0"/>
          <w:color w:val="auto"/>
          <w:kern w:val="0"/>
          <w:sz w:val="24"/>
          <w:szCs w:val="24"/>
          <w:highlight w:val="none"/>
          <w:lang w:val="en-US" w:eastAsia="zh-CN" w:bidi="ar-SA"/>
        </w:rPr>
        <w:t>7</w:t>
      </w:r>
      <w:r>
        <w:rPr>
          <w:rFonts w:hint="eastAsia" w:ascii="宋体" w:hAnsi="宋体" w:eastAsia="宋体" w:cs="宋体"/>
          <w:b/>
          <w:bCs w:val="0"/>
          <w:color w:val="auto"/>
          <w:kern w:val="0"/>
          <w:sz w:val="24"/>
          <w:szCs w:val="24"/>
          <w:highlight w:val="none"/>
          <w:lang w:val="en-US" w:eastAsia="zh-CN" w:bidi="ar-SA"/>
        </w:rPr>
        <w:t>.4投标人所投产品，投标人应保障供应链质量，当产品部件出现供应风险时，投标人应通知征集人并提供风险应对方案确保产品的服务保障。投标人需提供供应链稳定承诺书，确保产品的部件在产品服务周期内稳定供货。</w:t>
      </w:r>
    </w:p>
    <w:p w14:paraId="41ECE47C">
      <w:pPr>
        <w:shd w:val="clear" w:color="auto" w:fill="FFFFFF"/>
        <w:spacing w:line="360" w:lineRule="auto"/>
        <w:ind w:firstLine="484"/>
        <w:rPr>
          <w:rFonts w:hint="eastAsia" w:ascii="宋体" w:hAnsi="宋体" w:eastAsia="宋体" w:cs="宋体"/>
          <w:b/>
          <w:bCs w:val="0"/>
          <w:color w:val="auto"/>
          <w:kern w:val="0"/>
          <w:sz w:val="24"/>
          <w:szCs w:val="24"/>
          <w:highlight w:val="none"/>
          <w:lang w:val="en-US" w:eastAsia="zh-CN" w:bidi="ar-SA"/>
        </w:rPr>
      </w:pPr>
      <w:r>
        <w:rPr>
          <w:rFonts w:hint="eastAsia" w:ascii="宋体" w:hAnsi="宋体" w:cs="宋体"/>
          <w:b/>
          <w:bCs w:val="0"/>
          <w:color w:val="auto"/>
          <w:kern w:val="0"/>
          <w:sz w:val="24"/>
          <w:szCs w:val="24"/>
          <w:highlight w:val="none"/>
          <w:lang w:val="en-US" w:eastAsia="zh-CN" w:bidi="ar-SA"/>
        </w:rPr>
        <w:t>7</w:t>
      </w:r>
      <w:r>
        <w:rPr>
          <w:rFonts w:hint="eastAsia" w:ascii="宋体" w:hAnsi="宋体" w:eastAsia="宋体" w:cs="宋体"/>
          <w:b/>
          <w:bCs w:val="0"/>
          <w:color w:val="auto"/>
          <w:kern w:val="0"/>
          <w:sz w:val="24"/>
          <w:szCs w:val="24"/>
          <w:highlight w:val="none"/>
          <w:lang w:val="en-US" w:eastAsia="zh-CN" w:bidi="ar-SA"/>
        </w:rPr>
        <w:t>.5投标人须在投标文件中明确书面承诺并提供书面承诺函（格式自拟，加盖投标人公章）</w:t>
      </w:r>
      <w:r>
        <w:rPr>
          <w:rFonts w:hint="eastAsia" w:ascii="宋体" w:hAnsi="宋体" w:eastAsia="宋体" w:cs="宋体"/>
          <w:b/>
          <w:bCs w:val="0"/>
          <w:color w:val="auto"/>
          <w:kern w:val="0"/>
          <w:sz w:val="24"/>
          <w:szCs w:val="24"/>
          <w:highlight w:val="none"/>
          <w:lang w:val="en-US" w:eastAsia="zh-CN"/>
        </w:rPr>
        <w:t>：</w:t>
      </w:r>
      <w:r>
        <w:rPr>
          <w:rFonts w:hint="eastAsia" w:ascii="宋体" w:hAnsi="宋体" w:eastAsia="宋体" w:cs="宋体"/>
          <w:b/>
          <w:bCs w:val="0"/>
          <w:color w:val="auto"/>
          <w:kern w:val="0"/>
          <w:sz w:val="24"/>
          <w:szCs w:val="24"/>
          <w:highlight w:val="none"/>
          <w:lang w:val="en-US" w:eastAsia="zh-CN" w:bidi="ar-SA"/>
        </w:rPr>
        <w:t>投标人根据所投采购包1，</w:t>
      </w:r>
      <w:r>
        <w:rPr>
          <w:rFonts w:hint="eastAsia" w:ascii="宋体" w:hAnsi="宋体" w:eastAsia="宋体" w:cs="宋体"/>
          <w:b/>
          <w:bCs w:val="0"/>
          <w:color w:val="auto"/>
          <w:kern w:val="0"/>
          <w:sz w:val="24"/>
          <w:szCs w:val="24"/>
          <w:highlight w:val="none"/>
          <w:lang w:val="en-US" w:eastAsia="zh-CN"/>
        </w:rPr>
        <w:t>在采购合同签订后并且有产生采购数量的，在第一次下单采购后10个工作日内</w:t>
      </w:r>
      <w:r>
        <w:rPr>
          <w:rFonts w:hint="eastAsia" w:ascii="宋体" w:hAnsi="宋体" w:eastAsia="宋体" w:cs="宋体"/>
          <w:b/>
          <w:bCs w:val="0"/>
          <w:color w:val="auto"/>
          <w:kern w:val="0"/>
          <w:sz w:val="24"/>
          <w:szCs w:val="24"/>
          <w:highlight w:val="none"/>
          <w:lang w:val="en-US" w:eastAsia="zh-CN" w:bidi="ar-SA"/>
        </w:rPr>
        <w:t>免费提供1-3产品一台作为备用机发货至征集人指定仓库。在框架协议有效期内所投采购包</w:t>
      </w:r>
      <w:r>
        <w:rPr>
          <w:rFonts w:hint="eastAsia" w:ascii="宋体" w:hAnsi="宋体" w:cs="宋体"/>
          <w:b/>
          <w:bCs w:val="0"/>
          <w:color w:val="auto"/>
          <w:kern w:val="0"/>
          <w:sz w:val="24"/>
          <w:szCs w:val="24"/>
          <w:highlight w:val="none"/>
          <w:lang w:val="en-US" w:eastAsia="zh-CN" w:bidi="ar-SA"/>
        </w:rPr>
        <w:t>1</w:t>
      </w:r>
      <w:r>
        <w:rPr>
          <w:rFonts w:hint="eastAsia" w:ascii="宋体" w:hAnsi="宋体" w:eastAsia="宋体" w:cs="宋体"/>
          <w:b/>
          <w:bCs w:val="0"/>
          <w:color w:val="auto"/>
          <w:kern w:val="0"/>
          <w:sz w:val="24"/>
          <w:szCs w:val="24"/>
          <w:highlight w:val="none"/>
          <w:lang w:val="en-US" w:eastAsia="zh-CN" w:bidi="ar-SA"/>
        </w:rPr>
        <w:t>的累计采购数量每</w:t>
      </w:r>
      <w:r>
        <w:rPr>
          <w:rFonts w:hint="eastAsia" w:ascii="宋体" w:hAnsi="宋体" w:cs="宋体"/>
          <w:b/>
          <w:bCs w:val="0"/>
          <w:color w:val="auto"/>
          <w:kern w:val="0"/>
          <w:sz w:val="24"/>
          <w:szCs w:val="24"/>
          <w:highlight w:val="none"/>
          <w:lang w:val="en-US" w:eastAsia="zh-CN" w:bidi="ar-SA"/>
        </w:rPr>
        <w:t>满</w:t>
      </w:r>
      <w:r>
        <w:rPr>
          <w:rFonts w:hint="eastAsia" w:ascii="宋体" w:hAnsi="宋体" w:eastAsia="宋体" w:cs="宋体"/>
          <w:b/>
          <w:bCs w:val="0"/>
          <w:color w:val="auto"/>
          <w:kern w:val="0"/>
          <w:sz w:val="24"/>
          <w:szCs w:val="24"/>
          <w:highlight w:val="none"/>
          <w:lang w:val="en-US" w:eastAsia="zh-CN" w:bidi="ar-SA"/>
        </w:rPr>
        <w:t>500台额外提供1台1-3产品作为备用机，所投采购包</w:t>
      </w:r>
      <w:r>
        <w:rPr>
          <w:rFonts w:hint="eastAsia" w:ascii="宋体" w:hAnsi="宋体" w:cs="宋体"/>
          <w:b/>
          <w:bCs w:val="0"/>
          <w:color w:val="auto"/>
          <w:kern w:val="0"/>
          <w:sz w:val="24"/>
          <w:szCs w:val="24"/>
          <w:highlight w:val="none"/>
          <w:lang w:val="en-US" w:eastAsia="zh-CN" w:bidi="ar-SA"/>
        </w:rPr>
        <w:t>2</w:t>
      </w:r>
      <w:r>
        <w:rPr>
          <w:rFonts w:hint="eastAsia" w:ascii="宋体" w:hAnsi="宋体" w:eastAsia="宋体" w:cs="宋体"/>
          <w:b/>
          <w:bCs w:val="0"/>
          <w:color w:val="auto"/>
          <w:kern w:val="0"/>
          <w:sz w:val="24"/>
          <w:szCs w:val="24"/>
          <w:highlight w:val="none"/>
          <w:lang w:val="en-US" w:eastAsia="zh-CN" w:bidi="ar-SA"/>
        </w:rPr>
        <w:t>的累计采购数量每</w:t>
      </w:r>
      <w:r>
        <w:rPr>
          <w:rFonts w:hint="eastAsia" w:ascii="宋体" w:hAnsi="宋体" w:cs="宋体"/>
          <w:b/>
          <w:bCs w:val="0"/>
          <w:color w:val="auto"/>
          <w:kern w:val="0"/>
          <w:sz w:val="24"/>
          <w:szCs w:val="24"/>
          <w:highlight w:val="none"/>
          <w:lang w:val="en-US" w:eastAsia="zh-CN" w:bidi="ar-SA"/>
        </w:rPr>
        <w:t>满2</w:t>
      </w:r>
      <w:r>
        <w:rPr>
          <w:rFonts w:hint="eastAsia" w:ascii="宋体" w:hAnsi="宋体" w:eastAsia="宋体" w:cs="宋体"/>
          <w:b/>
          <w:bCs w:val="0"/>
          <w:color w:val="auto"/>
          <w:kern w:val="0"/>
          <w:sz w:val="24"/>
          <w:szCs w:val="24"/>
          <w:highlight w:val="none"/>
          <w:lang w:val="en-US" w:eastAsia="zh-CN" w:bidi="ar-SA"/>
        </w:rPr>
        <w:t>00台提供1台</w:t>
      </w:r>
      <w:r>
        <w:rPr>
          <w:rFonts w:hint="eastAsia" w:ascii="宋体" w:hAnsi="宋体" w:cs="宋体"/>
          <w:b/>
          <w:bCs w:val="0"/>
          <w:color w:val="auto"/>
          <w:kern w:val="0"/>
          <w:sz w:val="24"/>
          <w:szCs w:val="24"/>
          <w:highlight w:val="none"/>
          <w:lang w:val="en-US" w:eastAsia="zh-CN" w:bidi="ar-SA"/>
        </w:rPr>
        <w:t>2</w:t>
      </w:r>
      <w:r>
        <w:rPr>
          <w:rFonts w:hint="eastAsia" w:ascii="宋体" w:hAnsi="宋体" w:eastAsia="宋体" w:cs="宋体"/>
          <w:b/>
          <w:bCs w:val="0"/>
          <w:color w:val="auto"/>
          <w:kern w:val="0"/>
          <w:sz w:val="24"/>
          <w:szCs w:val="24"/>
          <w:highlight w:val="none"/>
          <w:lang w:val="en-US" w:eastAsia="zh-CN" w:bidi="ar-SA"/>
        </w:rPr>
        <w:t>-</w:t>
      </w:r>
      <w:r>
        <w:rPr>
          <w:rFonts w:hint="eastAsia" w:ascii="宋体" w:hAnsi="宋体" w:cs="宋体"/>
          <w:b/>
          <w:bCs w:val="0"/>
          <w:color w:val="auto"/>
          <w:kern w:val="0"/>
          <w:sz w:val="24"/>
          <w:szCs w:val="24"/>
          <w:highlight w:val="none"/>
          <w:lang w:val="en-US" w:eastAsia="zh-CN" w:bidi="ar-SA"/>
        </w:rPr>
        <w:t>2</w:t>
      </w:r>
      <w:r>
        <w:rPr>
          <w:rFonts w:hint="eastAsia" w:ascii="宋体" w:hAnsi="宋体" w:eastAsia="宋体" w:cs="宋体"/>
          <w:b/>
          <w:bCs w:val="0"/>
          <w:color w:val="auto"/>
          <w:kern w:val="0"/>
          <w:sz w:val="24"/>
          <w:szCs w:val="24"/>
          <w:highlight w:val="none"/>
          <w:lang w:val="en-US" w:eastAsia="zh-CN" w:bidi="ar-SA"/>
        </w:rPr>
        <w:t>产品作为备用机，备用机在接到征集人通知后10个工作日发货至征集人指定仓库。上述备用机归征集人所有，由征集人自行调配，框架协议有效期满后亦不予返还投标人，未到货征集人有权直接扣除入围供应商相应等值金额的履约保证金。</w:t>
      </w:r>
    </w:p>
    <w:p w14:paraId="530FDC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宋体" w:hAnsi="宋体" w:cs="宋体"/>
          <w:b/>
          <w:bCs w:val="0"/>
          <w:color w:val="auto"/>
          <w:kern w:val="0"/>
          <w:sz w:val="24"/>
          <w:highlight w:val="none"/>
          <w:lang w:val="en-US" w:eastAsia="zh-CN"/>
        </w:rPr>
      </w:pPr>
      <w:r>
        <w:rPr>
          <w:rFonts w:hint="default" w:ascii="宋体" w:hAnsi="宋体" w:cs="宋体"/>
          <w:b/>
          <w:bCs w:val="0"/>
          <w:color w:val="auto"/>
          <w:kern w:val="0"/>
          <w:sz w:val="24"/>
          <w:szCs w:val="24"/>
          <w:highlight w:val="none"/>
          <w:lang w:eastAsia="zh-CN" w:bidi="ar-SA"/>
        </w:rPr>
        <w:t xml:space="preserve">     </w:t>
      </w:r>
      <w:r>
        <w:rPr>
          <w:rFonts w:hint="eastAsia" w:ascii="宋体" w:hAnsi="宋体" w:cs="宋体"/>
          <w:b/>
          <w:bCs w:val="0"/>
          <w:color w:val="auto"/>
          <w:kern w:val="0"/>
          <w:sz w:val="24"/>
          <w:szCs w:val="24"/>
          <w:highlight w:val="none"/>
          <w:lang w:val="en-US" w:eastAsia="zh-CN" w:bidi="ar-SA"/>
        </w:rPr>
        <w:t>7</w:t>
      </w:r>
      <w:r>
        <w:rPr>
          <w:rFonts w:hint="eastAsia" w:ascii="宋体" w:hAnsi="宋体" w:eastAsia="宋体" w:cs="宋体"/>
          <w:b/>
          <w:bCs w:val="0"/>
          <w:color w:val="auto"/>
          <w:kern w:val="0"/>
          <w:sz w:val="24"/>
          <w:szCs w:val="24"/>
          <w:highlight w:val="none"/>
          <w:lang w:eastAsia="zh-CN" w:bidi="ar-SA"/>
        </w:rPr>
        <w:t>.6入围供应商需对接大宗售后保障运维平台，为最终用户提供安装预约和在线报修服务。当入围供应商收到平台的安装派单或最终用户报修需求后，应按照合同约定的时效，及时上门进行安装或维修工作。</w:t>
      </w:r>
      <w:r>
        <w:rPr>
          <w:rFonts w:hint="eastAsia" w:ascii="宋体" w:hAnsi="宋体" w:cs="宋体"/>
          <w:b/>
          <w:bCs w:val="0"/>
          <w:color w:val="auto"/>
          <w:kern w:val="0"/>
          <w:sz w:val="24"/>
          <w:szCs w:val="24"/>
          <w:highlight w:val="none"/>
          <w:lang w:eastAsia="zh-CN" w:bidi="ar-SA"/>
        </w:rPr>
        <w:t>安装或</w:t>
      </w:r>
      <w:r>
        <w:rPr>
          <w:rFonts w:hint="eastAsia" w:ascii="宋体" w:hAnsi="宋体" w:eastAsia="宋体" w:cs="宋体"/>
          <w:b/>
          <w:bCs w:val="0"/>
          <w:color w:val="auto"/>
          <w:kern w:val="0"/>
          <w:sz w:val="24"/>
          <w:szCs w:val="24"/>
          <w:highlight w:val="none"/>
          <w:lang w:eastAsia="zh-CN" w:bidi="ar-SA"/>
        </w:rPr>
        <w:t>维修工作完成后，入围供应商需将</w:t>
      </w:r>
      <w:r>
        <w:rPr>
          <w:rFonts w:hint="eastAsia" w:ascii="宋体" w:hAnsi="宋体" w:cs="宋体"/>
          <w:b/>
          <w:bCs w:val="0"/>
          <w:color w:val="auto"/>
          <w:kern w:val="0"/>
          <w:sz w:val="24"/>
          <w:szCs w:val="24"/>
          <w:highlight w:val="none"/>
          <w:lang w:eastAsia="zh-CN" w:bidi="ar-SA"/>
        </w:rPr>
        <w:t>反馈</w:t>
      </w:r>
      <w:r>
        <w:rPr>
          <w:rFonts w:hint="eastAsia" w:ascii="宋体" w:hAnsi="宋体" w:eastAsia="宋体" w:cs="宋体"/>
          <w:b/>
          <w:bCs w:val="0"/>
          <w:color w:val="auto"/>
          <w:kern w:val="0"/>
          <w:sz w:val="24"/>
          <w:szCs w:val="24"/>
          <w:highlight w:val="none"/>
          <w:lang w:eastAsia="zh-CN" w:bidi="ar-SA"/>
        </w:rPr>
        <w:t>记录（</w:t>
      </w:r>
      <w:r>
        <w:rPr>
          <w:rFonts w:hint="eastAsia" w:ascii="宋体" w:hAnsi="宋体" w:eastAsia="宋体" w:cs="宋体"/>
          <w:b/>
          <w:bCs w:val="0"/>
          <w:color w:val="auto"/>
          <w:kern w:val="0"/>
          <w:sz w:val="24"/>
          <w:szCs w:val="24"/>
          <w:highlight w:val="none"/>
          <w:lang w:val="en-US" w:eastAsia="zh-CN" w:bidi="ar-SA"/>
        </w:rPr>
        <w:t>包括服务人员、服务反馈、机身序列号、照片、电子验收单等信息</w:t>
      </w:r>
      <w:r>
        <w:rPr>
          <w:rFonts w:hint="eastAsia" w:ascii="宋体" w:hAnsi="宋体" w:eastAsia="宋体" w:cs="宋体"/>
          <w:b/>
          <w:bCs w:val="0"/>
          <w:color w:val="auto"/>
          <w:kern w:val="0"/>
          <w:sz w:val="24"/>
          <w:szCs w:val="24"/>
          <w:highlight w:val="none"/>
          <w:lang w:eastAsia="zh-CN" w:bidi="ar-SA"/>
        </w:rPr>
        <w:t>）上传至大宗售后保障运维平台。通过使用大宗售后保障运维平台，提高最终用户安装或报修的便捷性和售后效率。</w:t>
      </w:r>
    </w:p>
    <w:p w14:paraId="2FAD9E76">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4"/>
        <w:textAlignment w:val="auto"/>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
          <w:bCs w:val="0"/>
          <w:color w:val="auto"/>
          <w:kern w:val="0"/>
          <w:sz w:val="24"/>
          <w:szCs w:val="24"/>
          <w:highlight w:val="none"/>
          <w:lang w:val="en-US" w:eastAsia="zh-CN" w:bidi="ar-SA"/>
        </w:rPr>
        <w:t>★</w:t>
      </w:r>
      <w:r>
        <w:rPr>
          <w:rFonts w:hint="eastAsia" w:ascii="宋体" w:hAnsi="宋体" w:cs="宋体"/>
          <w:b/>
          <w:bCs w:val="0"/>
          <w:color w:val="auto"/>
          <w:kern w:val="0"/>
          <w:sz w:val="24"/>
          <w:szCs w:val="24"/>
          <w:highlight w:val="none"/>
          <w:lang w:val="en-US" w:eastAsia="zh-CN" w:bidi="ar-SA"/>
        </w:rPr>
        <w:t>8</w:t>
      </w:r>
      <w:r>
        <w:rPr>
          <w:rFonts w:hint="eastAsia" w:ascii="宋体" w:hAnsi="宋体" w:eastAsia="宋体" w:cs="宋体"/>
          <w:b/>
          <w:bCs w:val="0"/>
          <w:color w:val="auto"/>
          <w:kern w:val="0"/>
          <w:sz w:val="24"/>
          <w:szCs w:val="24"/>
          <w:highlight w:val="none"/>
          <w:lang w:val="en-US" w:eastAsia="zh-CN" w:bidi="ar-SA"/>
        </w:rPr>
        <w:t>、交货期及供货方式要求</w:t>
      </w:r>
    </w:p>
    <w:p w14:paraId="77C303C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kern w:val="0"/>
          <w:sz w:val="24"/>
          <w:szCs w:val="24"/>
          <w:highlight w:val="none"/>
          <w:lang w:val="en-US" w:eastAsia="zh-CN"/>
        </w:rPr>
      </w:pPr>
      <w:r>
        <w:rPr>
          <w:rFonts w:hint="eastAsia" w:ascii="宋体" w:hAnsi="宋体" w:cs="宋体"/>
          <w:b/>
          <w:bCs/>
          <w:color w:val="auto"/>
          <w:kern w:val="0"/>
          <w:sz w:val="24"/>
          <w:szCs w:val="24"/>
          <w:highlight w:val="none"/>
          <w:lang w:val="en-US" w:eastAsia="zh-CN" w:bidi="ar-SA"/>
        </w:rPr>
        <w:t>8.1.1</w:t>
      </w:r>
      <w:r>
        <w:rPr>
          <w:rFonts w:hint="eastAsia" w:ascii="宋体" w:hAnsi="宋体" w:eastAsia="宋体" w:cs="宋体"/>
          <w:b/>
          <w:bCs/>
          <w:color w:val="auto"/>
          <w:kern w:val="0"/>
          <w:sz w:val="24"/>
          <w:szCs w:val="24"/>
          <w:highlight w:val="none"/>
          <w:lang w:val="en-US" w:eastAsia="zh-CN"/>
        </w:rPr>
        <w:t>投标人委托采购单位推荐的第三方物流公司进行集中仓储和二次配送至最终用户。投标人在接到采购单位《定货单》之日起20个日历日之内货交至采购单位推荐的第三方物流仓库，第三方物流在接到采购单位通知后厦门市行政区域内24小时、厦门市行政区域外48小时内运送至最终用户。投标人除承担运送至第三方物流仓库的费用，还应同时承担货物入第三方物流仓库的仓储操作费、从第三方物流仓库运送至最终用户的二次配送费等相应费用，采购单位推荐的第三方物流的仓储操作费及二次配送费的收费标准如下：二次配送费为150元/台，仓储操作费为60元/台。投标人应在采购单位发出《定货单》之日起10个工作日内结算已产生的相关物流费用，若投标人未及时结算物流费用，采购单位有权在履约保证金或应付货款中直接扣除。</w:t>
      </w:r>
    </w:p>
    <w:p w14:paraId="53C1C14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kern w:val="0"/>
          <w:sz w:val="24"/>
          <w:szCs w:val="24"/>
          <w:highlight w:val="none"/>
          <w:lang w:val="en-US" w:eastAsia="zh-CN"/>
        </w:rPr>
      </w:pPr>
      <w:r>
        <w:rPr>
          <w:rFonts w:hint="eastAsia" w:ascii="宋体" w:hAnsi="宋体" w:cs="宋体"/>
          <w:b/>
          <w:bCs/>
          <w:color w:val="auto"/>
          <w:kern w:val="0"/>
          <w:sz w:val="24"/>
          <w:szCs w:val="24"/>
          <w:highlight w:val="none"/>
          <w:lang w:val="en-US" w:eastAsia="zh-CN"/>
        </w:rPr>
        <w:t>8</w:t>
      </w:r>
      <w:r>
        <w:rPr>
          <w:rFonts w:hint="eastAsia" w:ascii="宋体" w:hAnsi="宋体" w:eastAsia="宋体" w:cs="宋体"/>
          <w:b/>
          <w:bCs/>
          <w:color w:val="auto"/>
          <w:kern w:val="0"/>
          <w:sz w:val="24"/>
          <w:szCs w:val="24"/>
          <w:highlight w:val="none"/>
          <w:lang w:val="en-US" w:eastAsia="zh-CN"/>
        </w:rPr>
        <w:t>.</w:t>
      </w:r>
      <w:r>
        <w:rPr>
          <w:rFonts w:hint="eastAsia" w:ascii="宋体" w:hAnsi="宋体" w:cs="宋体"/>
          <w:b/>
          <w:bCs/>
          <w:color w:val="auto"/>
          <w:kern w:val="0"/>
          <w:sz w:val="24"/>
          <w:szCs w:val="24"/>
          <w:highlight w:val="none"/>
          <w:lang w:val="en-US" w:eastAsia="zh-CN"/>
        </w:rPr>
        <w:t>1.2</w:t>
      </w:r>
      <w:r>
        <w:rPr>
          <w:rFonts w:hint="eastAsia" w:ascii="宋体" w:hAnsi="宋体" w:eastAsia="宋体" w:cs="宋体"/>
          <w:b/>
          <w:bCs/>
          <w:color w:val="auto"/>
          <w:kern w:val="0"/>
          <w:sz w:val="24"/>
          <w:szCs w:val="24"/>
          <w:highlight w:val="none"/>
          <w:lang w:val="en-US" w:eastAsia="zh-CN"/>
        </w:rPr>
        <w:t>投标人委托采购单位推荐的第三方物流公司进行集中仓储并自行二次配送至最终用户的，投标人在接到采购单位《定货单》之日起20个日历日之内货交采购单位推荐的第三方物流仓库。投标人接到采购单位通知后厦门市行政区域内24小时，厦门市行政区域外48小时内从采购单位仓库运送至最终用户，投标人从采购单位仓库中提货后，货物毁损、灭失的风险转移至投标人。采购单位推荐的第三方物流的仓储操作费的收费标准如下：仓储操作费为60元/台。投标人应在采购单位发出《定货单》之日起10个工作日内结算已产生的相关物流费用，若投标人未及时结算物流费用，采购单位有权在履约保证金或应付货款中直接扣除。</w:t>
      </w:r>
    </w:p>
    <w:p w14:paraId="034608B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kern w:val="0"/>
          <w:sz w:val="24"/>
          <w:szCs w:val="24"/>
          <w:highlight w:val="none"/>
          <w:lang w:val="en-US" w:eastAsia="zh-CN"/>
        </w:rPr>
      </w:pPr>
      <w:r>
        <w:rPr>
          <w:rFonts w:hint="eastAsia" w:ascii="宋体" w:hAnsi="宋体" w:cs="宋体"/>
          <w:b/>
          <w:bCs/>
          <w:color w:val="auto"/>
          <w:kern w:val="0"/>
          <w:sz w:val="24"/>
          <w:szCs w:val="24"/>
          <w:highlight w:val="none"/>
          <w:lang w:val="en-US" w:eastAsia="zh-CN"/>
        </w:rPr>
        <w:t>8</w:t>
      </w:r>
      <w:r>
        <w:rPr>
          <w:rFonts w:hint="eastAsia" w:ascii="宋体" w:hAnsi="宋体" w:eastAsia="宋体" w:cs="宋体"/>
          <w:b/>
          <w:bCs/>
          <w:color w:val="auto"/>
          <w:kern w:val="0"/>
          <w:sz w:val="24"/>
          <w:szCs w:val="24"/>
          <w:highlight w:val="none"/>
          <w:lang w:val="en-US" w:eastAsia="zh-CN"/>
        </w:rPr>
        <w:t>.</w:t>
      </w:r>
      <w:r>
        <w:rPr>
          <w:rFonts w:hint="eastAsia" w:ascii="宋体" w:hAnsi="宋体" w:cs="宋体"/>
          <w:b/>
          <w:bCs/>
          <w:color w:val="auto"/>
          <w:kern w:val="0"/>
          <w:sz w:val="24"/>
          <w:szCs w:val="24"/>
          <w:highlight w:val="none"/>
          <w:lang w:val="en-US" w:eastAsia="zh-CN"/>
        </w:rPr>
        <w:t>1.3</w:t>
      </w:r>
      <w:r>
        <w:rPr>
          <w:rFonts w:hint="eastAsia" w:ascii="宋体" w:hAnsi="宋体" w:eastAsia="宋体" w:cs="宋体"/>
          <w:b/>
          <w:bCs/>
          <w:color w:val="auto"/>
          <w:kern w:val="0"/>
          <w:sz w:val="24"/>
          <w:szCs w:val="24"/>
          <w:highlight w:val="none"/>
          <w:lang w:val="en-US" w:eastAsia="zh-CN"/>
        </w:rPr>
        <w:t>投标人选择经采购单位评估认可的、符合本项目运作要求的合格第三方物流公司进行集中仓储和二次配送。合同签订后10个日历日内，投标人或第三方物流公司的仓储管理系统（WMS）、配送管理系统（TMS），需要实现与采购单位企业资源计划（ERP）系统的全流程技术对接，以确保系统间数据实时互通、同步一致，相关技术实施、系统对接工作及采购单位ERP系统接口改造相关工作，均由投标人全权负责。所有相关费用（含接口开发、调试、联调、ERP接口改造及后期维护等全部费用）均由投标人承担，采购单位不额外支付任何费用。投标人在接到采购单位通知后厦门市行政区域内24小时、厦门市行政区域外48小时内运送至最终用户。</w:t>
      </w:r>
    </w:p>
    <w:p w14:paraId="51DDA588">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color w:val="auto"/>
          <w:kern w:val="0"/>
          <w:sz w:val="24"/>
          <w:szCs w:val="24"/>
          <w:highlight w:val="none"/>
        </w:rPr>
      </w:pPr>
      <w:r>
        <w:rPr>
          <w:rFonts w:hint="eastAsia" w:ascii="宋体" w:hAnsi="宋体" w:cs="宋体"/>
          <w:b/>
          <w:color w:val="auto"/>
          <w:kern w:val="2"/>
          <w:sz w:val="24"/>
          <w:szCs w:val="24"/>
          <w:highlight w:val="none"/>
          <w:lang w:val="en-US" w:eastAsia="zh-CN" w:bidi="ar"/>
        </w:rPr>
        <w:t>8.1.4</w:t>
      </w:r>
      <w:r>
        <w:rPr>
          <w:rFonts w:hint="eastAsia" w:ascii="宋体" w:hAnsi="宋体" w:eastAsia="宋体" w:cs="宋体"/>
          <w:b/>
          <w:color w:val="auto"/>
          <w:kern w:val="2"/>
          <w:sz w:val="24"/>
          <w:szCs w:val="24"/>
          <w:highlight w:val="none"/>
          <w:lang w:val="en-GB" w:eastAsia="zh-CN" w:bidi="ar"/>
        </w:rPr>
        <w:t>投标人选择经采购单位评估认可的、符合本项目运作要求的合格第三方物流公司进行集中仓储和二次配送。合同签订后10个日历日内，投标人或第三方物流公司的仓储管理系统（WMS）、配送管理系统（TMS），需要实现与采购单位企业资源计划（ERP）系统的全流程技术对接，以确保系统间数据实时互通、同步一致，相关技术实施、系统对接工作及采购单位ERP系统接口改造相关工作，均由投标人全权负责。所有相关费用（含接口开发、调试、联调、ERP接口改造及后期维护等全部费用）均由投标人承担，采购单位不额外支付任何费用。投标人在接到采购单位通知后厦门市行政区域内24小时、厦门市行政区域外48小时内运送至最终用户。</w:t>
      </w:r>
      <w:r>
        <w:rPr>
          <w:rFonts w:hint="eastAsia" w:ascii="宋体" w:hAnsi="宋体" w:eastAsia="宋体" w:cs="宋体"/>
          <w:b/>
          <w:color w:val="auto"/>
          <w:sz w:val="24"/>
          <w:szCs w:val="24"/>
          <w:highlight w:val="none"/>
          <w:lang w:val="en-GB" w:eastAsia="zh-CN"/>
        </w:rPr>
        <w:t xml:space="preserve"> </w:t>
      </w:r>
    </w:p>
    <w:p w14:paraId="45F7AB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color w:val="auto"/>
          <w:kern w:val="2"/>
          <w:sz w:val="24"/>
          <w:szCs w:val="24"/>
          <w:highlight w:val="none"/>
          <w:lang w:val="en-GB"/>
        </w:rPr>
      </w:pPr>
      <w:r>
        <w:rPr>
          <w:rFonts w:hint="eastAsia" w:ascii="宋体" w:hAnsi="宋体" w:cs="宋体"/>
          <w:b/>
          <w:color w:val="auto"/>
          <w:kern w:val="2"/>
          <w:sz w:val="24"/>
          <w:szCs w:val="24"/>
          <w:highlight w:val="none"/>
          <w:lang w:val="en-US" w:eastAsia="zh-CN" w:bidi="ar"/>
        </w:rPr>
        <w:t>8.1.4</w:t>
      </w:r>
      <w:r>
        <w:rPr>
          <w:rFonts w:hint="eastAsia" w:ascii="宋体" w:hAnsi="宋体" w:eastAsia="宋体" w:cs="宋体"/>
          <w:b/>
          <w:color w:val="auto"/>
          <w:kern w:val="2"/>
          <w:sz w:val="24"/>
          <w:szCs w:val="24"/>
          <w:highlight w:val="none"/>
          <w:lang w:val="en-GB" w:eastAsia="zh-CN" w:bidi="ar"/>
        </w:rPr>
        <w:t>.1采购单位对第三方物流公司的评估标准包括但不限于：</w:t>
      </w:r>
    </w:p>
    <w:p w14:paraId="051DB5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color w:val="auto"/>
          <w:kern w:val="2"/>
          <w:sz w:val="24"/>
          <w:szCs w:val="24"/>
          <w:highlight w:val="none"/>
          <w:lang w:val="en-GB"/>
        </w:rPr>
      </w:pPr>
      <w:r>
        <w:rPr>
          <w:rFonts w:hint="eastAsia" w:ascii="宋体" w:hAnsi="宋体" w:eastAsia="宋体" w:cs="宋体"/>
          <w:b/>
          <w:color w:val="auto"/>
          <w:kern w:val="2"/>
          <w:sz w:val="24"/>
          <w:szCs w:val="24"/>
          <w:highlight w:val="none"/>
          <w:lang w:val="en-GB" w:eastAsia="zh-CN" w:bidi="ar"/>
        </w:rPr>
        <w:t>（1）经营主体需具备合法经营资格及开展仓配业务的相关资质，提供完整、有效、清晰的扫描文件，包括不限于营业执照、道路运输经营运营许可等，确保资质合规且在有效期内。</w:t>
      </w:r>
    </w:p>
    <w:p w14:paraId="4F0B5788">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宋体"/>
          <w:b/>
          <w:color w:val="auto"/>
          <w:kern w:val="2"/>
          <w:sz w:val="24"/>
          <w:szCs w:val="24"/>
          <w:highlight w:val="none"/>
          <w:lang w:val="en-GB"/>
        </w:rPr>
      </w:pPr>
      <w:r>
        <w:rPr>
          <w:rFonts w:hint="eastAsia" w:ascii="宋体" w:hAnsi="宋体" w:eastAsia="宋体" w:cs="宋体"/>
          <w:b/>
          <w:color w:val="auto"/>
          <w:kern w:val="2"/>
          <w:sz w:val="24"/>
          <w:szCs w:val="24"/>
          <w:highlight w:val="none"/>
          <w:lang w:val="en-GB" w:eastAsia="zh-CN" w:bidi="ar"/>
        </w:rPr>
        <w:t>（2）自有或者租赁的经营场所权属清晰，需提供相应证明材料如产权证、租赁合同等扫描件，运营场所需能满足常规商品存储需求（防潮、防污、防破损、防霉变）、功能区划分布局合理，需提供仓储规划方案和照片。</w:t>
      </w:r>
    </w:p>
    <w:p w14:paraId="651D0EFF">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宋体"/>
          <w:b/>
          <w:color w:val="auto"/>
          <w:kern w:val="2"/>
          <w:sz w:val="24"/>
          <w:szCs w:val="24"/>
          <w:highlight w:val="none"/>
          <w:lang w:val="en-GB"/>
        </w:rPr>
      </w:pPr>
      <w:r>
        <w:rPr>
          <w:rFonts w:hint="eastAsia" w:ascii="宋体" w:hAnsi="宋体" w:eastAsia="宋体" w:cs="宋体"/>
          <w:b/>
          <w:color w:val="auto"/>
          <w:kern w:val="2"/>
          <w:sz w:val="24"/>
          <w:szCs w:val="24"/>
          <w:highlight w:val="none"/>
          <w:lang w:val="en-GB" w:eastAsia="zh-CN" w:bidi="ar"/>
        </w:rPr>
        <w:t>（3）仓库建筑消防等级不低于二级，符合《建筑设计防火规范》（GB 50016）相关要求，并经消防部门验收合格，需提供有效的消防验收意见书，消防设施设备配置齐全、完好有效。</w:t>
      </w:r>
    </w:p>
    <w:p w14:paraId="130A8CCC">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宋体"/>
          <w:b/>
          <w:color w:val="auto"/>
          <w:kern w:val="2"/>
          <w:sz w:val="24"/>
          <w:szCs w:val="24"/>
          <w:highlight w:val="none"/>
          <w:lang w:val="en-GB"/>
        </w:rPr>
      </w:pPr>
      <w:r>
        <w:rPr>
          <w:rFonts w:hint="eastAsia" w:ascii="宋体" w:hAnsi="宋体" w:eastAsia="宋体" w:cs="宋体"/>
          <w:b/>
          <w:color w:val="auto"/>
          <w:kern w:val="2"/>
          <w:sz w:val="24"/>
          <w:szCs w:val="24"/>
          <w:highlight w:val="none"/>
          <w:lang w:val="en-GB" w:eastAsia="zh-CN" w:bidi="ar"/>
        </w:rPr>
        <w:t>（4）日常消防维保和电气检测，需要建立消防设施设备日常维护保养制度，每半年委托具备资质的第三方机构进行一次全面检测，确保消防设施设备始终处于良好运行状态，每一年委托具备资质的第三方机构进行一次电气消防安全检测，需提供消防维保计划和电气消防安全检测报告。</w:t>
      </w:r>
    </w:p>
    <w:p w14:paraId="72588C4E">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宋体"/>
          <w:b/>
          <w:color w:val="auto"/>
          <w:kern w:val="2"/>
          <w:sz w:val="24"/>
          <w:szCs w:val="24"/>
          <w:highlight w:val="none"/>
          <w:lang w:val="en-GB"/>
        </w:rPr>
      </w:pPr>
      <w:r>
        <w:rPr>
          <w:rFonts w:hint="eastAsia" w:ascii="宋体" w:hAnsi="宋体" w:eastAsia="宋体" w:cs="宋体"/>
          <w:b/>
          <w:color w:val="auto"/>
          <w:kern w:val="2"/>
          <w:sz w:val="24"/>
          <w:szCs w:val="24"/>
          <w:highlight w:val="none"/>
          <w:lang w:val="en-GB" w:eastAsia="zh-CN" w:bidi="ar"/>
        </w:rPr>
        <w:t>（5）经营主体配备有充足、完善的仓储装卸、配送车辆等硬件设备，满足仓配业务的高效运营需求，包括不限于叉车、托盘车、夹包机、液压车、托盘、各规格的配送车辆、推车等物流设备；设备日常维护到位，确保作业顺畅，需提供详细的货物装卸和货物配送方案。</w:t>
      </w:r>
    </w:p>
    <w:p w14:paraId="6E6A09FA">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宋体"/>
          <w:b/>
          <w:color w:val="auto"/>
          <w:kern w:val="2"/>
          <w:sz w:val="24"/>
          <w:szCs w:val="24"/>
          <w:highlight w:val="none"/>
          <w:lang w:val="en-GB"/>
        </w:rPr>
      </w:pPr>
      <w:r>
        <w:rPr>
          <w:rFonts w:hint="eastAsia" w:ascii="宋体" w:hAnsi="宋体" w:eastAsia="宋体" w:cs="宋体"/>
          <w:b/>
          <w:color w:val="auto"/>
          <w:kern w:val="2"/>
          <w:sz w:val="24"/>
          <w:szCs w:val="24"/>
          <w:highlight w:val="none"/>
          <w:lang w:val="en-GB" w:eastAsia="zh-CN" w:bidi="ar"/>
        </w:rPr>
        <w:t>（6）经营主体需具备完善的物流信息管理系统，实现仓配业务全流程信息化、智能化管理，确保货物入库、存储、分拣、出库、配送等环节可追溯、高效协同。仓储管理系统除正常的商品管理和分拣功能外，需可实现先进先出管理、质保期管控等模块；物流配送管理系统需可实时反馈订单状态并上传订单签收信息。需提供物流信息管理系统各功能模块照片。</w:t>
      </w:r>
    </w:p>
    <w:p w14:paraId="294D0843">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宋体"/>
          <w:b/>
          <w:color w:val="auto"/>
          <w:kern w:val="2"/>
          <w:sz w:val="24"/>
          <w:szCs w:val="24"/>
          <w:highlight w:val="none"/>
          <w:lang w:val="en-GB"/>
        </w:rPr>
      </w:pPr>
      <w:r>
        <w:rPr>
          <w:rFonts w:hint="eastAsia" w:ascii="宋体" w:hAnsi="宋体" w:eastAsia="宋体" w:cs="宋体"/>
          <w:b/>
          <w:color w:val="auto"/>
          <w:kern w:val="2"/>
          <w:sz w:val="24"/>
          <w:szCs w:val="24"/>
          <w:highlight w:val="none"/>
          <w:lang w:val="en-GB" w:eastAsia="zh-CN" w:bidi="ar"/>
        </w:rPr>
        <w:t>（7）经营主体需购买足额的货物仓储一切险、货物运输险，保额和保险期限覆盖最高库存峰值以及整个合作周期，能够有效应对货物损坏、丢失、意外事故等风险，需要提供完整的保险保单及投保证明。</w:t>
      </w:r>
    </w:p>
    <w:p w14:paraId="0D6D44A1">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宋体"/>
          <w:b/>
          <w:color w:val="auto"/>
          <w:kern w:val="2"/>
          <w:sz w:val="24"/>
          <w:szCs w:val="24"/>
          <w:highlight w:val="none"/>
          <w:lang w:val="en-GB"/>
        </w:rPr>
      </w:pPr>
      <w:r>
        <w:rPr>
          <w:rFonts w:hint="eastAsia" w:ascii="宋体" w:hAnsi="宋体" w:eastAsia="宋体" w:cs="宋体"/>
          <w:b/>
          <w:color w:val="auto"/>
          <w:kern w:val="2"/>
          <w:sz w:val="24"/>
          <w:szCs w:val="24"/>
          <w:highlight w:val="none"/>
          <w:lang w:val="en-GB" w:eastAsia="zh-CN" w:bidi="ar"/>
        </w:rPr>
        <w:t>（8）需提供完善的应急处置方案，针对自然灾害、人为事故、特殊客诉等突发事件，提前制定应急预案，配备相应应急物资（如灭火器、急救箱、应急车辆等），定期组织应急演练，优化应急方案，确保突发事件发生时能够及时响应、有效处置，最大限度减少损失。</w:t>
      </w:r>
    </w:p>
    <w:p w14:paraId="449912C7">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cs="宋体"/>
          <w:b/>
          <w:color w:val="auto"/>
          <w:kern w:val="2"/>
          <w:sz w:val="24"/>
          <w:szCs w:val="24"/>
          <w:highlight w:val="none"/>
          <w:lang w:val="en-GB"/>
        </w:rPr>
      </w:pPr>
      <w:r>
        <w:rPr>
          <w:rFonts w:hint="eastAsia" w:ascii="宋体" w:hAnsi="宋体" w:cs="宋体"/>
          <w:b/>
          <w:color w:val="auto"/>
          <w:kern w:val="2"/>
          <w:sz w:val="24"/>
          <w:szCs w:val="24"/>
          <w:highlight w:val="none"/>
          <w:lang w:val="en-US" w:eastAsia="zh-CN" w:bidi="ar"/>
        </w:rPr>
        <w:t>8.1.4</w:t>
      </w:r>
      <w:r>
        <w:rPr>
          <w:rFonts w:hint="eastAsia" w:ascii="宋体" w:hAnsi="宋体" w:eastAsia="宋体" w:cs="宋体"/>
          <w:b/>
          <w:color w:val="auto"/>
          <w:kern w:val="2"/>
          <w:sz w:val="24"/>
          <w:szCs w:val="24"/>
          <w:highlight w:val="none"/>
          <w:lang w:val="en-GB" w:eastAsia="zh-CN" w:bidi="ar"/>
        </w:rPr>
        <w:t>.2系统对接的标准规范和内容要求如下：</w:t>
      </w:r>
    </w:p>
    <w:p w14:paraId="41DE2495">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cs="宋体"/>
          <w:b/>
          <w:color w:val="auto"/>
          <w:kern w:val="2"/>
          <w:sz w:val="24"/>
          <w:szCs w:val="24"/>
          <w:highlight w:val="none"/>
          <w:lang w:val="en-GB"/>
        </w:rPr>
      </w:pPr>
      <w:r>
        <w:rPr>
          <w:rFonts w:hint="eastAsia" w:ascii="宋体" w:hAnsi="宋体" w:eastAsia="宋体" w:cs="宋体"/>
          <w:b/>
          <w:color w:val="auto"/>
          <w:kern w:val="2"/>
          <w:sz w:val="24"/>
          <w:szCs w:val="24"/>
          <w:highlight w:val="none"/>
          <w:lang w:val="en-GB" w:eastAsia="zh-CN" w:bidi="ar"/>
        </w:rPr>
        <w:t>（1）系统对接须遵循采购单位ERP系统既定的技术标准及接口规范，采用标准化接口协议（优先支持RESTful API或WebService协议），实现接口双向通信及数据实时交互，对接过程需严格遵守采购单位数据安全管理规定，采取加密传输（如HTTPS协议）、身份认证（如Token令牌验证）、数据脱敏等安全措施，严防数据泄露、篡改、丢失，确保数据传输及存储的安全性、完整性和保密性。</w:t>
      </w:r>
    </w:p>
    <w:p w14:paraId="2B789A6B">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cs="宋体"/>
          <w:b/>
          <w:color w:val="auto"/>
          <w:kern w:val="2"/>
          <w:sz w:val="24"/>
          <w:szCs w:val="24"/>
          <w:highlight w:val="none"/>
          <w:lang w:val="en-GB"/>
        </w:rPr>
      </w:pPr>
      <w:r>
        <w:rPr>
          <w:rFonts w:hint="eastAsia" w:ascii="宋体" w:hAnsi="宋体" w:eastAsia="宋体" w:cs="宋体"/>
          <w:b/>
          <w:color w:val="auto"/>
          <w:kern w:val="2"/>
          <w:sz w:val="24"/>
          <w:szCs w:val="24"/>
          <w:highlight w:val="none"/>
          <w:lang w:val="en-GB" w:eastAsia="zh-CN" w:bidi="ar"/>
        </w:rPr>
        <w:t>（2）对接内容须全面覆盖本项目全流程业务数据，确保无遗漏、无延迟，具体包括但不限于：库存数据（实时库存数量、库存位置、库存状态、滞销/临期库存预警）、采购到货数据（预计到货时间、到货批次、到货数量、供应商信息）、出库发货数据（已发货数量、发货批次、发货时间、收货方信息）、待发运数据（即将发货数量、待发运清单、发运优先级）、物流跟踪数据（发货单编号、承运司机姓名及联系方式、车牌号码、车辆定位、实时运输状态、司机实时在线状态、司机实时位置更新、司机行程轨迹回溯）、时效管理数据（预计到货时间、实际到货时间、时效偏差预警）、退换货数据（退换货申请信息、退换货原因、退换货数量、退换货入库状态、理赔进度）等核心业务信息，同时须支持司机实时相关功能，包括但不限于司机实时在线状态监测、司机实时位置动态更新、司机行程轨迹实时回溯及异常情况（如偏离路线、停留超时）实时预警，确保采购单位可通过ERP系统实时监控、查询本项目仓储配送全流程及司机作业状态，保障配送及时性、准确性及安全性。</w:t>
      </w:r>
    </w:p>
    <w:p w14:paraId="3EF77602">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cs="宋体"/>
          <w:b/>
          <w:color w:val="auto"/>
          <w:kern w:val="2"/>
          <w:sz w:val="24"/>
          <w:szCs w:val="24"/>
          <w:highlight w:val="none"/>
          <w:lang w:val="en-GB" w:bidi="ar"/>
        </w:rPr>
      </w:pPr>
      <w:r>
        <w:rPr>
          <w:rFonts w:hint="eastAsia" w:ascii="宋体" w:hAnsi="宋体" w:eastAsia="宋体" w:cs="宋体"/>
          <w:b/>
          <w:color w:val="auto"/>
          <w:kern w:val="2"/>
          <w:sz w:val="24"/>
          <w:szCs w:val="24"/>
          <w:highlight w:val="none"/>
          <w:lang w:val="en-GB" w:eastAsia="zh-CN" w:bidi="ar"/>
        </w:rPr>
        <w:t>（3）仓储管理系统和配送管理系统可支撑本项目业务量峰值及未来业务拓展需求，接口响应时间≤300ms，数据同步延迟≤3分钟，系统全年可用率≥99.9%，无重大系统故障（单次故障持续时间≤1小时）。</w:t>
      </w:r>
    </w:p>
    <w:p w14:paraId="514A9B60">
      <w:pPr>
        <w:keepNext w:val="0"/>
        <w:keepLines w:val="0"/>
        <w:widowControl w:val="0"/>
        <w:suppressLineNumbers w:val="0"/>
        <w:pBdr>
          <w:top w:val="none" w:color="auto" w:sz="0" w:space="0"/>
          <w:left w:val="none" w:color="auto" w:sz="0" w:space="0"/>
          <w:bottom w:val="none" w:color="auto" w:sz="0" w:space="0"/>
          <w:right w:val="none" w:color="auto" w:sz="0" w:space="0"/>
        </w:pBdr>
        <w:autoSpaceDE/>
        <w:autoSpaceDN/>
        <w:spacing w:before="0" w:beforeAutospacing="0" w:after="0" w:afterAutospacing="0" w:line="360" w:lineRule="auto"/>
        <w:ind w:left="0" w:right="0" w:firstLine="482" w:firstLineChars="200"/>
        <w:jc w:val="both"/>
        <w:textAlignment w:val="auto"/>
        <w:rPr>
          <w:rFonts w:hint="eastAsia" w:ascii="宋体" w:hAnsi="宋体" w:eastAsia="宋体" w:cs="宋体"/>
          <w:b/>
          <w:i w:val="0"/>
          <w:iCs w:val="0"/>
          <w:caps w:val="0"/>
          <w:color w:val="auto"/>
          <w:spacing w:val="0"/>
          <w:kern w:val="2"/>
          <w:sz w:val="24"/>
          <w:szCs w:val="24"/>
          <w:highlight w:val="none"/>
          <w:vertAlign w:val="baseline"/>
          <w:lang w:val="en-GB" w:bidi="ar"/>
        </w:rPr>
      </w:pPr>
      <w:r>
        <w:rPr>
          <w:rFonts w:hint="eastAsia" w:ascii="宋体" w:hAnsi="宋体" w:eastAsia="宋体" w:cs="宋体"/>
          <w:b/>
          <w:color w:val="auto"/>
          <w:kern w:val="2"/>
          <w:sz w:val="24"/>
          <w:szCs w:val="24"/>
          <w:highlight w:val="none"/>
          <w:lang w:val="en-GB" w:eastAsia="zh-CN" w:bidi="ar"/>
        </w:rPr>
        <w:t>（4）系统对接完成后，投标人须提交完整的接口开发文档、测试报告（含功能测试、性能测试、安全测试、兼容性测试）、系统部署文档、操作手册及维护方案，由采购单位组织专项验收，验收合格并出具验收报告后，系统方可正式投入使用；</w:t>
      </w:r>
      <w:r>
        <w:rPr>
          <w:rFonts w:hint="eastAsia" w:ascii="宋体" w:hAnsi="宋体" w:eastAsia="宋体" w:cs="宋体"/>
          <w:b/>
          <w:bCs w:val="0"/>
          <w:color w:val="auto"/>
          <w:kern w:val="2"/>
          <w:sz w:val="24"/>
          <w:szCs w:val="24"/>
          <w:highlight w:val="none"/>
          <w:lang w:val="en-GB" w:eastAsia="zh-CN" w:bidi="ar"/>
        </w:rPr>
        <w:t>若验收不合格，投标人须在采购单位指定期限内完成整改，整改费用由投标人自行承担，若逾期未完成整改或整改后仍不合格，为了保障本项目顺利运行，采购单位有权要求投标人使用采购单位推荐的第三方物流公司</w:t>
      </w:r>
      <w:r>
        <w:rPr>
          <w:rFonts w:hint="eastAsia" w:ascii="宋体" w:hAnsi="宋体" w:eastAsia="宋体" w:cs="宋体"/>
          <w:b/>
          <w:color w:val="auto"/>
          <w:kern w:val="2"/>
          <w:sz w:val="24"/>
          <w:szCs w:val="24"/>
          <w:highlight w:val="none"/>
          <w:lang w:val="en-GB" w:eastAsia="zh-CN" w:bidi="ar"/>
        </w:rPr>
        <w:t>，投标人除承担运送至第三方物流仓库的费用，还应同时承担货物入第三方物流仓库的仓储操作费、从第三方物流仓库运送至最终用户的二次配送费等相应费用，采购单位推荐的第三方物流的仓储操作费及二次配送费的收费标准如下：</w:t>
      </w:r>
      <w:r>
        <w:rPr>
          <w:rFonts w:hint="eastAsia" w:ascii="宋体" w:hAnsi="宋体" w:eastAsia="宋体" w:cs="宋体"/>
          <w:b/>
          <w:color w:val="auto"/>
          <w:kern w:val="2"/>
          <w:sz w:val="24"/>
          <w:szCs w:val="24"/>
          <w:highlight w:val="none"/>
          <w:lang w:val="en-GB" w:eastAsia="zh-CN" w:bidi="ar"/>
        </w:rPr>
        <w:t>仓储操作费</w:t>
      </w:r>
      <w:r>
        <w:rPr>
          <w:rFonts w:hint="default" w:ascii="宋体" w:hAnsi="宋体" w:cs="宋体"/>
          <w:b/>
          <w:color w:val="auto"/>
          <w:kern w:val="2"/>
          <w:sz w:val="24"/>
          <w:szCs w:val="24"/>
          <w:highlight w:val="none"/>
          <w:lang w:eastAsia="zh-CN" w:bidi="ar"/>
        </w:rPr>
        <w:t>6</w:t>
      </w:r>
      <w:r>
        <w:rPr>
          <w:rFonts w:hint="eastAsia" w:ascii="宋体" w:hAnsi="宋体" w:cs="宋体"/>
          <w:b/>
          <w:color w:val="auto"/>
          <w:kern w:val="2"/>
          <w:sz w:val="24"/>
          <w:szCs w:val="24"/>
          <w:highlight w:val="none"/>
          <w:lang w:val="en-GB" w:eastAsia="zh-CN" w:bidi="ar"/>
        </w:rPr>
        <w:t>0</w:t>
      </w:r>
      <w:r>
        <w:rPr>
          <w:rFonts w:hint="eastAsia" w:ascii="宋体" w:hAnsi="宋体" w:eastAsia="宋体" w:cs="宋体"/>
          <w:b/>
          <w:color w:val="auto"/>
          <w:kern w:val="2"/>
          <w:sz w:val="24"/>
          <w:szCs w:val="24"/>
          <w:highlight w:val="none"/>
          <w:lang w:val="en-GB" w:eastAsia="zh-CN" w:bidi="ar"/>
        </w:rPr>
        <w:t>元/</w:t>
      </w:r>
      <w:r>
        <w:rPr>
          <w:rFonts w:hint="eastAsia" w:ascii="宋体" w:hAnsi="宋体" w:cs="宋体"/>
          <w:b/>
          <w:color w:val="auto"/>
          <w:kern w:val="2"/>
          <w:sz w:val="24"/>
          <w:szCs w:val="24"/>
          <w:highlight w:val="none"/>
          <w:lang w:val="en-GB" w:eastAsia="zh-CN" w:bidi="ar"/>
        </w:rPr>
        <w:t>台，</w:t>
      </w:r>
      <w:r>
        <w:rPr>
          <w:rFonts w:hint="eastAsia" w:ascii="宋体" w:hAnsi="宋体" w:eastAsia="宋体" w:cs="宋体"/>
          <w:b/>
          <w:color w:val="auto"/>
          <w:kern w:val="2"/>
          <w:sz w:val="24"/>
          <w:szCs w:val="24"/>
          <w:highlight w:val="none"/>
          <w:lang w:val="en-GB" w:eastAsia="zh-CN" w:bidi="ar"/>
        </w:rPr>
        <w:t>二次配送费用为</w:t>
      </w:r>
      <w:r>
        <w:rPr>
          <w:rFonts w:hint="eastAsia" w:ascii="宋体" w:hAnsi="宋体" w:cs="宋体"/>
          <w:b/>
          <w:color w:val="auto"/>
          <w:kern w:val="2"/>
          <w:sz w:val="24"/>
          <w:szCs w:val="24"/>
          <w:highlight w:val="none"/>
          <w:lang w:val="en-GB" w:eastAsia="zh-CN" w:bidi="ar"/>
        </w:rPr>
        <w:t>15</w:t>
      </w:r>
      <w:r>
        <w:rPr>
          <w:rFonts w:hint="default" w:ascii="宋体" w:hAnsi="宋体" w:cs="宋体"/>
          <w:b/>
          <w:color w:val="auto"/>
          <w:kern w:val="2"/>
          <w:sz w:val="24"/>
          <w:szCs w:val="24"/>
          <w:highlight w:val="none"/>
          <w:lang w:eastAsia="zh-CN" w:bidi="ar"/>
        </w:rPr>
        <w:t>0</w:t>
      </w:r>
      <w:r>
        <w:rPr>
          <w:rFonts w:hint="eastAsia" w:ascii="宋体" w:hAnsi="宋体" w:eastAsia="宋体" w:cs="宋体"/>
          <w:b/>
          <w:color w:val="auto"/>
          <w:kern w:val="2"/>
          <w:sz w:val="24"/>
          <w:szCs w:val="24"/>
          <w:highlight w:val="none"/>
          <w:lang w:val="en-GB" w:eastAsia="zh-CN" w:bidi="ar"/>
        </w:rPr>
        <w:t>元/</w:t>
      </w:r>
      <w:r>
        <w:rPr>
          <w:rFonts w:hint="eastAsia" w:ascii="宋体" w:hAnsi="宋体" w:cs="宋体"/>
          <w:b/>
          <w:color w:val="auto"/>
          <w:kern w:val="2"/>
          <w:sz w:val="24"/>
          <w:szCs w:val="24"/>
          <w:highlight w:val="none"/>
          <w:lang w:val="en-GB" w:eastAsia="zh-CN" w:bidi="ar"/>
        </w:rPr>
        <w:t>台</w:t>
      </w:r>
      <w:r>
        <w:rPr>
          <w:rFonts w:hint="eastAsia" w:ascii="宋体" w:hAnsi="宋体" w:eastAsia="宋体" w:cs="宋体"/>
          <w:b/>
          <w:color w:val="auto"/>
          <w:kern w:val="2"/>
          <w:sz w:val="24"/>
          <w:szCs w:val="24"/>
          <w:highlight w:val="none"/>
          <w:lang w:val="en-GB" w:eastAsia="zh-CN" w:bidi="ar"/>
        </w:rPr>
        <w:t>。投标人应在采购单位发出《定货单》之日起10个工作日内结算已产生的相关物流费用，若投标人未及时结算物流费用，采购单位有权在履约保证金或应付货款中直接扣除。</w:t>
      </w:r>
    </w:p>
    <w:p w14:paraId="1C2681D7">
      <w:pPr>
        <w:shd w:val="clear" w:color="auto" w:fill="FFFFFF"/>
        <w:spacing w:line="360" w:lineRule="auto"/>
        <w:ind w:firstLine="484"/>
        <w:rPr>
          <w:rFonts w:hint="eastAsia" w:ascii="宋体" w:hAnsi="宋体" w:eastAsia="宋体" w:cs="宋体"/>
          <w:b/>
          <w:bCs w:val="0"/>
          <w:color w:val="auto"/>
          <w:kern w:val="0"/>
          <w:sz w:val="24"/>
          <w:szCs w:val="24"/>
          <w:highlight w:val="none"/>
          <w:lang w:val="en-US" w:eastAsia="zh-CN" w:bidi="ar-SA"/>
        </w:rPr>
      </w:pPr>
      <w:r>
        <w:rPr>
          <w:rFonts w:hint="eastAsia" w:ascii="宋体" w:hAnsi="宋体" w:cs="宋体"/>
          <w:b/>
          <w:bCs w:val="0"/>
          <w:color w:val="auto"/>
          <w:kern w:val="0"/>
          <w:sz w:val="24"/>
          <w:szCs w:val="24"/>
          <w:highlight w:val="none"/>
          <w:lang w:val="en-US" w:eastAsia="zh-CN" w:bidi="ar-SA"/>
        </w:rPr>
        <w:t>8</w:t>
      </w:r>
      <w:r>
        <w:rPr>
          <w:rFonts w:hint="eastAsia" w:ascii="宋体" w:hAnsi="宋体" w:eastAsia="宋体" w:cs="宋体"/>
          <w:b/>
          <w:bCs w:val="0"/>
          <w:color w:val="auto"/>
          <w:kern w:val="0"/>
          <w:sz w:val="24"/>
          <w:szCs w:val="24"/>
          <w:highlight w:val="none"/>
          <w:lang w:val="en-US" w:eastAsia="zh-CN" w:bidi="ar-SA"/>
        </w:rPr>
        <w:t>.2 供货方式：分批供货，以征集人的供货通知为准。</w:t>
      </w:r>
    </w:p>
    <w:p w14:paraId="2529789C">
      <w:pPr>
        <w:shd w:val="clear" w:color="auto" w:fill="FFFFFF"/>
        <w:spacing w:line="360" w:lineRule="auto"/>
        <w:ind w:firstLine="484"/>
        <w:rPr>
          <w:rFonts w:hint="default" w:ascii="宋体" w:hAnsi="宋体" w:eastAsia="宋体" w:cs="宋体"/>
          <w:b/>
          <w:bCs w:val="0"/>
          <w:color w:val="auto"/>
          <w:kern w:val="0"/>
          <w:sz w:val="24"/>
          <w:szCs w:val="24"/>
          <w:highlight w:val="none"/>
          <w:lang w:val="en-US" w:eastAsia="zh-CN" w:bidi="ar-SA"/>
        </w:rPr>
      </w:pPr>
      <w:r>
        <w:rPr>
          <w:rFonts w:hint="eastAsia" w:ascii="宋体" w:hAnsi="宋体" w:cs="宋体"/>
          <w:b/>
          <w:bCs w:val="0"/>
          <w:color w:val="auto"/>
          <w:kern w:val="0"/>
          <w:sz w:val="24"/>
          <w:szCs w:val="24"/>
          <w:highlight w:val="none"/>
          <w:lang w:val="en-US" w:eastAsia="zh-CN" w:bidi="ar-SA"/>
        </w:rPr>
        <w:t>8</w:t>
      </w:r>
      <w:r>
        <w:rPr>
          <w:rFonts w:hint="eastAsia" w:ascii="宋体" w:hAnsi="宋体" w:eastAsia="宋体" w:cs="宋体"/>
          <w:b/>
          <w:bCs w:val="0"/>
          <w:color w:val="auto"/>
          <w:kern w:val="0"/>
          <w:sz w:val="24"/>
          <w:szCs w:val="24"/>
          <w:highlight w:val="none"/>
          <w:lang w:val="en-US" w:eastAsia="zh-CN" w:bidi="ar-SA"/>
        </w:rPr>
        <w:t>.3</w:t>
      </w:r>
      <w:r>
        <w:rPr>
          <w:rFonts w:hint="eastAsia" w:ascii="宋体" w:hAnsi="宋体" w:eastAsia="宋体" w:cs="宋体"/>
          <w:b/>
          <w:bCs w:val="0"/>
          <w:color w:val="auto"/>
          <w:kern w:val="0"/>
          <w:sz w:val="24"/>
          <w:szCs w:val="24"/>
          <w:highlight w:val="none"/>
        </w:rPr>
        <w:t>在供货时触控一体机</w:t>
      </w:r>
      <w:r>
        <w:rPr>
          <w:rFonts w:hint="eastAsia" w:ascii="宋体" w:hAnsi="宋体" w:cs="宋体"/>
          <w:b/>
          <w:bCs w:val="0"/>
          <w:color w:val="auto"/>
          <w:kern w:val="0"/>
          <w:sz w:val="24"/>
          <w:szCs w:val="24"/>
          <w:highlight w:val="none"/>
          <w:lang w:val="en-US" w:eastAsia="zh-CN"/>
        </w:rPr>
        <w:t>/智慧黑板</w:t>
      </w:r>
      <w:r>
        <w:rPr>
          <w:rFonts w:hint="eastAsia" w:ascii="宋体" w:hAnsi="宋体" w:eastAsia="宋体" w:cs="宋体"/>
          <w:b/>
          <w:bCs w:val="0"/>
          <w:color w:val="auto"/>
          <w:kern w:val="0"/>
          <w:sz w:val="24"/>
          <w:szCs w:val="24"/>
          <w:highlight w:val="none"/>
        </w:rPr>
        <w:t>和插拔式模块化电脑须一起交货，否则，按逾期交货处理。</w:t>
      </w:r>
    </w:p>
    <w:p w14:paraId="51540084">
      <w:pPr>
        <w:shd w:val="clear" w:color="auto" w:fill="FFFFFF"/>
        <w:spacing w:line="360" w:lineRule="auto"/>
        <w:ind w:firstLine="484"/>
        <w:rPr>
          <w:rFonts w:hint="eastAsia" w:ascii="宋体" w:hAnsi="宋体" w:eastAsia="宋体" w:cs="宋体"/>
          <w:b/>
          <w:bCs w:val="0"/>
          <w:color w:val="auto"/>
          <w:kern w:val="0"/>
          <w:sz w:val="24"/>
          <w:szCs w:val="24"/>
          <w:highlight w:val="none"/>
          <w:lang w:val="en-US" w:eastAsia="zh-CN" w:bidi="ar-SA"/>
        </w:rPr>
      </w:pPr>
      <w:r>
        <w:rPr>
          <w:rFonts w:hint="eastAsia" w:ascii="宋体" w:hAnsi="宋体" w:eastAsia="宋体" w:cs="宋体"/>
          <w:b/>
          <w:bCs w:val="0"/>
          <w:color w:val="auto"/>
          <w:kern w:val="0"/>
          <w:sz w:val="24"/>
          <w:szCs w:val="24"/>
          <w:highlight w:val="none"/>
          <w:lang w:val="en-US" w:eastAsia="zh-CN" w:bidi="ar-SA"/>
        </w:rPr>
        <w:t>★</w:t>
      </w:r>
      <w:r>
        <w:rPr>
          <w:rFonts w:hint="eastAsia" w:ascii="宋体" w:hAnsi="宋体" w:cs="宋体"/>
          <w:b/>
          <w:bCs w:val="0"/>
          <w:color w:val="auto"/>
          <w:kern w:val="0"/>
          <w:sz w:val="24"/>
          <w:szCs w:val="24"/>
          <w:highlight w:val="none"/>
          <w:lang w:val="en-US" w:eastAsia="zh-CN" w:bidi="ar-SA"/>
        </w:rPr>
        <w:t>9</w:t>
      </w:r>
      <w:r>
        <w:rPr>
          <w:rFonts w:hint="eastAsia" w:ascii="宋体" w:hAnsi="宋体" w:eastAsia="宋体" w:cs="宋体"/>
          <w:b/>
          <w:bCs w:val="0"/>
          <w:color w:val="auto"/>
          <w:kern w:val="0"/>
          <w:sz w:val="24"/>
          <w:szCs w:val="24"/>
          <w:highlight w:val="none"/>
          <w:lang w:val="en-US" w:eastAsia="zh-CN" w:bidi="ar-SA"/>
        </w:rPr>
        <w:t>、投标报价要求</w:t>
      </w:r>
    </w:p>
    <w:p w14:paraId="0FF35C5F">
      <w:pPr>
        <w:shd w:val="clear" w:color="auto" w:fill="FFFFFF"/>
        <w:spacing w:line="360" w:lineRule="auto"/>
        <w:ind w:firstLine="484"/>
        <w:rPr>
          <w:rFonts w:hint="eastAsia" w:ascii="宋体" w:hAnsi="宋体" w:eastAsia="宋体" w:cs="宋体"/>
          <w:b/>
          <w:bCs w:val="0"/>
          <w:color w:val="auto"/>
          <w:kern w:val="0"/>
          <w:sz w:val="24"/>
          <w:szCs w:val="24"/>
          <w:highlight w:val="none"/>
          <w:lang w:val="en-US" w:eastAsia="zh-CN" w:bidi="ar-SA"/>
        </w:rPr>
      </w:pPr>
      <w:r>
        <w:rPr>
          <w:rFonts w:hint="eastAsia" w:ascii="宋体" w:hAnsi="宋体" w:cs="宋体"/>
          <w:b/>
          <w:bCs w:val="0"/>
          <w:color w:val="auto"/>
          <w:kern w:val="0"/>
          <w:sz w:val="24"/>
          <w:szCs w:val="24"/>
          <w:highlight w:val="none"/>
          <w:lang w:val="en-US" w:eastAsia="zh-CN" w:bidi="ar-SA"/>
        </w:rPr>
        <w:t>9</w:t>
      </w:r>
      <w:r>
        <w:rPr>
          <w:rFonts w:hint="eastAsia" w:ascii="宋体" w:hAnsi="宋体" w:eastAsia="宋体" w:cs="宋体"/>
          <w:b/>
          <w:bCs w:val="0"/>
          <w:color w:val="auto"/>
          <w:kern w:val="0"/>
          <w:sz w:val="24"/>
          <w:szCs w:val="24"/>
          <w:highlight w:val="none"/>
          <w:lang w:val="en-US" w:eastAsia="zh-CN" w:bidi="ar-SA"/>
        </w:rPr>
        <w:t>.1、</w:t>
      </w:r>
      <w:r>
        <w:rPr>
          <w:rFonts w:hint="eastAsia" w:ascii="宋体" w:hAnsi="宋体" w:eastAsia="宋体" w:cs="宋体"/>
          <w:b/>
          <w:bCs w:val="0"/>
          <w:color w:val="auto"/>
          <w:kern w:val="0"/>
          <w:sz w:val="24"/>
          <w:szCs w:val="24"/>
          <w:highlight w:val="none"/>
          <w:lang w:val="en-US" w:bidi="ar-SA"/>
        </w:rPr>
        <w:t>投标人可对本项目全部采购包或部分采购包进行投标。征集人不接受有任何可选择性的报价，每一种货物只能有一个报价，否则其投标将被拒绝。投标人须以人民币报价，投标总价为投标设备经最终验收合格并交付使用所有可能发生的费用，包括设备费、运送至征集人指定地点的运输费、装卸费、运输费保险费、专用工具费、税费、安装费、安装调试费、检验验收以及售后服务等一切费用（投标人可在分项报价表中详细列出报价，如果所列分项报价不含以上内容，则视为已含在投标总价中），报价方式为总包价。投标人不能向最终用户收取任何费用，</w:t>
      </w:r>
      <w:r>
        <w:rPr>
          <w:rFonts w:hint="eastAsia" w:ascii="宋体" w:hAnsi="宋体" w:eastAsia="宋体" w:cs="宋体"/>
          <w:b/>
          <w:bCs w:val="0"/>
          <w:color w:val="auto"/>
          <w:kern w:val="0"/>
          <w:sz w:val="24"/>
          <w:szCs w:val="24"/>
          <w:highlight w:val="none"/>
        </w:rPr>
        <w:t>包含但不限于货物在最终用户侧的二次搬运费等</w:t>
      </w:r>
      <w:r>
        <w:rPr>
          <w:rFonts w:hint="eastAsia" w:ascii="宋体" w:hAnsi="宋体" w:eastAsia="宋体" w:cs="宋体"/>
          <w:b/>
          <w:bCs w:val="0"/>
          <w:color w:val="auto"/>
          <w:kern w:val="0"/>
          <w:sz w:val="24"/>
          <w:szCs w:val="24"/>
          <w:highlight w:val="none"/>
          <w:lang w:eastAsia="zh-CN"/>
        </w:rPr>
        <w:t>。</w:t>
      </w:r>
      <w:r>
        <w:rPr>
          <w:rFonts w:hint="eastAsia" w:ascii="宋体" w:hAnsi="宋体" w:eastAsia="宋体" w:cs="宋体"/>
          <w:b/>
          <w:bCs w:val="0"/>
          <w:color w:val="auto"/>
          <w:kern w:val="0"/>
          <w:sz w:val="24"/>
          <w:szCs w:val="24"/>
          <w:highlight w:val="none"/>
          <w:lang w:val="en-US" w:bidi="ar-SA"/>
        </w:rPr>
        <w:t>投标人应在投标文件中明确报价产品标配内安装所需的相关辅材、耗材数量，该部分费用应包含在报价总价中。</w:t>
      </w:r>
    </w:p>
    <w:p w14:paraId="1F1B87AA">
      <w:pPr>
        <w:shd w:val="clear" w:color="auto" w:fill="FFFFFF"/>
        <w:spacing w:line="360" w:lineRule="auto"/>
        <w:ind w:firstLine="484"/>
        <w:rPr>
          <w:rFonts w:hint="eastAsia" w:ascii="宋体" w:hAnsi="宋体" w:eastAsia="宋体" w:cs="宋体"/>
          <w:b/>
          <w:bCs w:val="0"/>
          <w:color w:val="auto"/>
          <w:kern w:val="0"/>
          <w:sz w:val="24"/>
          <w:szCs w:val="24"/>
          <w:highlight w:val="none"/>
          <w:lang w:val="en-US" w:eastAsia="zh-CN" w:bidi="ar-SA"/>
        </w:rPr>
      </w:pPr>
      <w:r>
        <w:rPr>
          <w:rFonts w:hint="eastAsia" w:ascii="宋体" w:hAnsi="宋体" w:cs="宋体"/>
          <w:b/>
          <w:bCs w:val="0"/>
          <w:color w:val="auto"/>
          <w:kern w:val="0"/>
          <w:sz w:val="24"/>
          <w:szCs w:val="24"/>
          <w:highlight w:val="none"/>
          <w:lang w:val="en-US" w:eastAsia="zh-CN" w:bidi="ar-SA"/>
        </w:rPr>
        <w:t>9</w:t>
      </w:r>
      <w:r>
        <w:rPr>
          <w:rFonts w:hint="eastAsia" w:ascii="宋体" w:hAnsi="宋体" w:eastAsia="宋体" w:cs="宋体"/>
          <w:b/>
          <w:bCs w:val="0"/>
          <w:color w:val="auto"/>
          <w:kern w:val="0"/>
          <w:sz w:val="24"/>
          <w:szCs w:val="24"/>
          <w:highlight w:val="none"/>
          <w:lang w:val="en-US" w:eastAsia="zh-CN" w:bidi="ar-SA"/>
        </w:rPr>
        <w:t>.2、报价以人民币为货币单位，应分单价、小计和总价。</w:t>
      </w:r>
    </w:p>
    <w:p w14:paraId="793A1607">
      <w:pPr>
        <w:shd w:val="clear" w:color="auto" w:fill="FFFFFF"/>
        <w:spacing w:line="360" w:lineRule="auto"/>
        <w:ind w:firstLine="484"/>
        <w:rPr>
          <w:rFonts w:hint="eastAsia" w:ascii="宋体" w:hAnsi="宋体" w:eastAsia="宋体" w:cs="宋体"/>
          <w:b/>
          <w:bCs w:val="0"/>
          <w:color w:val="auto"/>
          <w:kern w:val="0"/>
          <w:sz w:val="24"/>
          <w:szCs w:val="24"/>
          <w:highlight w:val="none"/>
          <w:lang w:val="en-US" w:eastAsia="zh-CN" w:bidi="ar-SA"/>
        </w:rPr>
      </w:pPr>
      <w:r>
        <w:rPr>
          <w:rFonts w:hint="eastAsia" w:ascii="宋体" w:hAnsi="宋体" w:cs="宋体"/>
          <w:b/>
          <w:bCs w:val="0"/>
          <w:color w:val="auto"/>
          <w:kern w:val="0"/>
          <w:sz w:val="24"/>
          <w:szCs w:val="24"/>
          <w:highlight w:val="none"/>
          <w:lang w:val="en-US" w:eastAsia="zh-CN" w:bidi="ar-SA"/>
        </w:rPr>
        <w:t>9</w:t>
      </w:r>
      <w:r>
        <w:rPr>
          <w:rFonts w:hint="eastAsia" w:ascii="宋体" w:hAnsi="宋体" w:eastAsia="宋体" w:cs="宋体"/>
          <w:b/>
          <w:bCs w:val="0"/>
          <w:color w:val="auto"/>
          <w:kern w:val="0"/>
          <w:sz w:val="24"/>
          <w:szCs w:val="24"/>
          <w:highlight w:val="none"/>
          <w:lang w:val="en-US" w:eastAsia="zh-CN" w:bidi="ar-SA"/>
        </w:rPr>
        <w:t>.3、征集人将按实际最终验收合格的数量和综合单价进行结算。</w:t>
      </w:r>
    </w:p>
    <w:p w14:paraId="57902D36">
      <w:pPr>
        <w:widowControl/>
        <w:shd w:val="clear" w:color="auto" w:fill="FFFFFF"/>
        <w:spacing w:line="360" w:lineRule="auto"/>
        <w:ind w:firstLine="484"/>
        <w:rPr>
          <w:rFonts w:hint="eastAsia" w:ascii="宋体" w:hAnsi="宋体" w:eastAsia="宋体" w:cs="宋体"/>
          <w:b/>
          <w:bCs w:val="0"/>
          <w:color w:val="auto"/>
          <w:sz w:val="24"/>
          <w:szCs w:val="24"/>
          <w:highlight w:val="none"/>
          <w:lang w:val="zh-CN" w:eastAsia="zh-CN" w:bidi="zh-CN"/>
        </w:rPr>
      </w:pPr>
      <w:r>
        <w:rPr>
          <w:rFonts w:hint="eastAsia" w:ascii="宋体" w:hAnsi="宋体" w:eastAsia="宋体" w:cs="宋体"/>
          <w:b/>
          <w:bCs w:val="0"/>
          <w:color w:val="auto"/>
          <w:sz w:val="24"/>
          <w:szCs w:val="24"/>
          <w:highlight w:val="none"/>
          <w:lang w:val="zh-CN" w:eastAsia="zh-CN"/>
        </w:rPr>
        <w:t>★</w:t>
      </w:r>
      <w:r>
        <w:rPr>
          <w:rFonts w:hint="eastAsia" w:ascii="宋体" w:hAnsi="宋体" w:eastAsia="宋体" w:cs="宋体"/>
          <w:b/>
          <w:bCs w:val="0"/>
          <w:color w:val="auto"/>
          <w:sz w:val="24"/>
          <w:szCs w:val="24"/>
          <w:highlight w:val="none"/>
        </w:rPr>
        <w:t>1</w:t>
      </w:r>
      <w:r>
        <w:rPr>
          <w:rFonts w:hint="eastAsia" w:ascii="宋体" w:hAnsi="宋体" w:cs="宋体"/>
          <w:b/>
          <w:bCs w:val="0"/>
          <w:color w:val="auto"/>
          <w:sz w:val="24"/>
          <w:szCs w:val="24"/>
          <w:highlight w:val="none"/>
          <w:lang w:val="en-US" w:eastAsia="zh-CN"/>
        </w:rPr>
        <w:t>0</w:t>
      </w:r>
      <w:r>
        <w:rPr>
          <w:rFonts w:hint="eastAsia" w:ascii="宋体" w:hAnsi="宋体" w:eastAsia="宋体" w:cs="宋体"/>
          <w:b/>
          <w:bCs w:val="0"/>
          <w:color w:val="auto"/>
          <w:sz w:val="24"/>
          <w:szCs w:val="24"/>
          <w:highlight w:val="none"/>
        </w:rPr>
        <w:t>、</w:t>
      </w:r>
      <w:r>
        <w:rPr>
          <w:rFonts w:hint="eastAsia" w:ascii="宋体" w:hAnsi="宋体" w:eastAsia="宋体" w:cs="宋体"/>
          <w:b/>
          <w:bCs w:val="0"/>
          <w:color w:val="auto"/>
          <w:sz w:val="24"/>
          <w:szCs w:val="24"/>
          <w:highlight w:val="none"/>
          <w:lang w:val="zh-CN" w:eastAsia="zh-CN" w:bidi="zh-CN"/>
        </w:rPr>
        <w:t>投标人应在投标文件中提供选配件投标报价</w:t>
      </w:r>
      <w:r>
        <w:rPr>
          <w:rFonts w:hint="eastAsia" w:ascii="宋体" w:hAnsi="宋体" w:eastAsia="宋体" w:cs="宋体"/>
          <w:bCs/>
          <w:color w:val="auto"/>
          <w:kern w:val="2"/>
          <w:sz w:val="24"/>
          <w:szCs w:val="24"/>
          <w:highlight w:val="none"/>
        </w:rPr>
        <w:t>（</w:t>
      </w:r>
      <w:r>
        <w:rPr>
          <w:rFonts w:hint="eastAsia" w:ascii="宋体" w:hAnsi="宋体" w:eastAsia="宋体" w:cs="宋体"/>
          <w:b w:val="0"/>
          <w:bCs/>
          <w:color w:val="auto"/>
          <w:kern w:val="0"/>
          <w:sz w:val="24"/>
          <w:szCs w:val="24"/>
          <w:highlight w:val="none"/>
        </w:rPr>
        <w:t>报价方式为总包价。投标人不能向最终用户收取任何费用，包含但不限于货物在最终用户侧的二次搬运费、安装费和售后服务费等</w:t>
      </w:r>
      <w:r>
        <w:rPr>
          <w:rFonts w:hint="eastAsia" w:ascii="宋体" w:hAnsi="宋体" w:eastAsia="宋体" w:cs="宋体"/>
          <w:bCs/>
          <w:color w:val="auto"/>
          <w:kern w:val="2"/>
          <w:sz w:val="24"/>
          <w:szCs w:val="24"/>
          <w:highlight w:val="none"/>
        </w:rPr>
        <w:t>）</w:t>
      </w:r>
      <w:r>
        <w:rPr>
          <w:rFonts w:hint="eastAsia" w:ascii="宋体" w:hAnsi="宋体" w:eastAsia="宋体" w:cs="宋体"/>
          <w:b/>
          <w:bCs w:val="0"/>
          <w:color w:val="auto"/>
          <w:sz w:val="24"/>
          <w:szCs w:val="24"/>
          <w:highlight w:val="none"/>
          <w:lang w:val="zh-CN" w:eastAsia="zh-CN" w:bidi="zh-CN"/>
        </w:rPr>
        <w:t>，选配件投标报价的限价不得超过下述列表中所列金额（选配件可根据征集人对整机配置要求进行增减，增减价格一致。）选配件投标报价不含在总投标报价中。</w:t>
      </w:r>
    </w:p>
    <w:tbl>
      <w:tblPr>
        <w:tblStyle w:val="14"/>
        <w:tblW w:w="821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8"/>
        <w:gridCol w:w="6393"/>
        <w:gridCol w:w="1050"/>
      </w:tblGrid>
      <w:tr w14:paraId="04475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A5E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081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产品</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7FA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限价</w:t>
            </w:r>
          </w:p>
        </w:tc>
      </w:tr>
      <w:tr w14:paraId="7B633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044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1</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7FE70">
            <w:pPr>
              <w:pStyle w:val="12"/>
              <w:keepNext w:val="0"/>
              <w:keepLines w:val="0"/>
              <w:widowControl/>
              <w:suppressLineNumbers w:val="0"/>
              <w:kinsoku/>
              <w:wordWrap/>
              <w:overflowPunct/>
              <w:ind w:left="0" w:right="0"/>
              <w:jc w:val="left"/>
              <w:rPr>
                <w:rFonts w:hint="eastAsia" w:ascii="宋体" w:hAnsi="宋体" w:eastAsia="宋体" w:cs="宋体"/>
                <w:b/>
                <w:bCs/>
                <w:i w:val="0"/>
                <w:iCs w:val="0"/>
                <w:color w:val="auto"/>
                <w:kern w:val="2"/>
                <w:sz w:val="24"/>
                <w:szCs w:val="24"/>
                <w:highlight w:val="none"/>
                <w:u w:val="none"/>
                <w:lang w:val="zh-CN" w:eastAsia="zh-CN" w:bidi="zh-CN"/>
              </w:rPr>
            </w:pPr>
            <w:r>
              <w:rPr>
                <w:rFonts w:hint="eastAsia" w:ascii="宋体" w:hAnsi="宋体" w:eastAsia="宋体" w:cs="宋体"/>
                <w:b/>
                <w:bCs/>
                <w:color w:val="auto"/>
                <w:kern w:val="2"/>
                <w:sz w:val="24"/>
                <w:szCs w:val="24"/>
                <w:highlight w:val="none"/>
                <w:lang w:val="zh-CN" w:bidi="zh-CN"/>
              </w:rPr>
              <w:t>遥控器</w:t>
            </w:r>
            <w:r>
              <w:rPr>
                <w:rFonts w:hint="eastAsia" w:ascii="宋体" w:hAnsi="宋体" w:eastAsia="宋体" w:cs="宋体"/>
                <w:b/>
                <w:bCs/>
                <w:color w:val="auto"/>
                <w:kern w:val="2"/>
                <w:sz w:val="24"/>
                <w:szCs w:val="24"/>
                <w:highlight w:val="none"/>
                <w:lang w:val="zh-CN" w:eastAsia="zh-CN" w:bidi="zh-CN"/>
              </w:rPr>
              <w:t>（若使用单位需要需免费提供）</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05B45">
            <w:pPr>
              <w:pStyle w:val="12"/>
              <w:keepNext w:val="0"/>
              <w:keepLines w:val="0"/>
              <w:widowControl/>
              <w:suppressLineNumbers w:val="0"/>
              <w:kinsoku/>
              <w:wordWrap/>
              <w:overflowPunct/>
              <w:ind w:left="0" w:right="0"/>
              <w:jc w:val="center"/>
              <w:rPr>
                <w:rFonts w:hint="eastAsia" w:ascii="宋体" w:hAnsi="宋体" w:eastAsia="宋体" w:cs="宋体"/>
                <w:b/>
                <w:bCs/>
                <w:i w:val="0"/>
                <w:iCs w:val="0"/>
                <w:color w:val="auto"/>
                <w:kern w:val="2"/>
                <w:sz w:val="24"/>
                <w:szCs w:val="24"/>
                <w:highlight w:val="none"/>
                <w:u w:val="none"/>
                <w:lang w:val="zh-CN" w:eastAsia="zh-CN" w:bidi="zh-CN"/>
              </w:rPr>
            </w:pPr>
            <w:r>
              <w:rPr>
                <w:rFonts w:hint="eastAsia" w:ascii="宋体" w:hAnsi="宋体" w:eastAsia="宋体" w:cs="宋体"/>
                <w:b/>
                <w:bCs/>
                <w:color w:val="auto"/>
                <w:kern w:val="2"/>
                <w:sz w:val="24"/>
                <w:szCs w:val="24"/>
                <w:highlight w:val="none"/>
                <w:lang w:val="zh-CN" w:bidi="zh-CN"/>
              </w:rPr>
              <w:t>0</w:t>
            </w:r>
          </w:p>
        </w:tc>
      </w:tr>
      <w:tr w14:paraId="23399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451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cs="宋体"/>
                <w:b/>
                <w:bCs/>
                <w:i w:val="0"/>
                <w:iCs w:val="0"/>
                <w:color w:val="auto"/>
                <w:kern w:val="0"/>
                <w:sz w:val="24"/>
                <w:szCs w:val="24"/>
                <w:highlight w:val="none"/>
                <w:u w:val="none"/>
                <w:lang w:val="en-US" w:eastAsia="zh-CN" w:bidi="ar"/>
              </w:rPr>
              <w:t>2</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0672E">
            <w:pPr>
              <w:pStyle w:val="12"/>
              <w:keepNext w:val="0"/>
              <w:keepLines w:val="0"/>
              <w:widowControl/>
              <w:suppressLineNumbers w:val="0"/>
              <w:kinsoku/>
              <w:wordWrap/>
              <w:overflowPunct/>
              <w:ind w:left="0" w:right="0"/>
              <w:jc w:val="left"/>
              <w:rPr>
                <w:rFonts w:hint="eastAsia" w:ascii="宋体" w:hAnsi="宋体" w:eastAsia="宋体" w:cs="宋体"/>
                <w:b/>
                <w:bCs/>
                <w:i w:val="0"/>
                <w:iCs w:val="0"/>
                <w:color w:val="auto"/>
                <w:kern w:val="2"/>
                <w:sz w:val="24"/>
                <w:szCs w:val="24"/>
                <w:highlight w:val="none"/>
                <w:u w:val="none"/>
                <w:lang w:val="zh-CN" w:bidi="zh-CN"/>
              </w:rPr>
            </w:pPr>
            <w:r>
              <w:rPr>
                <w:rFonts w:hint="eastAsia" w:ascii="宋体" w:hAnsi="宋体" w:eastAsia="宋体" w:cs="宋体"/>
                <w:b/>
                <w:bCs/>
                <w:color w:val="auto"/>
                <w:kern w:val="2"/>
                <w:sz w:val="24"/>
                <w:szCs w:val="24"/>
                <w:highlight w:val="none"/>
                <w:lang w:val="zh-CN" w:bidi="zh-CN"/>
              </w:rPr>
              <w:t>移动支架（65-98寸触控一体机）</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622CE">
            <w:pPr>
              <w:pStyle w:val="12"/>
              <w:keepNext w:val="0"/>
              <w:keepLines w:val="0"/>
              <w:widowControl/>
              <w:suppressLineNumbers w:val="0"/>
              <w:kinsoku/>
              <w:wordWrap/>
              <w:overflowPunct/>
              <w:ind w:left="0" w:right="0"/>
              <w:jc w:val="center"/>
              <w:rPr>
                <w:rFonts w:hint="eastAsia" w:ascii="宋体" w:hAnsi="宋体" w:eastAsia="宋体" w:cs="宋体"/>
                <w:b/>
                <w:bCs/>
                <w:i w:val="0"/>
                <w:iCs w:val="0"/>
                <w:color w:val="auto"/>
                <w:kern w:val="2"/>
                <w:sz w:val="24"/>
                <w:szCs w:val="24"/>
                <w:highlight w:val="none"/>
                <w:u w:val="none"/>
                <w:lang w:val="zh-CN" w:bidi="zh-CN"/>
              </w:rPr>
            </w:pPr>
            <w:r>
              <w:rPr>
                <w:rFonts w:hint="eastAsia" w:ascii="宋体" w:hAnsi="宋体" w:eastAsia="宋体" w:cs="宋体"/>
                <w:b/>
                <w:bCs/>
                <w:color w:val="auto"/>
                <w:kern w:val="2"/>
                <w:sz w:val="24"/>
                <w:szCs w:val="24"/>
                <w:highlight w:val="none"/>
                <w:lang w:val="zh-CN" w:bidi="zh-CN"/>
              </w:rPr>
              <w:t>900</w:t>
            </w:r>
          </w:p>
        </w:tc>
      </w:tr>
      <w:tr w14:paraId="6E0D2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D42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cs="宋体"/>
                <w:b/>
                <w:bCs/>
                <w:i w:val="0"/>
                <w:iCs w:val="0"/>
                <w:color w:val="auto"/>
                <w:kern w:val="0"/>
                <w:sz w:val="24"/>
                <w:szCs w:val="24"/>
                <w:highlight w:val="none"/>
                <w:u w:val="none"/>
                <w:lang w:val="en-US" w:eastAsia="zh-CN" w:bidi="ar"/>
              </w:rPr>
              <w:t>3</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1BCFC">
            <w:pPr>
              <w:pStyle w:val="12"/>
              <w:keepNext w:val="0"/>
              <w:keepLines w:val="0"/>
              <w:widowControl/>
              <w:suppressLineNumbers w:val="0"/>
              <w:kinsoku/>
              <w:wordWrap/>
              <w:overflowPunct/>
              <w:ind w:left="0" w:right="0"/>
              <w:jc w:val="left"/>
              <w:rPr>
                <w:rFonts w:hint="eastAsia" w:ascii="宋体" w:hAnsi="宋体" w:eastAsia="宋体" w:cs="宋体"/>
                <w:b/>
                <w:bCs/>
                <w:color w:val="auto"/>
                <w:kern w:val="2"/>
                <w:sz w:val="24"/>
                <w:szCs w:val="24"/>
                <w:highlight w:val="none"/>
                <w:lang w:val="zh-CN" w:bidi="zh-CN"/>
              </w:rPr>
            </w:pPr>
            <w:r>
              <w:rPr>
                <w:rFonts w:hint="eastAsia" w:ascii="宋体" w:hAnsi="宋体" w:eastAsia="宋体" w:cs="宋体"/>
                <w:b/>
                <w:bCs/>
                <w:color w:val="auto"/>
                <w:kern w:val="2"/>
                <w:sz w:val="24"/>
                <w:szCs w:val="24"/>
                <w:highlight w:val="none"/>
                <w:lang w:val="zh-CN" w:bidi="zh-CN"/>
              </w:rPr>
              <w:t>OPS模块（正版国产操作系统,处理器核数≥8核，线程数≥8，主频≥3.0,运行内存容量≥16G，固态硬盘容量≥512G，)</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BB799">
            <w:pPr>
              <w:pStyle w:val="12"/>
              <w:keepNext w:val="0"/>
              <w:keepLines w:val="0"/>
              <w:widowControl/>
              <w:suppressLineNumbers w:val="0"/>
              <w:kinsoku/>
              <w:wordWrap/>
              <w:overflowPunct/>
              <w:ind w:left="0" w:right="0"/>
              <w:jc w:val="center"/>
              <w:rPr>
                <w:rFonts w:hint="eastAsia" w:ascii="宋体" w:hAnsi="宋体" w:eastAsia="宋体" w:cs="宋体"/>
                <w:b/>
                <w:bCs/>
                <w:color w:val="auto"/>
                <w:kern w:val="2"/>
                <w:sz w:val="24"/>
                <w:szCs w:val="24"/>
                <w:highlight w:val="none"/>
                <w:lang w:val="zh-CN" w:bidi="zh-CN"/>
              </w:rPr>
            </w:pPr>
            <w:r>
              <w:rPr>
                <w:rFonts w:hint="eastAsia" w:ascii="宋体" w:hAnsi="宋体" w:eastAsia="宋体" w:cs="宋体"/>
                <w:b/>
                <w:bCs/>
                <w:color w:val="auto"/>
                <w:kern w:val="2"/>
                <w:sz w:val="24"/>
                <w:szCs w:val="24"/>
                <w:highlight w:val="none"/>
                <w:lang w:val="zh-CN" w:bidi="zh-CN"/>
              </w:rPr>
              <w:t>2</w:t>
            </w:r>
            <w:r>
              <w:rPr>
                <w:rFonts w:hint="eastAsia" w:ascii="宋体" w:hAnsi="宋体" w:cs="宋体"/>
                <w:b/>
                <w:bCs/>
                <w:color w:val="auto"/>
                <w:kern w:val="2"/>
                <w:sz w:val="24"/>
                <w:szCs w:val="24"/>
                <w:highlight w:val="none"/>
                <w:lang w:val="en-US" w:bidi="zh-CN"/>
              </w:rPr>
              <w:t>7</w:t>
            </w:r>
            <w:r>
              <w:rPr>
                <w:rFonts w:hint="eastAsia" w:ascii="宋体" w:hAnsi="宋体" w:eastAsia="宋体" w:cs="宋体"/>
                <w:b/>
                <w:bCs/>
                <w:color w:val="auto"/>
                <w:kern w:val="2"/>
                <w:sz w:val="24"/>
                <w:szCs w:val="24"/>
                <w:highlight w:val="none"/>
                <w:lang w:val="zh-CN" w:bidi="zh-CN"/>
              </w:rPr>
              <w:t>00</w:t>
            </w:r>
          </w:p>
        </w:tc>
      </w:tr>
      <w:tr w14:paraId="02ED0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428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cs="宋体"/>
                <w:b/>
                <w:bCs/>
                <w:i w:val="0"/>
                <w:iCs w:val="0"/>
                <w:color w:val="auto"/>
                <w:kern w:val="0"/>
                <w:sz w:val="24"/>
                <w:szCs w:val="24"/>
                <w:highlight w:val="none"/>
                <w:u w:val="none"/>
                <w:lang w:val="en-US" w:eastAsia="zh-CN" w:bidi="ar"/>
              </w:rPr>
              <w:t>4</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806E0">
            <w:pPr>
              <w:pStyle w:val="12"/>
              <w:keepNext w:val="0"/>
              <w:keepLines w:val="0"/>
              <w:widowControl/>
              <w:suppressLineNumbers w:val="0"/>
              <w:kinsoku/>
              <w:wordWrap/>
              <w:overflowPunct/>
              <w:ind w:left="0" w:right="0"/>
              <w:jc w:val="left"/>
              <w:rPr>
                <w:rFonts w:hint="eastAsia" w:ascii="宋体" w:hAnsi="宋体" w:eastAsia="宋体" w:cs="宋体"/>
                <w:b/>
                <w:bCs/>
                <w:color w:val="auto"/>
                <w:kern w:val="2"/>
                <w:sz w:val="24"/>
                <w:szCs w:val="24"/>
                <w:highlight w:val="none"/>
                <w:lang w:val="zh-CN" w:bidi="zh-CN"/>
              </w:rPr>
            </w:pPr>
            <w:r>
              <w:rPr>
                <w:rFonts w:hint="eastAsia" w:ascii="宋体" w:hAnsi="宋体" w:eastAsia="宋体" w:cs="宋体"/>
                <w:b/>
                <w:bCs/>
                <w:color w:val="auto"/>
                <w:kern w:val="2"/>
                <w:sz w:val="24"/>
                <w:szCs w:val="24"/>
                <w:highlight w:val="none"/>
                <w:lang w:val="zh-CN" w:bidi="zh-CN"/>
              </w:rPr>
              <w:t>OPS模块（正版非国产操作系统,处理器核数≥8核，线程数≥12，主频≥2,运行内存容量≥16G，固态硬盘容量≥512G，)</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8A734">
            <w:pPr>
              <w:pStyle w:val="12"/>
              <w:keepNext w:val="0"/>
              <w:keepLines w:val="0"/>
              <w:widowControl/>
              <w:suppressLineNumbers w:val="0"/>
              <w:kinsoku/>
              <w:wordWrap/>
              <w:overflowPunct/>
              <w:ind w:left="0" w:right="0"/>
              <w:jc w:val="center"/>
              <w:rPr>
                <w:rFonts w:hint="eastAsia" w:ascii="宋体" w:hAnsi="宋体" w:eastAsia="宋体" w:cs="宋体"/>
                <w:b/>
                <w:bCs/>
                <w:color w:val="auto"/>
                <w:kern w:val="2"/>
                <w:sz w:val="24"/>
                <w:szCs w:val="24"/>
                <w:highlight w:val="none"/>
                <w:lang w:val="zh-CN" w:bidi="zh-CN"/>
              </w:rPr>
            </w:pPr>
            <w:r>
              <w:rPr>
                <w:rFonts w:hint="eastAsia" w:ascii="宋体" w:hAnsi="宋体" w:cs="宋体"/>
                <w:b/>
                <w:bCs/>
                <w:color w:val="auto"/>
                <w:kern w:val="2"/>
                <w:sz w:val="24"/>
                <w:szCs w:val="24"/>
                <w:highlight w:val="none"/>
                <w:lang w:val="en-US" w:bidi="zh-CN"/>
              </w:rPr>
              <w:t>25</w:t>
            </w:r>
            <w:r>
              <w:rPr>
                <w:rFonts w:hint="eastAsia" w:ascii="宋体" w:hAnsi="宋体" w:eastAsia="宋体" w:cs="宋体"/>
                <w:b/>
                <w:bCs/>
                <w:color w:val="auto"/>
                <w:kern w:val="2"/>
                <w:sz w:val="24"/>
                <w:szCs w:val="24"/>
                <w:highlight w:val="none"/>
                <w:lang w:val="zh-CN" w:bidi="zh-CN"/>
              </w:rPr>
              <w:t>00</w:t>
            </w:r>
          </w:p>
        </w:tc>
      </w:tr>
    </w:tbl>
    <w:p w14:paraId="0FACEDFE">
      <w:pPr>
        <w:shd w:val="clear" w:color="auto"/>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sz w:val="24"/>
          <w:szCs w:val="24"/>
          <w:highlight w:val="none"/>
          <w:lang w:val="zh-CN" w:eastAsia="zh-CN"/>
        </w:rPr>
        <w:t>★</w:t>
      </w:r>
      <w:r>
        <w:rPr>
          <w:rFonts w:hint="eastAsia" w:ascii="宋体" w:hAnsi="宋体" w:eastAsia="宋体" w:cs="宋体"/>
          <w:b/>
          <w:bCs/>
          <w:color w:val="auto"/>
          <w:sz w:val="24"/>
          <w:szCs w:val="24"/>
          <w:highlight w:val="none"/>
        </w:rPr>
        <w:t>1</w:t>
      </w:r>
      <w:r>
        <w:rPr>
          <w:rFonts w:hint="eastAsia" w:ascii="宋体" w:hAnsi="宋体" w:cs="宋体"/>
          <w:b/>
          <w:bCs/>
          <w:color w:val="auto"/>
          <w:sz w:val="24"/>
          <w:szCs w:val="24"/>
          <w:highlight w:val="none"/>
          <w:lang w:val="en-US" w:eastAsia="zh-CN"/>
        </w:rPr>
        <w:t>1</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kern w:val="0"/>
          <w:sz w:val="24"/>
          <w:szCs w:val="24"/>
          <w:highlight w:val="none"/>
          <w:lang w:eastAsia="zh-CN"/>
        </w:rPr>
        <w:t>投标人</w:t>
      </w:r>
      <w:r>
        <w:rPr>
          <w:rFonts w:hint="eastAsia" w:ascii="宋体" w:hAnsi="宋体" w:eastAsia="宋体" w:cs="宋体"/>
          <w:b/>
          <w:bCs/>
          <w:color w:val="auto"/>
          <w:kern w:val="0"/>
          <w:sz w:val="24"/>
          <w:szCs w:val="24"/>
          <w:highlight w:val="none"/>
        </w:rPr>
        <w:t>应在投标文件中明确报价产品标配以外安装所需的相关辅材和耗材的单价，辅材及耗材收费标准不得高于下列限价。该部分报价不包含在报价总价中，届时按实际的施工数量据实结算。</w:t>
      </w:r>
    </w:p>
    <w:p w14:paraId="3D3A7E9B">
      <w:pPr>
        <w:shd w:val="clear" w:color="auto"/>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1</w:t>
      </w:r>
      <w:r>
        <w:rPr>
          <w:rFonts w:hint="eastAsia" w:ascii="宋体" w:hAnsi="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.1标准安装外施工安装</w:t>
      </w:r>
    </w:p>
    <w:p w14:paraId="13B4A966">
      <w:pPr>
        <w:shd w:val="clear" w:color="auto"/>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1</w:t>
      </w:r>
      <w:r>
        <w:rPr>
          <w:rFonts w:hint="eastAsia" w:ascii="宋体" w:hAnsi="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.1.1迁移开关或电源面板。迁移电源面板、电灯或风扇开关至指定位置（迁移距离不超过1.5米）。限价80元/个。</w:t>
      </w:r>
    </w:p>
    <w:p w14:paraId="32995266">
      <w:pPr>
        <w:shd w:val="clear" w:color="auto"/>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1</w:t>
      </w:r>
      <w:r>
        <w:rPr>
          <w:rFonts w:hint="eastAsia" w:ascii="宋体" w:hAnsi="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切割地板槽。切割水泥或木质地板梯台，按条结算（距离为墙壁至讲桌位置1米内）。限价200元/条。</w:t>
      </w:r>
    </w:p>
    <w:p w14:paraId="79ABD40F">
      <w:pPr>
        <w:shd w:val="clear" w:color="auto"/>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1</w:t>
      </w:r>
      <w:r>
        <w:rPr>
          <w:rFonts w:hint="eastAsia" w:ascii="宋体" w:hAnsi="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切割中控面板槽。在已有讲桌上切割出放置中控相应尺寸的面板槽（只限于切割与新中控大小相接近的尺寸）。限价95元/个。</w:t>
      </w:r>
    </w:p>
    <w:p w14:paraId="1C72808A">
      <w:pPr>
        <w:shd w:val="clear" w:color="auto"/>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1</w:t>
      </w:r>
      <w:r>
        <w:rPr>
          <w:rFonts w:hint="eastAsia" w:ascii="宋体" w:hAnsi="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4推拉</w:t>
      </w:r>
      <w:r>
        <w:rPr>
          <w:rFonts w:hint="eastAsia" w:ascii="宋体" w:hAnsi="宋体" w:eastAsia="宋体" w:cs="宋体"/>
          <w:b/>
          <w:bCs/>
          <w:color w:val="auto"/>
          <w:kern w:val="0"/>
          <w:sz w:val="24"/>
          <w:szCs w:val="24"/>
          <w:highlight w:val="none"/>
        </w:rPr>
        <w:t>黑板和触控一体机</w:t>
      </w:r>
      <w:r>
        <w:rPr>
          <w:rFonts w:hint="eastAsia" w:ascii="宋体" w:hAnsi="宋体" w:cs="宋体"/>
          <w:b/>
          <w:bCs/>
          <w:color w:val="auto"/>
          <w:kern w:val="0"/>
          <w:sz w:val="24"/>
          <w:szCs w:val="24"/>
          <w:highlight w:val="none"/>
          <w:lang w:eastAsia="zh-CN"/>
        </w:rPr>
        <w:t>或智慧黑板</w:t>
      </w:r>
      <w:r>
        <w:rPr>
          <w:rFonts w:hint="eastAsia" w:ascii="宋体" w:hAnsi="宋体" w:eastAsia="宋体" w:cs="宋体"/>
          <w:b/>
          <w:bCs/>
          <w:color w:val="auto"/>
          <w:kern w:val="0"/>
          <w:sz w:val="24"/>
          <w:szCs w:val="24"/>
          <w:highlight w:val="none"/>
        </w:rPr>
        <w:t>固定支架。教室内需要安装推拉黑板或者触控一体机</w:t>
      </w:r>
      <w:r>
        <w:rPr>
          <w:rFonts w:hint="eastAsia" w:ascii="宋体" w:hAnsi="宋体" w:cs="宋体"/>
          <w:b/>
          <w:bCs/>
          <w:color w:val="auto"/>
          <w:kern w:val="0"/>
          <w:sz w:val="24"/>
          <w:szCs w:val="24"/>
          <w:highlight w:val="none"/>
          <w:lang w:eastAsia="zh-CN"/>
        </w:rPr>
        <w:t>或智慧黑板</w:t>
      </w:r>
      <w:r>
        <w:rPr>
          <w:rFonts w:hint="eastAsia" w:ascii="宋体" w:hAnsi="宋体" w:eastAsia="宋体" w:cs="宋体"/>
          <w:b/>
          <w:bCs/>
          <w:color w:val="auto"/>
          <w:kern w:val="0"/>
          <w:sz w:val="24"/>
          <w:szCs w:val="24"/>
          <w:highlight w:val="none"/>
        </w:rPr>
        <w:t>的墙面有凸出承重柱的情况下需要定制整面与承重柱一样厚度的固定支架才能在水平位置上安装</w:t>
      </w:r>
      <w:r>
        <w:rPr>
          <w:rFonts w:hint="eastAsia" w:ascii="宋体" w:hAnsi="宋体" w:eastAsia="宋体" w:cs="宋体"/>
          <w:b/>
          <w:bCs/>
          <w:color w:val="auto"/>
          <w:kern w:val="0"/>
          <w:sz w:val="24"/>
          <w:szCs w:val="24"/>
          <w:highlight w:val="none"/>
          <w:lang w:val="en-US" w:eastAsia="zh-CN"/>
        </w:rPr>
        <w:t>推拉</w:t>
      </w:r>
      <w:r>
        <w:rPr>
          <w:rFonts w:hint="eastAsia" w:ascii="宋体" w:hAnsi="宋体" w:eastAsia="宋体" w:cs="宋体"/>
          <w:b/>
          <w:bCs/>
          <w:color w:val="auto"/>
          <w:kern w:val="0"/>
          <w:sz w:val="24"/>
          <w:szCs w:val="24"/>
          <w:highlight w:val="none"/>
        </w:rPr>
        <w:t>黑板和触控一体机</w:t>
      </w:r>
      <w:r>
        <w:rPr>
          <w:rFonts w:hint="eastAsia" w:ascii="宋体" w:hAnsi="宋体" w:cs="宋体"/>
          <w:b/>
          <w:bCs/>
          <w:color w:val="auto"/>
          <w:kern w:val="0"/>
          <w:sz w:val="24"/>
          <w:szCs w:val="24"/>
          <w:highlight w:val="none"/>
          <w:lang w:eastAsia="zh-CN"/>
        </w:rPr>
        <w:t>或智慧黑板</w:t>
      </w:r>
      <w:r>
        <w:rPr>
          <w:rFonts w:hint="eastAsia" w:ascii="宋体" w:hAnsi="宋体" w:eastAsia="宋体" w:cs="宋体"/>
          <w:b/>
          <w:bCs/>
          <w:color w:val="auto"/>
          <w:kern w:val="0"/>
          <w:sz w:val="24"/>
          <w:szCs w:val="24"/>
          <w:highlight w:val="none"/>
        </w:rPr>
        <w:t>。限价550元/套。</w:t>
      </w:r>
    </w:p>
    <w:p w14:paraId="4A9A9ED7">
      <w:pPr>
        <w:shd w:val="clear" w:color="auto"/>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1</w:t>
      </w:r>
      <w:r>
        <w:rPr>
          <w:rFonts w:hint="eastAsia" w:ascii="宋体" w:hAnsi="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墙面加固安装。针对触控一体机</w:t>
      </w:r>
      <w:r>
        <w:rPr>
          <w:rFonts w:hint="eastAsia" w:ascii="宋体" w:hAnsi="宋体" w:cs="宋体"/>
          <w:b/>
          <w:bCs/>
          <w:color w:val="auto"/>
          <w:kern w:val="0"/>
          <w:sz w:val="24"/>
          <w:szCs w:val="24"/>
          <w:highlight w:val="none"/>
          <w:lang w:eastAsia="zh-CN"/>
        </w:rPr>
        <w:t>或智慧黑板</w:t>
      </w:r>
      <w:r>
        <w:rPr>
          <w:rFonts w:hint="eastAsia" w:ascii="宋体" w:hAnsi="宋体" w:eastAsia="宋体" w:cs="宋体"/>
          <w:b/>
          <w:bCs/>
          <w:color w:val="auto"/>
          <w:kern w:val="0"/>
          <w:sz w:val="24"/>
          <w:szCs w:val="24"/>
          <w:highlight w:val="none"/>
        </w:rPr>
        <w:t>安装位置的墙面材质，进行承重螺杆穿墙加固安装；（不包含拆除或挖空墙体，注入水泥或混合砂浆或钢筋等构筑工程）。限价325元/套。</w:t>
      </w:r>
    </w:p>
    <w:p w14:paraId="3C87BDF1">
      <w:pPr>
        <w:shd w:val="clear" w:color="auto"/>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1</w:t>
      </w:r>
      <w:r>
        <w:rPr>
          <w:rFonts w:hint="eastAsia" w:ascii="宋体" w:hAnsi="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6</w:t>
      </w:r>
      <w:r>
        <w:rPr>
          <w:rFonts w:hint="eastAsia" w:ascii="宋体" w:hAnsi="宋体" w:eastAsia="宋体" w:cs="宋体"/>
          <w:b/>
          <w:bCs/>
          <w:color w:val="auto"/>
          <w:kern w:val="0"/>
          <w:sz w:val="24"/>
          <w:szCs w:val="24"/>
          <w:highlight w:val="none"/>
        </w:rPr>
        <w:t>线槽加固。将原有的塑料线槽更改为金属线槽。限价537元/间。</w:t>
      </w:r>
    </w:p>
    <w:p w14:paraId="483210E3">
      <w:pPr>
        <w:shd w:val="clear" w:color="auto"/>
        <w:spacing w:line="360" w:lineRule="auto"/>
        <w:ind w:firstLine="482" w:firstLineChars="200"/>
        <w:rPr>
          <w:rFonts w:hint="eastAsia" w:ascii="宋体" w:hAnsi="宋体" w:eastAsia="宋体" w:cs="宋体"/>
          <w:b/>
          <w:bCs/>
          <w:color w:val="auto"/>
          <w:kern w:val="0"/>
          <w:sz w:val="24"/>
          <w:szCs w:val="24"/>
          <w:highlight w:val="none"/>
        </w:rPr>
      </w:pPr>
      <w:r>
        <w:rPr>
          <w:rFonts w:hint="default" w:ascii="宋体" w:hAnsi="宋体" w:cs="宋体"/>
          <w:b/>
          <w:bCs/>
          <w:color w:val="auto"/>
          <w:kern w:val="0"/>
          <w:sz w:val="24"/>
          <w:szCs w:val="24"/>
          <w:highlight w:val="none"/>
          <w:lang w:eastAsia="zh-CN"/>
        </w:rPr>
        <w:t>1</w:t>
      </w:r>
      <w:r>
        <w:rPr>
          <w:rFonts w:hint="eastAsia" w:ascii="宋体" w:hAnsi="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.2标准安装外辅材</w:t>
      </w:r>
    </w:p>
    <w:p w14:paraId="0ED2B9DB">
      <w:pPr>
        <w:shd w:val="clear" w:color="auto"/>
        <w:spacing w:line="360" w:lineRule="auto"/>
        <w:ind w:firstLine="482" w:firstLineChars="200"/>
        <w:rPr>
          <w:rFonts w:hint="eastAsia" w:ascii="宋体" w:hAnsi="宋体" w:eastAsia="宋体" w:cs="宋体"/>
          <w:b/>
          <w:bCs/>
          <w:color w:val="auto"/>
          <w:kern w:val="0"/>
          <w:sz w:val="24"/>
          <w:szCs w:val="24"/>
          <w:highlight w:val="none"/>
        </w:rPr>
      </w:pPr>
      <w:r>
        <w:rPr>
          <w:rFonts w:hint="default" w:ascii="宋体" w:hAnsi="宋体" w:cs="宋体"/>
          <w:b/>
          <w:bCs/>
          <w:color w:val="auto"/>
          <w:kern w:val="0"/>
          <w:sz w:val="24"/>
          <w:szCs w:val="24"/>
          <w:highlight w:val="none"/>
          <w:lang w:eastAsia="zh-CN"/>
        </w:rPr>
        <w:t>1</w:t>
      </w:r>
      <w:r>
        <w:rPr>
          <w:rFonts w:hint="eastAsia" w:ascii="宋体" w:hAnsi="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.2.1 VGA分频器（一拖二，保修三年）。限价49元/个。</w:t>
      </w:r>
    </w:p>
    <w:p w14:paraId="45D9B1FA">
      <w:pPr>
        <w:shd w:val="clear" w:color="auto"/>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1</w:t>
      </w:r>
      <w:r>
        <w:rPr>
          <w:rFonts w:hint="eastAsia" w:ascii="宋体" w:hAnsi="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.2.2高速HDMI数字高清线（接口宽度1.4CM，保修三年）。5米限价29元/条；10米限价99元/条；15米限价150元/条；20米限价269元/条。</w:t>
      </w:r>
    </w:p>
    <w:p w14:paraId="4397578D">
      <w:pPr>
        <w:shd w:val="clear" w:color="auto"/>
        <w:spacing w:line="360" w:lineRule="auto"/>
        <w:ind w:firstLine="482" w:firstLineChars="200"/>
        <w:rPr>
          <w:rFonts w:hint="eastAsia" w:ascii="宋体" w:hAnsi="宋体" w:eastAsia="宋体" w:cs="宋体"/>
          <w:b w:val="0"/>
          <w:bCs/>
          <w:color w:val="auto"/>
          <w:kern w:val="0"/>
          <w:sz w:val="24"/>
          <w:szCs w:val="24"/>
          <w:highlight w:val="none"/>
        </w:rPr>
      </w:pPr>
      <w:r>
        <w:rPr>
          <w:rFonts w:hint="eastAsia" w:ascii="宋体" w:hAnsi="宋体" w:eastAsia="宋体" w:cs="宋体"/>
          <w:b/>
          <w:bCs/>
          <w:color w:val="auto"/>
          <w:kern w:val="0"/>
          <w:sz w:val="24"/>
          <w:szCs w:val="24"/>
          <w:highlight w:val="none"/>
          <w:lang w:val="zh-CN" w:eastAsia="zh-CN"/>
        </w:rPr>
        <w:t>★</w:t>
      </w:r>
      <w:r>
        <w:rPr>
          <w:rFonts w:hint="eastAsia" w:ascii="宋体" w:hAnsi="宋体" w:eastAsia="宋体" w:cs="宋体"/>
          <w:b/>
          <w:bCs/>
          <w:color w:val="auto"/>
          <w:sz w:val="24"/>
          <w:szCs w:val="24"/>
          <w:highlight w:val="none"/>
        </w:rPr>
        <w:t>1</w:t>
      </w:r>
      <w:r>
        <w:rPr>
          <w:rFonts w:hint="eastAsia" w:ascii="宋体" w:hAnsi="宋体" w:cs="宋体"/>
          <w:b/>
          <w:bCs/>
          <w:color w:val="auto"/>
          <w:sz w:val="24"/>
          <w:szCs w:val="24"/>
          <w:highlight w:val="none"/>
          <w:lang w:val="en-US" w:eastAsia="zh-CN"/>
        </w:rPr>
        <w:t>2</w:t>
      </w:r>
      <w:r>
        <w:rPr>
          <w:rFonts w:hint="eastAsia" w:ascii="宋体" w:hAnsi="宋体" w:eastAsia="宋体" w:cs="宋体"/>
          <w:b/>
          <w:bCs/>
          <w:color w:val="auto"/>
          <w:kern w:val="0"/>
          <w:sz w:val="24"/>
          <w:szCs w:val="24"/>
          <w:highlight w:val="none"/>
          <w:lang w:val="en-US" w:eastAsia="zh-CN"/>
        </w:rPr>
        <w:t>、</w:t>
      </w:r>
      <w:r>
        <w:rPr>
          <w:rFonts w:hint="eastAsia" w:ascii="宋体" w:hAnsi="宋体" w:eastAsia="宋体" w:cs="宋体"/>
          <w:b/>
          <w:bCs/>
          <w:color w:val="auto"/>
          <w:kern w:val="0"/>
          <w:sz w:val="24"/>
          <w:szCs w:val="24"/>
          <w:highlight w:val="none"/>
          <w:lang w:eastAsia="zh-CN"/>
        </w:rPr>
        <w:t>投标人</w:t>
      </w:r>
      <w:r>
        <w:rPr>
          <w:rFonts w:hint="eastAsia" w:ascii="宋体" w:hAnsi="宋体" w:eastAsia="宋体" w:cs="宋体"/>
          <w:b/>
          <w:bCs/>
          <w:color w:val="auto"/>
          <w:kern w:val="0"/>
          <w:sz w:val="24"/>
          <w:szCs w:val="24"/>
          <w:highlight w:val="none"/>
        </w:rPr>
        <w:t>须在投标文件中单独书面承诺：提供产品的安装费用和上门售后服务费用按以下收费标准执行。</w:t>
      </w:r>
    </w:p>
    <w:tbl>
      <w:tblPr>
        <w:tblStyle w:val="14"/>
        <w:tblW w:w="0" w:type="auto"/>
        <w:jc w:val="center"/>
        <w:tblLayout w:type="fixed"/>
        <w:tblCellMar>
          <w:top w:w="0" w:type="dxa"/>
          <w:left w:w="108" w:type="dxa"/>
          <w:bottom w:w="0" w:type="dxa"/>
          <w:right w:w="108" w:type="dxa"/>
        </w:tblCellMar>
      </w:tblPr>
      <w:tblGrid>
        <w:gridCol w:w="1078"/>
        <w:gridCol w:w="1914"/>
        <w:gridCol w:w="4110"/>
        <w:gridCol w:w="1194"/>
      </w:tblGrid>
      <w:tr w14:paraId="79DFF29E">
        <w:tblPrEx>
          <w:tblCellMar>
            <w:top w:w="0" w:type="dxa"/>
            <w:left w:w="108" w:type="dxa"/>
            <w:bottom w:w="0" w:type="dxa"/>
            <w:right w:w="108" w:type="dxa"/>
          </w:tblCellMar>
        </w:tblPrEx>
        <w:trPr>
          <w:trHeight w:val="555" w:hRule="atLeast"/>
          <w:jc w:val="center"/>
        </w:trPr>
        <w:tc>
          <w:tcPr>
            <w:tcW w:w="1078" w:type="dxa"/>
            <w:tcBorders>
              <w:top w:val="single" w:color="auto" w:sz="4" w:space="0"/>
              <w:left w:val="single" w:color="auto" w:sz="4" w:space="0"/>
              <w:bottom w:val="single" w:color="auto" w:sz="4" w:space="0"/>
              <w:right w:val="single" w:color="auto" w:sz="4" w:space="0"/>
            </w:tcBorders>
            <w:noWrap w:val="0"/>
            <w:vAlign w:val="center"/>
          </w:tcPr>
          <w:p w14:paraId="18DC87EA">
            <w:pPr>
              <w:keepNext w:val="0"/>
              <w:keepLines w:val="0"/>
              <w:suppressLineNumbers w:val="0"/>
              <w:shd w:val="clear" w:color="auto"/>
              <w:spacing w:before="0" w:beforeAutospacing="0" w:after="0" w:afterAutospacing="0"/>
              <w:ind w:left="-36" w:leftChars="-13" w:right="0"/>
              <w:jc w:val="center"/>
              <w:rPr>
                <w:rFonts w:hint="default" w:ascii="宋体" w:hAnsi="宋体" w:cs="Arial"/>
                <w:b/>
                <w:bCs/>
                <w:color w:val="auto"/>
                <w:sz w:val="21"/>
                <w:szCs w:val="21"/>
                <w:highlight w:val="none"/>
              </w:rPr>
            </w:pPr>
            <w:r>
              <w:rPr>
                <w:rFonts w:hint="eastAsia" w:ascii="宋体" w:hAnsi="宋体" w:cs="Arial"/>
                <w:b/>
                <w:bCs/>
                <w:color w:val="auto"/>
                <w:sz w:val="21"/>
                <w:szCs w:val="21"/>
                <w:highlight w:val="none"/>
              </w:rPr>
              <w:t>序号</w:t>
            </w:r>
          </w:p>
        </w:tc>
        <w:tc>
          <w:tcPr>
            <w:tcW w:w="1914" w:type="dxa"/>
            <w:tcBorders>
              <w:top w:val="single" w:color="auto" w:sz="4" w:space="0"/>
              <w:left w:val="nil"/>
              <w:bottom w:val="single" w:color="auto" w:sz="4" w:space="0"/>
              <w:right w:val="single" w:color="auto" w:sz="4" w:space="0"/>
            </w:tcBorders>
            <w:noWrap w:val="0"/>
            <w:vAlign w:val="center"/>
          </w:tcPr>
          <w:p w14:paraId="094DDF16">
            <w:pPr>
              <w:keepNext w:val="0"/>
              <w:keepLines w:val="0"/>
              <w:suppressLineNumbers w:val="0"/>
              <w:shd w:val="clear" w:color="auto"/>
              <w:spacing w:before="0" w:beforeAutospacing="0" w:after="0" w:afterAutospacing="0"/>
              <w:ind w:left="0" w:right="0"/>
              <w:jc w:val="center"/>
              <w:rPr>
                <w:rFonts w:hint="default" w:ascii="宋体" w:hAnsi="宋体" w:cs="Arial"/>
                <w:b/>
                <w:bCs/>
                <w:color w:val="auto"/>
                <w:sz w:val="21"/>
                <w:szCs w:val="21"/>
                <w:highlight w:val="none"/>
              </w:rPr>
            </w:pPr>
            <w:r>
              <w:rPr>
                <w:rFonts w:hint="eastAsia" w:ascii="宋体" w:hAnsi="宋体" w:cs="Arial"/>
                <w:b/>
                <w:bCs/>
                <w:color w:val="auto"/>
                <w:sz w:val="21"/>
                <w:szCs w:val="21"/>
                <w:highlight w:val="none"/>
              </w:rPr>
              <w:t>费用名称</w:t>
            </w:r>
          </w:p>
        </w:tc>
        <w:tc>
          <w:tcPr>
            <w:tcW w:w="4110" w:type="dxa"/>
            <w:tcBorders>
              <w:top w:val="single" w:color="auto" w:sz="4" w:space="0"/>
              <w:left w:val="nil"/>
              <w:bottom w:val="single" w:color="auto" w:sz="4" w:space="0"/>
              <w:right w:val="single" w:color="auto" w:sz="4" w:space="0"/>
            </w:tcBorders>
            <w:noWrap w:val="0"/>
            <w:vAlign w:val="center"/>
          </w:tcPr>
          <w:p w14:paraId="2933132E">
            <w:pPr>
              <w:keepNext w:val="0"/>
              <w:keepLines w:val="0"/>
              <w:suppressLineNumbers w:val="0"/>
              <w:shd w:val="clear" w:color="auto"/>
              <w:spacing w:before="0" w:beforeAutospacing="0" w:after="0" w:afterAutospacing="0"/>
              <w:ind w:left="0" w:right="0"/>
              <w:jc w:val="center"/>
              <w:rPr>
                <w:rFonts w:hint="default" w:ascii="宋体" w:hAnsi="宋体" w:cs="Arial"/>
                <w:b/>
                <w:bCs/>
                <w:color w:val="auto"/>
                <w:sz w:val="21"/>
                <w:szCs w:val="21"/>
                <w:highlight w:val="none"/>
              </w:rPr>
            </w:pPr>
            <w:r>
              <w:rPr>
                <w:rFonts w:hint="eastAsia" w:ascii="宋体" w:hAnsi="宋体" w:cs="Arial"/>
                <w:b/>
                <w:bCs/>
                <w:color w:val="auto"/>
                <w:sz w:val="21"/>
                <w:szCs w:val="21"/>
                <w:highlight w:val="none"/>
              </w:rPr>
              <w:t>区域范围</w:t>
            </w:r>
          </w:p>
        </w:tc>
        <w:tc>
          <w:tcPr>
            <w:tcW w:w="1194" w:type="dxa"/>
            <w:tcBorders>
              <w:top w:val="single" w:color="auto" w:sz="4" w:space="0"/>
              <w:left w:val="nil"/>
              <w:bottom w:val="single" w:color="auto" w:sz="4" w:space="0"/>
              <w:right w:val="single" w:color="auto" w:sz="4" w:space="0"/>
            </w:tcBorders>
            <w:noWrap w:val="0"/>
            <w:vAlign w:val="center"/>
          </w:tcPr>
          <w:p w14:paraId="4E2C5063">
            <w:pPr>
              <w:keepNext w:val="0"/>
              <w:keepLines w:val="0"/>
              <w:suppressLineNumbers w:val="0"/>
              <w:shd w:val="clear" w:color="auto"/>
              <w:spacing w:before="0" w:beforeAutospacing="0" w:after="0" w:afterAutospacing="0"/>
              <w:ind w:left="0" w:right="0"/>
              <w:jc w:val="center"/>
              <w:rPr>
                <w:rFonts w:hint="default" w:ascii="宋体" w:hAnsi="宋体" w:cs="Arial"/>
                <w:b/>
                <w:bCs/>
                <w:color w:val="auto"/>
                <w:sz w:val="21"/>
                <w:szCs w:val="21"/>
                <w:highlight w:val="none"/>
              </w:rPr>
            </w:pPr>
            <w:r>
              <w:rPr>
                <w:rFonts w:hint="eastAsia" w:ascii="宋体" w:hAnsi="宋体" w:cs="Arial"/>
                <w:b/>
                <w:bCs/>
                <w:color w:val="auto"/>
                <w:sz w:val="21"/>
                <w:szCs w:val="21"/>
                <w:highlight w:val="none"/>
              </w:rPr>
              <w:t>收费标准</w:t>
            </w:r>
          </w:p>
        </w:tc>
      </w:tr>
      <w:tr w14:paraId="4D2FEAE0">
        <w:tblPrEx>
          <w:tblCellMar>
            <w:top w:w="0" w:type="dxa"/>
            <w:left w:w="108" w:type="dxa"/>
            <w:bottom w:w="0" w:type="dxa"/>
            <w:right w:w="108" w:type="dxa"/>
          </w:tblCellMar>
        </w:tblPrEx>
        <w:trPr>
          <w:trHeight w:val="332" w:hRule="atLeast"/>
          <w:jc w:val="center"/>
        </w:trPr>
        <w:tc>
          <w:tcPr>
            <w:tcW w:w="1078" w:type="dxa"/>
            <w:vMerge w:val="restart"/>
            <w:tcBorders>
              <w:top w:val="nil"/>
              <w:left w:val="single" w:color="auto" w:sz="4" w:space="0"/>
              <w:bottom w:val="single" w:color="auto" w:sz="4" w:space="0"/>
              <w:right w:val="single" w:color="auto" w:sz="4" w:space="0"/>
            </w:tcBorders>
            <w:noWrap w:val="0"/>
            <w:vAlign w:val="center"/>
          </w:tcPr>
          <w:p w14:paraId="5C51AC27">
            <w:pPr>
              <w:keepNext w:val="0"/>
              <w:keepLines w:val="0"/>
              <w:suppressLineNumbers w:val="0"/>
              <w:shd w:val="clear" w:color="auto"/>
              <w:spacing w:before="0" w:beforeAutospacing="0" w:after="0" w:afterAutospacing="0"/>
              <w:ind w:left="-36" w:leftChars="-13" w:right="0"/>
              <w:jc w:val="center"/>
              <w:rPr>
                <w:rFonts w:hint="default" w:ascii="宋体" w:hAnsi="宋体" w:cs="Arial"/>
                <w:b/>
                <w:bCs/>
                <w:color w:val="auto"/>
                <w:sz w:val="21"/>
                <w:szCs w:val="21"/>
                <w:highlight w:val="none"/>
              </w:rPr>
            </w:pPr>
            <w:r>
              <w:rPr>
                <w:rFonts w:hint="eastAsia" w:ascii="宋体" w:hAnsi="宋体" w:cs="Arial"/>
                <w:b/>
                <w:bCs/>
                <w:color w:val="auto"/>
                <w:sz w:val="21"/>
                <w:szCs w:val="21"/>
                <w:highlight w:val="none"/>
              </w:rPr>
              <w:t>1</w:t>
            </w:r>
          </w:p>
        </w:tc>
        <w:tc>
          <w:tcPr>
            <w:tcW w:w="1914" w:type="dxa"/>
            <w:vMerge w:val="restart"/>
            <w:tcBorders>
              <w:top w:val="nil"/>
              <w:left w:val="nil"/>
              <w:bottom w:val="single" w:color="auto" w:sz="4" w:space="0"/>
              <w:right w:val="single" w:color="auto" w:sz="4" w:space="0"/>
            </w:tcBorders>
            <w:noWrap w:val="0"/>
            <w:vAlign w:val="center"/>
          </w:tcPr>
          <w:p w14:paraId="5E27364A">
            <w:pPr>
              <w:keepNext w:val="0"/>
              <w:keepLines w:val="0"/>
              <w:suppressLineNumbers w:val="0"/>
              <w:shd w:val="clear" w:color="auto"/>
              <w:spacing w:before="0" w:beforeAutospacing="0" w:after="0" w:afterAutospacing="0"/>
              <w:ind w:left="0" w:right="0"/>
              <w:rPr>
                <w:rFonts w:hint="default" w:ascii="宋体" w:hAnsi="宋体" w:cs="Arial"/>
                <w:b/>
                <w:bCs/>
                <w:color w:val="auto"/>
                <w:sz w:val="21"/>
                <w:szCs w:val="21"/>
                <w:highlight w:val="none"/>
              </w:rPr>
            </w:pPr>
            <w:r>
              <w:rPr>
                <w:rFonts w:hint="eastAsia" w:ascii="宋体" w:hAnsi="宋体" w:cs="Arial"/>
                <w:b/>
                <w:bCs/>
                <w:color w:val="auto"/>
                <w:sz w:val="21"/>
                <w:szCs w:val="21"/>
                <w:highlight w:val="none"/>
              </w:rPr>
              <w:t>触控一体机</w:t>
            </w:r>
            <w:r>
              <w:rPr>
                <w:rFonts w:hint="eastAsia" w:ascii="宋体" w:hAnsi="宋体" w:cs="Arial"/>
                <w:b/>
                <w:bCs/>
                <w:color w:val="auto"/>
                <w:sz w:val="21"/>
                <w:szCs w:val="21"/>
                <w:highlight w:val="none"/>
                <w:lang w:val="en-US" w:eastAsia="zh-CN"/>
              </w:rPr>
              <w:t>/智慧黑板</w:t>
            </w:r>
            <w:r>
              <w:rPr>
                <w:rFonts w:hint="eastAsia" w:ascii="宋体" w:hAnsi="宋体" w:cs="Arial"/>
                <w:b/>
                <w:bCs/>
                <w:color w:val="auto"/>
                <w:sz w:val="21"/>
                <w:szCs w:val="21"/>
                <w:highlight w:val="none"/>
              </w:rPr>
              <w:t>安装费用</w:t>
            </w:r>
          </w:p>
        </w:tc>
        <w:tc>
          <w:tcPr>
            <w:tcW w:w="4110" w:type="dxa"/>
            <w:tcBorders>
              <w:top w:val="nil"/>
              <w:left w:val="nil"/>
              <w:bottom w:val="single" w:color="auto" w:sz="4" w:space="0"/>
              <w:right w:val="single" w:color="auto" w:sz="4" w:space="0"/>
            </w:tcBorders>
            <w:noWrap w:val="0"/>
            <w:vAlign w:val="center"/>
          </w:tcPr>
          <w:p w14:paraId="01052690">
            <w:pPr>
              <w:keepNext w:val="0"/>
              <w:keepLines w:val="0"/>
              <w:suppressLineNumbers w:val="0"/>
              <w:shd w:val="clear" w:color="auto"/>
              <w:spacing w:before="0" w:beforeAutospacing="0" w:after="0" w:afterAutospacing="0"/>
              <w:ind w:left="0" w:right="0"/>
              <w:rPr>
                <w:rFonts w:hint="default" w:ascii="宋体" w:hAnsi="宋体" w:cs="Arial"/>
                <w:b/>
                <w:bCs/>
                <w:color w:val="auto"/>
                <w:sz w:val="21"/>
                <w:szCs w:val="21"/>
                <w:highlight w:val="none"/>
              </w:rPr>
            </w:pPr>
            <w:r>
              <w:rPr>
                <w:rFonts w:hint="eastAsia" w:ascii="宋体" w:hAnsi="宋体" w:cs="Arial"/>
                <w:b/>
                <w:bCs/>
                <w:color w:val="auto"/>
                <w:sz w:val="21"/>
                <w:szCs w:val="21"/>
                <w:highlight w:val="none"/>
              </w:rPr>
              <w:t>厦门市全区、福州市区内、莆田市区内、泉州市区内、漳州市区内、龙岩市区内、三明市区内、南平市区内和宁德市区内（福建省各地市区外划分详见该表格备注栏）</w:t>
            </w:r>
          </w:p>
        </w:tc>
        <w:tc>
          <w:tcPr>
            <w:tcW w:w="1194" w:type="dxa"/>
            <w:tcBorders>
              <w:top w:val="nil"/>
              <w:left w:val="nil"/>
              <w:bottom w:val="single" w:color="auto" w:sz="4" w:space="0"/>
              <w:right w:val="single" w:color="auto" w:sz="4" w:space="0"/>
            </w:tcBorders>
            <w:noWrap w:val="0"/>
            <w:vAlign w:val="center"/>
          </w:tcPr>
          <w:p w14:paraId="1EE195BA">
            <w:pPr>
              <w:keepNext w:val="0"/>
              <w:keepLines w:val="0"/>
              <w:suppressLineNumbers w:val="0"/>
              <w:shd w:val="clear" w:color="auto"/>
              <w:spacing w:before="0" w:beforeAutospacing="0" w:after="0" w:afterAutospacing="0"/>
              <w:ind w:left="0" w:right="0"/>
              <w:rPr>
                <w:rFonts w:hint="default" w:ascii="宋体" w:hAnsi="宋体" w:cs="Arial"/>
                <w:b/>
                <w:bCs/>
                <w:color w:val="auto"/>
                <w:sz w:val="21"/>
                <w:szCs w:val="21"/>
                <w:highlight w:val="none"/>
              </w:rPr>
            </w:pPr>
            <w:r>
              <w:rPr>
                <w:rFonts w:hint="eastAsia" w:ascii="宋体" w:hAnsi="宋体" w:cs="Arial"/>
                <w:b/>
                <w:bCs/>
                <w:color w:val="auto"/>
                <w:sz w:val="21"/>
                <w:szCs w:val="21"/>
                <w:highlight w:val="none"/>
              </w:rPr>
              <w:t>免费</w:t>
            </w:r>
          </w:p>
        </w:tc>
      </w:tr>
      <w:tr w14:paraId="1AF3140E">
        <w:tblPrEx>
          <w:tblCellMar>
            <w:top w:w="0" w:type="dxa"/>
            <w:left w:w="108" w:type="dxa"/>
            <w:bottom w:w="0" w:type="dxa"/>
            <w:right w:w="108" w:type="dxa"/>
          </w:tblCellMar>
        </w:tblPrEx>
        <w:trPr>
          <w:trHeight w:val="332" w:hRule="atLeast"/>
          <w:jc w:val="center"/>
        </w:trPr>
        <w:tc>
          <w:tcPr>
            <w:tcW w:w="1078" w:type="dxa"/>
            <w:vMerge w:val="continue"/>
            <w:tcBorders>
              <w:top w:val="nil"/>
              <w:left w:val="single" w:color="auto" w:sz="4" w:space="0"/>
              <w:bottom w:val="single" w:color="auto" w:sz="4" w:space="0"/>
              <w:right w:val="single" w:color="auto" w:sz="4" w:space="0"/>
            </w:tcBorders>
            <w:noWrap w:val="0"/>
            <w:vAlign w:val="center"/>
          </w:tcPr>
          <w:p w14:paraId="31085C41">
            <w:pPr>
              <w:keepNext w:val="0"/>
              <w:keepLines w:val="0"/>
              <w:widowControl/>
              <w:suppressLineNumbers w:val="0"/>
              <w:shd w:val="clear"/>
              <w:spacing w:before="0" w:beforeAutospacing="0" w:after="0" w:afterAutospacing="0"/>
              <w:ind w:left="0" w:right="0"/>
              <w:jc w:val="left"/>
              <w:rPr>
                <w:rFonts w:hint="default" w:ascii="宋体" w:hAnsi="宋体" w:cs="Arial"/>
                <w:b/>
                <w:bCs/>
                <w:color w:val="auto"/>
                <w:sz w:val="21"/>
                <w:szCs w:val="21"/>
                <w:highlight w:val="none"/>
              </w:rPr>
            </w:pPr>
          </w:p>
        </w:tc>
        <w:tc>
          <w:tcPr>
            <w:tcW w:w="1914" w:type="dxa"/>
            <w:vMerge w:val="continue"/>
            <w:tcBorders>
              <w:top w:val="nil"/>
              <w:left w:val="nil"/>
              <w:bottom w:val="single" w:color="auto" w:sz="4" w:space="0"/>
              <w:right w:val="single" w:color="auto" w:sz="4" w:space="0"/>
            </w:tcBorders>
            <w:noWrap w:val="0"/>
            <w:vAlign w:val="center"/>
          </w:tcPr>
          <w:p w14:paraId="3C1D7036">
            <w:pPr>
              <w:keepNext w:val="0"/>
              <w:keepLines w:val="0"/>
              <w:widowControl/>
              <w:suppressLineNumbers w:val="0"/>
              <w:shd w:val="clear"/>
              <w:spacing w:before="0" w:beforeAutospacing="0" w:after="0" w:afterAutospacing="0"/>
              <w:ind w:left="0" w:right="0"/>
              <w:jc w:val="left"/>
              <w:rPr>
                <w:rFonts w:hint="default" w:ascii="宋体" w:hAnsi="宋体" w:cs="Arial"/>
                <w:b/>
                <w:bCs/>
                <w:color w:val="auto"/>
                <w:sz w:val="21"/>
                <w:szCs w:val="21"/>
                <w:highlight w:val="none"/>
              </w:rPr>
            </w:pPr>
          </w:p>
        </w:tc>
        <w:tc>
          <w:tcPr>
            <w:tcW w:w="4110" w:type="dxa"/>
            <w:tcBorders>
              <w:top w:val="nil"/>
              <w:left w:val="nil"/>
              <w:bottom w:val="single" w:color="auto" w:sz="4" w:space="0"/>
              <w:right w:val="single" w:color="auto" w:sz="4" w:space="0"/>
            </w:tcBorders>
            <w:noWrap w:val="0"/>
            <w:vAlign w:val="center"/>
          </w:tcPr>
          <w:p w14:paraId="4119F472">
            <w:pPr>
              <w:keepNext w:val="0"/>
              <w:keepLines w:val="0"/>
              <w:suppressLineNumbers w:val="0"/>
              <w:shd w:val="clear" w:color="auto"/>
              <w:spacing w:before="0" w:beforeAutospacing="0" w:after="0" w:afterAutospacing="0"/>
              <w:ind w:left="0" w:right="0"/>
              <w:rPr>
                <w:rFonts w:hint="default" w:ascii="宋体" w:hAnsi="宋体" w:cs="Arial"/>
                <w:b/>
                <w:bCs/>
                <w:color w:val="auto"/>
                <w:sz w:val="21"/>
                <w:szCs w:val="21"/>
                <w:highlight w:val="none"/>
              </w:rPr>
            </w:pPr>
            <w:r>
              <w:rPr>
                <w:rFonts w:hint="eastAsia" w:ascii="宋体" w:hAnsi="宋体" w:cs="Arial"/>
                <w:b/>
                <w:bCs/>
                <w:color w:val="auto"/>
                <w:sz w:val="21"/>
                <w:szCs w:val="21"/>
                <w:highlight w:val="none"/>
              </w:rPr>
              <w:t>福州市区外、莆田市区外、泉州市区外、漳州市区外、龙岩市区外、三明市区外、南平市区外和宁德市区外（福建省各地市区外划分详见该表格备注栏）</w:t>
            </w:r>
          </w:p>
        </w:tc>
        <w:tc>
          <w:tcPr>
            <w:tcW w:w="1194" w:type="dxa"/>
            <w:tcBorders>
              <w:top w:val="nil"/>
              <w:left w:val="nil"/>
              <w:bottom w:val="single" w:color="auto" w:sz="4" w:space="0"/>
              <w:right w:val="single" w:color="auto" w:sz="4" w:space="0"/>
            </w:tcBorders>
            <w:noWrap w:val="0"/>
            <w:vAlign w:val="center"/>
          </w:tcPr>
          <w:p w14:paraId="533FD290">
            <w:pPr>
              <w:keepNext w:val="0"/>
              <w:keepLines w:val="0"/>
              <w:suppressLineNumbers w:val="0"/>
              <w:shd w:val="clear" w:color="auto"/>
              <w:spacing w:before="0" w:beforeAutospacing="0" w:after="0" w:afterAutospacing="0"/>
              <w:ind w:left="0" w:right="0"/>
              <w:rPr>
                <w:rFonts w:hint="default" w:ascii="宋体" w:hAnsi="宋体" w:cs="Arial"/>
                <w:b/>
                <w:bCs/>
                <w:color w:val="auto"/>
                <w:sz w:val="21"/>
                <w:szCs w:val="21"/>
                <w:highlight w:val="none"/>
              </w:rPr>
            </w:pPr>
            <w:r>
              <w:rPr>
                <w:rFonts w:hint="eastAsia" w:ascii="宋体" w:hAnsi="宋体" w:cs="Arial"/>
                <w:b/>
                <w:bCs/>
                <w:color w:val="auto"/>
                <w:sz w:val="21"/>
                <w:szCs w:val="21"/>
                <w:highlight w:val="none"/>
              </w:rPr>
              <w:t>350元/台</w:t>
            </w:r>
          </w:p>
        </w:tc>
      </w:tr>
      <w:tr w14:paraId="2F2147BC">
        <w:tblPrEx>
          <w:tblCellMar>
            <w:top w:w="0" w:type="dxa"/>
            <w:left w:w="108" w:type="dxa"/>
            <w:bottom w:w="0" w:type="dxa"/>
            <w:right w:w="108" w:type="dxa"/>
          </w:tblCellMar>
        </w:tblPrEx>
        <w:trPr>
          <w:trHeight w:val="416" w:hRule="atLeast"/>
          <w:jc w:val="center"/>
        </w:trPr>
        <w:tc>
          <w:tcPr>
            <w:tcW w:w="1078" w:type="dxa"/>
            <w:vMerge w:val="restart"/>
            <w:tcBorders>
              <w:top w:val="nil"/>
              <w:left w:val="single" w:color="auto" w:sz="4" w:space="0"/>
              <w:bottom w:val="single" w:color="auto" w:sz="4" w:space="0"/>
              <w:right w:val="single" w:color="auto" w:sz="4" w:space="0"/>
            </w:tcBorders>
            <w:noWrap w:val="0"/>
            <w:vAlign w:val="center"/>
          </w:tcPr>
          <w:p w14:paraId="1EDF71C0">
            <w:pPr>
              <w:keepNext w:val="0"/>
              <w:keepLines w:val="0"/>
              <w:suppressLineNumbers w:val="0"/>
              <w:shd w:val="clear" w:color="auto"/>
              <w:spacing w:before="0" w:beforeAutospacing="0" w:after="0" w:afterAutospacing="0"/>
              <w:ind w:left="-36" w:leftChars="-13" w:right="0"/>
              <w:jc w:val="center"/>
              <w:rPr>
                <w:rFonts w:hint="default" w:ascii="宋体" w:hAnsi="宋体" w:cs="Arial"/>
                <w:b/>
                <w:bCs/>
                <w:color w:val="auto"/>
                <w:sz w:val="21"/>
                <w:szCs w:val="21"/>
                <w:highlight w:val="none"/>
              </w:rPr>
            </w:pPr>
            <w:r>
              <w:rPr>
                <w:rFonts w:hint="eastAsia" w:ascii="宋体" w:hAnsi="宋体" w:cs="Arial"/>
                <w:b/>
                <w:bCs/>
                <w:color w:val="auto"/>
                <w:sz w:val="21"/>
                <w:szCs w:val="21"/>
                <w:highlight w:val="none"/>
              </w:rPr>
              <w:t>3</w:t>
            </w:r>
          </w:p>
        </w:tc>
        <w:tc>
          <w:tcPr>
            <w:tcW w:w="1914" w:type="dxa"/>
            <w:vMerge w:val="restart"/>
            <w:tcBorders>
              <w:top w:val="nil"/>
              <w:left w:val="nil"/>
              <w:bottom w:val="single" w:color="auto" w:sz="4" w:space="0"/>
              <w:right w:val="single" w:color="auto" w:sz="4" w:space="0"/>
            </w:tcBorders>
            <w:noWrap w:val="0"/>
            <w:vAlign w:val="center"/>
          </w:tcPr>
          <w:p w14:paraId="2721BFF7">
            <w:pPr>
              <w:keepNext w:val="0"/>
              <w:keepLines w:val="0"/>
              <w:suppressLineNumbers w:val="0"/>
              <w:shd w:val="clear" w:color="auto"/>
              <w:spacing w:before="0" w:beforeAutospacing="0" w:after="0" w:afterAutospacing="0"/>
              <w:ind w:left="0" w:right="0"/>
              <w:rPr>
                <w:rFonts w:hint="default" w:ascii="宋体" w:hAnsi="宋体" w:cs="Arial"/>
                <w:b/>
                <w:bCs/>
                <w:color w:val="auto"/>
                <w:sz w:val="21"/>
                <w:szCs w:val="21"/>
                <w:highlight w:val="none"/>
              </w:rPr>
            </w:pPr>
            <w:r>
              <w:rPr>
                <w:rFonts w:hint="eastAsia" w:ascii="宋体" w:hAnsi="宋体" w:cs="Arial"/>
                <w:b/>
                <w:bCs/>
                <w:color w:val="auto"/>
                <w:sz w:val="21"/>
                <w:szCs w:val="21"/>
                <w:highlight w:val="none"/>
              </w:rPr>
              <w:t>触控一体机</w:t>
            </w:r>
            <w:r>
              <w:rPr>
                <w:rFonts w:hint="eastAsia" w:ascii="宋体" w:hAnsi="宋体" w:cs="Arial"/>
                <w:b/>
                <w:bCs/>
                <w:color w:val="auto"/>
                <w:sz w:val="21"/>
                <w:szCs w:val="21"/>
                <w:highlight w:val="none"/>
                <w:lang w:val="en-US" w:eastAsia="zh-CN"/>
              </w:rPr>
              <w:t>/智慧黑板</w:t>
            </w:r>
            <w:r>
              <w:rPr>
                <w:rFonts w:hint="eastAsia" w:ascii="宋体" w:hAnsi="宋体" w:cs="Arial"/>
                <w:b/>
                <w:bCs/>
                <w:color w:val="auto"/>
                <w:sz w:val="21"/>
                <w:szCs w:val="21"/>
                <w:highlight w:val="none"/>
              </w:rPr>
              <w:t>上门售后服务费用</w:t>
            </w:r>
          </w:p>
        </w:tc>
        <w:tc>
          <w:tcPr>
            <w:tcW w:w="4110" w:type="dxa"/>
            <w:tcBorders>
              <w:top w:val="nil"/>
              <w:left w:val="nil"/>
              <w:bottom w:val="single" w:color="auto" w:sz="4" w:space="0"/>
              <w:right w:val="single" w:color="auto" w:sz="4" w:space="0"/>
            </w:tcBorders>
            <w:noWrap w:val="0"/>
            <w:vAlign w:val="center"/>
          </w:tcPr>
          <w:p w14:paraId="3843B988">
            <w:pPr>
              <w:keepNext w:val="0"/>
              <w:keepLines w:val="0"/>
              <w:suppressLineNumbers w:val="0"/>
              <w:shd w:val="clear" w:color="auto"/>
              <w:spacing w:before="0" w:beforeAutospacing="0" w:after="0" w:afterAutospacing="0"/>
              <w:ind w:left="0" w:right="0"/>
              <w:rPr>
                <w:rFonts w:hint="default" w:ascii="宋体" w:hAnsi="宋体" w:cs="Arial"/>
                <w:b/>
                <w:bCs/>
                <w:color w:val="auto"/>
                <w:sz w:val="21"/>
                <w:szCs w:val="21"/>
                <w:highlight w:val="none"/>
              </w:rPr>
            </w:pPr>
            <w:r>
              <w:rPr>
                <w:rFonts w:hint="eastAsia" w:ascii="宋体" w:hAnsi="宋体" w:cs="Arial"/>
                <w:b/>
                <w:bCs/>
                <w:color w:val="auto"/>
                <w:sz w:val="21"/>
                <w:szCs w:val="21"/>
                <w:highlight w:val="none"/>
              </w:rPr>
              <w:t>厦门市全区、福州市区内、莆田市区内、泉州市区内、漳州市区内、龙岩市区内、三明市区内、南平市区内和宁德市区内（福建省各地市区外划分详见该表格备注栏）</w:t>
            </w:r>
          </w:p>
        </w:tc>
        <w:tc>
          <w:tcPr>
            <w:tcW w:w="1194" w:type="dxa"/>
            <w:tcBorders>
              <w:top w:val="nil"/>
              <w:left w:val="nil"/>
              <w:bottom w:val="single" w:color="auto" w:sz="4" w:space="0"/>
              <w:right w:val="single" w:color="auto" w:sz="4" w:space="0"/>
            </w:tcBorders>
            <w:noWrap w:val="0"/>
            <w:vAlign w:val="center"/>
          </w:tcPr>
          <w:p w14:paraId="31B1A250">
            <w:pPr>
              <w:keepNext w:val="0"/>
              <w:keepLines w:val="0"/>
              <w:suppressLineNumbers w:val="0"/>
              <w:shd w:val="clear" w:color="auto"/>
              <w:spacing w:before="0" w:beforeAutospacing="0" w:after="0" w:afterAutospacing="0"/>
              <w:ind w:left="0" w:right="0"/>
              <w:rPr>
                <w:rFonts w:hint="default" w:ascii="宋体" w:hAnsi="宋体" w:cs="Arial"/>
                <w:b/>
                <w:bCs/>
                <w:color w:val="auto"/>
                <w:sz w:val="21"/>
                <w:szCs w:val="21"/>
                <w:highlight w:val="none"/>
              </w:rPr>
            </w:pPr>
            <w:r>
              <w:rPr>
                <w:rFonts w:hint="eastAsia" w:ascii="宋体" w:hAnsi="宋体" w:cs="Arial"/>
                <w:b/>
                <w:bCs/>
                <w:color w:val="auto"/>
                <w:sz w:val="21"/>
                <w:szCs w:val="21"/>
                <w:highlight w:val="none"/>
              </w:rPr>
              <w:t>免费</w:t>
            </w:r>
          </w:p>
        </w:tc>
      </w:tr>
      <w:tr w14:paraId="2CB9EEE1">
        <w:tblPrEx>
          <w:tblCellMar>
            <w:top w:w="0" w:type="dxa"/>
            <w:left w:w="108" w:type="dxa"/>
            <w:bottom w:w="0" w:type="dxa"/>
            <w:right w:w="108" w:type="dxa"/>
          </w:tblCellMar>
        </w:tblPrEx>
        <w:trPr>
          <w:trHeight w:val="416" w:hRule="atLeast"/>
          <w:jc w:val="center"/>
        </w:trPr>
        <w:tc>
          <w:tcPr>
            <w:tcW w:w="1078" w:type="dxa"/>
            <w:vMerge w:val="continue"/>
            <w:tcBorders>
              <w:top w:val="nil"/>
              <w:left w:val="single" w:color="auto" w:sz="4" w:space="0"/>
              <w:bottom w:val="single" w:color="auto" w:sz="4" w:space="0"/>
              <w:right w:val="single" w:color="auto" w:sz="4" w:space="0"/>
            </w:tcBorders>
            <w:noWrap w:val="0"/>
            <w:vAlign w:val="center"/>
          </w:tcPr>
          <w:p w14:paraId="7A0124CD">
            <w:pPr>
              <w:keepNext w:val="0"/>
              <w:keepLines w:val="0"/>
              <w:widowControl/>
              <w:suppressLineNumbers w:val="0"/>
              <w:shd w:val="clear"/>
              <w:spacing w:before="0" w:beforeAutospacing="0" w:after="0" w:afterAutospacing="0"/>
              <w:ind w:left="0" w:right="0"/>
              <w:jc w:val="left"/>
              <w:rPr>
                <w:rFonts w:hint="default" w:ascii="宋体" w:hAnsi="宋体" w:cs="Arial"/>
                <w:b/>
                <w:bCs/>
                <w:color w:val="auto"/>
                <w:sz w:val="21"/>
                <w:szCs w:val="21"/>
                <w:highlight w:val="none"/>
              </w:rPr>
            </w:pPr>
          </w:p>
        </w:tc>
        <w:tc>
          <w:tcPr>
            <w:tcW w:w="1914" w:type="dxa"/>
            <w:vMerge w:val="continue"/>
            <w:tcBorders>
              <w:top w:val="nil"/>
              <w:left w:val="nil"/>
              <w:bottom w:val="single" w:color="auto" w:sz="4" w:space="0"/>
              <w:right w:val="single" w:color="auto" w:sz="4" w:space="0"/>
            </w:tcBorders>
            <w:noWrap w:val="0"/>
            <w:vAlign w:val="center"/>
          </w:tcPr>
          <w:p w14:paraId="7B6FCFC1">
            <w:pPr>
              <w:keepNext w:val="0"/>
              <w:keepLines w:val="0"/>
              <w:widowControl/>
              <w:suppressLineNumbers w:val="0"/>
              <w:shd w:val="clear"/>
              <w:spacing w:before="0" w:beforeAutospacing="0" w:after="0" w:afterAutospacing="0"/>
              <w:ind w:left="0" w:right="0"/>
              <w:jc w:val="left"/>
              <w:rPr>
                <w:rFonts w:hint="default" w:ascii="宋体" w:hAnsi="宋体" w:cs="Arial"/>
                <w:b/>
                <w:bCs/>
                <w:color w:val="auto"/>
                <w:sz w:val="21"/>
                <w:szCs w:val="21"/>
                <w:highlight w:val="none"/>
              </w:rPr>
            </w:pPr>
          </w:p>
        </w:tc>
        <w:tc>
          <w:tcPr>
            <w:tcW w:w="4110" w:type="dxa"/>
            <w:tcBorders>
              <w:top w:val="nil"/>
              <w:left w:val="nil"/>
              <w:bottom w:val="single" w:color="auto" w:sz="4" w:space="0"/>
              <w:right w:val="single" w:color="auto" w:sz="4" w:space="0"/>
            </w:tcBorders>
            <w:noWrap w:val="0"/>
            <w:vAlign w:val="center"/>
          </w:tcPr>
          <w:p w14:paraId="1158BC7E">
            <w:pPr>
              <w:keepNext w:val="0"/>
              <w:keepLines w:val="0"/>
              <w:suppressLineNumbers w:val="0"/>
              <w:shd w:val="clear" w:color="auto"/>
              <w:spacing w:before="0" w:beforeAutospacing="0" w:after="0" w:afterAutospacing="0"/>
              <w:ind w:left="0" w:right="0"/>
              <w:rPr>
                <w:rFonts w:hint="default" w:ascii="宋体" w:hAnsi="宋体" w:cs="Arial"/>
                <w:b/>
                <w:bCs/>
                <w:color w:val="auto"/>
                <w:sz w:val="21"/>
                <w:szCs w:val="21"/>
                <w:highlight w:val="none"/>
              </w:rPr>
            </w:pPr>
            <w:r>
              <w:rPr>
                <w:rFonts w:hint="eastAsia" w:ascii="宋体" w:hAnsi="宋体" w:cs="Arial"/>
                <w:b/>
                <w:bCs/>
                <w:color w:val="auto"/>
                <w:sz w:val="21"/>
                <w:szCs w:val="21"/>
                <w:highlight w:val="none"/>
              </w:rPr>
              <w:t>福州市区外、莆田市区外、泉州市区外、漳州市区外、龙岩市区外、三明市区外、南平市区外和宁德市区外（福建省各地市区外划分详见该表格备注栏）</w:t>
            </w:r>
          </w:p>
        </w:tc>
        <w:tc>
          <w:tcPr>
            <w:tcW w:w="1194" w:type="dxa"/>
            <w:tcBorders>
              <w:top w:val="nil"/>
              <w:left w:val="nil"/>
              <w:bottom w:val="single" w:color="auto" w:sz="4" w:space="0"/>
              <w:right w:val="single" w:color="auto" w:sz="4" w:space="0"/>
            </w:tcBorders>
            <w:noWrap w:val="0"/>
            <w:vAlign w:val="center"/>
          </w:tcPr>
          <w:p w14:paraId="16433470">
            <w:pPr>
              <w:keepNext w:val="0"/>
              <w:keepLines w:val="0"/>
              <w:suppressLineNumbers w:val="0"/>
              <w:shd w:val="clear" w:color="auto"/>
              <w:spacing w:before="0" w:beforeAutospacing="0" w:after="0" w:afterAutospacing="0"/>
              <w:ind w:left="0" w:right="0"/>
              <w:rPr>
                <w:rFonts w:hint="default" w:ascii="宋体" w:hAnsi="宋体" w:cs="Arial"/>
                <w:b/>
                <w:bCs/>
                <w:color w:val="auto"/>
                <w:sz w:val="21"/>
                <w:szCs w:val="21"/>
                <w:highlight w:val="none"/>
              </w:rPr>
            </w:pPr>
            <w:r>
              <w:rPr>
                <w:rFonts w:hint="eastAsia" w:ascii="宋体" w:hAnsi="宋体" w:cs="Arial"/>
                <w:b/>
                <w:bCs/>
                <w:color w:val="auto"/>
                <w:sz w:val="21"/>
                <w:szCs w:val="21"/>
                <w:highlight w:val="none"/>
              </w:rPr>
              <w:t>100元/台</w:t>
            </w:r>
          </w:p>
        </w:tc>
      </w:tr>
      <w:tr w14:paraId="0DAB52EA">
        <w:tblPrEx>
          <w:tblCellMar>
            <w:top w:w="0" w:type="dxa"/>
            <w:left w:w="108" w:type="dxa"/>
            <w:bottom w:w="0" w:type="dxa"/>
            <w:right w:w="108" w:type="dxa"/>
          </w:tblCellMar>
        </w:tblPrEx>
        <w:trPr>
          <w:trHeight w:val="1140" w:hRule="atLeast"/>
          <w:jc w:val="center"/>
        </w:trPr>
        <w:tc>
          <w:tcPr>
            <w:tcW w:w="8296" w:type="dxa"/>
            <w:gridSpan w:val="4"/>
            <w:tcBorders>
              <w:top w:val="single" w:color="auto" w:sz="4" w:space="0"/>
              <w:left w:val="single" w:color="auto" w:sz="4" w:space="0"/>
              <w:bottom w:val="single" w:color="auto" w:sz="4" w:space="0"/>
              <w:right w:val="single" w:color="auto" w:sz="4" w:space="0"/>
            </w:tcBorders>
            <w:noWrap w:val="0"/>
            <w:vAlign w:val="center"/>
          </w:tcPr>
          <w:p w14:paraId="131E7809">
            <w:pPr>
              <w:keepNext w:val="0"/>
              <w:keepLines w:val="0"/>
              <w:suppressLineNumbers w:val="0"/>
              <w:shd w:val="clear" w:color="auto"/>
              <w:spacing w:before="0" w:beforeAutospacing="0" w:after="0" w:afterAutospacing="0"/>
              <w:ind w:left="0" w:right="0"/>
              <w:rPr>
                <w:rFonts w:hint="default" w:ascii="宋体" w:hAnsi="宋体" w:cs="Arial"/>
                <w:b/>
                <w:bCs/>
                <w:color w:val="auto"/>
                <w:sz w:val="21"/>
                <w:szCs w:val="21"/>
                <w:highlight w:val="none"/>
              </w:rPr>
            </w:pPr>
            <w:r>
              <w:rPr>
                <w:rFonts w:hint="eastAsia" w:ascii="宋体" w:hAnsi="宋体" w:cs="Arial"/>
                <w:b/>
                <w:bCs/>
                <w:color w:val="auto"/>
                <w:sz w:val="21"/>
                <w:szCs w:val="21"/>
                <w:highlight w:val="none"/>
              </w:rPr>
              <w:t>备注：福建省各地市的区内/区外划分</w:t>
            </w:r>
          </w:p>
          <w:tbl>
            <w:tblPr>
              <w:tblStyle w:val="14"/>
              <w:tblW w:w="0" w:type="auto"/>
              <w:tblInd w:w="0" w:type="dxa"/>
              <w:tblLayout w:type="fixed"/>
              <w:tblCellMar>
                <w:top w:w="0" w:type="dxa"/>
                <w:left w:w="108" w:type="dxa"/>
                <w:bottom w:w="0" w:type="dxa"/>
                <w:right w:w="108" w:type="dxa"/>
              </w:tblCellMar>
            </w:tblPr>
            <w:tblGrid>
              <w:gridCol w:w="1014"/>
              <w:gridCol w:w="993"/>
              <w:gridCol w:w="6053"/>
            </w:tblGrid>
            <w:tr w14:paraId="57E48784">
              <w:tblPrEx>
                <w:tblCellMar>
                  <w:top w:w="0" w:type="dxa"/>
                  <w:left w:w="108" w:type="dxa"/>
                  <w:bottom w:w="0" w:type="dxa"/>
                  <w:right w:w="108" w:type="dxa"/>
                </w:tblCellMar>
              </w:tblPrEx>
              <w:trPr>
                <w:trHeight w:val="615" w:hRule="atLeast"/>
              </w:trPr>
              <w:tc>
                <w:tcPr>
                  <w:tcW w:w="1014" w:type="dxa"/>
                  <w:vMerge w:val="restart"/>
                  <w:tcBorders>
                    <w:top w:val="single" w:color="auto" w:sz="8" w:space="0"/>
                    <w:left w:val="single" w:color="auto" w:sz="8" w:space="0"/>
                    <w:bottom w:val="single" w:color="auto" w:sz="8" w:space="0"/>
                    <w:right w:val="single" w:color="auto" w:sz="8" w:space="0"/>
                  </w:tcBorders>
                  <w:noWrap w:val="0"/>
                  <w:vAlign w:val="center"/>
                </w:tcPr>
                <w:p w14:paraId="3BC8A07D">
                  <w:pPr>
                    <w:keepNext w:val="0"/>
                    <w:keepLines w:val="0"/>
                    <w:widowControl/>
                    <w:suppressLineNumbers w:val="0"/>
                    <w:shd w:val="clear"/>
                    <w:spacing w:before="0" w:beforeAutospacing="0" w:after="0" w:afterAutospacing="0" w:line="315" w:lineRule="atLeast"/>
                    <w:ind w:left="0" w:right="0"/>
                    <w:jc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厦门</w:t>
                  </w:r>
                </w:p>
              </w:tc>
              <w:tc>
                <w:tcPr>
                  <w:tcW w:w="993" w:type="dxa"/>
                  <w:tcBorders>
                    <w:top w:val="single" w:color="auto" w:sz="8" w:space="0"/>
                    <w:left w:val="nil"/>
                    <w:bottom w:val="single" w:color="auto" w:sz="8" w:space="0"/>
                    <w:right w:val="single" w:color="auto" w:sz="8" w:space="0"/>
                  </w:tcBorders>
                  <w:noWrap w:val="0"/>
                  <w:vAlign w:val="center"/>
                </w:tcPr>
                <w:p w14:paraId="288B5FB2">
                  <w:pPr>
                    <w:keepNext w:val="0"/>
                    <w:keepLines w:val="0"/>
                    <w:widowControl/>
                    <w:suppressLineNumbers w:val="0"/>
                    <w:shd w:val="clear"/>
                    <w:spacing w:before="0" w:beforeAutospacing="0" w:after="0" w:afterAutospacing="0" w:line="315" w:lineRule="atLeast"/>
                    <w:ind w:left="0" w:right="0"/>
                    <w:jc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岛内</w:t>
                  </w:r>
                </w:p>
              </w:tc>
              <w:tc>
                <w:tcPr>
                  <w:tcW w:w="6053" w:type="dxa"/>
                  <w:tcBorders>
                    <w:top w:val="single" w:color="auto" w:sz="8" w:space="0"/>
                    <w:left w:val="nil"/>
                    <w:bottom w:val="single" w:color="auto" w:sz="8" w:space="0"/>
                    <w:right w:val="single" w:color="auto" w:sz="8" w:space="0"/>
                  </w:tcBorders>
                  <w:noWrap w:val="0"/>
                  <w:vAlign w:val="center"/>
                </w:tcPr>
                <w:p w14:paraId="3AF801BD">
                  <w:pPr>
                    <w:keepNext w:val="0"/>
                    <w:keepLines w:val="0"/>
                    <w:widowControl/>
                    <w:suppressLineNumbers w:val="0"/>
                    <w:shd w:val="clear"/>
                    <w:spacing w:before="0" w:beforeAutospacing="0" w:after="0" w:afterAutospacing="0" w:line="315" w:lineRule="atLeast"/>
                    <w:ind w:left="0" w:right="0"/>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思明区、湖里区</w:t>
                  </w:r>
                </w:p>
              </w:tc>
            </w:tr>
            <w:tr w14:paraId="07359140">
              <w:tblPrEx>
                <w:tblCellMar>
                  <w:top w:w="0" w:type="dxa"/>
                  <w:left w:w="108" w:type="dxa"/>
                  <w:bottom w:w="0" w:type="dxa"/>
                  <w:right w:w="108" w:type="dxa"/>
                </w:tblCellMar>
              </w:tblPrEx>
              <w:trPr>
                <w:trHeight w:val="615" w:hRule="atLeast"/>
              </w:trPr>
              <w:tc>
                <w:tcPr>
                  <w:tcW w:w="1014" w:type="dxa"/>
                  <w:vMerge w:val="continue"/>
                  <w:tcBorders>
                    <w:top w:val="single" w:color="auto" w:sz="8" w:space="0"/>
                    <w:left w:val="single" w:color="auto" w:sz="8" w:space="0"/>
                    <w:bottom w:val="single" w:color="auto" w:sz="8" w:space="0"/>
                    <w:right w:val="single" w:color="auto" w:sz="8" w:space="0"/>
                  </w:tcBorders>
                  <w:noWrap w:val="0"/>
                  <w:vAlign w:val="center"/>
                </w:tcPr>
                <w:p w14:paraId="088D4946">
                  <w:pPr>
                    <w:keepNext w:val="0"/>
                    <w:keepLines w:val="0"/>
                    <w:widowControl/>
                    <w:suppressLineNumbers w:val="0"/>
                    <w:shd w:val="clear"/>
                    <w:spacing w:before="0" w:beforeAutospacing="0" w:after="0" w:afterAutospacing="0"/>
                    <w:ind w:left="0" w:right="0"/>
                    <w:jc w:val="left"/>
                    <w:rPr>
                      <w:rFonts w:hint="default" w:ascii="宋体" w:hAnsi="宋体" w:cs="宋体"/>
                      <w:color w:val="auto"/>
                      <w:kern w:val="0"/>
                      <w:sz w:val="21"/>
                      <w:szCs w:val="21"/>
                      <w:highlight w:val="none"/>
                    </w:rPr>
                  </w:pPr>
                </w:p>
              </w:tc>
              <w:tc>
                <w:tcPr>
                  <w:tcW w:w="993" w:type="dxa"/>
                  <w:tcBorders>
                    <w:top w:val="single" w:color="auto" w:sz="8" w:space="0"/>
                    <w:left w:val="nil"/>
                    <w:bottom w:val="single" w:color="auto" w:sz="8" w:space="0"/>
                    <w:right w:val="single" w:color="auto" w:sz="8" w:space="0"/>
                  </w:tcBorders>
                  <w:noWrap w:val="0"/>
                  <w:vAlign w:val="center"/>
                </w:tcPr>
                <w:p w14:paraId="6E60AE31">
                  <w:pPr>
                    <w:keepNext w:val="0"/>
                    <w:keepLines w:val="0"/>
                    <w:widowControl/>
                    <w:suppressLineNumbers w:val="0"/>
                    <w:shd w:val="clear"/>
                    <w:spacing w:before="0" w:beforeAutospacing="0" w:after="0" w:afterAutospacing="0" w:line="315" w:lineRule="atLeast"/>
                    <w:ind w:left="0" w:right="0"/>
                    <w:jc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岛外</w:t>
                  </w:r>
                </w:p>
              </w:tc>
              <w:tc>
                <w:tcPr>
                  <w:tcW w:w="6053" w:type="dxa"/>
                  <w:tcBorders>
                    <w:top w:val="single" w:color="auto" w:sz="8" w:space="0"/>
                    <w:left w:val="nil"/>
                    <w:bottom w:val="single" w:color="auto" w:sz="8" w:space="0"/>
                    <w:right w:val="single" w:color="auto" w:sz="8" w:space="0"/>
                  </w:tcBorders>
                  <w:noWrap w:val="0"/>
                  <w:vAlign w:val="center"/>
                </w:tcPr>
                <w:p w14:paraId="708EFBD9">
                  <w:pPr>
                    <w:keepNext w:val="0"/>
                    <w:keepLines w:val="0"/>
                    <w:widowControl/>
                    <w:suppressLineNumbers w:val="0"/>
                    <w:shd w:val="clear"/>
                    <w:spacing w:before="0" w:beforeAutospacing="0" w:after="0" w:afterAutospacing="0" w:line="315" w:lineRule="atLeast"/>
                    <w:ind w:left="0" w:right="0"/>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海沧区、集美区、同安区、翔安区等厦门市非岛内范围</w:t>
                  </w:r>
                </w:p>
              </w:tc>
            </w:tr>
            <w:tr w14:paraId="07C0967F">
              <w:tblPrEx>
                <w:tblCellMar>
                  <w:top w:w="0" w:type="dxa"/>
                  <w:left w:w="108" w:type="dxa"/>
                  <w:bottom w:w="0" w:type="dxa"/>
                  <w:right w:w="108" w:type="dxa"/>
                </w:tblCellMar>
              </w:tblPrEx>
              <w:trPr>
                <w:trHeight w:val="615" w:hRule="atLeast"/>
              </w:trPr>
              <w:tc>
                <w:tcPr>
                  <w:tcW w:w="1014" w:type="dxa"/>
                  <w:vMerge w:val="restart"/>
                  <w:tcBorders>
                    <w:top w:val="single" w:color="auto" w:sz="8" w:space="0"/>
                    <w:left w:val="single" w:color="auto" w:sz="8" w:space="0"/>
                    <w:bottom w:val="single" w:color="auto" w:sz="8" w:space="0"/>
                    <w:right w:val="single" w:color="auto" w:sz="8" w:space="0"/>
                  </w:tcBorders>
                  <w:noWrap w:val="0"/>
                  <w:vAlign w:val="center"/>
                </w:tcPr>
                <w:p w14:paraId="651A910C">
                  <w:pPr>
                    <w:keepNext w:val="0"/>
                    <w:keepLines w:val="0"/>
                    <w:widowControl/>
                    <w:suppressLineNumbers w:val="0"/>
                    <w:shd w:val="clear"/>
                    <w:spacing w:before="0" w:beforeAutospacing="0" w:after="0" w:afterAutospacing="0" w:line="315" w:lineRule="atLeast"/>
                    <w:ind w:left="0" w:right="0"/>
                    <w:jc w:val="center"/>
                    <w:rPr>
                      <w:rFonts w:hint="default" w:ascii="宋体" w:hAnsi="宋体" w:cs="Calibri"/>
                      <w:color w:val="auto"/>
                      <w:sz w:val="21"/>
                      <w:szCs w:val="21"/>
                      <w:highlight w:val="none"/>
                    </w:rPr>
                  </w:pPr>
                  <w:r>
                    <w:rPr>
                      <w:rFonts w:hint="eastAsia" w:ascii="宋体" w:hAnsi="宋体" w:cs="宋体"/>
                      <w:color w:val="auto"/>
                      <w:kern w:val="0"/>
                      <w:sz w:val="21"/>
                      <w:szCs w:val="21"/>
                      <w:highlight w:val="none"/>
                    </w:rPr>
                    <w:t>福州市</w:t>
                  </w:r>
                </w:p>
              </w:tc>
              <w:tc>
                <w:tcPr>
                  <w:tcW w:w="993" w:type="dxa"/>
                  <w:tcBorders>
                    <w:top w:val="single" w:color="auto" w:sz="8" w:space="0"/>
                    <w:left w:val="nil"/>
                    <w:bottom w:val="single" w:color="auto" w:sz="8" w:space="0"/>
                    <w:right w:val="single" w:color="auto" w:sz="8" w:space="0"/>
                  </w:tcBorders>
                  <w:noWrap w:val="0"/>
                  <w:vAlign w:val="center"/>
                </w:tcPr>
                <w:p w14:paraId="7EDE2507">
                  <w:pPr>
                    <w:keepNext w:val="0"/>
                    <w:keepLines w:val="0"/>
                    <w:widowControl/>
                    <w:suppressLineNumbers w:val="0"/>
                    <w:shd w:val="clear"/>
                    <w:spacing w:before="0" w:beforeAutospacing="0" w:after="0" w:afterAutospacing="0" w:line="315" w:lineRule="atLeast"/>
                    <w:ind w:left="0" w:right="0"/>
                    <w:jc w:val="center"/>
                    <w:rPr>
                      <w:rFonts w:hint="default" w:ascii="宋体" w:hAnsi="宋体" w:cs="Calibri"/>
                      <w:color w:val="auto"/>
                      <w:sz w:val="21"/>
                      <w:szCs w:val="21"/>
                      <w:highlight w:val="none"/>
                    </w:rPr>
                  </w:pPr>
                  <w:r>
                    <w:rPr>
                      <w:rFonts w:hint="eastAsia" w:ascii="宋体" w:hAnsi="宋体" w:cs="宋体"/>
                      <w:color w:val="auto"/>
                      <w:kern w:val="0"/>
                      <w:sz w:val="21"/>
                      <w:szCs w:val="21"/>
                      <w:highlight w:val="none"/>
                    </w:rPr>
                    <w:t>区内</w:t>
                  </w:r>
                </w:p>
              </w:tc>
              <w:tc>
                <w:tcPr>
                  <w:tcW w:w="6053" w:type="dxa"/>
                  <w:tcBorders>
                    <w:top w:val="single" w:color="auto" w:sz="8" w:space="0"/>
                    <w:left w:val="nil"/>
                    <w:bottom w:val="single" w:color="auto" w:sz="8" w:space="0"/>
                    <w:right w:val="single" w:color="auto" w:sz="8" w:space="0"/>
                  </w:tcBorders>
                  <w:noWrap w:val="0"/>
                  <w:vAlign w:val="center"/>
                </w:tcPr>
                <w:p w14:paraId="2ED5CC4C">
                  <w:pPr>
                    <w:keepNext w:val="0"/>
                    <w:keepLines w:val="0"/>
                    <w:widowControl/>
                    <w:suppressLineNumbers w:val="0"/>
                    <w:shd w:val="clear"/>
                    <w:spacing w:before="0" w:beforeAutospacing="0" w:after="0" w:afterAutospacing="0" w:line="315" w:lineRule="atLeast"/>
                    <w:ind w:left="0" w:right="0"/>
                    <w:rPr>
                      <w:rFonts w:hint="default" w:ascii="宋体" w:hAnsi="宋体" w:cs="Calibri"/>
                      <w:color w:val="auto"/>
                      <w:sz w:val="21"/>
                      <w:szCs w:val="21"/>
                      <w:highlight w:val="none"/>
                    </w:rPr>
                  </w:pPr>
                  <w:r>
                    <w:rPr>
                      <w:rFonts w:hint="eastAsia" w:ascii="宋体" w:hAnsi="宋体" w:cs="宋体"/>
                      <w:color w:val="auto"/>
                      <w:kern w:val="0"/>
                      <w:sz w:val="21"/>
                      <w:szCs w:val="21"/>
                      <w:highlight w:val="none"/>
                    </w:rPr>
                    <w:t>鼓楼区、台江区、仓山区、晋安区、马尾区</w:t>
                  </w:r>
                </w:p>
              </w:tc>
            </w:tr>
            <w:tr w14:paraId="755BABEC">
              <w:tblPrEx>
                <w:tblCellMar>
                  <w:top w:w="0" w:type="dxa"/>
                  <w:left w:w="108" w:type="dxa"/>
                  <w:bottom w:w="0" w:type="dxa"/>
                  <w:right w:w="108" w:type="dxa"/>
                </w:tblCellMar>
              </w:tblPrEx>
              <w:trPr>
                <w:trHeight w:val="615" w:hRule="atLeast"/>
              </w:trPr>
              <w:tc>
                <w:tcPr>
                  <w:tcW w:w="1014" w:type="dxa"/>
                  <w:vMerge w:val="continue"/>
                  <w:tcBorders>
                    <w:top w:val="single" w:color="auto" w:sz="8" w:space="0"/>
                    <w:left w:val="single" w:color="auto" w:sz="8" w:space="0"/>
                    <w:bottom w:val="single" w:color="auto" w:sz="8" w:space="0"/>
                    <w:right w:val="single" w:color="auto" w:sz="8" w:space="0"/>
                  </w:tcBorders>
                  <w:noWrap w:val="0"/>
                  <w:vAlign w:val="center"/>
                </w:tcPr>
                <w:p w14:paraId="0A34B3CE">
                  <w:pPr>
                    <w:keepNext w:val="0"/>
                    <w:keepLines w:val="0"/>
                    <w:widowControl/>
                    <w:suppressLineNumbers w:val="0"/>
                    <w:shd w:val="clear"/>
                    <w:spacing w:before="0" w:beforeAutospacing="0" w:after="0" w:afterAutospacing="0"/>
                    <w:ind w:left="0" w:right="0"/>
                    <w:jc w:val="left"/>
                    <w:rPr>
                      <w:rFonts w:hint="default" w:ascii="宋体" w:hAnsi="宋体" w:cs="Calibri"/>
                      <w:color w:val="auto"/>
                      <w:sz w:val="21"/>
                      <w:szCs w:val="21"/>
                      <w:highlight w:val="none"/>
                    </w:rPr>
                  </w:pPr>
                </w:p>
              </w:tc>
              <w:tc>
                <w:tcPr>
                  <w:tcW w:w="993" w:type="dxa"/>
                  <w:tcBorders>
                    <w:top w:val="nil"/>
                    <w:left w:val="nil"/>
                    <w:bottom w:val="single" w:color="auto" w:sz="8" w:space="0"/>
                    <w:right w:val="single" w:color="auto" w:sz="8" w:space="0"/>
                  </w:tcBorders>
                  <w:noWrap w:val="0"/>
                  <w:vAlign w:val="center"/>
                </w:tcPr>
                <w:p w14:paraId="32DE0AB0">
                  <w:pPr>
                    <w:keepNext w:val="0"/>
                    <w:keepLines w:val="0"/>
                    <w:widowControl/>
                    <w:suppressLineNumbers w:val="0"/>
                    <w:shd w:val="clear"/>
                    <w:spacing w:before="0" w:beforeAutospacing="0" w:after="0" w:afterAutospacing="0" w:line="315" w:lineRule="atLeast"/>
                    <w:ind w:left="0" w:right="0"/>
                    <w:jc w:val="center"/>
                    <w:rPr>
                      <w:rFonts w:hint="default" w:ascii="宋体" w:hAnsi="宋体" w:cs="Calibri"/>
                      <w:color w:val="auto"/>
                      <w:sz w:val="21"/>
                      <w:szCs w:val="21"/>
                      <w:highlight w:val="none"/>
                    </w:rPr>
                  </w:pPr>
                  <w:r>
                    <w:rPr>
                      <w:rFonts w:hint="eastAsia" w:ascii="宋体" w:hAnsi="宋体" w:cs="宋体"/>
                      <w:color w:val="auto"/>
                      <w:kern w:val="0"/>
                      <w:sz w:val="21"/>
                      <w:szCs w:val="21"/>
                      <w:highlight w:val="none"/>
                    </w:rPr>
                    <w:t>区外</w:t>
                  </w:r>
                </w:p>
              </w:tc>
              <w:tc>
                <w:tcPr>
                  <w:tcW w:w="6053" w:type="dxa"/>
                  <w:tcBorders>
                    <w:top w:val="nil"/>
                    <w:left w:val="nil"/>
                    <w:bottom w:val="single" w:color="auto" w:sz="8" w:space="0"/>
                    <w:right w:val="single" w:color="auto" w:sz="8" w:space="0"/>
                  </w:tcBorders>
                  <w:noWrap w:val="0"/>
                  <w:vAlign w:val="center"/>
                </w:tcPr>
                <w:p w14:paraId="3F407E55">
                  <w:pPr>
                    <w:keepNext w:val="0"/>
                    <w:keepLines w:val="0"/>
                    <w:widowControl/>
                    <w:suppressLineNumbers w:val="0"/>
                    <w:shd w:val="clear"/>
                    <w:spacing w:before="0" w:beforeAutospacing="0" w:after="0" w:afterAutospacing="0" w:line="315" w:lineRule="atLeast"/>
                    <w:ind w:left="0" w:right="0"/>
                    <w:rPr>
                      <w:rFonts w:hint="default" w:ascii="宋体" w:hAnsi="宋体" w:cs="Calibri"/>
                      <w:color w:val="auto"/>
                      <w:sz w:val="21"/>
                      <w:szCs w:val="21"/>
                      <w:highlight w:val="none"/>
                    </w:rPr>
                  </w:pPr>
                  <w:r>
                    <w:rPr>
                      <w:rFonts w:hint="eastAsia" w:ascii="宋体" w:hAnsi="宋体" w:cs="宋体"/>
                      <w:color w:val="auto"/>
                      <w:kern w:val="0"/>
                      <w:sz w:val="21"/>
                      <w:szCs w:val="21"/>
                      <w:highlight w:val="none"/>
                    </w:rPr>
                    <w:t>福清市、长乐市、闽侯县、连江县、罗源县、闽清县、永泰县、平潭县等福州市非区内范围</w:t>
                  </w:r>
                </w:p>
              </w:tc>
            </w:tr>
            <w:tr w14:paraId="5E11D3DD">
              <w:tblPrEx>
                <w:tblCellMar>
                  <w:top w:w="0" w:type="dxa"/>
                  <w:left w:w="108" w:type="dxa"/>
                  <w:bottom w:w="0" w:type="dxa"/>
                  <w:right w:w="108" w:type="dxa"/>
                </w:tblCellMar>
              </w:tblPrEx>
              <w:trPr>
                <w:trHeight w:val="615" w:hRule="atLeast"/>
              </w:trPr>
              <w:tc>
                <w:tcPr>
                  <w:tcW w:w="1014" w:type="dxa"/>
                  <w:vMerge w:val="restart"/>
                  <w:tcBorders>
                    <w:top w:val="nil"/>
                    <w:left w:val="single" w:color="auto" w:sz="8" w:space="0"/>
                    <w:bottom w:val="single" w:color="auto" w:sz="8" w:space="0"/>
                    <w:right w:val="single" w:color="auto" w:sz="8" w:space="0"/>
                  </w:tcBorders>
                  <w:noWrap w:val="0"/>
                  <w:vAlign w:val="center"/>
                </w:tcPr>
                <w:p w14:paraId="0C0A223E">
                  <w:pPr>
                    <w:keepNext w:val="0"/>
                    <w:keepLines w:val="0"/>
                    <w:widowControl/>
                    <w:suppressLineNumbers w:val="0"/>
                    <w:shd w:val="clear"/>
                    <w:spacing w:before="0" w:beforeAutospacing="0" w:after="0" w:afterAutospacing="0" w:line="315" w:lineRule="atLeast"/>
                    <w:ind w:left="0" w:right="0"/>
                    <w:jc w:val="center"/>
                    <w:rPr>
                      <w:rFonts w:hint="default" w:ascii="宋体" w:hAnsi="宋体" w:cs="Calibri"/>
                      <w:color w:val="auto"/>
                      <w:sz w:val="21"/>
                      <w:szCs w:val="21"/>
                      <w:highlight w:val="none"/>
                    </w:rPr>
                  </w:pPr>
                  <w:r>
                    <w:rPr>
                      <w:rFonts w:hint="eastAsia" w:ascii="宋体" w:hAnsi="宋体" w:cs="宋体"/>
                      <w:color w:val="auto"/>
                      <w:kern w:val="0"/>
                      <w:sz w:val="21"/>
                      <w:szCs w:val="21"/>
                      <w:highlight w:val="none"/>
                    </w:rPr>
                    <w:t>莆田市</w:t>
                  </w:r>
                </w:p>
              </w:tc>
              <w:tc>
                <w:tcPr>
                  <w:tcW w:w="993" w:type="dxa"/>
                  <w:tcBorders>
                    <w:top w:val="nil"/>
                    <w:left w:val="nil"/>
                    <w:bottom w:val="single" w:color="auto" w:sz="8" w:space="0"/>
                    <w:right w:val="single" w:color="auto" w:sz="8" w:space="0"/>
                  </w:tcBorders>
                  <w:noWrap w:val="0"/>
                  <w:vAlign w:val="center"/>
                </w:tcPr>
                <w:p w14:paraId="5DD3AAD2">
                  <w:pPr>
                    <w:keepNext w:val="0"/>
                    <w:keepLines w:val="0"/>
                    <w:widowControl/>
                    <w:suppressLineNumbers w:val="0"/>
                    <w:shd w:val="clear"/>
                    <w:spacing w:before="0" w:beforeAutospacing="0" w:after="0" w:afterAutospacing="0" w:line="315" w:lineRule="atLeast"/>
                    <w:ind w:left="0" w:right="0"/>
                    <w:jc w:val="center"/>
                    <w:rPr>
                      <w:rFonts w:hint="default" w:ascii="宋体" w:hAnsi="宋体" w:cs="Calibri"/>
                      <w:color w:val="auto"/>
                      <w:sz w:val="21"/>
                      <w:szCs w:val="21"/>
                      <w:highlight w:val="none"/>
                    </w:rPr>
                  </w:pPr>
                  <w:r>
                    <w:rPr>
                      <w:rFonts w:hint="eastAsia" w:ascii="宋体" w:hAnsi="宋体" w:cs="宋体"/>
                      <w:color w:val="auto"/>
                      <w:kern w:val="0"/>
                      <w:sz w:val="21"/>
                      <w:szCs w:val="21"/>
                      <w:highlight w:val="none"/>
                    </w:rPr>
                    <w:t>区内</w:t>
                  </w:r>
                </w:p>
              </w:tc>
              <w:tc>
                <w:tcPr>
                  <w:tcW w:w="6053" w:type="dxa"/>
                  <w:tcBorders>
                    <w:top w:val="nil"/>
                    <w:left w:val="nil"/>
                    <w:bottom w:val="single" w:color="auto" w:sz="8" w:space="0"/>
                    <w:right w:val="single" w:color="auto" w:sz="8" w:space="0"/>
                  </w:tcBorders>
                  <w:noWrap w:val="0"/>
                  <w:vAlign w:val="center"/>
                </w:tcPr>
                <w:p w14:paraId="501E9517">
                  <w:pPr>
                    <w:keepNext w:val="0"/>
                    <w:keepLines w:val="0"/>
                    <w:widowControl/>
                    <w:suppressLineNumbers w:val="0"/>
                    <w:shd w:val="clear"/>
                    <w:spacing w:before="0" w:beforeAutospacing="0" w:after="0" w:afterAutospacing="0" w:line="315" w:lineRule="atLeast"/>
                    <w:ind w:left="0" w:right="0"/>
                    <w:rPr>
                      <w:rFonts w:hint="default" w:ascii="宋体" w:hAnsi="宋体" w:cs="Calibri"/>
                      <w:color w:val="auto"/>
                      <w:sz w:val="21"/>
                      <w:szCs w:val="21"/>
                      <w:highlight w:val="none"/>
                    </w:rPr>
                  </w:pPr>
                  <w:r>
                    <w:rPr>
                      <w:rFonts w:hint="eastAsia" w:ascii="宋体" w:hAnsi="宋体" w:cs="宋体"/>
                      <w:color w:val="auto"/>
                      <w:kern w:val="0"/>
                      <w:sz w:val="21"/>
                      <w:szCs w:val="21"/>
                      <w:highlight w:val="none"/>
                    </w:rPr>
                    <w:t>城厢区、荔城区、涵江区</w:t>
                  </w:r>
                </w:p>
              </w:tc>
            </w:tr>
            <w:tr w14:paraId="210464B4">
              <w:tblPrEx>
                <w:tblCellMar>
                  <w:top w:w="0" w:type="dxa"/>
                  <w:left w:w="108" w:type="dxa"/>
                  <w:bottom w:w="0" w:type="dxa"/>
                  <w:right w:w="108" w:type="dxa"/>
                </w:tblCellMar>
              </w:tblPrEx>
              <w:trPr>
                <w:trHeight w:val="615" w:hRule="atLeast"/>
              </w:trPr>
              <w:tc>
                <w:tcPr>
                  <w:tcW w:w="1014" w:type="dxa"/>
                  <w:vMerge w:val="continue"/>
                  <w:tcBorders>
                    <w:top w:val="nil"/>
                    <w:left w:val="single" w:color="auto" w:sz="8" w:space="0"/>
                    <w:bottom w:val="single" w:color="auto" w:sz="8" w:space="0"/>
                    <w:right w:val="single" w:color="auto" w:sz="8" w:space="0"/>
                  </w:tcBorders>
                  <w:noWrap w:val="0"/>
                  <w:vAlign w:val="center"/>
                </w:tcPr>
                <w:p w14:paraId="5464B4CC">
                  <w:pPr>
                    <w:keepNext w:val="0"/>
                    <w:keepLines w:val="0"/>
                    <w:widowControl/>
                    <w:suppressLineNumbers w:val="0"/>
                    <w:shd w:val="clear"/>
                    <w:spacing w:before="0" w:beforeAutospacing="0" w:after="0" w:afterAutospacing="0"/>
                    <w:ind w:left="0" w:right="0"/>
                    <w:jc w:val="left"/>
                    <w:rPr>
                      <w:rFonts w:hint="default" w:ascii="宋体" w:hAnsi="宋体" w:cs="Calibri"/>
                      <w:color w:val="auto"/>
                      <w:sz w:val="21"/>
                      <w:szCs w:val="21"/>
                      <w:highlight w:val="none"/>
                    </w:rPr>
                  </w:pPr>
                </w:p>
              </w:tc>
              <w:tc>
                <w:tcPr>
                  <w:tcW w:w="993" w:type="dxa"/>
                  <w:tcBorders>
                    <w:top w:val="nil"/>
                    <w:left w:val="nil"/>
                    <w:bottom w:val="single" w:color="auto" w:sz="8" w:space="0"/>
                    <w:right w:val="single" w:color="auto" w:sz="8" w:space="0"/>
                  </w:tcBorders>
                  <w:noWrap w:val="0"/>
                  <w:vAlign w:val="center"/>
                </w:tcPr>
                <w:p w14:paraId="14ABFD73">
                  <w:pPr>
                    <w:keepNext w:val="0"/>
                    <w:keepLines w:val="0"/>
                    <w:widowControl/>
                    <w:suppressLineNumbers w:val="0"/>
                    <w:shd w:val="clear"/>
                    <w:spacing w:before="0" w:beforeAutospacing="0" w:after="0" w:afterAutospacing="0" w:line="315" w:lineRule="atLeast"/>
                    <w:ind w:left="0" w:right="0"/>
                    <w:jc w:val="center"/>
                    <w:rPr>
                      <w:rFonts w:hint="default" w:ascii="宋体" w:hAnsi="宋体" w:cs="Calibri"/>
                      <w:color w:val="auto"/>
                      <w:sz w:val="21"/>
                      <w:szCs w:val="21"/>
                      <w:highlight w:val="none"/>
                    </w:rPr>
                  </w:pPr>
                  <w:r>
                    <w:rPr>
                      <w:rFonts w:hint="eastAsia" w:ascii="宋体" w:hAnsi="宋体" w:cs="宋体"/>
                      <w:color w:val="auto"/>
                      <w:kern w:val="0"/>
                      <w:sz w:val="21"/>
                      <w:szCs w:val="21"/>
                      <w:highlight w:val="none"/>
                    </w:rPr>
                    <w:t>区外</w:t>
                  </w:r>
                </w:p>
              </w:tc>
              <w:tc>
                <w:tcPr>
                  <w:tcW w:w="6053" w:type="dxa"/>
                  <w:tcBorders>
                    <w:top w:val="nil"/>
                    <w:left w:val="nil"/>
                    <w:bottom w:val="single" w:color="auto" w:sz="8" w:space="0"/>
                    <w:right w:val="single" w:color="auto" w:sz="8" w:space="0"/>
                  </w:tcBorders>
                  <w:noWrap w:val="0"/>
                  <w:vAlign w:val="center"/>
                </w:tcPr>
                <w:p w14:paraId="44E42EA0">
                  <w:pPr>
                    <w:keepNext w:val="0"/>
                    <w:keepLines w:val="0"/>
                    <w:widowControl/>
                    <w:suppressLineNumbers w:val="0"/>
                    <w:shd w:val="clear"/>
                    <w:spacing w:before="0" w:beforeAutospacing="0" w:after="0" w:afterAutospacing="0" w:line="315" w:lineRule="atLeast"/>
                    <w:ind w:left="0" w:right="0"/>
                    <w:rPr>
                      <w:rFonts w:hint="default" w:ascii="宋体" w:hAnsi="宋体" w:cs="Calibri"/>
                      <w:color w:val="auto"/>
                      <w:sz w:val="21"/>
                      <w:szCs w:val="21"/>
                      <w:highlight w:val="none"/>
                    </w:rPr>
                  </w:pPr>
                  <w:r>
                    <w:rPr>
                      <w:rFonts w:hint="eastAsia" w:ascii="宋体" w:hAnsi="宋体" w:cs="宋体"/>
                      <w:color w:val="auto"/>
                      <w:kern w:val="0"/>
                      <w:sz w:val="21"/>
                      <w:szCs w:val="21"/>
                      <w:highlight w:val="none"/>
                    </w:rPr>
                    <w:t>秀屿区、湄洲岛、仙游县、湄洲湾北岸开发区等莆田市非区内范围</w:t>
                  </w:r>
                </w:p>
              </w:tc>
            </w:tr>
            <w:tr w14:paraId="248DF96C">
              <w:tblPrEx>
                <w:tblCellMar>
                  <w:top w:w="0" w:type="dxa"/>
                  <w:left w:w="108" w:type="dxa"/>
                  <w:bottom w:w="0" w:type="dxa"/>
                  <w:right w:w="108" w:type="dxa"/>
                </w:tblCellMar>
              </w:tblPrEx>
              <w:trPr>
                <w:trHeight w:val="615" w:hRule="atLeast"/>
              </w:trPr>
              <w:tc>
                <w:tcPr>
                  <w:tcW w:w="1014" w:type="dxa"/>
                  <w:vMerge w:val="restart"/>
                  <w:tcBorders>
                    <w:top w:val="nil"/>
                    <w:left w:val="single" w:color="auto" w:sz="8" w:space="0"/>
                    <w:bottom w:val="single" w:color="auto" w:sz="8" w:space="0"/>
                    <w:right w:val="single" w:color="auto" w:sz="8" w:space="0"/>
                  </w:tcBorders>
                  <w:noWrap w:val="0"/>
                  <w:vAlign w:val="center"/>
                </w:tcPr>
                <w:p w14:paraId="47AAB84D">
                  <w:pPr>
                    <w:keepNext w:val="0"/>
                    <w:keepLines w:val="0"/>
                    <w:widowControl/>
                    <w:suppressLineNumbers w:val="0"/>
                    <w:shd w:val="clear"/>
                    <w:spacing w:before="0" w:beforeAutospacing="0" w:after="0" w:afterAutospacing="0" w:line="315" w:lineRule="atLeast"/>
                    <w:ind w:left="0" w:right="0"/>
                    <w:jc w:val="center"/>
                    <w:rPr>
                      <w:rFonts w:hint="default" w:ascii="宋体" w:hAnsi="宋体" w:cs="Calibri"/>
                      <w:color w:val="auto"/>
                      <w:sz w:val="21"/>
                      <w:szCs w:val="21"/>
                      <w:highlight w:val="none"/>
                    </w:rPr>
                  </w:pPr>
                  <w:r>
                    <w:rPr>
                      <w:rFonts w:hint="eastAsia" w:ascii="宋体" w:hAnsi="宋体" w:cs="宋体"/>
                      <w:color w:val="auto"/>
                      <w:kern w:val="0"/>
                      <w:sz w:val="21"/>
                      <w:szCs w:val="21"/>
                      <w:highlight w:val="none"/>
                    </w:rPr>
                    <w:t>泉州市</w:t>
                  </w:r>
                </w:p>
              </w:tc>
              <w:tc>
                <w:tcPr>
                  <w:tcW w:w="993" w:type="dxa"/>
                  <w:tcBorders>
                    <w:top w:val="nil"/>
                    <w:left w:val="nil"/>
                    <w:bottom w:val="single" w:color="auto" w:sz="8" w:space="0"/>
                    <w:right w:val="single" w:color="auto" w:sz="8" w:space="0"/>
                  </w:tcBorders>
                  <w:noWrap w:val="0"/>
                  <w:vAlign w:val="center"/>
                </w:tcPr>
                <w:p w14:paraId="01A8F2FD">
                  <w:pPr>
                    <w:keepNext w:val="0"/>
                    <w:keepLines w:val="0"/>
                    <w:widowControl/>
                    <w:suppressLineNumbers w:val="0"/>
                    <w:shd w:val="clear"/>
                    <w:spacing w:before="0" w:beforeAutospacing="0" w:after="0" w:afterAutospacing="0" w:line="315" w:lineRule="atLeast"/>
                    <w:ind w:left="0" w:right="0"/>
                    <w:jc w:val="center"/>
                    <w:rPr>
                      <w:rFonts w:hint="default" w:ascii="宋体" w:hAnsi="宋体" w:cs="Calibri"/>
                      <w:color w:val="auto"/>
                      <w:sz w:val="21"/>
                      <w:szCs w:val="21"/>
                      <w:highlight w:val="none"/>
                    </w:rPr>
                  </w:pPr>
                  <w:r>
                    <w:rPr>
                      <w:rFonts w:hint="eastAsia" w:ascii="宋体" w:hAnsi="宋体" w:cs="宋体"/>
                      <w:color w:val="auto"/>
                      <w:kern w:val="0"/>
                      <w:sz w:val="21"/>
                      <w:szCs w:val="21"/>
                      <w:highlight w:val="none"/>
                    </w:rPr>
                    <w:t>区内</w:t>
                  </w:r>
                </w:p>
              </w:tc>
              <w:tc>
                <w:tcPr>
                  <w:tcW w:w="6053" w:type="dxa"/>
                  <w:tcBorders>
                    <w:top w:val="nil"/>
                    <w:left w:val="nil"/>
                    <w:bottom w:val="single" w:color="auto" w:sz="8" w:space="0"/>
                    <w:right w:val="single" w:color="auto" w:sz="8" w:space="0"/>
                  </w:tcBorders>
                  <w:noWrap w:val="0"/>
                  <w:vAlign w:val="center"/>
                </w:tcPr>
                <w:p w14:paraId="1D7DD03C">
                  <w:pPr>
                    <w:keepNext w:val="0"/>
                    <w:keepLines w:val="0"/>
                    <w:widowControl/>
                    <w:suppressLineNumbers w:val="0"/>
                    <w:shd w:val="clear"/>
                    <w:spacing w:before="0" w:beforeAutospacing="0" w:after="0" w:afterAutospacing="0" w:line="315" w:lineRule="atLeast"/>
                    <w:ind w:left="0" w:right="0"/>
                    <w:rPr>
                      <w:rFonts w:hint="default" w:ascii="宋体" w:hAnsi="宋体" w:cs="Calibri"/>
                      <w:color w:val="auto"/>
                      <w:sz w:val="21"/>
                      <w:szCs w:val="21"/>
                      <w:highlight w:val="none"/>
                    </w:rPr>
                  </w:pPr>
                  <w:r>
                    <w:rPr>
                      <w:rFonts w:hint="eastAsia" w:ascii="宋体" w:hAnsi="宋体" w:cs="宋体"/>
                      <w:color w:val="auto"/>
                      <w:kern w:val="0"/>
                      <w:sz w:val="21"/>
                      <w:szCs w:val="21"/>
                      <w:highlight w:val="none"/>
                    </w:rPr>
                    <w:t>鲤城区、丰泽区、洛江区、泉港区</w:t>
                  </w:r>
                </w:p>
              </w:tc>
            </w:tr>
            <w:tr w14:paraId="153A3650">
              <w:tblPrEx>
                <w:tblCellMar>
                  <w:top w:w="0" w:type="dxa"/>
                  <w:left w:w="108" w:type="dxa"/>
                  <w:bottom w:w="0" w:type="dxa"/>
                  <w:right w:w="108" w:type="dxa"/>
                </w:tblCellMar>
              </w:tblPrEx>
              <w:trPr>
                <w:trHeight w:val="615" w:hRule="atLeast"/>
              </w:trPr>
              <w:tc>
                <w:tcPr>
                  <w:tcW w:w="1014" w:type="dxa"/>
                  <w:vMerge w:val="continue"/>
                  <w:tcBorders>
                    <w:top w:val="nil"/>
                    <w:left w:val="single" w:color="auto" w:sz="8" w:space="0"/>
                    <w:bottom w:val="single" w:color="auto" w:sz="8" w:space="0"/>
                    <w:right w:val="single" w:color="auto" w:sz="8" w:space="0"/>
                  </w:tcBorders>
                  <w:noWrap w:val="0"/>
                  <w:vAlign w:val="center"/>
                </w:tcPr>
                <w:p w14:paraId="5C609080">
                  <w:pPr>
                    <w:keepNext w:val="0"/>
                    <w:keepLines w:val="0"/>
                    <w:widowControl/>
                    <w:suppressLineNumbers w:val="0"/>
                    <w:shd w:val="clear"/>
                    <w:spacing w:before="0" w:beforeAutospacing="0" w:after="0" w:afterAutospacing="0"/>
                    <w:ind w:left="0" w:right="0"/>
                    <w:jc w:val="left"/>
                    <w:rPr>
                      <w:rFonts w:hint="default" w:ascii="宋体" w:hAnsi="宋体" w:cs="Calibri"/>
                      <w:color w:val="auto"/>
                      <w:sz w:val="21"/>
                      <w:szCs w:val="21"/>
                      <w:highlight w:val="none"/>
                    </w:rPr>
                  </w:pPr>
                </w:p>
              </w:tc>
              <w:tc>
                <w:tcPr>
                  <w:tcW w:w="993" w:type="dxa"/>
                  <w:tcBorders>
                    <w:top w:val="nil"/>
                    <w:left w:val="nil"/>
                    <w:bottom w:val="single" w:color="auto" w:sz="8" w:space="0"/>
                    <w:right w:val="single" w:color="auto" w:sz="8" w:space="0"/>
                  </w:tcBorders>
                  <w:noWrap w:val="0"/>
                  <w:vAlign w:val="center"/>
                </w:tcPr>
                <w:p w14:paraId="4A34C80A">
                  <w:pPr>
                    <w:keepNext w:val="0"/>
                    <w:keepLines w:val="0"/>
                    <w:widowControl/>
                    <w:suppressLineNumbers w:val="0"/>
                    <w:shd w:val="clear"/>
                    <w:spacing w:before="0" w:beforeAutospacing="0" w:after="0" w:afterAutospacing="0" w:line="315" w:lineRule="atLeast"/>
                    <w:ind w:left="0" w:right="0"/>
                    <w:jc w:val="center"/>
                    <w:rPr>
                      <w:rFonts w:hint="default" w:ascii="宋体" w:hAnsi="宋体" w:cs="Calibri"/>
                      <w:color w:val="auto"/>
                      <w:sz w:val="21"/>
                      <w:szCs w:val="21"/>
                      <w:highlight w:val="none"/>
                    </w:rPr>
                  </w:pPr>
                  <w:r>
                    <w:rPr>
                      <w:rFonts w:hint="eastAsia" w:ascii="宋体" w:hAnsi="宋体" w:cs="宋体"/>
                      <w:color w:val="auto"/>
                      <w:kern w:val="0"/>
                      <w:sz w:val="21"/>
                      <w:szCs w:val="21"/>
                      <w:highlight w:val="none"/>
                    </w:rPr>
                    <w:t>区外</w:t>
                  </w:r>
                </w:p>
              </w:tc>
              <w:tc>
                <w:tcPr>
                  <w:tcW w:w="6053" w:type="dxa"/>
                  <w:tcBorders>
                    <w:top w:val="nil"/>
                    <w:left w:val="nil"/>
                    <w:bottom w:val="single" w:color="auto" w:sz="8" w:space="0"/>
                    <w:right w:val="single" w:color="auto" w:sz="8" w:space="0"/>
                  </w:tcBorders>
                  <w:noWrap w:val="0"/>
                  <w:vAlign w:val="center"/>
                </w:tcPr>
                <w:p w14:paraId="1CBC818E">
                  <w:pPr>
                    <w:keepNext w:val="0"/>
                    <w:keepLines w:val="0"/>
                    <w:widowControl/>
                    <w:suppressLineNumbers w:val="0"/>
                    <w:shd w:val="clear"/>
                    <w:spacing w:before="0" w:beforeAutospacing="0" w:after="0" w:afterAutospacing="0" w:line="315" w:lineRule="atLeast"/>
                    <w:ind w:left="0" w:right="0"/>
                    <w:rPr>
                      <w:rFonts w:hint="default" w:ascii="宋体" w:hAnsi="宋体" w:cs="Calibri"/>
                      <w:color w:val="auto"/>
                      <w:sz w:val="21"/>
                      <w:szCs w:val="21"/>
                      <w:highlight w:val="none"/>
                    </w:rPr>
                  </w:pPr>
                  <w:r>
                    <w:rPr>
                      <w:rFonts w:hint="eastAsia" w:ascii="宋体" w:hAnsi="宋体" w:cs="宋体"/>
                      <w:color w:val="auto"/>
                      <w:kern w:val="0"/>
                      <w:sz w:val="21"/>
                      <w:szCs w:val="21"/>
                      <w:highlight w:val="none"/>
                    </w:rPr>
                    <w:t>晋江市、石狮市、南安市、惠安县、安溪县、永春县、德化县等泉州市非区内范围</w:t>
                  </w:r>
                </w:p>
              </w:tc>
            </w:tr>
            <w:tr w14:paraId="17B0CBAD">
              <w:tblPrEx>
                <w:tblCellMar>
                  <w:top w:w="0" w:type="dxa"/>
                  <w:left w:w="108" w:type="dxa"/>
                  <w:bottom w:w="0" w:type="dxa"/>
                  <w:right w:w="108" w:type="dxa"/>
                </w:tblCellMar>
              </w:tblPrEx>
              <w:trPr>
                <w:trHeight w:val="615" w:hRule="atLeast"/>
              </w:trPr>
              <w:tc>
                <w:tcPr>
                  <w:tcW w:w="1014" w:type="dxa"/>
                  <w:vMerge w:val="restart"/>
                  <w:tcBorders>
                    <w:top w:val="nil"/>
                    <w:left w:val="single" w:color="auto" w:sz="8" w:space="0"/>
                    <w:bottom w:val="single" w:color="auto" w:sz="8" w:space="0"/>
                    <w:right w:val="single" w:color="auto" w:sz="8" w:space="0"/>
                  </w:tcBorders>
                  <w:noWrap w:val="0"/>
                  <w:vAlign w:val="center"/>
                </w:tcPr>
                <w:p w14:paraId="4AF8CE24">
                  <w:pPr>
                    <w:keepNext w:val="0"/>
                    <w:keepLines w:val="0"/>
                    <w:widowControl/>
                    <w:suppressLineNumbers w:val="0"/>
                    <w:shd w:val="clear"/>
                    <w:spacing w:before="0" w:beforeAutospacing="0" w:after="0" w:afterAutospacing="0" w:line="315" w:lineRule="atLeast"/>
                    <w:ind w:left="0" w:right="0"/>
                    <w:jc w:val="center"/>
                    <w:rPr>
                      <w:rFonts w:hint="default" w:ascii="宋体" w:hAnsi="宋体" w:cs="Calibri"/>
                      <w:color w:val="auto"/>
                      <w:sz w:val="21"/>
                      <w:szCs w:val="21"/>
                      <w:highlight w:val="none"/>
                    </w:rPr>
                  </w:pPr>
                  <w:r>
                    <w:rPr>
                      <w:rFonts w:hint="eastAsia" w:ascii="宋体" w:hAnsi="宋体" w:cs="宋体"/>
                      <w:color w:val="auto"/>
                      <w:kern w:val="0"/>
                      <w:sz w:val="21"/>
                      <w:szCs w:val="21"/>
                      <w:highlight w:val="none"/>
                    </w:rPr>
                    <w:t>漳州市</w:t>
                  </w:r>
                </w:p>
              </w:tc>
              <w:tc>
                <w:tcPr>
                  <w:tcW w:w="993" w:type="dxa"/>
                  <w:tcBorders>
                    <w:top w:val="nil"/>
                    <w:left w:val="nil"/>
                    <w:bottom w:val="single" w:color="auto" w:sz="8" w:space="0"/>
                    <w:right w:val="single" w:color="auto" w:sz="8" w:space="0"/>
                  </w:tcBorders>
                  <w:noWrap w:val="0"/>
                  <w:vAlign w:val="center"/>
                </w:tcPr>
                <w:p w14:paraId="2E035819">
                  <w:pPr>
                    <w:keepNext w:val="0"/>
                    <w:keepLines w:val="0"/>
                    <w:widowControl/>
                    <w:suppressLineNumbers w:val="0"/>
                    <w:shd w:val="clear"/>
                    <w:spacing w:before="0" w:beforeAutospacing="0" w:after="0" w:afterAutospacing="0" w:line="315" w:lineRule="atLeast"/>
                    <w:ind w:left="0" w:right="0"/>
                    <w:jc w:val="center"/>
                    <w:rPr>
                      <w:rFonts w:hint="default" w:ascii="宋体" w:hAnsi="宋体" w:cs="Calibri"/>
                      <w:color w:val="auto"/>
                      <w:sz w:val="21"/>
                      <w:szCs w:val="21"/>
                      <w:highlight w:val="none"/>
                    </w:rPr>
                  </w:pPr>
                  <w:r>
                    <w:rPr>
                      <w:rFonts w:hint="eastAsia" w:ascii="宋体" w:hAnsi="宋体" w:cs="宋体"/>
                      <w:color w:val="auto"/>
                      <w:kern w:val="0"/>
                      <w:sz w:val="21"/>
                      <w:szCs w:val="21"/>
                      <w:highlight w:val="none"/>
                    </w:rPr>
                    <w:t>区内</w:t>
                  </w:r>
                </w:p>
              </w:tc>
              <w:tc>
                <w:tcPr>
                  <w:tcW w:w="6053" w:type="dxa"/>
                  <w:tcBorders>
                    <w:top w:val="nil"/>
                    <w:left w:val="nil"/>
                    <w:bottom w:val="single" w:color="auto" w:sz="8" w:space="0"/>
                    <w:right w:val="single" w:color="auto" w:sz="8" w:space="0"/>
                  </w:tcBorders>
                  <w:noWrap w:val="0"/>
                  <w:vAlign w:val="center"/>
                </w:tcPr>
                <w:p w14:paraId="32B2636B">
                  <w:pPr>
                    <w:keepNext w:val="0"/>
                    <w:keepLines w:val="0"/>
                    <w:widowControl/>
                    <w:suppressLineNumbers w:val="0"/>
                    <w:shd w:val="clear"/>
                    <w:spacing w:before="0" w:beforeAutospacing="0" w:after="0" w:afterAutospacing="0" w:line="315" w:lineRule="atLeast"/>
                    <w:ind w:left="0" w:right="0"/>
                    <w:rPr>
                      <w:rFonts w:hint="eastAsia" w:ascii="宋体" w:hAnsi="宋体" w:eastAsia="宋体" w:cs="Calibri"/>
                      <w:color w:val="auto"/>
                      <w:sz w:val="21"/>
                      <w:szCs w:val="21"/>
                      <w:highlight w:val="none"/>
                      <w:lang w:eastAsia="zh-CN"/>
                    </w:rPr>
                  </w:pPr>
                  <w:r>
                    <w:rPr>
                      <w:rFonts w:hint="eastAsia" w:ascii="宋体" w:hAnsi="宋体" w:cs="宋体"/>
                      <w:color w:val="auto"/>
                      <w:kern w:val="0"/>
                      <w:sz w:val="21"/>
                      <w:szCs w:val="21"/>
                      <w:highlight w:val="none"/>
                    </w:rPr>
                    <w:t>芗城区、龙文区</w:t>
                  </w: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rPr>
                    <w:t>龙海</w:t>
                  </w:r>
                  <w:r>
                    <w:rPr>
                      <w:rFonts w:hint="eastAsia" w:ascii="宋体" w:hAnsi="宋体" w:cs="宋体"/>
                      <w:color w:val="auto"/>
                      <w:kern w:val="0"/>
                      <w:sz w:val="21"/>
                      <w:szCs w:val="21"/>
                      <w:highlight w:val="none"/>
                      <w:lang w:eastAsia="zh-CN"/>
                    </w:rPr>
                    <w:t>区、</w:t>
                  </w:r>
                  <w:r>
                    <w:rPr>
                      <w:rFonts w:hint="eastAsia" w:ascii="宋体" w:hAnsi="宋体" w:cs="宋体"/>
                      <w:color w:val="auto"/>
                      <w:kern w:val="0"/>
                      <w:sz w:val="21"/>
                      <w:szCs w:val="21"/>
                      <w:highlight w:val="none"/>
                    </w:rPr>
                    <w:t>长泰</w:t>
                  </w:r>
                  <w:r>
                    <w:rPr>
                      <w:rFonts w:hint="eastAsia" w:ascii="宋体" w:hAnsi="宋体" w:cs="宋体"/>
                      <w:color w:val="auto"/>
                      <w:kern w:val="0"/>
                      <w:sz w:val="21"/>
                      <w:szCs w:val="21"/>
                      <w:highlight w:val="none"/>
                      <w:lang w:eastAsia="zh-CN"/>
                    </w:rPr>
                    <w:t>区</w:t>
                  </w:r>
                </w:p>
              </w:tc>
            </w:tr>
            <w:tr w14:paraId="037A60A0">
              <w:tblPrEx>
                <w:tblCellMar>
                  <w:top w:w="0" w:type="dxa"/>
                  <w:left w:w="108" w:type="dxa"/>
                  <w:bottom w:w="0" w:type="dxa"/>
                  <w:right w:w="108" w:type="dxa"/>
                </w:tblCellMar>
              </w:tblPrEx>
              <w:trPr>
                <w:trHeight w:val="615" w:hRule="atLeast"/>
              </w:trPr>
              <w:tc>
                <w:tcPr>
                  <w:tcW w:w="1014" w:type="dxa"/>
                  <w:vMerge w:val="continue"/>
                  <w:tcBorders>
                    <w:top w:val="nil"/>
                    <w:left w:val="single" w:color="auto" w:sz="8" w:space="0"/>
                    <w:bottom w:val="single" w:color="auto" w:sz="8" w:space="0"/>
                    <w:right w:val="single" w:color="auto" w:sz="8" w:space="0"/>
                  </w:tcBorders>
                  <w:noWrap w:val="0"/>
                  <w:vAlign w:val="center"/>
                </w:tcPr>
                <w:p w14:paraId="64644FAA">
                  <w:pPr>
                    <w:keepNext w:val="0"/>
                    <w:keepLines w:val="0"/>
                    <w:widowControl/>
                    <w:suppressLineNumbers w:val="0"/>
                    <w:shd w:val="clear"/>
                    <w:spacing w:before="0" w:beforeAutospacing="0" w:after="0" w:afterAutospacing="0"/>
                    <w:ind w:left="0" w:right="0"/>
                    <w:jc w:val="left"/>
                    <w:rPr>
                      <w:rFonts w:hint="default" w:ascii="宋体" w:hAnsi="宋体" w:cs="Calibri"/>
                      <w:color w:val="auto"/>
                      <w:sz w:val="21"/>
                      <w:szCs w:val="21"/>
                      <w:highlight w:val="none"/>
                    </w:rPr>
                  </w:pPr>
                </w:p>
              </w:tc>
              <w:tc>
                <w:tcPr>
                  <w:tcW w:w="993" w:type="dxa"/>
                  <w:tcBorders>
                    <w:top w:val="nil"/>
                    <w:left w:val="nil"/>
                    <w:bottom w:val="single" w:color="auto" w:sz="8" w:space="0"/>
                    <w:right w:val="single" w:color="auto" w:sz="8" w:space="0"/>
                  </w:tcBorders>
                  <w:noWrap w:val="0"/>
                  <w:vAlign w:val="center"/>
                </w:tcPr>
                <w:p w14:paraId="71D5AB48">
                  <w:pPr>
                    <w:keepNext w:val="0"/>
                    <w:keepLines w:val="0"/>
                    <w:widowControl/>
                    <w:suppressLineNumbers w:val="0"/>
                    <w:shd w:val="clear"/>
                    <w:spacing w:before="0" w:beforeAutospacing="0" w:after="0" w:afterAutospacing="0" w:line="315" w:lineRule="atLeast"/>
                    <w:ind w:left="0" w:right="0"/>
                    <w:jc w:val="center"/>
                    <w:rPr>
                      <w:rFonts w:hint="default" w:ascii="宋体" w:hAnsi="宋体" w:cs="Calibri"/>
                      <w:color w:val="auto"/>
                      <w:sz w:val="21"/>
                      <w:szCs w:val="21"/>
                      <w:highlight w:val="none"/>
                    </w:rPr>
                  </w:pPr>
                  <w:r>
                    <w:rPr>
                      <w:rFonts w:hint="eastAsia" w:ascii="宋体" w:hAnsi="宋体" w:cs="宋体"/>
                      <w:color w:val="auto"/>
                      <w:kern w:val="0"/>
                      <w:sz w:val="21"/>
                      <w:szCs w:val="21"/>
                      <w:highlight w:val="none"/>
                    </w:rPr>
                    <w:t>区外</w:t>
                  </w:r>
                </w:p>
              </w:tc>
              <w:tc>
                <w:tcPr>
                  <w:tcW w:w="6053" w:type="dxa"/>
                  <w:tcBorders>
                    <w:top w:val="nil"/>
                    <w:left w:val="nil"/>
                    <w:bottom w:val="single" w:color="auto" w:sz="8" w:space="0"/>
                    <w:right w:val="single" w:color="auto" w:sz="8" w:space="0"/>
                  </w:tcBorders>
                  <w:noWrap w:val="0"/>
                  <w:vAlign w:val="center"/>
                </w:tcPr>
                <w:p w14:paraId="329CAB98">
                  <w:pPr>
                    <w:keepNext w:val="0"/>
                    <w:keepLines w:val="0"/>
                    <w:widowControl/>
                    <w:suppressLineNumbers w:val="0"/>
                    <w:shd w:val="clear"/>
                    <w:spacing w:before="0" w:beforeAutospacing="0" w:after="0" w:afterAutospacing="0" w:line="315" w:lineRule="atLeast"/>
                    <w:ind w:left="0" w:right="0"/>
                    <w:rPr>
                      <w:rFonts w:hint="default" w:ascii="宋体" w:hAnsi="宋体" w:cs="Calibri"/>
                      <w:color w:val="auto"/>
                      <w:sz w:val="21"/>
                      <w:szCs w:val="21"/>
                      <w:highlight w:val="none"/>
                    </w:rPr>
                  </w:pPr>
                  <w:r>
                    <w:rPr>
                      <w:rFonts w:hint="eastAsia" w:ascii="宋体" w:hAnsi="宋体" w:cs="宋体"/>
                      <w:color w:val="auto"/>
                      <w:kern w:val="0"/>
                      <w:sz w:val="21"/>
                      <w:szCs w:val="21"/>
                      <w:highlight w:val="none"/>
                    </w:rPr>
                    <w:t>云霄县、漳浦县、诏安县、东山县、南靖县、平和县、华安县等漳州市非区内范围</w:t>
                  </w:r>
                </w:p>
              </w:tc>
            </w:tr>
            <w:tr w14:paraId="0E1C6576">
              <w:tblPrEx>
                <w:tblCellMar>
                  <w:top w:w="0" w:type="dxa"/>
                  <w:left w:w="108" w:type="dxa"/>
                  <w:bottom w:w="0" w:type="dxa"/>
                  <w:right w:w="108" w:type="dxa"/>
                </w:tblCellMar>
              </w:tblPrEx>
              <w:trPr>
                <w:trHeight w:val="615" w:hRule="atLeast"/>
              </w:trPr>
              <w:tc>
                <w:tcPr>
                  <w:tcW w:w="1014" w:type="dxa"/>
                  <w:vMerge w:val="restart"/>
                  <w:tcBorders>
                    <w:top w:val="nil"/>
                    <w:left w:val="single" w:color="auto" w:sz="8" w:space="0"/>
                    <w:bottom w:val="single" w:color="auto" w:sz="8" w:space="0"/>
                    <w:right w:val="single" w:color="auto" w:sz="8" w:space="0"/>
                  </w:tcBorders>
                  <w:noWrap w:val="0"/>
                  <w:vAlign w:val="center"/>
                </w:tcPr>
                <w:p w14:paraId="2823F851">
                  <w:pPr>
                    <w:keepNext w:val="0"/>
                    <w:keepLines w:val="0"/>
                    <w:widowControl/>
                    <w:suppressLineNumbers w:val="0"/>
                    <w:shd w:val="clear"/>
                    <w:spacing w:before="0" w:beforeAutospacing="0" w:after="0" w:afterAutospacing="0" w:line="315" w:lineRule="atLeast"/>
                    <w:ind w:left="0" w:right="0"/>
                    <w:jc w:val="center"/>
                    <w:rPr>
                      <w:rFonts w:hint="default" w:ascii="宋体" w:hAnsi="宋体" w:cs="Calibri"/>
                      <w:color w:val="auto"/>
                      <w:sz w:val="21"/>
                      <w:szCs w:val="21"/>
                      <w:highlight w:val="none"/>
                    </w:rPr>
                  </w:pPr>
                  <w:r>
                    <w:rPr>
                      <w:rFonts w:hint="eastAsia" w:ascii="宋体" w:hAnsi="宋体" w:cs="宋体"/>
                      <w:color w:val="auto"/>
                      <w:kern w:val="0"/>
                      <w:sz w:val="21"/>
                      <w:szCs w:val="21"/>
                      <w:highlight w:val="none"/>
                    </w:rPr>
                    <w:t>龙岩市</w:t>
                  </w:r>
                </w:p>
              </w:tc>
              <w:tc>
                <w:tcPr>
                  <w:tcW w:w="993" w:type="dxa"/>
                  <w:tcBorders>
                    <w:top w:val="nil"/>
                    <w:left w:val="nil"/>
                    <w:bottom w:val="single" w:color="auto" w:sz="8" w:space="0"/>
                    <w:right w:val="single" w:color="auto" w:sz="8" w:space="0"/>
                  </w:tcBorders>
                  <w:noWrap w:val="0"/>
                  <w:vAlign w:val="center"/>
                </w:tcPr>
                <w:p w14:paraId="73979199">
                  <w:pPr>
                    <w:keepNext w:val="0"/>
                    <w:keepLines w:val="0"/>
                    <w:widowControl/>
                    <w:suppressLineNumbers w:val="0"/>
                    <w:shd w:val="clear"/>
                    <w:spacing w:before="0" w:beforeAutospacing="0" w:after="0" w:afterAutospacing="0" w:line="315" w:lineRule="atLeast"/>
                    <w:ind w:left="0" w:right="0"/>
                    <w:jc w:val="center"/>
                    <w:rPr>
                      <w:rFonts w:hint="default" w:ascii="宋体" w:hAnsi="宋体" w:cs="Calibri"/>
                      <w:color w:val="auto"/>
                      <w:sz w:val="21"/>
                      <w:szCs w:val="21"/>
                      <w:highlight w:val="none"/>
                    </w:rPr>
                  </w:pPr>
                  <w:r>
                    <w:rPr>
                      <w:rFonts w:hint="eastAsia" w:ascii="宋体" w:hAnsi="宋体" w:cs="宋体"/>
                      <w:color w:val="auto"/>
                      <w:kern w:val="0"/>
                      <w:sz w:val="21"/>
                      <w:szCs w:val="21"/>
                      <w:highlight w:val="none"/>
                    </w:rPr>
                    <w:t>区内</w:t>
                  </w:r>
                </w:p>
              </w:tc>
              <w:tc>
                <w:tcPr>
                  <w:tcW w:w="6053" w:type="dxa"/>
                  <w:tcBorders>
                    <w:top w:val="nil"/>
                    <w:left w:val="nil"/>
                    <w:bottom w:val="single" w:color="auto" w:sz="8" w:space="0"/>
                    <w:right w:val="single" w:color="auto" w:sz="8" w:space="0"/>
                  </w:tcBorders>
                  <w:noWrap w:val="0"/>
                  <w:vAlign w:val="center"/>
                </w:tcPr>
                <w:p w14:paraId="7A3F1537">
                  <w:pPr>
                    <w:keepNext w:val="0"/>
                    <w:keepLines w:val="0"/>
                    <w:widowControl/>
                    <w:suppressLineNumbers w:val="0"/>
                    <w:shd w:val="clear"/>
                    <w:spacing w:before="0" w:beforeAutospacing="0" w:after="0" w:afterAutospacing="0" w:line="315" w:lineRule="atLeast"/>
                    <w:ind w:left="0" w:right="0"/>
                    <w:rPr>
                      <w:rFonts w:hint="default" w:ascii="宋体" w:hAnsi="宋体" w:cs="Calibri"/>
                      <w:color w:val="auto"/>
                      <w:sz w:val="21"/>
                      <w:szCs w:val="21"/>
                      <w:highlight w:val="none"/>
                    </w:rPr>
                  </w:pPr>
                  <w:r>
                    <w:rPr>
                      <w:rFonts w:hint="eastAsia" w:ascii="宋体" w:hAnsi="宋体" w:cs="宋体"/>
                      <w:color w:val="auto"/>
                      <w:kern w:val="0"/>
                      <w:sz w:val="21"/>
                      <w:szCs w:val="21"/>
                      <w:highlight w:val="none"/>
                    </w:rPr>
                    <w:t>新罗区</w:t>
                  </w:r>
                </w:p>
              </w:tc>
            </w:tr>
            <w:tr w14:paraId="1524DEE2">
              <w:tblPrEx>
                <w:tblCellMar>
                  <w:top w:w="0" w:type="dxa"/>
                  <w:left w:w="108" w:type="dxa"/>
                  <w:bottom w:w="0" w:type="dxa"/>
                  <w:right w:w="108" w:type="dxa"/>
                </w:tblCellMar>
              </w:tblPrEx>
              <w:trPr>
                <w:trHeight w:val="615" w:hRule="atLeast"/>
              </w:trPr>
              <w:tc>
                <w:tcPr>
                  <w:tcW w:w="1014" w:type="dxa"/>
                  <w:vMerge w:val="continue"/>
                  <w:tcBorders>
                    <w:top w:val="nil"/>
                    <w:left w:val="single" w:color="auto" w:sz="8" w:space="0"/>
                    <w:bottom w:val="single" w:color="auto" w:sz="8" w:space="0"/>
                    <w:right w:val="single" w:color="auto" w:sz="8" w:space="0"/>
                  </w:tcBorders>
                  <w:noWrap w:val="0"/>
                  <w:vAlign w:val="center"/>
                </w:tcPr>
                <w:p w14:paraId="4CC71134">
                  <w:pPr>
                    <w:keepNext w:val="0"/>
                    <w:keepLines w:val="0"/>
                    <w:widowControl/>
                    <w:suppressLineNumbers w:val="0"/>
                    <w:shd w:val="clear"/>
                    <w:spacing w:before="0" w:beforeAutospacing="0" w:after="0" w:afterAutospacing="0"/>
                    <w:ind w:left="0" w:right="0"/>
                    <w:jc w:val="left"/>
                    <w:rPr>
                      <w:rFonts w:hint="default" w:ascii="宋体" w:hAnsi="宋体" w:cs="Calibri"/>
                      <w:color w:val="auto"/>
                      <w:sz w:val="21"/>
                      <w:szCs w:val="21"/>
                      <w:highlight w:val="none"/>
                    </w:rPr>
                  </w:pPr>
                </w:p>
              </w:tc>
              <w:tc>
                <w:tcPr>
                  <w:tcW w:w="993" w:type="dxa"/>
                  <w:tcBorders>
                    <w:top w:val="nil"/>
                    <w:left w:val="nil"/>
                    <w:bottom w:val="single" w:color="auto" w:sz="8" w:space="0"/>
                    <w:right w:val="single" w:color="auto" w:sz="8" w:space="0"/>
                  </w:tcBorders>
                  <w:noWrap w:val="0"/>
                  <w:vAlign w:val="center"/>
                </w:tcPr>
                <w:p w14:paraId="1DF1BA93">
                  <w:pPr>
                    <w:keepNext w:val="0"/>
                    <w:keepLines w:val="0"/>
                    <w:widowControl/>
                    <w:suppressLineNumbers w:val="0"/>
                    <w:shd w:val="clear"/>
                    <w:spacing w:before="0" w:beforeAutospacing="0" w:after="0" w:afterAutospacing="0" w:line="315" w:lineRule="atLeast"/>
                    <w:ind w:left="0" w:right="0"/>
                    <w:jc w:val="center"/>
                    <w:rPr>
                      <w:rFonts w:hint="default" w:ascii="宋体" w:hAnsi="宋体" w:cs="Calibri"/>
                      <w:color w:val="auto"/>
                      <w:sz w:val="21"/>
                      <w:szCs w:val="21"/>
                      <w:highlight w:val="none"/>
                    </w:rPr>
                  </w:pPr>
                  <w:r>
                    <w:rPr>
                      <w:rFonts w:hint="eastAsia" w:ascii="宋体" w:hAnsi="宋体" w:cs="宋体"/>
                      <w:color w:val="auto"/>
                      <w:kern w:val="0"/>
                      <w:sz w:val="21"/>
                      <w:szCs w:val="21"/>
                      <w:highlight w:val="none"/>
                    </w:rPr>
                    <w:t>区外</w:t>
                  </w:r>
                </w:p>
              </w:tc>
              <w:tc>
                <w:tcPr>
                  <w:tcW w:w="6053" w:type="dxa"/>
                  <w:tcBorders>
                    <w:top w:val="nil"/>
                    <w:left w:val="nil"/>
                    <w:bottom w:val="single" w:color="auto" w:sz="8" w:space="0"/>
                    <w:right w:val="single" w:color="auto" w:sz="8" w:space="0"/>
                  </w:tcBorders>
                  <w:noWrap w:val="0"/>
                  <w:vAlign w:val="center"/>
                </w:tcPr>
                <w:p w14:paraId="04E42970">
                  <w:pPr>
                    <w:keepNext w:val="0"/>
                    <w:keepLines w:val="0"/>
                    <w:widowControl/>
                    <w:suppressLineNumbers w:val="0"/>
                    <w:shd w:val="clear"/>
                    <w:spacing w:before="0" w:beforeAutospacing="0" w:after="0" w:afterAutospacing="0" w:line="315" w:lineRule="atLeast"/>
                    <w:ind w:left="0" w:right="0"/>
                    <w:rPr>
                      <w:rFonts w:hint="default" w:ascii="宋体" w:hAnsi="宋体" w:cs="Calibri"/>
                      <w:color w:val="auto"/>
                      <w:sz w:val="21"/>
                      <w:szCs w:val="21"/>
                      <w:highlight w:val="none"/>
                    </w:rPr>
                  </w:pPr>
                  <w:r>
                    <w:rPr>
                      <w:rFonts w:hint="eastAsia" w:ascii="宋体" w:hAnsi="宋体" w:cs="宋体"/>
                      <w:color w:val="auto"/>
                      <w:kern w:val="0"/>
                      <w:sz w:val="21"/>
                      <w:szCs w:val="21"/>
                      <w:highlight w:val="none"/>
                    </w:rPr>
                    <w:t>永定区、长汀县、连城县、上杭县、武平县等龙岩市非区内范围</w:t>
                  </w:r>
                </w:p>
              </w:tc>
            </w:tr>
            <w:tr w14:paraId="682051AB">
              <w:tblPrEx>
                <w:tblCellMar>
                  <w:top w:w="0" w:type="dxa"/>
                  <w:left w:w="108" w:type="dxa"/>
                  <w:bottom w:w="0" w:type="dxa"/>
                  <w:right w:w="108" w:type="dxa"/>
                </w:tblCellMar>
              </w:tblPrEx>
              <w:trPr>
                <w:trHeight w:val="615" w:hRule="atLeast"/>
              </w:trPr>
              <w:tc>
                <w:tcPr>
                  <w:tcW w:w="1014" w:type="dxa"/>
                  <w:vMerge w:val="restart"/>
                  <w:tcBorders>
                    <w:top w:val="nil"/>
                    <w:left w:val="single" w:color="auto" w:sz="8" w:space="0"/>
                    <w:bottom w:val="single" w:color="auto" w:sz="8" w:space="0"/>
                    <w:right w:val="single" w:color="auto" w:sz="8" w:space="0"/>
                  </w:tcBorders>
                  <w:noWrap w:val="0"/>
                  <w:vAlign w:val="center"/>
                </w:tcPr>
                <w:p w14:paraId="34C39F0B">
                  <w:pPr>
                    <w:keepNext w:val="0"/>
                    <w:keepLines w:val="0"/>
                    <w:widowControl/>
                    <w:suppressLineNumbers w:val="0"/>
                    <w:shd w:val="clear"/>
                    <w:spacing w:before="0" w:beforeAutospacing="0" w:after="0" w:afterAutospacing="0" w:line="315" w:lineRule="atLeast"/>
                    <w:ind w:left="0" w:right="0"/>
                    <w:jc w:val="center"/>
                    <w:rPr>
                      <w:rFonts w:hint="default" w:ascii="宋体" w:hAnsi="宋体" w:cs="Calibri"/>
                      <w:color w:val="auto"/>
                      <w:sz w:val="21"/>
                      <w:szCs w:val="21"/>
                      <w:highlight w:val="none"/>
                    </w:rPr>
                  </w:pPr>
                  <w:r>
                    <w:rPr>
                      <w:rFonts w:hint="eastAsia" w:ascii="宋体" w:hAnsi="宋体" w:cs="宋体"/>
                      <w:color w:val="auto"/>
                      <w:kern w:val="0"/>
                      <w:sz w:val="21"/>
                      <w:szCs w:val="21"/>
                      <w:highlight w:val="none"/>
                    </w:rPr>
                    <w:t>三明市</w:t>
                  </w:r>
                </w:p>
              </w:tc>
              <w:tc>
                <w:tcPr>
                  <w:tcW w:w="993" w:type="dxa"/>
                  <w:tcBorders>
                    <w:top w:val="nil"/>
                    <w:left w:val="nil"/>
                    <w:bottom w:val="single" w:color="auto" w:sz="8" w:space="0"/>
                    <w:right w:val="single" w:color="auto" w:sz="8" w:space="0"/>
                  </w:tcBorders>
                  <w:noWrap w:val="0"/>
                  <w:vAlign w:val="center"/>
                </w:tcPr>
                <w:p w14:paraId="59AD69AC">
                  <w:pPr>
                    <w:keepNext w:val="0"/>
                    <w:keepLines w:val="0"/>
                    <w:widowControl/>
                    <w:suppressLineNumbers w:val="0"/>
                    <w:shd w:val="clear"/>
                    <w:spacing w:before="0" w:beforeAutospacing="0" w:after="0" w:afterAutospacing="0" w:line="315" w:lineRule="atLeast"/>
                    <w:ind w:left="0" w:right="0"/>
                    <w:jc w:val="center"/>
                    <w:rPr>
                      <w:rFonts w:hint="default" w:ascii="宋体" w:hAnsi="宋体" w:cs="Calibri"/>
                      <w:color w:val="auto"/>
                      <w:sz w:val="21"/>
                      <w:szCs w:val="21"/>
                      <w:highlight w:val="none"/>
                    </w:rPr>
                  </w:pPr>
                  <w:r>
                    <w:rPr>
                      <w:rFonts w:hint="eastAsia" w:ascii="宋体" w:hAnsi="宋体" w:cs="宋体"/>
                      <w:color w:val="auto"/>
                      <w:kern w:val="0"/>
                      <w:sz w:val="21"/>
                      <w:szCs w:val="21"/>
                      <w:highlight w:val="none"/>
                    </w:rPr>
                    <w:t>区内</w:t>
                  </w:r>
                </w:p>
              </w:tc>
              <w:tc>
                <w:tcPr>
                  <w:tcW w:w="6053" w:type="dxa"/>
                  <w:tcBorders>
                    <w:top w:val="nil"/>
                    <w:left w:val="nil"/>
                    <w:bottom w:val="single" w:color="auto" w:sz="8" w:space="0"/>
                    <w:right w:val="single" w:color="auto" w:sz="8" w:space="0"/>
                  </w:tcBorders>
                  <w:noWrap w:val="0"/>
                  <w:vAlign w:val="center"/>
                </w:tcPr>
                <w:p w14:paraId="1AAB4620">
                  <w:pPr>
                    <w:keepNext w:val="0"/>
                    <w:keepLines w:val="0"/>
                    <w:widowControl/>
                    <w:suppressLineNumbers w:val="0"/>
                    <w:shd w:val="clear"/>
                    <w:spacing w:before="0" w:beforeAutospacing="0" w:after="0" w:afterAutospacing="0" w:line="315" w:lineRule="atLeast"/>
                    <w:ind w:left="0" w:right="0"/>
                    <w:rPr>
                      <w:rFonts w:hint="default" w:ascii="宋体" w:hAnsi="宋体" w:cs="Calibri"/>
                      <w:color w:val="auto"/>
                      <w:sz w:val="21"/>
                      <w:szCs w:val="21"/>
                      <w:highlight w:val="none"/>
                    </w:rPr>
                  </w:pPr>
                  <w:r>
                    <w:rPr>
                      <w:rFonts w:hint="eastAsia" w:ascii="宋体" w:hAnsi="宋体" w:cs="宋体"/>
                      <w:color w:val="auto"/>
                      <w:kern w:val="0"/>
                      <w:sz w:val="21"/>
                      <w:szCs w:val="21"/>
                      <w:highlight w:val="none"/>
                    </w:rPr>
                    <w:t>梅列区、三元区</w:t>
                  </w:r>
                </w:p>
              </w:tc>
            </w:tr>
            <w:tr w14:paraId="484ABC8F">
              <w:tblPrEx>
                <w:tblCellMar>
                  <w:top w:w="0" w:type="dxa"/>
                  <w:left w:w="108" w:type="dxa"/>
                  <w:bottom w:w="0" w:type="dxa"/>
                  <w:right w:w="108" w:type="dxa"/>
                </w:tblCellMar>
              </w:tblPrEx>
              <w:trPr>
                <w:trHeight w:val="615" w:hRule="atLeast"/>
              </w:trPr>
              <w:tc>
                <w:tcPr>
                  <w:tcW w:w="1014" w:type="dxa"/>
                  <w:vMerge w:val="continue"/>
                  <w:tcBorders>
                    <w:top w:val="nil"/>
                    <w:left w:val="single" w:color="auto" w:sz="8" w:space="0"/>
                    <w:bottom w:val="single" w:color="auto" w:sz="8" w:space="0"/>
                    <w:right w:val="single" w:color="auto" w:sz="8" w:space="0"/>
                  </w:tcBorders>
                  <w:noWrap w:val="0"/>
                  <w:vAlign w:val="center"/>
                </w:tcPr>
                <w:p w14:paraId="753C8031">
                  <w:pPr>
                    <w:keepNext w:val="0"/>
                    <w:keepLines w:val="0"/>
                    <w:widowControl/>
                    <w:suppressLineNumbers w:val="0"/>
                    <w:shd w:val="clear"/>
                    <w:spacing w:before="0" w:beforeAutospacing="0" w:after="0" w:afterAutospacing="0"/>
                    <w:ind w:left="0" w:right="0"/>
                    <w:jc w:val="left"/>
                    <w:rPr>
                      <w:rFonts w:hint="default" w:ascii="宋体" w:hAnsi="宋体" w:cs="Calibri"/>
                      <w:color w:val="auto"/>
                      <w:sz w:val="21"/>
                      <w:szCs w:val="21"/>
                      <w:highlight w:val="none"/>
                    </w:rPr>
                  </w:pPr>
                </w:p>
              </w:tc>
              <w:tc>
                <w:tcPr>
                  <w:tcW w:w="993" w:type="dxa"/>
                  <w:tcBorders>
                    <w:top w:val="nil"/>
                    <w:left w:val="nil"/>
                    <w:bottom w:val="single" w:color="auto" w:sz="8" w:space="0"/>
                    <w:right w:val="single" w:color="auto" w:sz="8" w:space="0"/>
                  </w:tcBorders>
                  <w:noWrap w:val="0"/>
                  <w:vAlign w:val="center"/>
                </w:tcPr>
                <w:p w14:paraId="289AF626">
                  <w:pPr>
                    <w:keepNext w:val="0"/>
                    <w:keepLines w:val="0"/>
                    <w:widowControl/>
                    <w:suppressLineNumbers w:val="0"/>
                    <w:shd w:val="clear"/>
                    <w:spacing w:before="0" w:beforeAutospacing="0" w:after="0" w:afterAutospacing="0" w:line="315" w:lineRule="atLeast"/>
                    <w:ind w:left="0" w:right="0"/>
                    <w:jc w:val="center"/>
                    <w:rPr>
                      <w:rFonts w:hint="default" w:ascii="宋体" w:hAnsi="宋体" w:cs="Calibri"/>
                      <w:color w:val="auto"/>
                      <w:sz w:val="21"/>
                      <w:szCs w:val="21"/>
                      <w:highlight w:val="none"/>
                    </w:rPr>
                  </w:pPr>
                  <w:r>
                    <w:rPr>
                      <w:rFonts w:hint="eastAsia" w:ascii="宋体" w:hAnsi="宋体" w:cs="宋体"/>
                      <w:color w:val="auto"/>
                      <w:kern w:val="0"/>
                      <w:sz w:val="21"/>
                      <w:szCs w:val="21"/>
                      <w:highlight w:val="none"/>
                    </w:rPr>
                    <w:t>区外</w:t>
                  </w:r>
                </w:p>
              </w:tc>
              <w:tc>
                <w:tcPr>
                  <w:tcW w:w="6053" w:type="dxa"/>
                  <w:tcBorders>
                    <w:top w:val="nil"/>
                    <w:left w:val="nil"/>
                    <w:bottom w:val="single" w:color="auto" w:sz="8" w:space="0"/>
                    <w:right w:val="single" w:color="auto" w:sz="8" w:space="0"/>
                  </w:tcBorders>
                  <w:noWrap w:val="0"/>
                  <w:vAlign w:val="center"/>
                </w:tcPr>
                <w:p w14:paraId="78E9A089">
                  <w:pPr>
                    <w:keepNext w:val="0"/>
                    <w:keepLines w:val="0"/>
                    <w:widowControl/>
                    <w:suppressLineNumbers w:val="0"/>
                    <w:shd w:val="clear"/>
                    <w:spacing w:before="0" w:beforeAutospacing="0" w:after="0" w:afterAutospacing="0" w:line="315" w:lineRule="atLeast"/>
                    <w:ind w:left="0" w:right="0"/>
                    <w:rPr>
                      <w:rFonts w:hint="default" w:ascii="宋体" w:hAnsi="宋体" w:cs="Calibri"/>
                      <w:color w:val="auto"/>
                      <w:sz w:val="21"/>
                      <w:szCs w:val="21"/>
                      <w:highlight w:val="none"/>
                    </w:rPr>
                  </w:pPr>
                  <w:r>
                    <w:rPr>
                      <w:rFonts w:hint="eastAsia" w:ascii="宋体" w:hAnsi="宋体" w:cs="宋体"/>
                      <w:color w:val="auto"/>
                      <w:kern w:val="0"/>
                      <w:sz w:val="21"/>
                      <w:szCs w:val="21"/>
                      <w:highlight w:val="none"/>
                    </w:rPr>
                    <w:t>永安市、沙县、尤溪县、大田县、明溪县、清流县、宁化县、将乐县、泰宁县、建宁县等三明市非区内范围</w:t>
                  </w:r>
                </w:p>
              </w:tc>
            </w:tr>
            <w:tr w14:paraId="47204FFC">
              <w:tblPrEx>
                <w:tblCellMar>
                  <w:top w:w="0" w:type="dxa"/>
                  <w:left w:w="108" w:type="dxa"/>
                  <w:bottom w:w="0" w:type="dxa"/>
                  <w:right w:w="108" w:type="dxa"/>
                </w:tblCellMar>
              </w:tblPrEx>
              <w:trPr>
                <w:trHeight w:val="615" w:hRule="atLeast"/>
              </w:trPr>
              <w:tc>
                <w:tcPr>
                  <w:tcW w:w="1014" w:type="dxa"/>
                  <w:vMerge w:val="restart"/>
                  <w:tcBorders>
                    <w:top w:val="nil"/>
                    <w:left w:val="single" w:color="auto" w:sz="8" w:space="0"/>
                    <w:bottom w:val="single" w:color="auto" w:sz="8" w:space="0"/>
                    <w:right w:val="single" w:color="auto" w:sz="8" w:space="0"/>
                  </w:tcBorders>
                  <w:noWrap w:val="0"/>
                  <w:vAlign w:val="center"/>
                </w:tcPr>
                <w:p w14:paraId="2211C8B5">
                  <w:pPr>
                    <w:keepNext w:val="0"/>
                    <w:keepLines w:val="0"/>
                    <w:widowControl/>
                    <w:suppressLineNumbers w:val="0"/>
                    <w:shd w:val="clear"/>
                    <w:spacing w:before="0" w:beforeAutospacing="0" w:after="0" w:afterAutospacing="0" w:line="315" w:lineRule="atLeast"/>
                    <w:ind w:left="0" w:right="0"/>
                    <w:jc w:val="center"/>
                    <w:rPr>
                      <w:rFonts w:hint="default" w:ascii="宋体" w:hAnsi="宋体" w:cs="Calibri"/>
                      <w:color w:val="auto"/>
                      <w:sz w:val="21"/>
                      <w:szCs w:val="21"/>
                      <w:highlight w:val="none"/>
                    </w:rPr>
                  </w:pPr>
                  <w:r>
                    <w:rPr>
                      <w:rFonts w:hint="eastAsia" w:ascii="宋体" w:hAnsi="宋体" w:cs="宋体"/>
                      <w:color w:val="auto"/>
                      <w:kern w:val="0"/>
                      <w:sz w:val="21"/>
                      <w:szCs w:val="21"/>
                      <w:highlight w:val="none"/>
                    </w:rPr>
                    <w:t>南平市</w:t>
                  </w:r>
                </w:p>
              </w:tc>
              <w:tc>
                <w:tcPr>
                  <w:tcW w:w="993" w:type="dxa"/>
                  <w:tcBorders>
                    <w:top w:val="nil"/>
                    <w:left w:val="nil"/>
                    <w:bottom w:val="single" w:color="auto" w:sz="8" w:space="0"/>
                    <w:right w:val="single" w:color="auto" w:sz="8" w:space="0"/>
                  </w:tcBorders>
                  <w:noWrap w:val="0"/>
                  <w:vAlign w:val="center"/>
                </w:tcPr>
                <w:p w14:paraId="21209384">
                  <w:pPr>
                    <w:keepNext w:val="0"/>
                    <w:keepLines w:val="0"/>
                    <w:widowControl/>
                    <w:suppressLineNumbers w:val="0"/>
                    <w:shd w:val="clear"/>
                    <w:spacing w:before="0" w:beforeAutospacing="0" w:after="0" w:afterAutospacing="0" w:line="315" w:lineRule="atLeast"/>
                    <w:ind w:left="0" w:right="0"/>
                    <w:jc w:val="center"/>
                    <w:rPr>
                      <w:rFonts w:hint="default" w:ascii="宋体" w:hAnsi="宋体" w:cs="Calibri"/>
                      <w:color w:val="auto"/>
                      <w:sz w:val="21"/>
                      <w:szCs w:val="21"/>
                      <w:highlight w:val="none"/>
                    </w:rPr>
                  </w:pPr>
                  <w:r>
                    <w:rPr>
                      <w:rFonts w:hint="eastAsia" w:ascii="宋体" w:hAnsi="宋体" w:cs="宋体"/>
                      <w:color w:val="auto"/>
                      <w:kern w:val="0"/>
                      <w:sz w:val="21"/>
                      <w:szCs w:val="21"/>
                      <w:highlight w:val="none"/>
                    </w:rPr>
                    <w:t>区内</w:t>
                  </w:r>
                </w:p>
              </w:tc>
              <w:tc>
                <w:tcPr>
                  <w:tcW w:w="6053" w:type="dxa"/>
                  <w:tcBorders>
                    <w:top w:val="nil"/>
                    <w:left w:val="nil"/>
                    <w:bottom w:val="single" w:color="auto" w:sz="8" w:space="0"/>
                    <w:right w:val="single" w:color="auto" w:sz="8" w:space="0"/>
                  </w:tcBorders>
                  <w:noWrap w:val="0"/>
                  <w:vAlign w:val="center"/>
                </w:tcPr>
                <w:p w14:paraId="46A118E2">
                  <w:pPr>
                    <w:keepNext w:val="0"/>
                    <w:keepLines w:val="0"/>
                    <w:widowControl/>
                    <w:suppressLineNumbers w:val="0"/>
                    <w:shd w:val="clear"/>
                    <w:spacing w:before="0" w:beforeAutospacing="0" w:after="0" w:afterAutospacing="0" w:line="315" w:lineRule="atLeast"/>
                    <w:ind w:left="0" w:right="0"/>
                    <w:rPr>
                      <w:rFonts w:hint="default" w:ascii="宋体" w:hAnsi="宋体" w:cs="Calibri"/>
                      <w:color w:val="auto"/>
                      <w:sz w:val="21"/>
                      <w:szCs w:val="21"/>
                      <w:highlight w:val="none"/>
                    </w:rPr>
                  </w:pPr>
                  <w:r>
                    <w:rPr>
                      <w:rFonts w:hint="eastAsia" w:ascii="宋体" w:hAnsi="宋体" w:cs="宋体"/>
                      <w:color w:val="auto"/>
                      <w:kern w:val="0"/>
                      <w:sz w:val="21"/>
                      <w:szCs w:val="21"/>
                      <w:highlight w:val="none"/>
                    </w:rPr>
                    <w:t>延平区</w:t>
                  </w:r>
                </w:p>
              </w:tc>
            </w:tr>
            <w:tr w14:paraId="4583699E">
              <w:tblPrEx>
                <w:tblCellMar>
                  <w:top w:w="0" w:type="dxa"/>
                  <w:left w:w="108" w:type="dxa"/>
                  <w:bottom w:w="0" w:type="dxa"/>
                  <w:right w:w="108" w:type="dxa"/>
                </w:tblCellMar>
              </w:tblPrEx>
              <w:trPr>
                <w:trHeight w:val="615" w:hRule="atLeast"/>
              </w:trPr>
              <w:tc>
                <w:tcPr>
                  <w:tcW w:w="1014" w:type="dxa"/>
                  <w:vMerge w:val="continue"/>
                  <w:tcBorders>
                    <w:top w:val="nil"/>
                    <w:left w:val="single" w:color="auto" w:sz="8" w:space="0"/>
                    <w:bottom w:val="single" w:color="auto" w:sz="8" w:space="0"/>
                    <w:right w:val="single" w:color="auto" w:sz="8" w:space="0"/>
                  </w:tcBorders>
                  <w:noWrap w:val="0"/>
                  <w:vAlign w:val="center"/>
                </w:tcPr>
                <w:p w14:paraId="6E534DD2">
                  <w:pPr>
                    <w:keepNext w:val="0"/>
                    <w:keepLines w:val="0"/>
                    <w:widowControl/>
                    <w:suppressLineNumbers w:val="0"/>
                    <w:shd w:val="clear"/>
                    <w:spacing w:before="0" w:beforeAutospacing="0" w:after="0" w:afterAutospacing="0"/>
                    <w:ind w:left="0" w:right="0"/>
                    <w:jc w:val="left"/>
                    <w:rPr>
                      <w:rFonts w:hint="default" w:ascii="宋体" w:hAnsi="宋体" w:cs="Calibri"/>
                      <w:color w:val="auto"/>
                      <w:sz w:val="21"/>
                      <w:szCs w:val="21"/>
                      <w:highlight w:val="none"/>
                    </w:rPr>
                  </w:pPr>
                </w:p>
              </w:tc>
              <w:tc>
                <w:tcPr>
                  <w:tcW w:w="993" w:type="dxa"/>
                  <w:tcBorders>
                    <w:top w:val="nil"/>
                    <w:left w:val="nil"/>
                    <w:bottom w:val="single" w:color="auto" w:sz="8" w:space="0"/>
                    <w:right w:val="single" w:color="auto" w:sz="8" w:space="0"/>
                  </w:tcBorders>
                  <w:noWrap w:val="0"/>
                  <w:vAlign w:val="center"/>
                </w:tcPr>
                <w:p w14:paraId="039B01AA">
                  <w:pPr>
                    <w:keepNext w:val="0"/>
                    <w:keepLines w:val="0"/>
                    <w:widowControl/>
                    <w:suppressLineNumbers w:val="0"/>
                    <w:shd w:val="clear"/>
                    <w:spacing w:before="0" w:beforeAutospacing="0" w:after="0" w:afterAutospacing="0" w:line="315" w:lineRule="atLeast"/>
                    <w:ind w:left="0" w:right="0"/>
                    <w:jc w:val="center"/>
                    <w:rPr>
                      <w:rFonts w:hint="default" w:ascii="宋体" w:hAnsi="宋体" w:cs="Calibri"/>
                      <w:color w:val="auto"/>
                      <w:sz w:val="21"/>
                      <w:szCs w:val="21"/>
                      <w:highlight w:val="none"/>
                    </w:rPr>
                  </w:pPr>
                  <w:r>
                    <w:rPr>
                      <w:rFonts w:hint="eastAsia" w:ascii="宋体" w:hAnsi="宋体" w:cs="宋体"/>
                      <w:color w:val="auto"/>
                      <w:kern w:val="0"/>
                      <w:sz w:val="21"/>
                      <w:szCs w:val="21"/>
                      <w:highlight w:val="none"/>
                    </w:rPr>
                    <w:t>区外</w:t>
                  </w:r>
                </w:p>
              </w:tc>
              <w:tc>
                <w:tcPr>
                  <w:tcW w:w="6053" w:type="dxa"/>
                  <w:tcBorders>
                    <w:top w:val="nil"/>
                    <w:left w:val="nil"/>
                    <w:bottom w:val="single" w:color="auto" w:sz="8" w:space="0"/>
                    <w:right w:val="single" w:color="auto" w:sz="8" w:space="0"/>
                  </w:tcBorders>
                  <w:noWrap w:val="0"/>
                  <w:vAlign w:val="center"/>
                </w:tcPr>
                <w:p w14:paraId="70600375">
                  <w:pPr>
                    <w:keepNext w:val="0"/>
                    <w:keepLines w:val="0"/>
                    <w:widowControl/>
                    <w:suppressLineNumbers w:val="0"/>
                    <w:shd w:val="clear"/>
                    <w:spacing w:before="0" w:beforeAutospacing="0" w:after="0" w:afterAutospacing="0" w:line="315" w:lineRule="atLeast"/>
                    <w:ind w:left="0" w:right="0"/>
                    <w:rPr>
                      <w:rFonts w:hint="default" w:ascii="宋体" w:hAnsi="宋体" w:cs="Calibri"/>
                      <w:color w:val="auto"/>
                      <w:sz w:val="21"/>
                      <w:szCs w:val="21"/>
                      <w:highlight w:val="none"/>
                    </w:rPr>
                  </w:pPr>
                  <w:r>
                    <w:rPr>
                      <w:rFonts w:hint="eastAsia" w:ascii="宋体" w:hAnsi="宋体" w:cs="宋体"/>
                      <w:color w:val="auto"/>
                      <w:kern w:val="0"/>
                      <w:sz w:val="21"/>
                      <w:szCs w:val="21"/>
                      <w:highlight w:val="none"/>
                    </w:rPr>
                    <w:t>顺昌县、建瓯市、邵武市、建阳区、政和县、松溪县、浦城县、武夷山市、光泽县等南平市非区内范围</w:t>
                  </w:r>
                </w:p>
              </w:tc>
            </w:tr>
            <w:tr w14:paraId="1D479522">
              <w:tblPrEx>
                <w:tblCellMar>
                  <w:top w:w="0" w:type="dxa"/>
                  <w:left w:w="108" w:type="dxa"/>
                  <w:bottom w:w="0" w:type="dxa"/>
                  <w:right w:w="108" w:type="dxa"/>
                </w:tblCellMar>
              </w:tblPrEx>
              <w:trPr>
                <w:trHeight w:val="615" w:hRule="atLeast"/>
              </w:trPr>
              <w:tc>
                <w:tcPr>
                  <w:tcW w:w="1014" w:type="dxa"/>
                  <w:vMerge w:val="restart"/>
                  <w:tcBorders>
                    <w:top w:val="nil"/>
                    <w:left w:val="single" w:color="auto" w:sz="8" w:space="0"/>
                    <w:bottom w:val="single" w:color="auto" w:sz="8" w:space="0"/>
                    <w:right w:val="single" w:color="auto" w:sz="8" w:space="0"/>
                  </w:tcBorders>
                  <w:noWrap w:val="0"/>
                  <w:vAlign w:val="center"/>
                </w:tcPr>
                <w:p w14:paraId="0510CC45">
                  <w:pPr>
                    <w:keepNext w:val="0"/>
                    <w:keepLines w:val="0"/>
                    <w:widowControl/>
                    <w:suppressLineNumbers w:val="0"/>
                    <w:shd w:val="clear"/>
                    <w:spacing w:before="0" w:beforeAutospacing="0" w:after="0" w:afterAutospacing="0" w:line="315" w:lineRule="atLeast"/>
                    <w:ind w:left="0" w:right="0"/>
                    <w:jc w:val="center"/>
                    <w:rPr>
                      <w:rFonts w:hint="default" w:ascii="宋体" w:hAnsi="宋体" w:cs="Calibri"/>
                      <w:color w:val="auto"/>
                      <w:sz w:val="21"/>
                      <w:szCs w:val="21"/>
                      <w:highlight w:val="none"/>
                    </w:rPr>
                  </w:pPr>
                  <w:r>
                    <w:rPr>
                      <w:rFonts w:hint="eastAsia" w:ascii="宋体" w:hAnsi="宋体" w:cs="宋体"/>
                      <w:color w:val="auto"/>
                      <w:kern w:val="0"/>
                      <w:sz w:val="21"/>
                      <w:szCs w:val="21"/>
                      <w:highlight w:val="none"/>
                    </w:rPr>
                    <w:t>宁德市</w:t>
                  </w:r>
                </w:p>
              </w:tc>
              <w:tc>
                <w:tcPr>
                  <w:tcW w:w="993" w:type="dxa"/>
                  <w:tcBorders>
                    <w:top w:val="nil"/>
                    <w:left w:val="nil"/>
                    <w:bottom w:val="single" w:color="auto" w:sz="8" w:space="0"/>
                    <w:right w:val="single" w:color="auto" w:sz="8" w:space="0"/>
                  </w:tcBorders>
                  <w:noWrap w:val="0"/>
                  <w:vAlign w:val="center"/>
                </w:tcPr>
                <w:p w14:paraId="10F9D00B">
                  <w:pPr>
                    <w:keepNext w:val="0"/>
                    <w:keepLines w:val="0"/>
                    <w:widowControl/>
                    <w:suppressLineNumbers w:val="0"/>
                    <w:shd w:val="clear"/>
                    <w:spacing w:before="0" w:beforeAutospacing="0" w:after="0" w:afterAutospacing="0" w:line="315" w:lineRule="atLeast"/>
                    <w:ind w:left="0" w:right="0"/>
                    <w:jc w:val="center"/>
                    <w:rPr>
                      <w:rFonts w:hint="default" w:ascii="宋体" w:hAnsi="宋体" w:cs="Calibri"/>
                      <w:color w:val="auto"/>
                      <w:sz w:val="21"/>
                      <w:szCs w:val="21"/>
                      <w:highlight w:val="none"/>
                    </w:rPr>
                  </w:pPr>
                  <w:r>
                    <w:rPr>
                      <w:rFonts w:hint="eastAsia" w:ascii="宋体" w:hAnsi="宋体" w:cs="宋体"/>
                      <w:color w:val="auto"/>
                      <w:kern w:val="0"/>
                      <w:sz w:val="21"/>
                      <w:szCs w:val="21"/>
                      <w:highlight w:val="none"/>
                    </w:rPr>
                    <w:t>区内</w:t>
                  </w:r>
                </w:p>
              </w:tc>
              <w:tc>
                <w:tcPr>
                  <w:tcW w:w="6053" w:type="dxa"/>
                  <w:tcBorders>
                    <w:top w:val="nil"/>
                    <w:left w:val="nil"/>
                    <w:bottom w:val="single" w:color="auto" w:sz="8" w:space="0"/>
                    <w:right w:val="single" w:color="auto" w:sz="8" w:space="0"/>
                  </w:tcBorders>
                  <w:noWrap w:val="0"/>
                  <w:vAlign w:val="center"/>
                </w:tcPr>
                <w:p w14:paraId="6830BC11">
                  <w:pPr>
                    <w:keepNext w:val="0"/>
                    <w:keepLines w:val="0"/>
                    <w:widowControl/>
                    <w:suppressLineNumbers w:val="0"/>
                    <w:shd w:val="clear"/>
                    <w:spacing w:before="0" w:beforeAutospacing="0" w:after="0" w:afterAutospacing="0" w:line="315" w:lineRule="atLeast"/>
                    <w:ind w:left="0" w:right="0"/>
                    <w:rPr>
                      <w:rFonts w:hint="default" w:ascii="宋体" w:hAnsi="宋体" w:cs="Calibri"/>
                      <w:color w:val="auto"/>
                      <w:sz w:val="21"/>
                      <w:szCs w:val="21"/>
                      <w:highlight w:val="none"/>
                    </w:rPr>
                  </w:pPr>
                  <w:r>
                    <w:rPr>
                      <w:rFonts w:hint="eastAsia" w:ascii="宋体" w:hAnsi="宋体" w:cs="宋体"/>
                      <w:color w:val="auto"/>
                      <w:kern w:val="0"/>
                      <w:sz w:val="21"/>
                      <w:szCs w:val="21"/>
                      <w:highlight w:val="none"/>
                    </w:rPr>
                    <w:t>蕉城区、东侨新区</w:t>
                  </w:r>
                </w:p>
              </w:tc>
            </w:tr>
            <w:tr w14:paraId="622E5F56">
              <w:tblPrEx>
                <w:tblCellMar>
                  <w:top w:w="0" w:type="dxa"/>
                  <w:left w:w="108" w:type="dxa"/>
                  <w:bottom w:w="0" w:type="dxa"/>
                  <w:right w:w="108" w:type="dxa"/>
                </w:tblCellMar>
              </w:tblPrEx>
              <w:trPr>
                <w:trHeight w:val="615" w:hRule="atLeast"/>
              </w:trPr>
              <w:tc>
                <w:tcPr>
                  <w:tcW w:w="1014" w:type="dxa"/>
                  <w:vMerge w:val="continue"/>
                  <w:tcBorders>
                    <w:top w:val="nil"/>
                    <w:left w:val="single" w:color="auto" w:sz="8" w:space="0"/>
                    <w:bottom w:val="single" w:color="auto" w:sz="8" w:space="0"/>
                    <w:right w:val="single" w:color="auto" w:sz="8" w:space="0"/>
                  </w:tcBorders>
                  <w:noWrap w:val="0"/>
                  <w:vAlign w:val="center"/>
                </w:tcPr>
                <w:p w14:paraId="1E6CE9B0">
                  <w:pPr>
                    <w:keepNext w:val="0"/>
                    <w:keepLines w:val="0"/>
                    <w:widowControl/>
                    <w:suppressLineNumbers w:val="0"/>
                    <w:shd w:val="clear"/>
                    <w:spacing w:before="0" w:beforeAutospacing="0" w:after="0" w:afterAutospacing="0"/>
                    <w:ind w:left="0" w:right="0"/>
                    <w:jc w:val="left"/>
                    <w:rPr>
                      <w:rFonts w:hint="default" w:ascii="宋体" w:hAnsi="宋体" w:cs="Calibri"/>
                      <w:color w:val="auto"/>
                      <w:sz w:val="21"/>
                      <w:szCs w:val="21"/>
                      <w:highlight w:val="none"/>
                    </w:rPr>
                  </w:pPr>
                </w:p>
              </w:tc>
              <w:tc>
                <w:tcPr>
                  <w:tcW w:w="993" w:type="dxa"/>
                  <w:tcBorders>
                    <w:top w:val="nil"/>
                    <w:left w:val="nil"/>
                    <w:bottom w:val="single" w:color="auto" w:sz="8" w:space="0"/>
                    <w:right w:val="single" w:color="auto" w:sz="8" w:space="0"/>
                  </w:tcBorders>
                  <w:noWrap w:val="0"/>
                  <w:vAlign w:val="center"/>
                </w:tcPr>
                <w:p w14:paraId="5AA71D33">
                  <w:pPr>
                    <w:keepNext w:val="0"/>
                    <w:keepLines w:val="0"/>
                    <w:widowControl/>
                    <w:suppressLineNumbers w:val="0"/>
                    <w:shd w:val="clear"/>
                    <w:spacing w:before="0" w:beforeAutospacing="0" w:after="0" w:afterAutospacing="0" w:line="315" w:lineRule="atLeast"/>
                    <w:ind w:left="0" w:right="0"/>
                    <w:jc w:val="center"/>
                    <w:rPr>
                      <w:rFonts w:hint="default" w:ascii="宋体" w:hAnsi="宋体" w:cs="Calibri"/>
                      <w:color w:val="auto"/>
                      <w:sz w:val="21"/>
                      <w:szCs w:val="21"/>
                      <w:highlight w:val="none"/>
                    </w:rPr>
                  </w:pPr>
                  <w:r>
                    <w:rPr>
                      <w:rFonts w:hint="eastAsia" w:ascii="宋体" w:hAnsi="宋体" w:cs="宋体"/>
                      <w:color w:val="auto"/>
                      <w:kern w:val="0"/>
                      <w:sz w:val="21"/>
                      <w:szCs w:val="21"/>
                      <w:highlight w:val="none"/>
                    </w:rPr>
                    <w:t>区外</w:t>
                  </w:r>
                </w:p>
              </w:tc>
              <w:tc>
                <w:tcPr>
                  <w:tcW w:w="6053" w:type="dxa"/>
                  <w:tcBorders>
                    <w:top w:val="nil"/>
                    <w:left w:val="nil"/>
                    <w:bottom w:val="single" w:color="auto" w:sz="8" w:space="0"/>
                    <w:right w:val="single" w:color="auto" w:sz="8" w:space="0"/>
                  </w:tcBorders>
                  <w:noWrap w:val="0"/>
                  <w:vAlign w:val="center"/>
                </w:tcPr>
                <w:p w14:paraId="75075DE2">
                  <w:pPr>
                    <w:keepNext w:val="0"/>
                    <w:keepLines w:val="0"/>
                    <w:widowControl/>
                    <w:suppressLineNumbers w:val="0"/>
                    <w:shd w:val="clear"/>
                    <w:spacing w:before="0" w:beforeAutospacing="0" w:after="0" w:afterAutospacing="0" w:line="315" w:lineRule="atLeast"/>
                    <w:ind w:left="0" w:right="0"/>
                    <w:rPr>
                      <w:rFonts w:hint="default" w:ascii="宋体" w:hAnsi="宋体" w:cs="Calibri"/>
                      <w:color w:val="auto"/>
                      <w:sz w:val="21"/>
                      <w:szCs w:val="21"/>
                      <w:highlight w:val="none"/>
                    </w:rPr>
                  </w:pPr>
                  <w:r>
                    <w:rPr>
                      <w:rFonts w:hint="eastAsia" w:ascii="宋体" w:hAnsi="宋体" w:cs="宋体"/>
                      <w:color w:val="auto"/>
                      <w:kern w:val="0"/>
                      <w:sz w:val="21"/>
                      <w:szCs w:val="21"/>
                      <w:highlight w:val="none"/>
                    </w:rPr>
                    <w:t>福安市、福鼎市、霞浦县、古田县、屏南县、寿宁县、周宁县、柘荣县等宁德市非区内范围</w:t>
                  </w:r>
                </w:p>
              </w:tc>
            </w:tr>
          </w:tbl>
          <w:p w14:paraId="4E26E127">
            <w:pPr>
              <w:keepNext w:val="0"/>
              <w:keepLines w:val="0"/>
              <w:suppressLineNumbers w:val="0"/>
              <w:shd w:val="clear" w:color="auto"/>
              <w:spacing w:before="0" w:beforeAutospacing="0" w:after="0" w:afterAutospacing="0"/>
              <w:ind w:left="0" w:right="0"/>
              <w:rPr>
                <w:rFonts w:hint="default" w:ascii="宋体" w:hAnsi="宋体" w:cs="Arial"/>
                <w:b/>
                <w:bCs/>
                <w:color w:val="auto"/>
                <w:sz w:val="21"/>
                <w:szCs w:val="21"/>
                <w:highlight w:val="none"/>
              </w:rPr>
            </w:pPr>
          </w:p>
        </w:tc>
      </w:tr>
    </w:tbl>
    <w:p w14:paraId="269F660D">
      <w:pPr>
        <w:shd w:val="clear"/>
        <w:autoSpaceDE w:val="0"/>
        <w:autoSpaceDN w:val="0"/>
        <w:adjustRightInd w:val="0"/>
        <w:snapToGrid w:val="0"/>
        <w:spacing w:beforeLines="0" w:line="360" w:lineRule="auto"/>
        <w:ind w:firstLine="482" w:firstLineChars="200"/>
        <w:jc w:val="left"/>
        <w:rPr>
          <w:rFonts w:hint="eastAsia" w:ascii="宋体" w:hAnsi="宋体" w:eastAsia="宋体" w:cs="宋体"/>
          <w:b/>
          <w:bCs w:val="0"/>
          <w:color w:val="auto"/>
          <w:kern w:val="0"/>
          <w:sz w:val="24"/>
          <w:szCs w:val="24"/>
          <w:highlight w:val="none"/>
        </w:rPr>
      </w:pPr>
      <w:r>
        <w:rPr>
          <w:rFonts w:hint="eastAsia" w:ascii="宋体" w:hAnsi="宋体" w:eastAsia="宋体" w:cs="宋体"/>
          <w:b/>
          <w:bCs w:val="0"/>
          <w:color w:val="auto"/>
          <w:kern w:val="0"/>
          <w:sz w:val="24"/>
          <w:szCs w:val="24"/>
          <w:highlight w:val="none"/>
          <w:lang w:val="zh-CN" w:eastAsia="zh-CN"/>
        </w:rPr>
        <w:t>★</w:t>
      </w:r>
      <w:r>
        <w:rPr>
          <w:rFonts w:hint="eastAsia" w:ascii="宋体" w:hAnsi="宋体" w:eastAsia="宋体" w:cs="宋体"/>
          <w:b/>
          <w:bCs w:val="0"/>
          <w:color w:val="auto"/>
          <w:sz w:val="24"/>
          <w:szCs w:val="24"/>
          <w:highlight w:val="none"/>
        </w:rPr>
        <w:t>1</w:t>
      </w:r>
      <w:r>
        <w:rPr>
          <w:rFonts w:hint="eastAsia" w:ascii="宋体" w:hAnsi="宋体" w:cs="宋体"/>
          <w:b/>
          <w:bCs w:val="0"/>
          <w:color w:val="auto"/>
          <w:sz w:val="24"/>
          <w:szCs w:val="24"/>
          <w:highlight w:val="none"/>
          <w:lang w:val="en-US" w:eastAsia="zh-CN"/>
        </w:rPr>
        <w:t>3</w:t>
      </w:r>
      <w:r>
        <w:rPr>
          <w:rFonts w:hint="eastAsia" w:ascii="宋体" w:hAnsi="宋体" w:eastAsia="宋体" w:cs="宋体"/>
          <w:b/>
          <w:bCs w:val="0"/>
          <w:color w:val="auto"/>
          <w:kern w:val="0"/>
          <w:sz w:val="24"/>
          <w:szCs w:val="24"/>
          <w:highlight w:val="none"/>
          <w:lang w:val="en-US" w:eastAsia="zh-CN"/>
        </w:rPr>
        <w:t>、</w:t>
      </w:r>
      <w:r>
        <w:rPr>
          <w:rFonts w:hint="eastAsia" w:ascii="宋体" w:hAnsi="宋体" w:eastAsia="宋体" w:cs="宋体"/>
          <w:b/>
          <w:bCs w:val="0"/>
          <w:color w:val="auto"/>
          <w:kern w:val="0"/>
          <w:sz w:val="24"/>
          <w:szCs w:val="24"/>
          <w:highlight w:val="none"/>
          <w:lang w:eastAsia="zh-CN"/>
        </w:rPr>
        <w:t>投标人</w:t>
      </w:r>
      <w:r>
        <w:rPr>
          <w:rFonts w:hint="eastAsia" w:ascii="宋体" w:hAnsi="宋体" w:eastAsia="宋体" w:cs="宋体"/>
          <w:b/>
          <w:bCs w:val="0"/>
          <w:color w:val="auto"/>
          <w:kern w:val="0"/>
          <w:sz w:val="24"/>
          <w:szCs w:val="24"/>
          <w:highlight w:val="none"/>
        </w:rPr>
        <w:t>须在投标文件中明确单独书面承诺：</w:t>
      </w:r>
      <w:r>
        <w:rPr>
          <w:rFonts w:hint="eastAsia" w:ascii="宋体" w:hAnsi="宋体" w:eastAsia="宋体" w:cs="宋体"/>
          <w:b/>
          <w:bCs w:val="0"/>
          <w:color w:val="auto"/>
          <w:kern w:val="0"/>
          <w:sz w:val="24"/>
          <w:szCs w:val="24"/>
          <w:highlight w:val="none"/>
          <w:lang w:val="en-GB"/>
        </w:rPr>
        <w:t>如有绿板、高拍仪</w:t>
      </w:r>
      <w:r>
        <w:rPr>
          <w:rFonts w:hint="eastAsia" w:ascii="宋体" w:hAnsi="宋体" w:eastAsia="宋体" w:cs="宋体"/>
          <w:b/>
          <w:bCs w:val="0"/>
          <w:color w:val="auto"/>
          <w:kern w:val="0"/>
          <w:sz w:val="24"/>
          <w:szCs w:val="24"/>
          <w:highlight w:val="none"/>
          <w:lang w:val="en-GB" w:eastAsia="zh-CN"/>
        </w:rPr>
        <w:t>或实物展台、中控、音箱或其他</w:t>
      </w:r>
      <w:r>
        <w:rPr>
          <w:rFonts w:hint="eastAsia" w:ascii="宋体" w:hAnsi="宋体" w:eastAsia="宋体" w:cs="宋体"/>
          <w:b/>
          <w:bCs w:val="0"/>
          <w:color w:val="auto"/>
          <w:kern w:val="0"/>
          <w:sz w:val="24"/>
          <w:szCs w:val="24"/>
          <w:highlight w:val="none"/>
          <w:lang w:val="en-GB"/>
        </w:rPr>
        <w:t>扩声设备</w:t>
      </w:r>
      <w:r>
        <w:rPr>
          <w:rFonts w:hint="eastAsia" w:ascii="宋体" w:hAnsi="宋体" w:eastAsia="宋体" w:cs="宋体"/>
          <w:b/>
          <w:bCs w:val="0"/>
          <w:color w:val="auto"/>
          <w:kern w:val="0"/>
          <w:sz w:val="24"/>
          <w:szCs w:val="24"/>
          <w:highlight w:val="none"/>
          <w:lang w:val="en-GB" w:eastAsia="zh-CN"/>
        </w:rPr>
        <w:t>等触控一体机</w:t>
      </w:r>
      <w:r>
        <w:rPr>
          <w:rFonts w:hint="eastAsia" w:ascii="宋体" w:hAnsi="宋体" w:cs="宋体"/>
          <w:b/>
          <w:bCs w:val="0"/>
          <w:color w:val="auto"/>
          <w:kern w:val="0"/>
          <w:sz w:val="24"/>
          <w:szCs w:val="24"/>
          <w:highlight w:val="none"/>
          <w:lang w:val="en-US" w:eastAsia="zh-CN"/>
        </w:rPr>
        <w:t>/智慧黑板</w:t>
      </w:r>
      <w:r>
        <w:rPr>
          <w:rFonts w:hint="eastAsia" w:ascii="宋体" w:hAnsi="宋体" w:eastAsia="宋体" w:cs="宋体"/>
          <w:b/>
          <w:bCs w:val="0"/>
          <w:color w:val="auto"/>
          <w:kern w:val="0"/>
          <w:sz w:val="24"/>
          <w:szCs w:val="24"/>
          <w:highlight w:val="none"/>
          <w:lang w:val="en-GB" w:eastAsia="zh-CN"/>
        </w:rPr>
        <w:t>配套产品</w:t>
      </w:r>
      <w:r>
        <w:rPr>
          <w:rFonts w:hint="eastAsia" w:ascii="宋体" w:hAnsi="宋体" w:eastAsia="宋体" w:cs="宋体"/>
          <w:b/>
          <w:bCs w:val="0"/>
          <w:color w:val="auto"/>
          <w:kern w:val="0"/>
          <w:sz w:val="24"/>
          <w:szCs w:val="24"/>
          <w:highlight w:val="none"/>
          <w:lang w:val="en-GB"/>
        </w:rPr>
        <w:t>一起安装时</w:t>
      </w:r>
      <w:r>
        <w:rPr>
          <w:rFonts w:hint="eastAsia" w:ascii="宋体" w:hAnsi="宋体" w:eastAsia="宋体" w:cs="宋体"/>
          <w:b/>
          <w:bCs w:val="0"/>
          <w:color w:val="auto"/>
          <w:kern w:val="0"/>
          <w:sz w:val="24"/>
          <w:szCs w:val="24"/>
          <w:highlight w:val="none"/>
          <w:lang w:val="en-GB" w:eastAsia="zh-CN"/>
        </w:rPr>
        <w:t>，</w:t>
      </w:r>
      <w:r>
        <w:rPr>
          <w:rFonts w:hint="eastAsia" w:ascii="宋体" w:hAnsi="宋体" w:eastAsia="宋体" w:cs="宋体"/>
          <w:b/>
          <w:bCs w:val="0"/>
          <w:color w:val="auto"/>
          <w:kern w:val="0"/>
          <w:sz w:val="24"/>
          <w:szCs w:val="24"/>
          <w:highlight w:val="none"/>
          <w:lang w:eastAsia="zh-CN"/>
        </w:rPr>
        <w:t>投标人</w:t>
      </w:r>
      <w:r>
        <w:rPr>
          <w:rFonts w:hint="eastAsia" w:ascii="宋体" w:hAnsi="宋体" w:eastAsia="宋体" w:cs="宋体"/>
          <w:b/>
          <w:bCs w:val="0"/>
          <w:color w:val="auto"/>
          <w:kern w:val="0"/>
          <w:sz w:val="24"/>
          <w:szCs w:val="24"/>
          <w:highlight w:val="none"/>
          <w:lang w:val="en-GB" w:eastAsia="zh-CN"/>
        </w:rPr>
        <w:t>免费提供安装调试服务。</w:t>
      </w:r>
      <w:r>
        <w:rPr>
          <w:rFonts w:hint="eastAsia" w:ascii="宋体" w:hAnsi="宋体" w:eastAsia="宋体" w:cs="宋体"/>
          <w:b/>
          <w:bCs w:val="0"/>
          <w:color w:val="auto"/>
          <w:kern w:val="0"/>
          <w:sz w:val="24"/>
          <w:szCs w:val="24"/>
          <w:highlight w:val="none"/>
        </w:rPr>
        <w:t>为保证服务及时性，在接到安装通知后三个日历日内未上门安装的，</w:t>
      </w:r>
      <w:r>
        <w:rPr>
          <w:rFonts w:hint="eastAsia" w:ascii="宋体" w:hAnsi="宋体" w:eastAsia="宋体" w:cs="宋体"/>
          <w:b/>
          <w:bCs w:val="0"/>
          <w:color w:val="auto"/>
          <w:kern w:val="0"/>
          <w:sz w:val="24"/>
          <w:szCs w:val="24"/>
          <w:highlight w:val="none"/>
          <w:lang w:eastAsia="zh-CN"/>
        </w:rPr>
        <w:t>征集人</w:t>
      </w:r>
      <w:r>
        <w:rPr>
          <w:rFonts w:hint="eastAsia" w:ascii="宋体" w:hAnsi="宋体" w:eastAsia="宋体" w:cs="宋体"/>
          <w:b/>
          <w:bCs w:val="0"/>
          <w:color w:val="auto"/>
          <w:kern w:val="0"/>
          <w:sz w:val="24"/>
          <w:szCs w:val="24"/>
          <w:highlight w:val="none"/>
        </w:rPr>
        <w:t>有权另行安排人员上门安装（安装后所产生的售后服务仍由中标供应商自行负责），产生的所有费用由中标供应商承担，</w:t>
      </w:r>
      <w:r>
        <w:rPr>
          <w:rFonts w:hint="eastAsia" w:ascii="宋体" w:hAnsi="宋体" w:eastAsia="宋体" w:cs="宋体"/>
          <w:b/>
          <w:bCs w:val="0"/>
          <w:color w:val="auto"/>
          <w:kern w:val="0"/>
          <w:sz w:val="24"/>
          <w:szCs w:val="24"/>
          <w:highlight w:val="none"/>
          <w:lang w:eastAsia="zh-CN"/>
        </w:rPr>
        <w:t>征集人</w:t>
      </w:r>
      <w:r>
        <w:rPr>
          <w:rFonts w:hint="eastAsia" w:ascii="宋体" w:hAnsi="宋体" w:eastAsia="宋体" w:cs="宋体"/>
          <w:b/>
          <w:bCs w:val="0"/>
          <w:color w:val="auto"/>
          <w:kern w:val="0"/>
          <w:sz w:val="24"/>
          <w:szCs w:val="24"/>
          <w:highlight w:val="none"/>
        </w:rPr>
        <w:t>有权直接从中标供应商的履约保证金中扣除。</w:t>
      </w:r>
      <w:r>
        <w:rPr>
          <w:rFonts w:hint="eastAsia" w:ascii="宋体" w:hAnsi="宋体" w:eastAsia="宋体" w:cs="宋体"/>
          <w:b/>
          <w:bCs w:val="0"/>
          <w:color w:val="auto"/>
          <w:kern w:val="0"/>
          <w:sz w:val="24"/>
          <w:szCs w:val="24"/>
          <w:highlight w:val="none"/>
          <w:lang w:val="en-GB"/>
        </w:rPr>
        <w:t>具体安装收费标准</w:t>
      </w:r>
      <w:r>
        <w:rPr>
          <w:rFonts w:hint="eastAsia" w:ascii="宋体" w:hAnsi="宋体" w:eastAsia="宋体" w:cs="宋体"/>
          <w:b/>
          <w:bCs w:val="0"/>
          <w:color w:val="auto"/>
          <w:kern w:val="0"/>
          <w:sz w:val="24"/>
          <w:szCs w:val="24"/>
          <w:highlight w:val="none"/>
          <w:lang w:val="en-GB" w:eastAsia="zh-CN"/>
        </w:rPr>
        <w:t>为60</w:t>
      </w:r>
      <w:r>
        <w:rPr>
          <w:rFonts w:hint="eastAsia" w:ascii="宋体" w:hAnsi="宋体" w:eastAsia="宋体" w:cs="宋体"/>
          <w:b/>
          <w:bCs w:val="0"/>
          <w:color w:val="auto"/>
          <w:kern w:val="0"/>
          <w:sz w:val="24"/>
          <w:szCs w:val="24"/>
          <w:highlight w:val="none"/>
          <w:lang w:val="en-GB"/>
        </w:rPr>
        <w:t>0</w:t>
      </w:r>
      <w:r>
        <w:rPr>
          <w:rFonts w:hint="eastAsia" w:ascii="宋体" w:hAnsi="宋体" w:eastAsia="宋体" w:cs="宋体"/>
          <w:b/>
          <w:bCs w:val="0"/>
          <w:color w:val="auto"/>
          <w:kern w:val="0"/>
          <w:sz w:val="24"/>
          <w:szCs w:val="24"/>
          <w:highlight w:val="none"/>
          <w:lang w:val="en-GB" w:eastAsia="zh-CN"/>
        </w:rPr>
        <w:t>元/台。</w:t>
      </w:r>
    </w:p>
    <w:p w14:paraId="315A818F">
      <w:pPr>
        <w:shd w:val="clear" w:color="auto" w:fill="FFFFFF"/>
        <w:spacing w:line="360" w:lineRule="auto"/>
        <w:ind w:firstLine="484"/>
        <w:rPr>
          <w:rFonts w:ascii="宋体" w:hAnsi="宋体" w:eastAsia="宋体" w:cs="宋体"/>
          <w:b/>
          <w:bCs w:val="0"/>
          <w:color w:val="auto"/>
          <w:kern w:val="0"/>
          <w:sz w:val="24"/>
          <w:szCs w:val="24"/>
          <w:highlight w:val="none"/>
          <w:lang w:val="en-US" w:eastAsia="zh-CN" w:bidi="ar-SA"/>
        </w:rPr>
      </w:pPr>
      <w:r>
        <w:rPr>
          <w:rFonts w:ascii="宋体" w:hAnsi="宋体" w:eastAsia="宋体" w:cs="宋体"/>
          <w:b/>
          <w:bCs w:val="0"/>
          <w:color w:val="auto"/>
          <w:kern w:val="0"/>
          <w:sz w:val="24"/>
          <w:szCs w:val="24"/>
          <w:highlight w:val="none"/>
          <w:lang w:val="en-US" w:eastAsia="zh-CN" w:bidi="ar-SA"/>
        </w:rPr>
        <w:t>★1</w:t>
      </w:r>
      <w:r>
        <w:rPr>
          <w:rFonts w:hint="eastAsia" w:ascii="宋体" w:hAnsi="宋体" w:cs="宋体"/>
          <w:b/>
          <w:bCs w:val="0"/>
          <w:color w:val="auto"/>
          <w:kern w:val="0"/>
          <w:sz w:val="24"/>
          <w:szCs w:val="24"/>
          <w:highlight w:val="none"/>
          <w:lang w:val="en-US" w:eastAsia="zh-CN" w:bidi="ar-SA"/>
        </w:rPr>
        <w:t>4</w:t>
      </w:r>
      <w:r>
        <w:rPr>
          <w:rFonts w:ascii="宋体" w:hAnsi="宋体" w:eastAsia="宋体" w:cs="宋体"/>
          <w:b/>
          <w:bCs w:val="0"/>
          <w:color w:val="auto"/>
          <w:kern w:val="0"/>
          <w:sz w:val="24"/>
          <w:szCs w:val="24"/>
          <w:highlight w:val="none"/>
          <w:lang w:val="en-US" w:eastAsia="zh-CN" w:bidi="ar-SA"/>
        </w:rPr>
        <w:t>、其他要求及说明</w:t>
      </w:r>
    </w:p>
    <w:p w14:paraId="314BB91C">
      <w:pPr>
        <w:shd w:val="clear" w:color="auto" w:fill="FFFFFF"/>
        <w:spacing w:line="360" w:lineRule="auto"/>
        <w:ind w:firstLine="484"/>
        <w:rPr>
          <w:rFonts w:hint="eastAsia" w:ascii="宋体" w:hAnsi="宋体" w:eastAsia="宋体" w:cs="宋体"/>
          <w:b/>
          <w:bCs w:val="0"/>
          <w:color w:val="auto"/>
          <w:kern w:val="0"/>
          <w:sz w:val="24"/>
          <w:szCs w:val="24"/>
          <w:highlight w:val="none"/>
          <w:lang w:val="en-US" w:eastAsia="zh-CN" w:bidi="ar-SA"/>
        </w:rPr>
      </w:pPr>
      <w:r>
        <w:rPr>
          <w:rFonts w:ascii="宋体" w:hAnsi="宋体" w:eastAsia="宋体" w:cs="宋体"/>
          <w:b/>
          <w:bCs w:val="0"/>
          <w:color w:val="auto"/>
          <w:kern w:val="0"/>
          <w:sz w:val="24"/>
          <w:szCs w:val="24"/>
          <w:highlight w:val="none"/>
          <w:lang w:val="en-US" w:eastAsia="zh-CN" w:bidi="ar-SA"/>
        </w:rPr>
        <w:t>1</w:t>
      </w:r>
      <w:r>
        <w:rPr>
          <w:rFonts w:hint="eastAsia" w:ascii="宋体" w:hAnsi="宋体" w:cs="宋体"/>
          <w:b/>
          <w:bCs w:val="0"/>
          <w:color w:val="auto"/>
          <w:kern w:val="0"/>
          <w:sz w:val="24"/>
          <w:szCs w:val="24"/>
          <w:highlight w:val="none"/>
          <w:lang w:val="en-US" w:eastAsia="zh-CN" w:bidi="ar-SA"/>
        </w:rPr>
        <w:t>4</w:t>
      </w:r>
      <w:r>
        <w:rPr>
          <w:rFonts w:ascii="宋体" w:hAnsi="宋体" w:eastAsia="宋体" w:cs="宋体"/>
          <w:b/>
          <w:bCs w:val="0"/>
          <w:color w:val="auto"/>
          <w:kern w:val="0"/>
          <w:sz w:val="24"/>
          <w:szCs w:val="24"/>
          <w:highlight w:val="none"/>
          <w:lang w:val="en-US" w:eastAsia="zh-CN" w:bidi="ar-SA"/>
        </w:rPr>
        <w:t>.1投标人须在投标文件中明确作出如下书面承诺</w:t>
      </w:r>
      <w:r>
        <w:rPr>
          <w:rFonts w:hint="default" w:ascii="宋体" w:hAnsi="宋体" w:eastAsia="宋体" w:cs="宋体"/>
          <w:b/>
          <w:bCs w:val="0"/>
          <w:color w:val="auto"/>
          <w:kern w:val="0"/>
          <w:sz w:val="24"/>
          <w:szCs w:val="24"/>
          <w:highlight w:val="none"/>
          <w:lang w:val="en-US" w:eastAsia="zh-CN" w:bidi="ar-SA"/>
        </w:rPr>
        <w:t>并提供书面承诺函（格式自拟，加盖投标人公章）</w:t>
      </w:r>
      <w:r>
        <w:rPr>
          <w:rFonts w:ascii="宋体" w:hAnsi="宋体" w:eastAsia="宋体" w:cs="宋体"/>
          <w:b/>
          <w:bCs w:val="0"/>
          <w:color w:val="auto"/>
          <w:kern w:val="0"/>
          <w:sz w:val="24"/>
          <w:szCs w:val="24"/>
          <w:highlight w:val="none"/>
          <w:lang w:val="en-US" w:eastAsia="zh-CN" w:bidi="ar-SA"/>
        </w:rPr>
        <w:t>：投标人承诺接受《框架采购协议》中《</w:t>
      </w:r>
      <w:r>
        <w:rPr>
          <w:rFonts w:hint="eastAsia" w:ascii="宋体" w:hAnsi="宋体" w:eastAsia="宋体" w:cs="宋体"/>
          <w:b/>
          <w:bCs w:val="0"/>
          <w:color w:val="auto"/>
          <w:kern w:val="0"/>
          <w:sz w:val="24"/>
          <w:szCs w:val="24"/>
          <w:highlight w:val="none"/>
          <w:lang w:val="en-US" w:eastAsia="zh-CN" w:bidi="ar-SA"/>
        </w:rPr>
        <w:t>入围供应商评价机制》对其的考核并同意按考核情况处理。</w:t>
      </w:r>
    </w:p>
    <w:p w14:paraId="4F59CC41">
      <w:pPr>
        <w:shd w:val="clear" w:color="auto" w:fill="FFFFFF"/>
        <w:spacing w:line="360" w:lineRule="auto"/>
        <w:ind w:firstLine="484"/>
        <w:rPr>
          <w:rFonts w:hint="default" w:ascii="宋体" w:hAnsi="宋体" w:eastAsia="宋体" w:cs="宋体"/>
          <w:b/>
          <w:bCs w:val="0"/>
          <w:color w:val="auto"/>
          <w:kern w:val="0"/>
          <w:sz w:val="24"/>
          <w:szCs w:val="24"/>
          <w:highlight w:val="none"/>
          <w:lang w:val="en-US" w:eastAsia="zh-CN" w:bidi="ar-SA"/>
        </w:rPr>
      </w:pPr>
      <w:r>
        <w:rPr>
          <w:rFonts w:hint="default" w:ascii="宋体" w:hAnsi="宋体" w:eastAsia="宋体" w:cs="宋体"/>
          <w:b/>
          <w:bCs w:val="0"/>
          <w:color w:val="auto"/>
          <w:kern w:val="0"/>
          <w:sz w:val="24"/>
          <w:szCs w:val="24"/>
          <w:highlight w:val="none"/>
          <w:lang w:val="en-US" w:eastAsia="zh-CN" w:bidi="ar-SA"/>
        </w:rPr>
        <w:t>1</w:t>
      </w:r>
      <w:r>
        <w:rPr>
          <w:rFonts w:hint="eastAsia" w:ascii="宋体" w:hAnsi="宋体" w:cs="宋体"/>
          <w:b/>
          <w:bCs w:val="0"/>
          <w:color w:val="auto"/>
          <w:kern w:val="0"/>
          <w:sz w:val="24"/>
          <w:szCs w:val="24"/>
          <w:highlight w:val="none"/>
          <w:lang w:val="en-US" w:eastAsia="zh-CN" w:bidi="ar-SA"/>
        </w:rPr>
        <w:t>4</w:t>
      </w:r>
      <w:r>
        <w:rPr>
          <w:rFonts w:hint="default" w:ascii="宋体" w:hAnsi="宋体" w:eastAsia="宋体" w:cs="宋体"/>
          <w:b/>
          <w:bCs w:val="0"/>
          <w:color w:val="auto"/>
          <w:kern w:val="0"/>
          <w:sz w:val="24"/>
          <w:szCs w:val="24"/>
          <w:highlight w:val="none"/>
          <w:lang w:val="en-US" w:eastAsia="zh-CN" w:bidi="ar-SA"/>
        </w:rPr>
        <w:t>.</w:t>
      </w:r>
      <w:r>
        <w:rPr>
          <w:rFonts w:hint="eastAsia" w:ascii="宋体" w:hAnsi="宋体" w:eastAsia="宋体" w:cs="宋体"/>
          <w:b/>
          <w:bCs w:val="0"/>
          <w:color w:val="auto"/>
          <w:kern w:val="0"/>
          <w:sz w:val="24"/>
          <w:szCs w:val="24"/>
          <w:highlight w:val="none"/>
          <w:lang w:val="en-US" w:eastAsia="zh-CN" w:bidi="ar-SA"/>
        </w:rPr>
        <w:t>2</w:t>
      </w:r>
      <w:r>
        <w:rPr>
          <w:rFonts w:hint="default" w:ascii="宋体" w:hAnsi="宋体" w:eastAsia="宋体" w:cs="宋体"/>
          <w:b/>
          <w:bCs w:val="0"/>
          <w:color w:val="auto"/>
          <w:kern w:val="0"/>
          <w:sz w:val="24"/>
          <w:szCs w:val="24"/>
          <w:highlight w:val="none"/>
          <w:lang w:val="en-US" w:eastAsia="zh-CN" w:bidi="ar-SA"/>
        </w:rPr>
        <w:t>投标人须在投标文件中明确作出如下书面承诺并提供书面承诺函（格式自拟，加盖投标人公章）：投标人</w:t>
      </w:r>
      <w:r>
        <w:rPr>
          <w:rFonts w:hint="eastAsia" w:ascii="宋体" w:hAnsi="宋体" w:eastAsia="宋体" w:cs="宋体"/>
          <w:b/>
          <w:bCs w:val="0"/>
          <w:color w:val="auto"/>
          <w:kern w:val="0"/>
          <w:sz w:val="24"/>
          <w:szCs w:val="24"/>
          <w:highlight w:val="none"/>
          <w:lang w:val="en-US" w:eastAsia="zh-CN" w:bidi="ar-SA"/>
        </w:rPr>
        <w:t>及投标人委托的代理商</w:t>
      </w:r>
      <w:r>
        <w:rPr>
          <w:rFonts w:hint="default" w:ascii="宋体" w:hAnsi="宋体" w:eastAsia="宋体" w:cs="宋体"/>
          <w:b/>
          <w:bCs w:val="0"/>
          <w:color w:val="auto"/>
          <w:kern w:val="0"/>
          <w:sz w:val="24"/>
          <w:szCs w:val="24"/>
          <w:highlight w:val="none"/>
          <w:lang w:val="en-US" w:eastAsia="zh-CN" w:bidi="ar-SA"/>
        </w:rPr>
        <w:t>承诺接受《</w:t>
      </w:r>
      <w:r>
        <w:rPr>
          <w:rFonts w:hint="eastAsia" w:ascii="宋体" w:hAnsi="宋体" w:eastAsia="宋体" w:cs="宋体"/>
          <w:b/>
          <w:bCs w:val="0"/>
          <w:color w:val="auto"/>
          <w:kern w:val="0"/>
          <w:sz w:val="24"/>
          <w:szCs w:val="24"/>
          <w:highlight w:val="none"/>
          <w:lang w:val="en-US" w:eastAsia="zh-CN" w:bidi="ar-SA"/>
        </w:rPr>
        <w:t>采购合同</w:t>
      </w:r>
      <w:r>
        <w:rPr>
          <w:rFonts w:hint="default" w:ascii="宋体" w:hAnsi="宋体" w:eastAsia="宋体" w:cs="宋体"/>
          <w:b/>
          <w:bCs w:val="0"/>
          <w:color w:val="auto"/>
          <w:kern w:val="0"/>
          <w:sz w:val="24"/>
          <w:szCs w:val="24"/>
          <w:highlight w:val="none"/>
          <w:lang w:val="en-US" w:eastAsia="zh-CN" w:bidi="ar-SA"/>
        </w:rPr>
        <w:t>》中《服务考核细则》对其的考核并同意按考核情况处理。</w:t>
      </w:r>
    </w:p>
    <w:p w14:paraId="68C487D9">
      <w:pPr>
        <w:shd w:val="clear" w:color="auto" w:fill="FFFFFF"/>
        <w:spacing w:line="360" w:lineRule="auto"/>
        <w:ind w:firstLine="484"/>
        <w:rPr>
          <w:rFonts w:hint="default" w:ascii="宋体" w:hAnsi="宋体" w:eastAsia="宋体" w:cs="宋体"/>
          <w:b/>
          <w:bCs w:val="0"/>
          <w:color w:val="auto"/>
          <w:kern w:val="0"/>
          <w:sz w:val="24"/>
          <w:szCs w:val="24"/>
          <w:highlight w:val="none"/>
          <w:lang w:val="en-US" w:eastAsia="zh-CN" w:bidi="ar-SA"/>
        </w:rPr>
      </w:pPr>
      <w:r>
        <w:rPr>
          <w:rFonts w:hint="default" w:ascii="宋体" w:hAnsi="宋体" w:eastAsia="宋体" w:cs="宋体"/>
          <w:b/>
          <w:bCs w:val="0"/>
          <w:color w:val="auto"/>
          <w:kern w:val="0"/>
          <w:sz w:val="24"/>
          <w:szCs w:val="24"/>
          <w:highlight w:val="none"/>
          <w:lang w:val="en-US" w:eastAsia="zh-CN" w:bidi="ar-SA"/>
        </w:rPr>
        <w:t>1</w:t>
      </w:r>
      <w:r>
        <w:rPr>
          <w:rFonts w:hint="eastAsia" w:ascii="宋体" w:hAnsi="宋体" w:cs="宋体"/>
          <w:b/>
          <w:bCs w:val="0"/>
          <w:color w:val="auto"/>
          <w:kern w:val="0"/>
          <w:sz w:val="24"/>
          <w:szCs w:val="24"/>
          <w:highlight w:val="none"/>
          <w:lang w:val="en-US" w:eastAsia="zh-CN" w:bidi="ar-SA"/>
        </w:rPr>
        <w:t>4</w:t>
      </w:r>
      <w:r>
        <w:rPr>
          <w:rFonts w:hint="default" w:ascii="宋体" w:hAnsi="宋体" w:eastAsia="宋体" w:cs="宋体"/>
          <w:b/>
          <w:bCs w:val="0"/>
          <w:color w:val="auto"/>
          <w:kern w:val="0"/>
          <w:sz w:val="24"/>
          <w:szCs w:val="24"/>
          <w:highlight w:val="none"/>
          <w:lang w:val="en-US" w:eastAsia="zh-CN" w:bidi="ar-SA"/>
        </w:rPr>
        <w:t>.</w:t>
      </w:r>
      <w:r>
        <w:rPr>
          <w:rFonts w:hint="eastAsia" w:ascii="宋体" w:hAnsi="宋体" w:eastAsia="宋体" w:cs="宋体"/>
          <w:b/>
          <w:bCs w:val="0"/>
          <w:color w:val="auto"/>
          <w:kern w:val="0"/>
          <w:sz w:val="24"/>
          <w:szCs w:val="24"/>
          <w:highlight w:val="none"/>
          <w:lang w:val="en-US" w:eastAsia="zh-CN" w:bidi="ar-SA"/>
        </w:rPr>
        <w:t>3投标人所</w:t>
      </w:r>
      <w:r>
        <w:rPr>
          <w:rFonts w:hint="default" w:ascii="宋体" w:hAnsi="宋体" w:eastAsia="宋体" w:cs="宋体"/>
          <w:b/>
          <w:bCs w:val="0"/>
          <w:color w:val="auto"/>
          <w:kern w:val="0"/>
          <w:sz w:val="24"/>
          <w:szCs w:val="24"/>
          <w:highlight w:val="none"/>
          <w:lang w:val="en-US" w:eastAsia="zh-CN" w:bidi="ar-SA"/>
        </w:rPr>
        <w:t>投</w:t>
      </w:r>
      <w:r>
        <w:rPr>
          <w:rFonts w:hint="eastAsia" w:ascii="宋体" w:hAnsi="宋体" w:eastAsia="宋体" w:cs="宋体"/>
          <w:b/>
          <w:bCs w:val="0"/>
          <w:color w:val="auto"/>
          <w:kern w:val="0"/>
          <w:sz w:val="24"/>
          <w:szCs w:val="24"/>
          <w:highlight w:val="none"/>
          <w:lang w:val="en-US" w:eastAsia="zh-CN" w:bidi="ar-SA"/>
        </w:rPr>
        <w:t>采购包</w:t>
      </w:r>
      <w:r>
        <w:rPr>
          <w:rFonts w:hint="default" w:ascii="宋体" w:hAnsi="宋体" w:eastAsia="宋体" w:cs="宋体"/>
          <w:b/>
          <w:bCs w:val="0"/>
          <w:color w:val="auto"/>
          <w:kern w:val="0"/>
          <w:sz w:val="24"/>
          <w:szCs w:val="24"/>
          <w:highlight w:val="none"/>
          <w:lang w:val="en-US" w:eastAsia="zh-CN" w:bidi="ar-SA"/>
        </w:rPr>
        <w:t>产品应符合国家强制性产品认证标准的要求，获得CCC认证证书，并在投标文件中提供CCC认证证书有效期内的复印件并加盖投标人公章。</w:t>
      </w:r>
    </w:p>
    <w:p w14:paraId="343134B8">
      <w:pPr>
        <w:keepNext w:val="0"/>
        <w:keepLines w:val="0"/>
        <w:widowControl w:val="0"/>
        <w:suppressLineNumbers w:val="0"/>
        <w:shd w:val="clear" w:color="auto" w:fill="FFFFFF"/>
        <w:spacing w:before="0" w:beforeAutospacing="0" w:after="0" w:afterAutospacing="0" w:line="360" w:lineRule="auto"/>
        <w:ind w:left="0" w:right="0" w:firstLine="484"/>
        <w:jc w:val="both"/>
        <w:rPr>
          <w:rFonts w:hint="eastAsia" w:ascii="宋体" w:hAnsi="宋体" w:eastAsia="宋体" w:cs="宋体"/>
          <w:b/>
          <w:bCs w:val="0"/>
          <w:color w:val="auto"/>
          <w:kern w:val="0"/>
          <w:sz w:val="24"/>
          <w:szCs w:val="24"/>
          <w:highlight w:val="none"/>
          <w:lang w:val="en-US" w:eastAsia="zh-CN" w:bidi="ar"/>
        </w:rPr>
      </w:pPr>
      <w:r>
        <w:rPr>
          <w:rFonts w:hint="eastAsia" w:ascii="宋体" w:hAnsi="宋体" w:eastAsia="宋体" w:cs="宋体"/>
          <w:b/>
          <w:bCs w:val="0"/>
          <w:color w:val="auto"/>
          <w:kern w:val="0"/>
          <w:sz w:val="24"/>
          <w:szCs w:val="24"/>
          <w:highlight w:val="none"/>
          <w:lang w:val="en-US" w:eastAsia="zh-CN" w:bidi="ar"/>
        </w:rPr>
        <w:t>1</w:t>
      </w:r>
      <w:r>
        <w:rPr>
          <w:rFonts w:hint="eastAsia" w:ascii="宋体" w:hAnsi="宋体" w:cs="宋体"/>
          <w:b/>
          <w:bCs w:val="0"/>
          <w:color w:val="auto"/>
          <w:kern w:val="0"/>
          <w:sz w:val="24"/>
          <w:szCs w:val="24"/>
          <w:highlight w:val="none"/>
          <w:lang w:val="en-US" w:eastAsia="zh-CN" w:bidi="ar"/>
        </w:rPr>
        <w:t>4</w:t>
      </w:r>
      <w:r>
        <w:rPr>
          <w:rFonts w:hint="eastAsia" w:ascii="宋体" w:hAnsi="宋体" w:eastAsia="宋体" w:cs="宋体"/>
          <w:b/>
          <w:bCs w:val="0"/>
          <w:color w:val="auto"/>
          <w:kern w:val="0"/>
          <w:sz w:val="24"/>
          <w:szCs w:val="24"/>
          <w:highlight w:val="none"/>
          <w:lang w:val="en-US" w:eastAsia="zh-CN" w:bidi="ar"/>
        </w:rPr>
        <w:t>.4、投标人应提供所投采购包产品节能认证证书有效期内的复印件并加盖投标人公章。</w:t>
      </w:r>
    </w:p>
    <w:p w14:paraId="4DF3905D">
      <w:pPr>
        <w:keepNext w:val="0"/>
        <w:keepLines w:val="0"/>
        <w:widowControl w:val="0"/>
        <w:suppressLineNumbers w:val="0"/>
        <w:shd w:val="clear" w:color="auto" w:fill="FFFFFF"/>
        <w:spacing w:before="0" w:beforeAutospacing="0" w:after="0" w:afterAutospacing="0" w:line="360" w:lineRule="auto"/>
        <w:ind w:left="0" w:right="0" w:firstLine="484"/>
        <w:jc w:val="both"/>
        <w:rPr>
          <w:rFonts w:hint="default" w:ascii="宋体" w:hAnsi="宋体" w:eastAsia="宋体" w:cs="宋体"/>
          <w:b/>
          <w:bCs w:val="0"/>
          <w:color w:val="auto"/>
          <w:kern w:val="0"/>
          <w:sz w:val="24"/>
          <w:szCs w:val="24"/>
          <w:highlight w:val="none"/>
          <w:lang w:val="en-US" w:eastAsia="zh-CN" w:bidi="ar-SA"/>
        </w:rPr>
      </w:pPr>
      <w:r>
        <w:rPr>
          <w:rFonts w:hint="default" w:ascii="宋体" w:hAnsi="宋体" w:eastAsia="宋体" w:cs="宋体"/>
          <w:b/>
          <w:bCs w:val="0"/>
          <w:color w:val="auto"/>
          <w:kern w:val="0"/>
          <w:sz w:val="24"/>
          <w:szCs w:val="24"/>
          <w:highlight w:val="none"/>
          <w:lang w:val="en-US" w:eastAsia="zh-CN" w:bidi="ar-SA"/>
        </w:rPr>
        <w:t>1</w:t>
      </w:r>
      <w:r>
        <w:rPr>
          <w:rFonts w:hint="eastAsia" w:ascii="宋体" w:hAnsi="宋体" w:cs="宋体"/>
          <w:b/>
          <w:bCs w:val="0"/>
          <w:color w:val="auto"/>
          <w:kern w:val="0"/>
          <w:sz w:val="24"/>
          <w:szCs w:val="24"/>
          <w:highlight w:val="none"/>
          <w:lang w:val="en-US" w:eastAsia="zh-CN" w:bidi="ar-SA"/>
        </w:rPr>
        <w:t>4</w:t>
      </w:r>
      <w:r>
        <w:rPr>
          <w:rFonts w:hint="default" w:ascii="宋体" w:hAnsi="宋体" w:eastAsia="宋体" w:cs="宋体"/>
          <w:b/>
          <w:bCs w:val="0"/>
          <w:color w:val="auto"/>
          <w:kern w:val="0"/>
          <w:sz w:val="24"/>
          <w:szCs w:val="24"/>
          <w:highlight w:val="none"/>
          <w:lang w:val="en-US" w:eastAsia="zh-CN" w:bidi="ar-SA"/>
        </w:rPr>
        <w:t>.</w:t>
      </w:r>
      <w:r>
        <w:rPr>
          <w:rFonts w:hint="default" w:ascii="宋体" w:hAnsi="宋体" w:cs="宋体"/>
          <w:b/>
          <w:bCs w:val="0"/>
          <w:color w:val="auto"/>
          <w:kern w:val="0"/>
          <w:sz w:val="24"/>
          <w:szCs w:val="24"/>
          <w:highlight w:val="none"/>
          <w:lang w:eastAsia="zh-CN" w:bidi="ar-SA"/>
        </w:rPr>
        <w:t>5</w:t>
      </w:r>
      <w:r>
        <w:rPr>
          <w:rFonts w:hint="default" w:ascii="宋体" w:hAnsi="宋体" w:eastAsia="宋体" w:cs="宋体"/>
          <w:b/>
          <w:bCs w:val="0"/>
          <w:color w:val="auto"/>
          <w:kern w:val="0"/>
          <w:sz w:val="24"/>
          <w:szCs w:val="24"/>
          <w:highlight w:val="none"/>
          <w:lang w:val="en-US" w:eastAsia="zh-CN" w:bidi="ar-SA"/>
        </w:rPr>
        <w:t>征集人付款时，</w:t>
      </w:r>
      <w:r>
        <w:rPr>
          <w:rFonts w:hint="eastAsia" w:ascii="宋体" w:hAnsi="宋体" w:eastAsia="宋体" w:cs="宋体"/>
          <w:b/>
          <w:bCs w:val="0"/>
          <w:color w:val="auto"/>
          <w:kern w:val="0"/>
          <w:sz w:val="24"/>
          <w:szCs w:val="24"/>
          <w:highlight w:val="none"/>
          <w:lang w:val="en-US" w:eastAsia="zh-CN" w:bidi="ar-SA"/>
        </w:rPr>
        <w:t>成交</w:t>
      </w:r>
      <w:r>
        <w:rPr>
          <w:rFonts w:hint="default" w:ascii="宋体" w:hAnsi="宋体" w:eastAsia="宋体" w:cs="宋体"/>
          <w:b/>
          <w:bCs w:val="0"/>
          <w:color w:val="auto"/>
          <w:kern w:val="0"/>
          <w:sz w:val="24"/>
          <w:szCs w:val="24"/>
          <w:highlight w:val="none"/>
          <w:lang w:val="en-US" w:eastAsia="zh-CN" w:bidi="ar-SA"/>
        </w:rPr>
        <w:t>供应商应提供一般纳税人的增值税专用发票；否则，征集人有权拒绝支付相应款项。</w:t>
      </w:r>
    </w:p>
    <w:p w14:paraId="75D68910">
      <w:pPr>
        <w:shd w:val="clear" w:color="auto" w:fill="FFFFFF"/>
        <w:spacing w:line="360" w:lineRule="auto"/>
        <w:ind w:firstLine="484"/>
        <w:rPr>
          <w:rFonts w:hint="eastAsia" w:ascii="宋体" w:hAnsi="宋体" w:eastAsia="宋体" w:cs="宋体"/>
          <w:b/>
          <w:bCs w:val="0"/>
          <w:color w:val="auto"/>
          <w:kern w:val="0"/>
          <w:sz w:val="24"/>
          <w:szCs w:val="24"/>
          <w:highlight w:val="none"/>
          <w:lang w:val="en-US" w:eastAsia="zh-CN" w:bidi="ar-SA"/>
        </w:rPr>
      </w:pPr>
      <w:r>
        <w:rPr>
          <w:rFonts w:hint="eastAsia" w:ascii="宋体" w:hAnsi="宋体" w:eastAsia="宋体" w:cs="宋体"/>
          <w:b/>
          <w:bCs w:val="0"/>
          <w:color w:val="auto"/>
          <w:kern w:val="0"/>
          <w:sz w:val="24"/>
          <w:szCs w:val="24"/>
          <w:highlight w:val="none"/>
          <w:lang w:val="en-US" w:eastAsia="zh-CN" w:bidi="ar-SA"/>
        </w:rPr>
        <w:t>1</w:t>
      </w:r>
      <w:r>
        <w:rPr>
          <w:rFonts w:hint="eastAsia" w:ascii="宋体" w:hAnsi="宋体" w:cs="宋体"/>
          <w:b/>
          <w:bCs w:val="0"/>
          <w:color w:val="auto"/>
          <w:kern w:val="0"/>
          <w:sz w:val="24"/>
          <w:szCs w:val="24"/>
          <w:highlight w:val="none"/>
          <w:lang w:val="en-US" w:eastAsia="zh-CN" w:bidi="ar-SA"/>
        </w:rPr>
        <w:t>4</w:t>
      </w:r>
      <w:r>
        <w:rPr>
          <w:rFonts w:hint="eastAsia" w:ascii="宋体" w:hAnsi="宋体" w:eastAsia="宋体" w:cs="宋体"/>
          <w:b/>
          <w:bCs w:val="0"/>
          <w:color w:val="auto"/>
          <w:kern w:val="0"/>
          <w:sz w:val="24"/>
          <w:szCs w:val="24"/>
          <w:highlight w:val="none"/>
          <w:lang w:val="en-US" w:eastAsia="zh-CN" w:bidi="ar-SA"/>
        </w:rPr>
        <w:t>.</w:t>
      </w:r>
      <w:r>
        <w:rPr>
          <w:rFonts w:hint="default" w:ascii="宋体" w:hAnsi="宋体" w:cs="宋体"/>
          <w:b/>
          <w:bCs w:val="0"/>
          <w:color w:val="auto"/>
          <w:kern w:val="0"/>
          <w:sz w:val="24"/>
          <w:szCs w:val="24"/>
          <w:highlight w:val="none"/>
          <w:lang w:eastAsia="zh-CN" w:bidi="ar-SA"/>
        </w:rPr>
        <w:t>6</w:t>
      </w:r>
      <w:r>
        <w:rPr>
          <w:rFonts w:hint="eastAsia" w:ascii="宋体" w:hAnsi="宋体" w:eastAsia="宋体" w:cs="宋体"/>
          <w:b/>
          <w:bCs w:val="0"/>
          <w:color w:val="auto"/>
          <w:kern w:val="0"/>
          <w:sz w:val="24"/>
          <w:szCs w:val="24"/>
          <w:highlight w:val="none"/>
          <w:lang w:val="en-US" w:eastAsia="zh-CN" w:bidi="ar-SA"/>
        </w:rPr>
        <w:t>投标人需作出书面承诺，如获入围将配合征集人及产品检验检测机构进行投标产品的产品技术参数指标、软硬件功能及产品性能等的检验检测，产品检验检测产生的一切相关费用由入围供应商承担。</w:t>
      </w:r>
    </w:p>
    <w:p w14:paraId="032B6A4D">
      <w:pPr>
        <w:shd w:val="clear" w:color="auto" w:fill="FFFFFF"/>
        <w:spacing w:line="360" w:lineRule="auto"/>
        <w:ind w:firstLine="484"/>
        <w:rPr>
          <w:rFonts w:hint="eastAsia" w:ascii="宋体" w:hAnsi="宋体" w:eastAsia="宋体" w:cs="宋体"/>
          <w:b/>
          <w:bCs w:val="0"/>
          <w:color w:val="auto"/>
          <w:kern w:val="0"/>
          <w:sz w:val="24"/>
          <w:szCs w:val="24"/>
          <w:highlight w:val="none"/>
          <w:lang w:val="en-US" w:eastAsia="zh-CN" w:bidi="ar-SA"/>
        </w:rPr>
      </w:pPr>
      <w:r>
        <w:rPr>
          <w:rFonts w:hint="eastAsia" w:ascii="宋体" w:hAnsi="宋体" w:eastAsia="宋体" w:cs="宋体"/>
          <w:b/>
          <w:bCs w:val="0"/>
          <w:color w:val="auto"/>
          <w:kern w:val="0"/>
          <w:sz w:val="24"/>
          <w:szCs w:val="24"/>
          <w:highlight w:val="none"/>
          <w:lang w:val="en-US" w:eastAsia="zh-CN" w:bidi="ar-SA"/>
        </w:rPr>
        <w:t>1</w:t>
      </w:r>
      <w:r>
        <w:rPr>
          <w:rFonts w:hint="eastAsia" w:ascii="宋体" w:hAnsi="宋体" w:cs="宋体"/>
          <w:b/>
          <w:bCs w:val="0"/>
          <w:color w:val="auto"/>
          <w:kern w:val="0"/>
          <w:sz w:val="24"/>
          <w:szCs w:val="24"/>
          <w:highlight w:val="none"/>
          <w:lang w:val="en-US" w:eastAsia="zh-CN" w:bidi="ar-SA"/>
        </w:rPr>
        <w:t>4</w:t>
      </w:r>
      <w:r>
        <w:rPr>
          <w:rFonts w:hint="eastAsia" w:ascii="宋体" w:hAnsi="宋体" w:eastAsia="宋体" w:cs="宋体"/>
          <w:b/>
          <w:bCs w:val="0"/>
          <w:color w:val="auto"/>
          <w:kern w:val="0"/>
          <w:sz w:val="24"/>
          <w:szCs w:val="24"/>
          <w:highlight w:val="none"/>
          <w:lang w:val="en-US" w:eastAsia="zh-CN" w:bidi="ar-SA"/>
        </w:rPr>
        <w:t>.</w:t>
      </w:r>
      <w:r>
        <w:rPr>
          <w:rFonts w:hint="default" w:ascii="宋体" w:hAnsi="宋体" w:cs="宋体"/>
          <w:b/>
          <w:bCs w:val="0"/>
          <w:color w:val="auto"/>
          <w:kern w:val="0"/>
          <w:sz w:val="24"/>
          <w:szCs w:val="24"/>
          <w:highlight w:val="none"/>
          <w:lang w:eastAsia="zh-CN" w:bidi="ar-SA"/>
        </w:rPr>
        <w:t>7</w:t>
      </w:r>
      <w:r>
        <w:rPr>
          <w:rFonts w:hint="eastAsia" w:ascii="宋体" w:hAnsi="宋体" w:eastAsia="宋体" w:cs="宋体"/>
          <w:b/>
          <w:bCs w:val="0"/>
          <w:color w:val="auto"/>
          <w:kern w:val="0"/>
          <w:sz w:val="24"/>
          <w:szCs w:val="24"/>
          <w:highlight w:val="none"/>
          <w:lang w:val="en-US" w:eastAsia="zh-CN" w:bidi="ar-SA"/>
        </w:rPr>
        <w:t>投标人需作出书面承诺并提供书面承诺函（格式自拟，加盖投标人公章）：在框架协议有效期内，征集人有权针对所有入围供应商进行集中议价并以函件形式通知所有入围供应商，投标人承诺在规定时间内以书面形式回复价格确认函且响应的价格不高于投标响应的入围价格。</w:t>
      </w:r>
    </w:p>
    <w:p w14:paraId="0311B603">
      <w:pPr>
        <w:shd w:val="clear" w:color="auto" w:fill="FFFFFF"/>
        <w:spacing w:line="360" w:lineRule="auto"/>
        <w:ind w:firstLine="484"/>
        <w:rPr>
          <w:rFonts w:hint="eastAsia" w:ascii="宋体" w:hAnsi="宋体" w:eastAsia="宋体" w:cs="宋体"/>
          <w:b/>
          <w:bCs w:val="0"/>
          <w:color w:val="auto"/>
          <w:kern w:val="0"/>
          <w:sz w:val="24"/>
          <w:szCs w:val="24"/>
          <w:highlight w:val="none"/>
          <w:lang w:val="en-US" w:eastAsia="zh-CN" w:bidi="ar-SA"/>
        </w:rPr>
      </w:pPr>
      <w:r>
        <w:rPr>
          <w:rFonts w:hint="eastAsia" w:ascii="宋体" w:hAnsi="宋体" w:eastAsia="宋体" w:cs="宋体"/>
          <w:b/>
          <w:bCs w:val="0"/>
          <w:color w:val="auto"/>
          <w:kern w:val="0"/>
          <w:sz w:val="24"/>
          <w:szCs w:val="24"/>
          <w:highlight w:val="none"/>
          <w:lang w:val="en-US" w:eastAsia="zh-CN" w:bidi="ar-SA"/>
        </w:rPr>
        <w:t>1</w:t>
      </w:r>
      <w:r>
        <w:rPr>
          <w:rFonts w:hint="eastAsia" w:ascii="宋体" w:hAnsi="宋体" w:cs="宋体"/>
          <w:b/>
          <w:bCs w:val="0"/>
          <w:color w:val="auto"/>
          <w:kern w:val="0"/>
          <w:sz w:val="24"/>
          <w:szCs w:val="24"/>
          <w:highlight w:val="none"/>
          <w:lang w:val="en-US" w:eastAsia="zh-CN" w:bidi="ar-SA"/>
        </w:rPr>
        <w:t>4</w:t>
      </w:r>
      <w:r>
        <w:rPr>
          <w:rFonts w:hint="eastAsia" w:ascii="宋体" w:hAnsi="宋体" w:eastAsia="宋体" w:cs="宋体"/>
          <w:b/>
          <w:bCs w:val="0"/>
          <w:color w:val="auto"/>
          <w:kern w:val="0"/>
          <w:sz w:val="24"/>
          <w:szCs w:val="24"/>
          <w:highlight w:val="none"/>
          <w:lang w:val="en-US" w:eastAsia="zh-CN" w:bidi="ar-SA"/>
        </w:rPr>
        <w:t>.</w:t>
      </w:r>
      <w:r>
        <w:rPr>
          <w:rFonts w:hint="default" w:ascii="宋体" w:hAnsi="宋体" w:cs="宋体"/>
          <w:b/>
          <w:bCs w:val="0"/>
          <w:color w:val="auto"/>
          <w:kern w:val="0"/>
          <w:sz w:val="24"/>
          <w:szCs w:val="24"/>
          <w:highlight w:val="none"/>
          <w:lang w:eastAsia="zh-CN" w:bidi="ar-SA"/>
        </w:rPr>
        <w:t>8</w:t>
      </w:r>
      <w:r>
        <w:rPr>
          <w:rFonts w:hint="eastAsia" w:ascii="宋体" w:hAnsi="宋体" w:eastAsia="宋体" w:cs="宋体"/>
          <w:b/>
          <w:bCs w:val="0"/>
          <w:color w:val="auto"/>
          <w:kern w:val="0"/>
          <w:sz w:val="24"/>
          <w:szCs w:val="24"/>
          <w:highlight w:val="none"/>
          <w:lang w:val="en-US" w:eastAsia="zh-CN" w:bidi="ar-SA"/>
        </w:rPr>
        <w:t>投标人需作出书面承诺并提供书面承诺函（格式自拟，加盖投标人公章）：如果入围，在履行框架采购协议和采购合同期间，如果出现以下任一情况，征集人有权单方解除框架采购协议和采购合同并取消入围供应商的入围资格，入围供应商应支付相当于履约保证金金额的违约金。同时，对入围供应商下述情况在厦门招投标网进行公示，并在三年内拒绝入围供应商进入大宗政府招标采购项目的投标报价：</w:t>
      </w:r>
    </w:p>
    <w:p w14:paraId="2B8A0500">
      <w:pPr>
        <w:shd w:val="clear" w:color="auto" w:fill="FFFFFF"/>
        <w:spacing w:line="360" w:lineRule="auto"/>
        <w:ind w:firstLine="484"/>
        <w:rPr>
          <w:rFonts w:hint="eastAsia" w:ascii="宋体" w:hAnsi="宋体" w:eastAsia="宋体" w:cs="宋体"/>
          <w:b/>
          <w:bCs w:val="0"/>
          <w:color w:val="auto"/>
          <w:kern w:val="0"/>
          <w:sz w:val="24"/>
          <w:szCs w:val="24"/>
          <w:highlight w:val="none"/>
          <w:lang w:val="en-US" w:eastAsia="zh-CN" w:bidi="ar-SA"/>
        </w:rPr>
      </w:pPr>
      <w:r>
        <w:rPr>
          <w:rFonts w:hint="eastAsia" w:ascii="宋体" w:hAnsi="宋体" w:eastAsia="宋体" w:cs="宋体"/>
          <w:b/>
          <w:bCs w:val="0"/>
          <w:color w:val="auto"/>
          <w:kern w:val="0"/>
          <w:sz w:val="24"/>
          <w:szCs w:val="24"/>
          <w:highlight w:val="none"/>
          <w:lang w:val="en-US" w:eastAsia="zh-CN" w:bidi="ar-SA"/>
        </w:rPr>
        <w:t>①违反法律法规、行业规范要求被有关部门查处的；</w:t>
      </w:r>
    </w:p>
    <w:p w14:paraId="3DCF7BC4">
      <w:pPr>
        <w:shd w:val="clear" w:color="auto" w:fill="FFFFFF"/>
        <w:spacing w:line="360" w:lineRule="auto"/>
        <w:ind w:firstLine="484"/>
        <w:rPr>
          <w:rFonts w:hint="eastAsia" w:ascii="宋体" w:hAnsi="宋体" w:eastAsia="宋体" w:cs="宋体"/>
          <w:b/>
          <w:bCs w:val="0"/>
          <w:color w:val="auto"/>
          <w:kern w:val="0"/>
          <w:sz w:val="24"/>
          <w:szCs w:val="24"/>
          <w:highlight w:val="none"/>
          <w:lang w:val="en-US" w:eastAsia="zh-CN" w:bidi="ar-SA"/>
        </w:rPr>
      </w:pPr>
      <w:r>
        <w:rPr>
          <w:rFonts w:hint="eastAsia" w:ascii="宋体" w:hAnsi="宋体" w:eastAsia="宋体" w:cs="宋体"/>
          <w:b/>
          <w:bCs w:val="0"/>
          <w:color w:val="auto"/>
          <w:kern w:val="0"/>
          <w:sz w:val="24"/>
          <w:szCs w:val="24"/>
          <w:highlight w:val="none"/>
          <w:lang w:val="en-US" w:eastAsia="zh-CN" w:bidi="ar-SA"/>
        </w:rPr>
        <w:t>②提供假冒伪劣产品的；</w:t>
      </w:r>
    </w:p>
    <w:p w14:paraId="328CFDB0">
      <w:pPr>
        <w:shd w:val="clear" w:color="auto" w:fill="FFFFFF"/>
        <w:spacing w:line="360" w:lineRule="auto"/>
        <w:ind w:firstLine="484"/>
        <w:rPr>
          <w:rFonts w:hint="eastAsia" w:ascii="宋体" w:hAnsi="宋体" w:eastAsia="宋体" w:cs="宋体"/>
          <w:b/>
          <w:bCs w:val="0"/>
          <w:color w:val="auto"/>
          <w:kern w:val="0"/>
          <w:sz w:val="24"/>
          <w:szCs w:val="24"/>
          <w:highlight w:val="none"/>
          <w:lang w:val="en-US" w:eastAsia="zh-CN" w:bidi="ar-SA"/>
        </w:rPr>
      </w:pPr>
      <w:r>
        <w:rPr>
          <w:rFonts w:hint="eastAsia" w:ascii="宋体" w:hAnsi="宋体" w:eastAsia="宋体" w:cs="宋体"/>
          <w:b/>
          <w:bCs w:val="0"/>
          <w:color w:val="auto"/>
          <w:kern w:val="0"/>
          <w:sz w:val="24"/>
          <w:szCs w:val="24"/>
          <w:highlight w:val="none"/>
          <w:lang w:val="en-US" w:eastAsia="zh-CN" w:bidi="ar-SA"/>
        </w:rPr>
        <w:t>③通过给回扣或变相给回扣的方式招揽业务的；</w:t>
      </w:r>
    </w:p>
    <w:p w14:paraId="27F71985">
      <w:pPr>
        <w:shd w:val="clear" w:color="auto" w:fill="FFFFFF"/>
        <w:spacing w:line="360" w:lineRule="auto"/>
        <w:ind w:firstLine="484"/>
        <w:rPr>
          <w:rFonts w:hint="eastAsia" w:ascii="宋体" w:hAnsi="宋体" w:eastAsia="宋体" w:cs="宋体"/>
          <w:b/>
          <w:bCs w:val="0"/>
          <w:color w:val="auto"/>
          <w:kern w:val="0"/>
          <w:sz w:val="24"/>
          <w:szCs w:val="24"/>
          <w:highlight w:val="none"/>
          <w:lang w:val="en-US" w:eastAsia="zh-CN" w:bidi="ar-SA"/>
        </w:rPr>
      </w:pPr>
      <w:r>
        <w:rPr>
          <w:rFonts w:hint="eastAsia" w:ascii="宋体" w:hAnsi="宋体" w:eastAsia="宋体" w:cs="宋体"/>
          <w:b/>
          <w:bCs w:val="0"/>
          <w:color w:val="auto"/>
          <w:kern w:val="0"/>
          <w:sz w:val="24"/>
          <w:szCs w:val="24"/>
          <w:highlight w:val="none"/>
          <w:lang w:val="en-US" w:eastAsia="zh-CN" w:bidi="ar-SA"/>
        </w:rPr>
        <w:t>④因产品质量或服务问题被有效投诉达三次以上的；</w:t>
      </w:r>
    </w:p>
    <w:p w14:paraId="23B36574">
      <w:pPr>
        <w:shd w:val="clear" w:color="auto" w:fill="FFFFFF"/>
        <w:spacing w:line="360" w:lineRule="auto"/>
        <w:ind w:firstLine="484"/>
        <w:rPr>
          <w:rFonts w:hint="eastAsia" w:ascii="宋体" w:hAnsi="宋体" w:eastAsia="宋体" w:cs="宋体"/>
          <w:b/>
          <w:bCs w:val="0"/>
          <w:color w:val="auto"/>
          <w:kern w:val="0"/>
          <w:sz w:val="24"/>
          <w:szCs w:val="24"/>
          <w:highlight w:val="none"/>
          <w:lang w:val="en-US" w:eastAsia="zh-CN" w:bidi="ar-SA"/>
        </w:rPr>
      </w:pPr>
      <w:r>
        <w:rPr>
          <w:rFonts w:hint="eastAsia" w:ascii="宋体" w:hAnsi="宋体" w:eastAsia="宋体" w:cs="宋体"/>
          <w:b/>
          <w:bCs w:val="0"/>
          <w:color w:val="auto"/>
          <w:kern w:val="0"/>
          <w:sz w:val="24"/>
          <w:szCs w:val="24"/>
          <w:highlight w:val="none"/>
          <w:lang w:val="en-US" w:eastAsia="zh-CN" w:bidi="ar-SA"/>
        </w:rPr>
        <w:t>⑤向有关部门、征集人、最终使用方提供虚假信息或资料等情况的；</w:t>
      </w:r>
    </w:p>
    <w:p w14:paraId="09977122">
      <w:pPr>
        <w:shd w:val="clear" w:color="auto" w:fill="FFFFFF"/>
        <w:spacing w:line="360" w:lineRule="auto"/>
        <w:ind w:firstLine="484"/>
        <w:rPr>
          <w:rFonts w:hint="eastAsia" w:ascii="宋体" w:hAnsi="宋体" w:eastAsia="宋体" w:cs="宋体"/>
          <w:b/>
          <w:bCs w:val="0"/>
          <w:color w:val="auto"/>
          <w:kern w:val="0"/>
          <w:sz w:val="24"/>
          <w:szCs w:val="24"/>
          <w:highlight w:val="none"/>
          <w:lang w:val="en-US" w:eastAsia="zh-CN" w:bidi="ar-SA"/>
        </w:rPr>
      </w:pPr>
      <w:r>
        <w:rPr>
          <w:rFonts w:hint="eastAsia" w:ascii="宋体" w:hAnsi="宋体" w:eastAsia="宋体" w:cs="宋体"/>
          <w:b/>
          <w:bCs w:val="0"/>
          <w:color w:val="auto"/>
          <w:kern w:val="0"/>
          <w:sz w:val="24"/>
          <w:szCs w:val="24"/>
          <w:highlight w:val="none"/>
          <w:lang w:val="en-US" w:eastAsia="zh-CN" w:bidi="ar-SA"/>
        </w:rPr>
        <w:t>⑥出现重大客户投诉事件（如政府采购管理部门督办事件、新闻媒体公开报道、采购业主书面发函投诉以及其他对征集人产生严重负面影响的事件）；</w:t>
      </w:r>
    </w:p>
    <w:p w14:paraId="4E3EDF56">
      <w:pPr>
        <w:shd w:val="clear" w:color="auto" w:fill="FFFFFF"/>
        <w:spacing w:line="360" w:lineRule="auto"/>
        <w:ind w:firstLine="484"/>
        <w:rPr>
          <w:rFonts w:hint="eastAsia" w:ascii="宋体" w:hAnsi="宋体" w:eastAsia="宋体" w:cs="宋体"/>
          <w:b/>
          <w:bCs w:val="0"/>
          <w:color w:val="auto"/>
          <w:kern w:val="0"/>
          <w:sz w:val="24"/>
          <w:szCs w:val="24"/>
          <w:highlight w:val="none"/>
          <w:lang w:val="en-US" w:eastAsia="zh-CN" w:bidi="ar-SA"/>
        </w:rPr>
      </w:pPr>
      <w:r>
        <w:rPr>
          <w:rFonts w:hint="eastAsia" w:ascii="宋体" w:hAnsi="宋体" w:eastAsia="宋体" w:cs="宋体"/>
          <w:b/>
          <w:bCs w:val="0"/>
          <w:color w:val="auto"/>
          <w:kern w:val="0"/>
          <w:sz w:val="24"/>
          <w:szCs w:val="24"/>
          <w:highlight w:val="none"/>
          <w:lang w:val="en-US" w:eastAsia="zh-CN" w:bidi="ar-SA"/>
        </w:rPr>
        <w:t>⑦报修率超过3%。报修率=保修期内硬件故障报修有效台次/已销售台数*100%（已销售台数超过100台之后开始计算报修率）。</w:t>
      </w:r>
    </w:p>
    <w:p w14:paraId="7FCCD788">
      <w:pPr>
        <w:widowControl/>
        <w:spacing w:before="0" w:beforeAutospacing="0" w:after="0" w:afterAutospacing="0" w:line="360" w:lineRule="auto"/>
        <w:ind w:firstLine="482" w:firstLineChars="200"/>
        <w:jc w:val="left"/>
        <w:rPr>
          <w:rFonts w:hint="eastAsia" w:ascii="宋体" w:hAnsi="宋体" w:eastAsia="宋体" w:cs="宋体"/>
          <w:b/>
          <w:bCs w:val="0"/>
          <w:color w:val="auto"/>
          <w:kern w:val="0"/>
          <w:sz w:val="24"/>
          <w:szCs w:val="24"/>
          <w:highlight w:val="none"/>
          <w:lang w:val="en-US" w:eastAsia="zh-CN" w:bidi="ar-SA"/>
        </w:rPr>
      </w:pPr>
      <w:r>
        <w:rPr>
          <w:rFonts w:hint="eastAsia" w:ascii="宋体" w:hAnsi="宋体" w:eastAsia="宋体" w:cs="宋体"/>
          <w:b/>
          <w:bCs w:val="0"/>
          <w:color w:val="auto"/>
          <w:kern w:val="0"/>
          <w:sz w:val="24"/>
          <w:szCs w:val="24"/>
          <w:highlight w:val="none"/>
          <w:lang w:val="en-US" w:eastAsia="zh-CN" w:bidi="ar-SA"/>
        </w:rPr>
        <w:t>1</w:t>
      </w:r>
      <w:r>
        <w:rPr>
          <w:rFonts w:hint="default" w:ascii="宋体" w:hAnsi="宋体" w:cs="宋体"/>
          <w:b/>
          <w:bCs w:val="0"/>
          <w:color w:val="auto"/>
          <w:kern w:val="0"/>
          <w:sz w:val="24"/>
          <w:szCs w:val="24"/>
          <w:highlight w:val="none"/>
          <w:lang w:eastAsia="zh-CN" w:bidi="ar-SA"/>
        </w:rPr>
        <w:t>4</w:t>
      </w:r>
      <w:r>
        <w:rPr>
          <w:rFonts w:hint="eastAsia" w:ascii="宋体" w:hAnsi="宋体" w:eastAsia="宋体" w:cs="宋体"/>
          <w:b/>
          <w:bCs w:val="0"/>
          <w:color w:val="auto"/>
          <w:kern w:val="0"/>
          <w:sz w:val="24"/>
          <w:szCs w:val="24"/>
          <w:highlight w:val="none"/>
          <w:lang w:val="en-US" w:eastAsia="zh-CN" w:bidi="ar-SA"/>
        </w:rPr>
        <w:t>.</w:t>
      </w:r>
      <w:r>
        <w:rPr>
          <w:rFonts w:hint="default" w:ascii="宋体" w:hAnsi="宋体" w:cs="宋体"/>
          <w:b/>
          <w:bCs w:val="0"/>
          <w:color w:val="auto"/>
          <w:kern w:val="0"/>
          <w:sz w:val="24"/>
          <w:szCs w:val="24"/>
          <w:highlight w:val="none"/>
          <w:lang w:eastAsia="zh-CN" w:bidi="ar-SA"/>
        </w:rPr>
        <w:t>9</w:t>
      </w:r>
      <w:r>
        <w:rPr>
          <w:rFonts w:hint="eastAsia" w:ascii="宋体" w:hAnsi="宋体" w:eastAsia="宋体" w:cs="宋体"/>
          <w:b/>
          <w:bCs w:val="0"/>
          <w:color w:val="auto"/>
          <w:kern w:val="0"/>
          <w:sz w:val="24"/>
          <w:szCs w:val="24"/>
          <w:highlight w:val="none"/>
          <w:lang w:val="en-US" w:eastAsia="zh-CN" w:bidi="ar-SA"/>
        </w:rPr>
        <w:t>投标人需作出书面承诺并提供书面承诺函（格式自拟，加盖投标人公章）：待合同终止后的30天内根据征集人要求按合同原入围价回购征集人剩余的库存产品且回购总金额不高于框架协议有效期内总采购金额的5%，投标人回购的付款方式为先款后货，回购的产品由征集人发货到投标人指定地点，同时回购产品已缴纳的仓储操作配送费不予退还。若投标人未在规定的期限内完成上述回购的，征集人有权从投标人的货款或履约保证金中扣除相应的回购款项。</w:t>
      </w:r>
    </w:p>
    <w:p w14:paraId="7EF97FB4">
      <w:pPr>
        <w:widowControl/>
        <w:spacing w:before="0" w:beforeAutospacing="0" w:after="0" w:afterAutospacing="0" w:line="360" w:lineRule="auto"/>
        <w:ind w:firstLine="482" w:firstLineChars="200"/>
        <w:jc w:val="left"/>
        <w:rPr>
          <w:rFonts w:hint="eastAsia" w:ascii="宋体" w:hAnsi="宋体" w:eastAsia="宋体" w:cs="宋体"/>
          <w:b/>
          <w:bCs w:val="0"/>
          <w:color w:val="auto"/>
          <w:kern w:val="0"/>
          <w:sz w:val="24"/>
          <w:szCs w:val="24"/>
          <w:highlight w:val="none"/>
          <w:lang w:val="en-US" w:eastAsia="zh-CN" w:bidi="ar-SA"/>
        </w:rPr>
      </w:pPr>
    </w:p>
    <w:p w14:paraId="0ADE36E5">
      <w:pPr>
        <w:widowControl/>
        <w:spacing w:before="0" w:beforeAutospacing="0" w:after="0" w:afterAutospacing="0" w:line="360" w:lineRule="auto"/>
        <w:jc w:val="left"/>
        <w:outlineLvl w:val="1"/>
        <w:rPr>
          <w:rFonts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三、商务条件</w:t>
      </w:r>
      <w:r>
        <w:rPr>
          <w:rFonts w:hint="eastAsia" w:ascii="宋体" w:hAnsi="宋体" w:eastAsia="宋体" w:cs="宋体"/>
          <w:b/>
          <w:bCs/>
          <w:color w:val="auto"/>
          <w:kern w:val="2"/>
          <w:sz w:val="28"/>
          <w:szCs w:val="28"/>
          <w:highlight w:val="none"/>
          <w:lang w:val="en-US" w:eastAsia="zh-CN" w:bidi="ar-SA"/>
        </w:rPr>
        <w:t>（以“★”标示的内容为不允许负偏离的实质性要求）</w:t>
      </w:r>
    </w:p>
    <w:p w14:paraId="27B5E5C6">
      <w:pPr>
        <w:spacing w:line="360" w:lineRule="auto"/>
        <w:ind w:firstLine="562" w:firstLineChars="200"/>
        <w:rPr>
          <w:rFonts w:hint="eastAsia" w:ascii="宋体" w:hAnsi="宋体" w:eastAsia="宋体" w:cs="宋体"/>
          <w:b/>
          <w:color w:val="auto"/>
          <w:kern w:val="2"/>
          <w:sz w:val="28"/>
          <w:szCs w:val="28"/>
          <w:highlight w:val="none"/>
          <w:lang w:val="en-US" w:eastAsia="zh-CN" w:bidi="ar-SA"/>
        </w:rPr>
      </w:pPr>
      <w:r>
        <w:rPr>
          <w:rFonts w:hint="eastAsia" w:ascii="宋体" w:hAnsi="宋体" w:eastAsia="宋体" w:cs="宋体"/>
          <w:b/>
          <w:color w:val="auto"/>
          <w:kern w:val="2"/>
          <w:sz w:val="28"/>
          <w:szCs w:val="28"/>
          <w:highlight w:val="none"/>
          <w:lang w:val="en-US" w:eastAsia="zh-CN" w:bidi="ar-SA"/>
        </w:rPr>
        <w:t>包：1、2</w:t>
      </w:r>
    </w:p>
    <w:p w14:paraId="4757004D">
      <w:pPr>
        <w:widowControl/>
        <w:spacing w:line="360" w:lineRule="auto"/>
        <w:ind w:firstLine="480" w:firstLineChars="200"/>
        <w:jc w:val="left"/>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1、交付地点：福建省厦门市征集人指定地点</w:t>
      </w:r>
    </w:p>
    <w:p w14:paraId="7FFE3620">
      <w:pPr>
        <w:widowControl/>
        <w:spacing w:line="360" w:lineRule="auto"/>
        <w:ind w:firstLine="480" w:firstLineChars="200"/>
        <w:jc w:val="left"/>
        <w:rPr>
          <w:rFonts w:hint="eastAsia" w:ascii="宋体" w:hAnsi="宋体" w:eastAsia="宋体" w:cs="宋体"/>
          <w:b w:val="0"/>
          <w:bCs/>
          <w:color w:val="auto"/>
          <w:kern w:val="0"/>
          <w:sz w:val="24"/>
          <w:szCs w:val="24"/>
          <w:highlight w:val="none"/>
          <w:lang w:val="en-US" w:eastAsia="zh-CN" w:bidi="ar-SA"/>
        </w:rPr>
      </w:pPr>
      <w:r>
        <w:rPr>
          <w:rFonts w:hint="eastAsia" w:ascii="宋体" w:hAnsi="宋体" w:cs="宋体"/>
          <w:b w:val="0"/>
          <w:bCs/>
          <w:color w:val="auto"/>
          <w:kern w:val="0"/>
          <w:sz w:val="24"/>
          <w:szCs w:val="24"/>
          <w:highlight w:val="none"/>
          <w:lang w:eastAsia="zh-CN" w:bidi="ar-SA"/>
        </w:rPr>
        <w:t>2</w:t>
      </w:r>
      <w:r>
        <w:rPr>
          <w:rFonts w:hint="eastAsia" w:ascii="宋体" w:hAnsi="宋体" w:eastAsia="宋体" w:cs="宋体"/>
          <w:b w:val="0"/>
          <w:bCs/>
          <w:color w:val="auto"/>
          <w:kern w:val="0"/>
          <w:sz w:val="24"/>
          <w:szCs w:val="24"/>
          <w:highlight w:val="none"/>
          <w:lang w:val="en-US" w:eastAsia="zh-CN" w:bidi="ar-SA"/>
        </w:rPr>
        <w:t>、交付条件：入围供应商应提供货物运至合同规定的项目现场所需要的包装，以防止货物在运转中损坏或变质；入围供应商负责送货到交货地点完成安装，并承担运输过程中发生的一切费用及风险。</w:t>
      </w:r>
    </w:p>
    <w:p w14:paraId="287A7AB0">
      <w:pPr>
        <w:spacing w:line="360" w:lineRule="auto"/>
        <w:ind w:firstLine="562"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2"/>
          <w:sz w:val="28"/>
          <w:szCs w:val="28"/>
          <w:highlight w:val="none"/>
          <w:lang w:val="en-US" w:eastAsia="zh-CN" w:bidi="ar-SA"/>
        </w:rPr>
        <w:t>★</w:t>
      </w:r>
      <w:r>
        <w:rPr>
          <w:rFonts w:hint="default" w:ascii="宋体" w:hAnsi="宋体" w:cs="宋体"/>
          <w:b/>
          <w:bCs/>
          <w:color w:val="auto"/>
          <w:kern w:val="2"/>
          <w:sz w:val="28"/>
          <w:szCs w:val="28"/>
          <w:highlight w:val="none"/>
          <w:lang w:eastAsia="zh-CN" w:bidi="ar-SA"/>
        </w:rPr>
        <w:t>3</w:t>
      </w:r>
      <w:r>
        <w:rPr>
          <w:rFonts w:hint="eastAsia" w:ascii="宋体" w:hAnsi="宋体" w:eastAsia="宋体" w:cs="宋体"/>
          <w:b/>
          <w:bCs/>
          <w:color w:val="auto"/>
          <w:kern w:val="2"/>
          <w:sz w:val="24"/>
          <w:szCs w:val="24"/>
          <w:highlight w:val="none"/>
          <w:lang w:val="en-US" w:eastAsia="zh-CN" w:bidi="ar-SA"/>
        </w:rPr>
        <w:t>、是否收取履约保证金：是。</w:t>
      </w:r>
      <w:r>
        <w:rPr>
          <w:rFonts w:hint="eastAsia" w:ascii="宋体" w:hAnsi="宋体" w:eastAsia="宋体" w:cs="宋体"/>
          <w:b/>
          <w:bCs/>
          <w:color w:val="auto"/>
          <w:sz w:val="24"/>
          <w:szCs w:val="24"/>
          <w:highlight w:val="none"/>
          <w:lang w:val="en-US" w:eastAsia="zh-CN"/>
        </w:rPr>
        <w:t>入围供应商应在框架协议签订之日起7个日历日内以转账方式向</w:t>
      </w:r>
      <w:r>
        <w:rPr>
          <w:rFonts w:hint="eastAsia" w:ascii="宋体" w:hAnsi="宋体" w:eastAsia="宋体" w:cs="宋体"/>
          <w:b/>
          <w:bCs/>
          <w:color w:val="auto"/>
          <w:sz w:val="24"/>
          <w:szCs w:val="24"/>
          <w:highlight w:val="none"/>
          <w:lang w:eastAsia="zh-CN"/>
        </w:rPr>
        <w:t>征集人</w:t>
      </w:r>
      <w:r>
        <w:rPr>
          <w:rFonts w:hint="eastAsia" w:ascii="宋体" w:hAnsi="宋体" w:eastAsia="宋体" w:cs="宋体"/>
          <w:b/>
          <w:bCs/>
          <w:color w:val="auto"/>
          <w:sz w:val="24"/>
          <w:szCs w:val="24"/>
          <w:highlight w:val="none"/>
          <w:lang w:val="en-US" w:eastAsia="zh-CN"/>
        </w:rPr>
        <w:t>支付履约保证金，采购包1</w:t>
      </w:r>
      <w:r>
        <w:rPr>
          <w:rFonts w:hint="default" w:ascii="宋体" w:hAnsi="宋体" w:cs="宋体"/>
          <w:b/>
          <w:bCs/>
          <w:color w:val="auto"/>
          <w:sz w:val="24"/>
          <w:szCs w:val="24"/>
          <w:highlight w:val="none"/>
          <w:lang w:eastAsia="zh-CN"/>
        </w:rPr>
        <w:t>的</w:t>
      </w:r>
      <w:r>
        <w:rPr>
          <w:rFonts w:hint="eastAsia" w:ascii="宋体" w:hAnsi="宋体" w:eastAsia="宋体" w:cs="宋体"/>
          <w:b/>
          <w:bCs/>
          <w:color w:val="auto"/>
          <w:sz w:val="24"/>
          <w:szCs w:val="24"/>
          <w:highlight w:val="none"/>
          <w:lang w:val="en-US" w:eastAsia="zh-CN"/>
        </w:rPr>
        <w:t>履约保证金为人民币</w:t>
      </w:r>
      <w:r>
        <w:rPr>
          <w:rFonts w:hint="default" w:ascii="宋体" w:hAnsi="宋体" w:cs="宋体"/>
          <w:b/>
          <w:bCs/>
          <w:color w:val="auto"/>
          <w:sz w:val="24"/>
          <w:szCs w:val="24"/>
          <w:highlight w:val="none"/>
          <w:lang w:eastAsia="zh-CN"/>
        </w:rPr>
        <w:t>伍</w:t>
      </w:r>
      <w:r>
        <w:rPr>
          <w:rFonts w:hint="eastAsia" w:ascii="宋体" w:hAnsi="宋体" w:eastAsia="宋体" w:cs="宋体"/>
          <w:b/>
          <w:bCs/>
          <w:color w:val="auto"/>
          <w:sz w:val="24"/>
          <w:szCs w:val="24"/>
          <w:highlight w:val="none"/>
          <w:lang w:val="en-US" w:eastAsia="zh-CN"/>
        </w:rPr>
        <w:t>万元整</w:t>
      </w:r>
      <w:r>
        <w:rPr>
          <w:rFonts w:hint="default" w:ascii="宋体" w:hAnsi="宋体" w:cs="宋体"/>
          <w:b/>
          <w:bCs/>
          <w:color w:val="auto"/>
          <w:sz w:val="24"/>
          <w:szCs w:val="24"/>
          <w:highlight w:val="none"/>
          <w:lang w:eastAsia="zh-CN"/>
        </w:rPr>
        <w:t>，</w:t>
      </w:r>
      <w:r>
        <w:rPr>
          <w:rFonts w:hint="eastAsia" w:ascii="宋体" w:hAnsi="宋体" w:eastAsia="宋体" w:cs="宋体"/>
          <w:b/>
          <w:bCs/>
          <w:color w:val="auto"/>
          <w:kern w:val="0"/>
          <w:sz w:val="24"/>
          <w:szCs w:val="24"/>
          <w:highlight w:val="none"/>
        </w:rPr>
        <w:t>采购包2的履约保证金为人民币贰万元整</w:t>
      </w:r>
      <w:r>
        <w:rPr>
          <w:rFonts w:hint="eastAsia" w:ascii="宋体" w:hAnsi="宋体" w:eastAsia="宋体" w:cs="宋体"/>
          <w:b/>
          <w:bCs/>
          <w:color w:val="auto"/>
          <w:sz w:val="24"/>
          <w:szCs w:val="24"/>
          <w:highlight w:val="none"/>
          <w:lang w:val="en-US" w:eastAsia="zh-CN"/>
        </w:rPr>
        <w:t>。履约保证金待本框架协议有效期届满后7个工作日内一次性无息返还（扣除相应的违约金、赔偿金）。</w:t>
      </w:r>
    </w:p>
    <w:p w14:paraId="38C66B6F">
      <w:pPr>
        <w:widowControl/>
        <w:tabs>
          <w:tab w:val="left" w:pos="5880"/>
        </w:tabs>
        <w:spacing w:before="0" w:beforeAutospacing="0" w:after="0" w:afterAutospacing="0" w:line="360" w:lineRule="auto"/>
        <w:ind w:firstLine="482" w:firstLineChars="200"/>
        <w:jc w:val="left"/>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采购合同履约保证金金额：</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lang w:val="en-US" w:eastAsia="zh-CN"/>
        </w:rPr>
        <w:t>应在合同签订之日起7个日历日内以转账方式向</w:t>
      </w:r>
      <w:r>
        <w:rPr>
          <w:rFonts w:hint="eastAsia" w:ascii="宋体" w:hAnsi="宋体" w:eastAsia="宋体" w:cs="宋体"/>
          <w:color w:val="auto"/>
          <w:sz w:val="24"/>
          <w:szCs w:val="24"/>
          <w:highlight w:val="none"/>
        </w:rPr>
        <w:t>采购单位</w:t>
      </w:r>
      <w:r>
        <w:rPr>
          <w:rFonts w:hint="eastAsia" w:ascii="宋体" w:hAnsi="宋体" w:eastAsia="宋体" w:cs="宋体"/>
          <w:color w:val="auto"/>
          <w:sz w:val="24"/>
          <w:szCs w:val="24"/>
          <w:highlight w:val="none"/>
          <w:lang w:val="en-US" w:eastAsia="zh-CN"/>
        </w:rPr>
        <w:t>支付供货履约保证金，</w:t>
      </w:r>
      <w:r>
        <w:rPr>
          <w:rFonts w:hint="eastAsia" w:ascii="宋体" w:hAnsi="宋体" w:eastAsia="宋体" w:cs="宋体"/>
          <w:b/>
          <w:bCs/>
          <w:color w:val="auto"/>
          <w:kern w:val="0"/>
          <w:sz w:val="24"/>
          <w:szCs w:val="24"/>
          <w:highlight w:val="none"/>
        </w:rPr>
        <w:t>采购包1</w:t>
      </w:r>
      <w:r>
        <w:rPr>
          <w:rFonts w:hint="default" w:ascii="宋体" w:hAnsi="宋体" w:cs="宋体"/>
          <w:b/>
          <w:bCs/>
          <w:color w:val="auto"/>
          <w:kern w:val="0"/>
          <w:sz w:val="24"/>
          <w:szCs w:val="24"/>
          <w:highlight w:val="none"/>
        </w:rPr>
        <w:t>的</w:t>
      </w:r>
      <w:r>
        <w:rPr>
          <w:rFonts w:hint="eastAsia" w:ascii="宋体" w:hAnsi="宋体" w:eastAsia="宋体" w:cs="宋体"/>
          <w:b/>
          <w:bCs/>
          <w:color w:val="auto"/>
          <w:kern w:val="0"/>
          <w:sz w:val="24"/>
          <w:szCs w:val="24"/>
          <w:highlight w:val="none"/>
        </w:rPr>
        <w:t>供货履约保证金为人民币捌万元整，采购包2的供货履约保证金为人民币叁万元</w:t>
      </w:r>
      <w:r>
        <w:rPr>
          <w:rFonts w:hint="eastAsia" w:ascii="宋体" w:hAnsi="宋体" w:eastAsia="宋体" w:cs="宋体"/>
          <w:b/>
          <w:bCs/>
          <w:color w:val="auto"/>
          <w:kern w:val="0"/>
          <w:sz w:val="24"/>
          <w:szCs w:val="24"/>
          <w:highlight w:val="none"/>
        </w:rPr>
        <w:t>整</w:t>
      </w:r>
      <w:r>
        <w:rPr>
          <w:rFonts w:hint="default" w:ascii="宋体" w:hAnsi="宋体" w:eastAsia="宋体" w:cs="宋体"/>
          <w:b/>
          <w:bCs/>
          <w:color w:val="auto"/>
          <w:kern w:val="0"/>
          <w:sz w:val="24"/>
          <w:szCs w:val="24"/>
          <w:highlight w:val="none"/>
        </w:rPr>
        <w:t>。</w:t>
      </w:r>
      <w:r>
        <w:rPr>
          <w:rFonts w:hint="eastAsia" w:ascii="宋体" w:hAnsi="宋体" w:eastAsia="宋体" w:cs="宋体"/>
          <w:color w:val="auto"/>
          <w:sz w:val="24"/>
          <w:szCs w:val="24"/>
          <w:highlight w:val="none"/>
        </w:rPr>
        <w:t>采购单位</w:t>
      </w:r>
      <w:r>
        <w:rPr>
          <w:rFonts w:hint="eastAsia" w:ascii="宋体" w:hAnsi="宋体" w:eastAsia="宋体" w:cs="宋体"/>
          <w:color w:val="auto"/>
          <w:sz w:val="24"/>
          <w:szCs w:val="24"/>
          <w:highlight w:val="none"/>
          <w:lang w:val="en-US" w:eastAsia="zh-CN"/>
        </w:rPr>
        <w:t>于本合同有效期满且最后一批次货物供货完毕后7个工作日内一次性无息返还（扣除相应的违约金、赔偿金）。在</w:t>
      </w:r>
      <w:r>
        <w:rPr>
          <w:rFonts w:hint="eastAsia" w:ascii="宋体" w:hAnsi="宋体" w:eastAsia="宋体" w:cs="宋体"/>
          <w:color w:val="auto"/>
          <w:sz w:val="24"/>
          <w:szCs w:val="24"/>
          <w:highlight w:val="none"/>
        </w:rPr>
        <w:t>采购单位</w:t>
      </w:r>
      <w:r>
        <w:rPr>
          <w:rFonts w:hint="eastAsia" w:ascii="宋体" w:hAnsi="宋体" w:eastAsia="宋体" w:cs="宋体"/>
          <w:color w:val="auto"/>
          <w:sz w:val="24"/>
          <w:szCs w:val="24"/>
          <w:highlight w:val="none"/>
          <w:lang w:val="en-US" w:eastAsia="zh-CN"/>
        </w:rPr>
        <w:t>支付每批次货款之前，</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lang w:val="en-US" w:eastAsia="zh-CN"/>
        </w:rPr>
        <w:t>向</w:t>
      </w:r>
      <w:r>
        <w:rPr>
          <w:rFonts w:hint="eastAsia" w:ascii="宋体" w:hAnsi="宋体" w:eastAsia="宋体" w:cs="宋体"/>
          <w:color w:val="auto"/>
          <w:sz w:val="24"/>
          <w:szCs w:val="24"/>
          <w:highlight w:val="none"/>
        </w:rPr>
        <w:t>采购单位</w:t>
      </w:r>
      <w:r>
        <w:rPr>
          <w:rFonts w:hint="eastAsia" w:ascii="宋体" w:hAnsi="宋体" w:eastAsia="宋体" w:cs="宋体"/>
          <w:color w:val="auto"/>
          <w:sz w:val="24"/>
          <w:szCs w:val="24"/>
          <w:highlight w:val="none"/>
          <w:lang w:val="en-US" w:eastAsia="zh-CN"/>
        </w:rPr>
        <w:t>支付该批次货款金额的3%作为售后履约保证金，待本合同有效期内最后一批次货物保修期届满后7个工作日内一次性无息返还（扣除相应的违约金、赔偿金）</w:t>
      </w:r>
      <w:r>
        <w:rPr>
          <w:rFonts w:hint="eastAsia" w:ascii="宋体" w:hAnsi="宋体" w:eastAsia="宋体" w:cs="宋体"/>
          <w:b/>
          <w:color w:val="auto"/>
          <w:kern w:val="2"/>
          <w:sz w:val="24"/>
          <w:szCs w:val="24"/>
          <w:highlight w:val="none"/>
          <w:lang w:val="en-US" w:eastAsia="zh-CN" w:bidi="ar-SA"/>
        </w:rPr>
        <w:t>。备注：</w:t>
      </w:r>
      <w:r>
        <w:rPr>
          <w:rFonts w:hint="default" w:ascii="宋体" w:hAnsi="宋体" w:cs="宋体"/>
          <w:b/>
          <w:bCs/>
          <w:color w:val="auto"/>
          <w:kern w:val="0"/>
          <w:sz w:val="24"/>
          <w:szCs w:val="24"/>
          <w:highlight w:val="none"/>
          <w:lang w:eastAsia="zh-CN" w:bidi="ar-SA"/>
        </w:rPr>
        <w:t>经评审，若所有采购标的均为中小企业（含个体工商户）制造的货物，或者监狱企业提供本单位制造的货物；或者残疾人福利性单位提供本单位制造的货物（或提供其他残疾人福利性单位制造的货物），</w:t>
      </w:r>
      <w:r>
        <w:rPr>
          <w:rFonts w:hint="eastAsia" w:ascii="宋体" w:hAnsi="宋体" w:eastAsia="宋体" w:cs="宋体"/>
          <w:b/>
          <w:bCs/>
          <w:color w:val="auto"/>
          <w:kern w:val="0"/>
          <w:sz w:val="24"/>
          <w:szCs w:val="24"/>
          <w:highlight w:val="none"/>
          <w:lang w:val="en-US" w:eastAsia="zh-CN" w:bidi="ar-SA"/>
        </w:rPr>
        <w:t>框架协议履约保证金和采购合同履约保证金</w:t>
      </w:r>
      <w:r>
        <w:rPr>
          <w:rFonts w:hint="default" w:ascii="宋体" w:hAnsi="宋体" w:cs="宋体"/>
          <w:b/>
          <w:bCs/>
          <w:color w:val="auto"/>
          <w:kern w:val="0"/>
          <w:sz w:val="24"/>
          <w:szCs w:val="24"/>
          <w:highlight w:val="none"/>
          <w:lang w:eastAsia="zh-CN" w:bidi="ar-SA"/>
        </w:rPr>
        <w:t>按约定比例的50%支付</w:t>
      </w:r>
      <w:r>
        <w:rPr>
          <w:rFonts w:hint="eastAsia" w:ascii="宋体" w:hAnsi="宋体" w:eastAsia="宋体" w:cs="宋体"/>
          <w:b/>
          <w:color w:val="auto"/>
          <w:kern w:val="2"/>
          <w:sz w:val="24"/>
          <w:szCs w:val="24"/>
          <w:highlight w:val="none"/>
          <w:lang w:val="en-US" w:eastAsia="zh-CN" w:bidi="ar-SA"/>
        </w:rPr>
        <w:t>，需提供中小企业证明材料：①投标人须在投标文件中提交《中小企业声明函》。投标人需对其中小企业声明函的真实性负责。</w:t>
      </w:r>
    </w:p>
    <w:p w14:paraId="353A4C67">
      <w:pPr>
        <w:widowControl/>
        <w:tabs>
          <w:tab w:val="left" w:pos="5880"/>
        </w:tabs>
        <w:spacing w:before="0" w:beforeAutospacing="0" w:after="0" w:afterAutospacing="0" w:line="360" w:lineRule="auto"/>
        <w:jc w:val="left"/>
        <w:rPr>
          <w:rFonts w:hint="eastAsia" w:ascii="宋体" w:hAnsi="宋体" w:eastAsia="宋体" w:cs="宋体"/>
          <w:b/>
          <w:color w:val="auto"/>
          <w:kern w:val="2"/>
          <w:sz w:val="24"/>
          <w:szCs w:val="24"/>
          <w:highlight w:val="none"/>
          <w:lang w:val="en-US" w:eastAsia="zh-CN" w:bidi="ar-SA"/>
        </w:rPr>
      </w:pPr>
      <w:r>
        <w:rPr>
          <w:rFonts w:hint="default" w:ascii="宋体" w:hAnsi="宋体" w:cs="宋体"/>
          <w:b/>
          <w:color w:val="auto"/>
          <w:kern w:val="2"/>
          <w:sz w:val="24"/>
          <w:szCs w:val="24"/>
          <w:highlight w:val="none"/>
          <w:lang w:eastAsia="zh-CN" w:bidi="ar-SA"/>
        </w:rPr>
        <w:t xml:space="preserve">    4</w:t>
      </w:r>
      <w:r>
        <w:rPr>
          <w:rFonts w:hint="eastAsia" w:ascii="宋体" w:hAnsi="宋体" w:eastAsia="宋体" w:cs="宋体"/>
          <w:b/>
          <w:color w:val="auto"/>
          <w:kern w:val="2"/>
          <w:sz w:val="24"/>
          <w:szCs w:val="24"/>
          <w:highlight w:val="none"/>
          <w:lang w:val="en-US" w:eastAsia="zh-CN" w:bidi="ar-SA"/>
        </w:rPr>
        <w:t>、是否邀请投标人参与验收：否</w:t>
      </w:r>
    </w:p>
    <w:p w14:paraId="1E8E5C34">
      <w:pPr>
        <w:widowControl/>
        <w:tabs>
          <w:tab w:val="left" w:pos="5880"/>
        </w:tabs>
        <w:spacing w:before="0" w:beforeAutospacing="0" w:after="0" w:afterAutospacing="0" w:line="360" w:lineRule="auto"/>
        <w:jc w:val="left"/>
        <w:rPr>
          <w:rFonts w:hint="eastAsia" w:ascii="宋体" w:hAnsi="宋体" w:eastAsia="宋体" w:cs="宋体"/>
          <w:color w:val="auto"/>
          <w:kern w:val="0"/>
          <w:sz w:val="24"/>
          <w:szCs w:val="24"/>
          <w:highlight w:val="none"/>
          <w:lang w:val="en-US" w:eastAsia="zh-CN" w:bidi="ar-SA"/>
        </w:rPr>
      </w:pPr>
      <w:r>
        <w:rPr>
          <w:rFonts w:hint="default" w:ascii="宋体" w:hAnsi="宋体" w:cs="宋体"/>
          <w:b/>
          <w:color w:val="auto"/>
          <w:kern w:val="2"/>
          <w:sz w:val="24"/>
          <w:szCs w:val="24"/>
          <w:highlight w:val="none"/>
          <w:lang w:eastAsia="zh-CN" w:bidi="ar-SA"/>
        </w:rPr>
        <w:t xml:space="preserve">    5</w:t>
      </w:r>
      <w:r>
        <w:rPr>
          <w:rFonts w:hint="eastAsia" w:ascii="宋体" w:hAnsi="宋体" w:eastAsia="宋体" w:cs="宋体"/>
          <w:b/>
          <w:color w:val="auto"/>
          <w:kern w:val="2"/>
          <w:sz w:val="24"/>
          <w:szCs w:val="24"/>
          <w:highlight w:val="none"/>
          <w:lang w:val="en-US" w:eastAsia="zh-CN" w:bidi="ar-SA"/>
        </w:rPr>
        <w:t xml:space="preserve">、验收方式数据表格 </w:t>
      </w:r>
    </w:p>
    <w:tbl>
      <w:tblPr>
        <w:tblStyle w:val="14"/>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1667"/>
        <w:gridCol w:w="6669"/>
      </w:tblGrid>
      <w:tr w14:paraId="1B194B6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Header/>
          <w:tblCellSpacing w:w="0" w:type="dxa"/>
        </w:trPr>
        <w:tc>
          <w:tcPr>
            <w:tcW w:w="1000" w:type="pct"/>
            <w:vAlign w:val="center"/>
          </w:tcPr>
          <w:p w14:paraId="7DE6B8AF">
            <w:pPr>
              <w:keepNext w:val="0"/>
              <w:keepLines w:val="0"/>
              <w:widowControl/>
              <w:suppressLineNumbers w:val="0"/>
              <w:spacing w:before="0" w:beforeAutospacing="0" w:after="0" w:afterAutospacing="0" w:line="360" w:lineRule="auto"/>
              <w:ind w:left="0" w:right="0"/>
              <w:jc w:val="left"/>
              <w:rPr>
                <w:rFonts w:hint="default"/>
                <w:color w:val="auto"/>
                <w:sz w:val="24"/>
                <w:szCs w:val="24"/>
                <w:highlight w:val="none"/>
              </w:rPr>
            </w:pPr>
            <w:r>
              <w:rPr>
                <w:rFonts w:hint="default" w:ascii="宋体" w:hAnsi="宋体" w:cs="宋体"/>
                <w:color w:val="auto"/>
                <w:kern w:val="0"/>
                <w:sz w:val="24"/>
                <w:szCs w:val="24"/>
                <w:highlight w:val="none"/>
              </w:rPr>
              <w:t>验收期次</w:t>
            </w:r>
          </w:p>
        </w:tc>
        <w:tc>
          <w:tcPr>
            <w:tcW w:w="4000" w:type="pct"/>
            <w:vAlign w:val="center"/>
          </w:tcPr>
          <w:p w14:paraId="1706430D">
            <w:pPr>
              <w:keepNext w:val="0"/>
              <w:keepLines w:val="0"/>
              <w:widowControl/>
              <w:suppressLineNumbers w:val="0"/>
              <w:spacing w:before="0" w:beforeAutospacing="0" w:after="0" w:afterAutospacing="0" w:line="360" w:lineRule="auto"/>
              <w:ind w:left="0" w:right="0"/>
              <w:jc w:val="left"/>
              <w:rPr>
                <w:rFonts w:hint="default"/>
                <w:color w:val="auto"/>
                <w:sz w:val="24"/>
                <w:szCs w:val="24"/>
                <w:highlight w:val="none"/>
              </w:rPr>
            </w:pPr>
            <w:r>
              <w:rPr>
                <w:rFonts w:hint="default" w:ascii="宋体" w:hAnsi="宋体" w:cs="宋体"/>
                <w:color w:val="auto"/>
                <w:kern w:val="0"/>
                <w:sz w:val="24"/>
                <w:szCs w:val="24"/>
                <w:highlight w:val="none"/>
              </w:rPr>
              <w:t>验收期次说明</w:t>
            </w:r>
          </w:p>
        </w:tc>
      </w:tr>
      <w:tr w14:paraId="2D7FEB7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vAlign w:val="center"/>
          </w:tcPr>
          <w:p w14:paraId="5D3C8419">
            <w:pPr>
              <w:keepNext w:val="0"/>
              <w:keepLines w:val="0"/>
              <w:widowControl/>
              <w:suppressLineNumbers w:val="0"/>
              <w:spacing w:before="0" w:beforeAutospacing="0" w:after="0" w:afterAutospacing="0" w:line="360" w:lineRule="auto"/>
              <w:ind w:left="0" w:right="0"/>
              <w:jc w:val="left"/>
              <w:rPr>
                <w:rFonts w:hint="default"/>
                <w:color w:val="auto"/>
                <w:sz w:val="24"/>
                <w:szCs w:val="24"/>
                <w:highlight w:val="none"/>
              </w:rPr>
            </w:pPr>
            <w:r>
              <w:rPr>
                <w:rFonts w:hint="default" w:ascii="宋体" w:hAnsi="宋体" w:cs="宋体"/>
                <w:color w:val="auto"/>
                <w:kern w:val="0"/>
                <w:sz w:val="24"/>
                <w:szCs w:val="24"/>
                <w:highlight w:val="none"/>
              </w:rPr>
              <w:t>1</w:t>
            </w:r>
          </w:p>
        </w:tc>
        <w:tc>
          <w:tcPr>
            <w:tcW w:w="0" w:type="auto"/>
            <w:vAlign w:val="center"/>
          </w:tcPr>
          <w:p w14:paraId="05B500BF">
            <w:pPr>
              <w:keepNext w:val="0"/>
              <w:keepLines w:val="0"/>
              <w:widowControl/>
              <w:suppressLineNumbers w:val="0"/>
              <w:spacing w:before="0" w:beforeAutospacing="0" w:after="0" w:afterAutospacing="0" w:line="360" w:lineRule="auto"/>
              <w:ind w:left="0" w:right="0"/>
              <w:jc w:val="left"/>
              <w:rPr>
                <w:rFonts w:hint="default"/>
                <w:color w:val="auto"/>
                <w:sz w:val="24"/>
                <w:szCs w:val="24"/>
                <w:highlight w:val="none"/>
              </w:rPr>
            </w:pPr>
            <w:r>
              <w:rPr>
                <w:rFonts w:hint="default" w:ascii="宋体" w:hAnsi="宋体" w:cs="宋体"/>
                <w:color w:val="auto"/>
                <w:kern w:val="0"/>
                <w:sz w:val="24"/>
                <w:szCs w:val="24"/>
                <w:highlight w:val="none"/>
              </w:rPr>
              <w:t>验收依据：</w:t>
            </w:r>
            <w:r>
              <w:rPr>
                <w:rFonts w:hint="eastAsia" w:ascii="宋体" w:hAnsi="宋体" w:cs="宋体"/>
                <w:color w:val="auto"/>
                <w:kern w:val="0"/>
                <w:sz w:val="24"/>
                <w:szCs w:val="24"/>
                <w:highlight w:val="none"/>
              </w:rPr>
              <w:t>征集</w:t>
            </w:r>
            <w:r>
              <w:rPr>
                <w:rFonts w:hint="default" w:ascii="宋体" w:hAnsi="宋体" w:cs="宋体"/>
                <w:color w:val="auto"/>
                <w:kern w:val="0"/>
                <w:sz w:val="24"/>
                <w:szCs w:val="24"/>
                <w:highlight w:val="none"/>
              </w:rPr>
              <w:t>文件、</w:t>
            </w:r>
            <w:r>
              <w:rPr>
                <w:rFonts w:hint="eastAsia" w:ascii="宋体" w:hAnsi="宋体" w:cs="宋体"/>
                <w:color w:val="auto"/>
                <w:kern w:val="0"/>
                <w:sz w:val="24"/>
                <w:szCs w:val="24"/>
                <w:highlight w:val="none"/>
                <w:lang w:eastAsia="zh-CN"/>
              </w:rPr>
              <w:t>入围</w:t>
            </w:r>
            <w:r>
              <w:rPr>
                <w:rFonts w:hint="eastAsia" w:ascii="宋体" w:hAnsi="宋体" w:cs="宋体"/>
                <w:color w:val="auto"/>
                <w:kern w:val="0"/>
                <w:sz w:val="24"/>
                <w:szCs w:val="24"/>
                <w:highlight w:val="none"/>
              </w:rPr>
              <w:t>供应商</w:t>
            </w:r>
            <w:r>
              <w:rPr>
                <w:rFonts w:hint="default" w:ascii="宋体" w:hAnsi="宋体" w:cs="宋体"/>
                <w:color w:val="auto"/>
                <w:kern w:val="0"/>
                <w:sz w:val="24"/>
                <w:szCs w:val="24"/>
                <w:highlight w:val="none"/>
              </w:rPr>
              <w:t>的投标文件、厂家货物技术标准说明及国家有关的质量标准规定，均为验收依据。</w:t>
            </w:r>
          </w:p>
        </w:tc>
      </w:tr>
      <w:tr w14:paraId="0F7CD83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vAlign w:val="center"/>
          </w:tcPr>
          <w:p w14:paraId="2E63D34E">
            <w:pPr>
              <w:keepNext w:val="0"/>
              <w:keepLines w:val="0"/>
              <w:widowControl/>
              <w:suppressLineNumbers w:val="0"/>
              <w:spacing w:before="0" w:beforeAutospacing="0" w:after="0" w:afterAutospacing="0" w:line="360" w:lineRule="auto"/>
              <w:ind w:left="0" w:right="0"/>
              <w:jc w:val="left"/>
              <w:rPr>
                <w:rFonts w:hint="default"/>
                <w:color w:val="auto"/>
                <w:sz w:val="24"/>
                <w:szCs w:val="24"/>
                <w:highlight w:val="none"/>
              </w:rPr>
            </w:pPr>
            <w:r>
              <w:rPr>
                <w:rFonts w:hint="default" w:ascii="宋体" w:hAnsi="宋体" w:cs="宋体"/>
                <w:color w:val="auto"/>
                <w:kern w:val="0"/>
                <w:sz w:val="24"/>
                <w:szCs w:val="24"/>
                <w:highlight w:val="none"/>
              </w:rPr>
              <w:t>2</w:t>
            </w:r>
          </w:p>
        </w:tc>
        <w:tc>
          <w:tcPr>
            <w:tcW w:w="0" w:type="auto"/>
            <w:vAlign w:val="center"/>
          </w:tcPr>
          <w:p w14:paraId="7EC0535E">
            <w:pPr>
              <w:keepNext w:val="0"/>
              <w:keepLines w:val="0"/>
              <w:widowControl/>
              <w:suppressLineNumbers w:val="0"/>
              <w:spacing w:before="0" w:beforeAutospacing="0" w:after="0" w:afterAutospacing="0" w:line="360" w:lineRule="auto"/>
              <w:ind w:left="0" w:right="0"/>
              <w:jc w:val="left"/>
              <w:rPr>
                <w:rFonts w:hint="default"/>
                <w:color w:val="auto"/>
                <w:sz w:val="24"/>
                <w:szCs w:val="24"/>
                <w:highlight w:val="none"/>
              </w:rPr>
            </w:pPr>
            <w:r>
              <w:rPr>
                <w:rFonts w:hint="default" w:ascii="宋体" w:hAnsi="宋体" w:cs="宋体"/>
                <w:color w:val="auto"/>
                <w:kern w:val="0"/>
                <w:sz w:val="24"/>
                <w:szCs w:val="24"/>
                <w:highlight w:val="none"/>
              </w:rPr>
              <w:t>货物验收：货物运抵</w:t>
            </w:r>
            <w:r>
              <w:rPr>
                <w:rFonts w:hint="eastAsia" w:ascii="宋体" w:hAnsi="宋体" w:cs="宋体"/>
                <w:color w:val="auto"/>
                <w:kern w:val="0"/>
                <w:sz w:val="24"/>
                <w:szCs w:val="24"/>
                <w:highlight w:val="none"/>
                <w:lang w:eastAsia="zh-CN"/>
              </w:rPr>
              <w:t>征集人</w:t>
            </w:r>
            <w:r>
              <w:rPr>
                <w:rFonts w:hint="default" w:ascii="宋体" w:hAnsi="宋体" w:cs="宋体"/>
                <w:color w:val="auto"/>
                <w:kern w:val="0"/>
                <w:sz w:val="24"/>
                <w:szCs w:val="24"/>
                <w:highlight w:val="none"/>
              </w:rPr>
              <w:t>处后由双方共同开箱并对照采购清单及技术要求进行验收。</w:t>
            </w:r>
            <w:r>
              <w:rPr>
                <w:rFonts w:hint="eastAsia" w:ascii="宋体" w:cs="宋体"/>
                <w:color w:val="auto"/>
                <w:kern w:val="0"/>
                <w:sz w:val="24"/>
                <w:szCs w:val="24"/>
                <w:highlight w:val="none"/>
                <w:lang w:val="zh-CN"/>
              </w:rPr>
              <w:t>要求进行设备远程或现场安装、调试后，应按</w:t>
            </w:r>
            <w:r>
              <w:rPr>
                <w:rFonts w:hint="eastAsia" w:ascii="宋体" w:hAnsi="宋体" w:cs="宋体"/>
                <w:color w:val="auto"/>
                <w:kern w:val="0"/>
                <w:sz w:val="24"/>
                <w:szCs w:val="24"/>
                <w:highlight w:val="none"/>
                <w:lang w:eastAsia="zh-CN"/>
              </w:rPr>
              <w:t>征集人</w:t>
            </w:r>
            <w:r>
              <w:rPr>
                <w:rFonts w:hint="eastAsia" w:ascii="宋体" w:cs="宋体"/>
                <w:color w:val="auto"/>
                <w:kern w:val="0"/>
                <w:sz w:val="24"/>
                <w:szCs w:val="24"/>
                <w:highlight w:val="none"/>
                <w:lang w:val="zh-CN"/>
              </w:rPr>
              <w:t>要求填写《验收报告》等单据并经</w:t>
            </w:r>
            <w:r>
              <w:rPr>
                <w:rFonts w:hint="eastAsia" w:ascii="宋体" w:hAnsi="宋体" w:cs="宋体"/>
                <w:color w:val="auto"/>
                <w:kern w:val="0"/>
                <w:sz w:val="24"/>
                <w:szCs w:val="24"/>
                <w:highlight w:val="none"/>
                <w:lang w:eastAsia="zh-CN"/>
              </w:rPr>
              <w:t>征集人</w:t>
            </w:r>
            <w:r>
              <w:rPr>
                <w:rFonts w:hint="eastAsia" w:ascii="宋体" w:cs="宋体"/>
                <w:color w:val="auto"/>
                <w:kern w:val="0"/>
                <w:sz w:val="24"/>
                <w:szCs w:val="24"/>
                <w:highlight w:val="none"/>
                <w:lang w:val="zh-CN"/>
              </w:rPr>
              <w:t>签署确认。</w:t>
            </w:r>
          </w:p>
        </w:tc>
      </w:tr>
    </w:tbl>
    <w:p w14:paraId="0C070918">
      <w:pPr>
        <w:widowControl/>
        <w:spacing w:line="360" w:lineRule="auto"/>
        <w:jc w:val="left"/>
        <w:rPr>
          <w:rFonts w:hint="eastAsia" w:ascii="宋体" w:hAnsi="宋体" w:eastAsia="宋体" w:cs="宋体"/>
          <w:color w:val="auto"/>
          <w:sz w:val="24"/>
          <w:szCs w:val="24"/>
          <w:highlight w:val="none"/>
        </w:rPr>
      </w:pPr>
      <w:r>
        <w:rPr>
          <w:rFonts w:hint="default" w:ascii="宋体" w:hAnsi="宋体" w:cs="宋体"/>
          <w:b/>
          <w:bCs/>
          <w:color w:val="auto"/>
          <w:kern w:val="2"/>
          <w:sz w:val="28"/>
          <w:szCs w:val="28"/>
          <w:highlight w:val="none"/>
          <w:lang w:eastAsia="zh-CN" w:bidi="ar-SA"/>
        </w:rPr>
        <w:t xml:space="preserve">    </w:t>
      </w:r>
      <w:r>
        <w:rPr>
          <w:rFonts w:hint="eastAsia" w:ascii="宋体" w:hAnsi="宋体" w:eastAsia="宋体" w:cs="宋体"/>
          <w:b/>
          <w:bCs/>
          <w:color w:val="auto"/>
          <w:kern w:val="2"/>
          <w:sz w:val="28"/>
          <w:szCs w:val="28"/>
          <w:highlight w:val="none"/>
          <w:lang w:val="en-US" w:eastAsia="zh-CN" w:bidi="ar-SA"/>
        </w:rPr>
        <w:t>★</w:t>
      </w:r>
      <w:r>
        <w:rPr>
          <w:rFonts w:hint="default" w:ascii="宋体" w:hAnsi="宋体" w:cs="宋体"/>
          <w:b/>
          <w:bCs/>
          <w:color w:val="auto"/>
          <w:kern w:val="2"/>
          <w:sz w:val="28"/>
          <w:szCs w:val="28"/>
          <w:highlight w:val="none"/>
          <w:lang w:eastAsia="zh-CN" w:bidi="ar-SA"/>
        </w:rPr>
        <w:t>6</w:t>
      </w:r>
      <w:r>
        <w:rPr>
          <w:rFonts w:hint="eastAsia" w:ascii="宋体" w:hAnsi="宋体" w:eastAsia="宋体" w:cs="宋体"/>
          <w:b/>
          <w:color w:val="auto"/>
          <w:kern w:val="0"/>
          <w:sz w:val="24"/>
          <w:szCs w:val="24"/>
          <w:highlight w:val="none"/>
        </w:rPr>
        <w:t xml:space="preserve">、支付方式数据表格 </w:t>
      </w:r>
    </w:p>
    <w:tbl>
      <w:tblPr>
        <w:tblStyle w:val="14"/>
        <w:tblW w:w="5418"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1664"/>
        <w:gridCol w:w="1665"/>
        <w:gridCol w:w="5704"/>
      </w:tblGrid>
      <w:tr w14:paraId="55544CB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921" w:type="pct"/>
            <w:vAlign w:val="center"/>
          </w:tcPr>
          <w:p w14:paraId="3E4713DC">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支付期次</w:t>
            </w:r>
          </w:p>
        </w:tc>
        <w:tc>
          <w:tcPr>
            <w:tcW w:w="921" w:type="pct"/>
            <w:vAlign w:val="center"/>
          </w:tcPr>
          <w:p w14:paraId="34550A88">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支付比例(%)</w:t>
            </w:r>
          </w:p>
        </w:tc>
        <w:tc>
          <w:tcPr>
            <w:tcW w:w="3156" w:type="pct"/>
            <w:vAlign w:val="center"/>
          </w:tcPr>
          <w:p w14:paraId="1C926813">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支付期次说明</w:t>
            </w:r>
          </w:p>
        </w:tc>
      </w:tr>
      <w:tr w14:paraId="3B75C84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vAlign w:val="center"/>
          </w:tcPr>
          <w:p w14:paraId="40716CCA">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0" w:type="auto"/>
            <w:vAlign w:val="center"/>
          </w:tcPr>
          <w:p w14:paraId="1659EC77">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100</w:t>
            </w:r>
          </w:p>
        </w:tc>
        <w:tc>
          <w:tcPr>
            <w:tcW w:w="3156" w:type="pct"/>
            <w:vAlign w:val="center"/>
          </w:tcPr>
          <w:p w14:paraId="4C6786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left"/>
              <w:textAlignment w:val="auto"/>
              <w:rPr>
                <w:rFonts w:hint="eastAsia" w:ascii="宋体" w:hAnsi="宋体" w:eastAsia="宋体" w:cs="宋体"/>
                <w:color w:val="auto"/>
                <w:sz w:val="24"/>
                <w:szCs w:val="24"/>
                <w:highlight w:val="none"/>
              </w:rPr>
            </w:pPr>
            <w:r>
              <w:rPr>
                <w:rFonts w:hint="default" w:ascii="宋体" w:hAnsi="宋体" w:eastAsia="宋体" w:cs="宋体"/>
                <w:color w:val="auto"/>
                <w:kern w:val="2"/>
                <w:sz w:val="24"/>
                <w:szCs w:val="24"/>
                <w:highlight w:val="none"/>
                <w:lang w:eastAsia="zh-CN" w:bidi="ar"/>
              </w:rPr>
              <w:t>成交供应商</w:t>
            </w:r>
            <w:r>
              <w:rPr>
                <w:rFonts w:hint="eastAsia" w:ascii="宋体" w:hAnsi="宋体" w:eastAsia="宋体" w:cs="宋体"/>
                <w:b w:val="0"/>
                <w:bCs w:val="0"/>
                <w:i w:val="0"/>
                <w:iCs w:val="0"/>
                <w:caps w:val="0"/>
                <w:color w:val="auto"/>
                <w:spacing w:val="0"/>
                <w:kern w:val="0"/>
                <w:sz w:val="24"/>
                <w:szCs w:val="24"/>
                <w:highlight w:val="none"/>
                <w:vertAlign w:val="baseline"/>
                <w:lang w:val="en-US" w:eastAsia="zh-CN" w:bidi="ar-SA"/>
              </w:rPr>
              <w:t>选择委托采购单位推荐的第三方物流进行集中仓储</w:t>
            </w:r>
            <w:r>
              <w:rPr>
                <w:rFonts w:hint="default" w:ascii="宋体" w:hAnsi="宋体" w:cs="宋体"/>
                <w:b w:val="0"/>
                <w:bCs w:val="0"/>
                <w:i w:val="0"/>
                <w:iCs w:val="0"/>
                <w:caps w:val="0"/>
                <w:color w:val="auto"/>
                <w:spacing w:val="0"/>
                <w:kern w:val="0"/>
                <w:sz w:val="24"/>
                <w:szCs w:val="24"/>
                <w:highlight w:val="none"/>
                <w:vertAlign w:val="baseline"/>
                <w:lang w:eastAsia="zh-CN" w:bidi="ar-SA"/>
              </w:rPr>
              <w:t>的，</w:t>
            </w:r>
            <w:r>
              <w:rPr>
                <w:rFonts w:hint="eastAsia" w:ascii="宋体" w:hAnsi="宋体" w:eastAsia="宋体" w:cs="宋体"/>
                <w:color w:val="auto"/>
                <w:kern w:val="2"/>
                <w:sz w:val="24"/>
                <w:szCs w:val="24"/>
                <w:highlight w:val="none"/>
                <w:lang w:val="en-US" w:eastAsia="zh-CN" w:bidi="ar"/>
              </w:rPr>
              <w:t>货交采购单位仓库</w:t>
            </w:r>
            <w:r>
              <w:rPr>
                <w:rFonts w:hint="default" w:ascii="宋体" w:hAnsi="宋体" w:cs="宋体"/>
                <w:color w:val="auto"/>
                <w:kern w:val="2"/>
                <w:sz w:val="24"/>
                <w:szCs w:val="24"/>
                <w:highlight w:val="none"/>
                <w:lang w:eastAsia="zh-CN" w:bidi="ar"/>
              </w:rPr>
              <w:t>且</w:t>
            </w:r>
            <w:r>
              <w:rPr>
                <w:rFonts w:hint="default" w:ascii="宋体" w:hAnsi="宋体" w:cs="宋体"/>
                <w:color w:val="auto"/>
                <w:sz w:val="24"/>
                <w:szCs w:val="24"/>
                <w:highlight w:val="none"/>
              </w:rPr>
              <w:t>经采购单位签收合格后</w:t>
            </w:r>
            <w:r>
              <w:rPr>
                <w:rFonts w:hint="eastAsia" w:ascii="宋体" w:hAnsi="宋体" w:eastAsia="宋体" w:cs="宋体"/>
                <w:color w:val="auto"/>
                <w:sz w:val="24"/>
                <w:szCs w:val="24"/>
                <w:highlight w:val="none"/>
              </w:rPr>
              <w:t>，采购单位凭相关验收材料在</w:t>
            </w:r>
            <w:r>
              <w:rPr>
                <w:rFonts w:hint="eastAsia" w:ascii="宋体" w:hAnsi="宋体" w:eastAsia="宋体" w:cs="宋体"/>
                <w:color w:val="auto"/>
                <w:sz w:val="24"/>
                <w:szCs w:val="24"/>
                <w:highlight w:val="none"/>
                <w:lang w:val="en-US" w:eastAsia="zh-CN"/>
              </w:rPr>
              <w:t>180</w:t>
            </w:r>
            <w:r>
              <w:rPr>
                <w:rFonts w:hint="eastAsia" w:ascii="宋体" w:hAnsi="宋体" w:eastAsia="宋体" w:cs="宋体"/>
                <w:color w:val="auto"/>
                <w:sz w:val="24"/>
                <w:szCs w:val="24"/>
                <w:highlight w:val="none"/>
              </w:rPr>
              <w:t>个日历日内（从</w:t>
            </w:r>
            <w:r>
              <w:rPr>
                <w:rFonts w:hint="eastAsia" w:ascii="宋体" w:hAnsi="宋体" w:eastAsia="宋体" w:cs="宋体"/>
                <w:color w:val="auto"/>
                <w:sz w:val="24"/>
                <w:szCs w:val="24"/>
                <w:highlight w:val="none"/>
                <w:lang w:eastAsia="zh-CN"/>
              </w:rPr>
              <w:t>采购单位</w:t>
            </w:r>
            <w:r>
              <w:rPr>
                <w:rFonts w:hint="eastAsia" w:ascii="宋体" w:hAnsi="宋体" w:eastAsia="宋体" w:cs="宋体"/>
                <w:color w:val="auto"/>
                <w:sz w:val="24"/>
                <w:szCs w:val="24"/>
                <w:highlight w:val="none"/>
              </w:rPr>
              <w:t>收货之日算起）向</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一次性支付该批次货款的全款。</w:t>
            </w:r>
          </w:p>
          <w:p w14:paraId="6CCF34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color w:val="auto"/>
                <w:highlight w:val="none"/>
                <w:lang w:val="en-US" w:eastAsia="zh-CN"/>
              </w:rPr>
            </w:pPr>
            <w:r>
              <w:rPr>
                <w:rFonts w:hint="default" w:ascii="宋体" w:hAnsi="宋体" w:cs="宋体"/>
                <w:color w:val="auto"/>
                <w:kern w:val="2"/>
                <w:sz w:val="24"/>
                <w:szCs w:val="24"/>
                <w:highlight w:val="none"/>
                <w:lang w:eastAsia="zh-CN" w:bidi="ar"/>
              </w:rPr>
              <w:t>成交</w:t>
            </w:r>
            <w:r>
              <w:rPr>
                <w:rFonts w:hint="default" w:ascii="宋体" w:hAnsi="宋体" w:eastAsia="宋体" w:cs="宋体"/>
                <w:color w:val="auto"/>
                <w:kern w:val="2"/>
                <w:sz w:val="24"/>
                <w:szCs w:val="24"/>
                <w:highlight w:val="none"/>
                <w:lang w:eastAsia="zh-CN" w:bidi="ar"/>
              </w:rPr>
              <w:t>供应商</w:t>
            </w:r>
            <w:r>
              <w:rPr>
                <w:rFonts w:hint="eastAsia" w:ascii="宋体" w:hAnsi="宋体" w:eastAsia="宋体" w:cs="宋体"/>
                <w:color w:val="auto"/>
                <w:kern w:val="2"/>
                <w:sz w:val="24"/>
                <w:szCs w:val="24"/>
                <w:highlight w:val="none"/>
                <w:lang w:val="en-US" w:eastAsia="zh-CN" w:bidi="ar"/>
              </w:rPr>
              <w:t>选择自行完成仓储配送的，该批次货物经安装调试完毕并经最终验收合格后，采购单位凭相关验收材料在180个日历日内（账期核算时间从该批次货物经安装调试完毕且最终用户签署验收单之日开始）向成交供应商一次性支付该批次货款的全款。</w:t>
            </w:r>
          </w:p>
        </w:tc>
      </w:tr>
    </w:tbl>
    <w:p w14:paraId="47AE4066">
      <w:pPr>
        <w:widowControl/>
        <w:spacing w:before="0" w:beforeAutospacing="0" w:after="0" w:afterAutospacing="0" w:line="360" w:lineRule="auto"/>
        <w:jc w:val="left"/>
        <w:rPr>
          <w:rFonts w:hint="eastAsia" w:ascii="宋体" w:hAnsi="宋体" w:eastAsia="宋体" w:cs="宋体"/>
          <w:b/>
          <w:bCs/>
          <w:color w:val="auto"/>
          <w:kern w:val="0"/>
          <w:sz w:val="28"/>
          <w:szCs w:val="28"/>
          <w:highlight w:val="none"/>
          <w:lang w:val="en-US" w:eastAsia="zh-CN" w:bidi="ar-SA"/>
        </w:rPr>
      </w:pPr>
    </w:p>
    <w:p w14:paraId="2E406E40">
      <w:pPr>
        <w:widowControl/>
        <w:spacing w:before="0" w:beforeAutospacing="0" w:after="0" w:afterAutospacing="0" w:line="360" w:lineRule="auto"/>
        <w:jc w:val="left"/>
        <w:outlineLvl w:val="1"/>
        <w:rPr>
          <w:rFonts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四、其它要求</w:t>
      </w:r>
    </w:p>
    <w:p w14:paraId="2578FB20">
      <w:pPr>
        <w:widowControl/>
        <w:spacing w:before="0" w:beforeAutospacing="0" w:after="0" w:afterAutospacing="0" w:line="360" w:lineRule="auto"/>
        <w:jc w:val="both"/>
        <w:textAlignment w:val="baseline"/>
        <w:rPr>
          <w:rFonts w:ascii="宋体" w:hAnsi="宋体" w:eastAsia="宋体" w:cs="宋体"/>
          <w:color w:val="auto"/>
          <w:kern w:val="0"/>
          <w:sz w:val="24"/>
          <w:szCs w:val="24"/>
          <w:highlight w:val="none"/>
          <w:lang w:val="en-US" w:eastAsia="zh-CN" w:bidi="ar-SA"/>
        </w:rPr>
      </w:pPr>
      <w:r>
        <w:rPr>
          <w:rFonts w:ascii="宋体" w:hAnsi="宋体" w:cs="宋体"/>
          <w:color w:val="auto"/>
          <w:kern w:val="0"/>
          <w:sz w:val="24"/>
          <w:szCs w:val="24"/>
          <w:highlight w:val="none"/>
          <w:lang w:eastAsia="zh-CN" w:bidi="ar-SA"/>
        </w:rPr>
        <w:t xml:space="preserve">    </w:t>
      </w:r>
      <w:r>
        <w:rPr>
          <w:rFonts w:ascii="宋体" w:hAnsi="宋体" w:eastAsia="宋体" w:cs="宋体"/>
          <w:color w:val="auto"/>
          <w:kern w:val="0"/>
          <w:sz w:val="24"/>
          <w:szCs w:val="24"/>
          <w:highlight w:val="none"/>
          <w:lang w:val="en-US" w:eastAsia="zh-CN" w:bidi="ar-SA"/>
        </w:rPr>
        <w:t>1、第一阶段征集确定的入围供应商应在</w:t>
      </w:r>
      <w:r>
        <w:rPr>
          <w:rFonts w:hint="eastAsia" w:ascii="宋体" w:hAnsi="宋体" w:eastAsia="宋体" w:cs="宋体"/>
          <w:color w:val="auto"/>
          <w:kern w:val="0"/>
          <w:sz w:val="24"/>
          <w:szCs w:val="24"/>
          <w:highlight w:val="none"/>
          <w:lang w:val="en-US" w:eastAsia="zh-CN" w:bidi="ar-SA"/>
        </w:rPr>
        <w:t>3</w:t>
      </w:r>
      <w:r>
        <w:rPr>
          <w:rFonts w:ascii="宋体" w:hAnsi="宋体" w:eastAsia="宋体" w:cs="宋体"/>
          <w:color w:val="auto"/>
          <w:kern w:val="0"/>
          <w:sz w:val="24"/>
          <w:szCs w:val="24"/>
          <w:highlight w:val="none"/>
          <w:lang w:val="en-US" w:eastAsia="zh-CN" w:bidi="ar-SA"/>
        </w:rPr>
        <w:t>0个日历日内与</w:t>
      </w:r>
      <w:r>
        <w:rPr>
          <w:rFonts w:hint="eastAsia" w:ascii="宋体" w:hAnsi="宋体" w:eastAsia="宋体" w:cs="宋体"/>
          <w:color w:val="auto"/>
          <w:kern w:val="0"/>
          <w:sz w:val="24"/>
          <w:szCs w:val="24"/>
          <w:highlight w:val="none"/>
          <w:lang w:val="en-US" w:eastAsia="zh-CN" w:bidi="ar-SA"/>
        </w:rPr>
        <w:t>征集人</w:t>
      </w:r>
      <w:r>
        <w:rPr>
          <w:rFonts w:ascii="宋体" w:hAnsi="宋体" w:eastAsia="宋体" w:cs="宋体"/>
          <w:color w:val="auto"/>
          <w:kern w:val="0"/>
          <w:sz w:val="24"/>
          <w:szCs w:val="24"/>
          <w:highlight w:val="none"/>
          <w:lang w:val="en-US" w:eastAsia="zh-CN" w:bidi="ar-SA"/>
        </w:rPr>
        <w:t>签订</w:t>
      </w:r>
      <w:r>
        <w:rPr>
          <w:rFonts w:hint="eastAsia" w:ascii="宋体" w:hAnsi="宋体" w:eastAsia="宋体" w:cs="宋体"/>
          <w:color w:val="auto"/>
          <w:kern w:val="0"/>
          <w:sz w:val="24"/>
          <w:szCs w:val="24"/>
          <w:highlight w:val="none"/>
          <w:lang w:val="en-US" w:eastAsia="zh-CN" w:bidi="ar-SA"/>
        </w:rPr>
        <w:t>封闭式</w:t>
      </w:r>
      <w:r>
        <w:rPr>
          <w:rFonts w:ascii="宋体" w:hAnsi="宋体" w:eastAsia="宋体" w:cs="宋体"/>
          <w:color w:val="auto"/>
          <w:kern w:val="0"/>
          <w:sz w:val="24"/>
          <w:szCs w:val="24"/>
          <w:highlight w:val="none"/>
          <w:lang w:val="en-US" w:eastAsia="zh-CN" w:bidi="ar-SA"/>
        </w:rPr>
        <w:t>框架采购协议，框架协议文本详见“三、框架采购协议”。入围供应商无正当理由，不得主动放弃入围资格或者退出框架协议，若违反，依照政府采购法等有关法律、行政法规追究法律责任。</w:t>
      </w:r>
    </w:p>
    <w:p w14:paraId="01D9261D">
      <w:pPr>
        <w:widowControl/>
        <w:spacing w:before="0" w:beforeAutospacing="0" w:after="0" w:afterAutospacing="0" w:line="360" w:lineRule="auto"/>
        <w:jc w:val="both"/>
        <w:textAlignment w:val="baseline"/>
        <w:rPr>
          <w:rFonts w:ascii="宋体" w:hAnsi="宋体" w:eastAsia="宋体" w:cs="宋体"/>
          <w:color w:val="auto"/>
          <w:kern w:val="0"/>
          <w:sz w:val="24"/>
          <w:szCs w:val="24"/>
          <w:highlight w:val="none"/>
          <w:lang w:val="en-US" w:eastAsia="zh-CN" w:bidi="ar-SA"/>
        </w:rPr>
      </w:pPr>
      <w:r>
        <w:rPr>
          <w:rFonts w:ascii="宋体" w:hAnsi="宋体" w:cs="宋体"/>
          <w:color w:val="auto"/>
          <w:kern w:val="0"/>
          <w:sz w:val="24"/>
          <w:szCs w:val="24"/>
          <w:highlight w:val="none"/>
          <w:lang w:eastAsia="zh-CN" w:bidi="ar-SA"/>
        </w:rPr>
        <w:t xml:space="preserve">    </w:t>
      </w:r>
      <w:r>
        <w:rPr>
          <w:rFonts w:ascii="宋体" w:hAnsi="宋体" w:eastAsia="宋体" w:cs="宋体"/>
          <w:color w:val="auto"/>
          <w:kern w:val="0"/>
          <w:sz w:val="24"/>
          <w:szCs w:val="24"/>
          <w:highlight w:val="none"/>
          <w:lang w:val="en-US" w:eastAsia="zh-CN" w:bidi="ar-SA"/>
        </w:rPr>
        <w:t>2、第二阶段</w:t>
      </w:r>
      <w:r>
        <w:rPr>
          <w:rFonts w:hint="default" w:ascii="宋体" w:hAnsi="宋体" w:cs="宋体"/>
          <w:color w:val="auto"/>
          <w:kern w:val="0"/>
          <w:sz w:val="24"/>
          <w:szCs w:val="24"/>
          <w:highlight w:val="none"/>
          <w:lang w:val="en-US" w:eastAsia="zh-CN" w:bidi="ar-SA"/>
        </w:rPr>
        <w:t>采</w:t>
      </w:r>
      <w:r>
        <w:rPr>
          <w:rFonts w:ascii="宋体" w:hAnsi="宋体" w:eastAsia="宋体" w:cs="宋体"/>
          <w:color w:val="auto"/>
          <w:kern w:val="0"/>
          <w:sz w:val="24"/>
          <w:szCs w:val="24"/>
          <w:highlight w:val="none"/>
          <w:lang w:val="en-US" w:eastAsia="zh-CN" w:bidi="ar-SA"/>
        </w:rPr>
        <w:t>用</w:t>
      </w:r>
      <w:r>
        <w:rPr>
          <w:rFonts w:hint="default" w:ascii="宋体" w:hAnsi="宋体" w:eastAsia="宋体" w:cs="宋体"/>
          <w:color w:val="auto"/>
          <w:kern w:val="0"/>
          <w:sz w:val="24"/>
          <w:szCs w:val="24"/>
          <w:highlight w:val="none"/>
          <w:lang w:val="en-US" w:eastAsia="zh-CN" w:bidi="ar-SA"/>
        </w:rPr>
        <w:t>直接选定</w:t>
      </w:r>
      <w:r>
        <w:rPr>
          <w:rFonts w:ascii="宋体" w:hAnsi="宋体" w:eastAsia="宋体" w:cs="宋体"/>
          <w:color w:val="auto"/>
          <w:kern w:val="0"/>
          <w:sz w:val="24"/>
          <w:szCs w:val="24"/>
          <w:highlight w:val="none"/>
          <w:lang w:val="en-US" w:eastAsia="zh-CN" w:bidi="ar-SA"/>
        </w:rPr>
        <w:t>方式确定</w:t>
      </w:r>
      <w:r>
        <w:rPr>
          <w:rFonts w:hint="default" w:ascii="宋体" w:hAnsi="宋体" w:eastAsia="宋体" w:cs="宋体"/>
          <w:i w:val="0"/>
          <w:caps w:val="0"/>
          <w:color w:val="auto"/>
          <w:spacing w:val="0"/>
          <w:kern w:val="0"/>
          <w:sz w:val="24"/>
          <w:szCs w:val="24"/>
          <w:highlight w:val="none"/>
          <w:u w:val="none"/>
          <w:shd w:val="clear" w:color="auto" w:fill="auto"/>
          <w:vertAlign w:val="baseline"/>
        </w:rPr>
        <w:t>成交供应商</w:t>
      </w:r>
      <w:r>
        <w:rPr>
          <w:rFonts w:ascii="宋体" w:hAnsi="宋体" w:eastAsia="宋体" w:cs="宋体"/>
          <w:color w:val="auto"/>
          <w:kern w:val="0"/>
          <w:sz w:val="24"/>
          <w:szCs w:val="24"/>
          <w:highlight w:val="none"/>
          <w:lang w:val="en-US" w:eastAsia="zh-CN" w:bidi="ar-SA"/>
        </w:rPr>
        <w:t>。</w:t>
      </w:r>
    </w:p>
    <w:p w14:paraId="672DFD12">
      <w:pPr>
        <w:widowControl/>
        <w:spacing w:before="0" w:beforeAutospacing="0" w:after="0" w:afterAutospacing="0" w:line="360" w:lineRule="auto"/>
        <w:jc w:val="both"/>
        <w:textAlignment w:val="baseline"/>
        <w:rPr>
          <w:rFonts w:ascii="宋体" w:hAnsi="宋体" w:eastAsia="宋体" w:cs="宋体"/>
          <w:color w:val="auto"/>
          <w:kern w:val="0"/>
          <w:sz w:val="24"/>
          <w:szCs w:val="24"/>
          <w:highlight w:val="none"/>
          <w:lang w:val="en-US" w:eastAsia="zh-CN" w:bidi="ar-SA"/>
        </w:rPr>
      </w:pPr>
      <w:r>
        <w:rPr>
          <w:rFonts w:ascii="宋体" w:hAnsi="宋体" w:cs="宋体"/>
          <w:color w:val="auto"/>
          <w:kern w:val="0"/>
          <w:sz w:val="24"/>
          <w:szCs w:val="24"/>
          <w:highlight w:val="none"/>
          <w:lang w:eastAsia="zh-CN" w:bidi="ar-SA"/>
        </w:rPr>
        <w:t xml:space="preserve">    </w:t>
      </w:r>
      <w:r>
        <w:rPr>
          <w:rFonts w:ascii="宋体" w:hAnsi="宋体" w:eastAsia="宋体" w:cs="宋体"/>
          <w:color w:val="auto"/>
          <w:kern w:val="0"/>
          <w:sz w:val="24"/>
          <w:szCs w:val="24"/>
          <w:highlight w:val="none"/>
          <w:lang w:val="en-US" w:eastAsia="zh-CN" w:bidi="ar-SA"/>
        </w:rPr>
        <w:t>3、服务过程中用户反馈和评价机制：</w:t>
      </w:r>
    </w:p>
    <w:p w14:paraId="20954AA9">
      <w:pPr>
        <w:widowControl/>
        <w:spacing w:before="0" w:beforeAutospacing="0" w:after="0" w:afterAutospacing="0" w:line="360" w:lineRule="auto"/>
        <w:ind w:firstLine="480" w:firstLineChars="200"/>
        <w:jc w:val="both"/>
        <w:textAlignment w:val="baseline"/>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保修期间，</w:t>
      </w:r>
      <w:r>
        <w:rPr>
          <w:rFonts w:hint="eastAsia" w:ascii="宋体" w:hAnsi="宋体" w:cs="宋体"/>
          <w:color w:val="auto"/>
          <w:kern w:val="0"/>
          <w:sz w:val="24"/>
          <w:szCs w:val="24"/>
          <w:highlight w:val="none"/>
          <w:lang w:val="en-US" w:eastAsia="zh-CN" w:bidi="ar-SA"/>
        </w:rPr>
        <w:t>征集人</w:t>
      </w:r>
      <w:r>
        <w:rPr>
          <w:rFonts w:hint="eastAsia" w:ascii="宋体" w:hAnsi="宋体" w:eastAsia="宋体" w:cs="宋体"/>
          <w:color w:val="auto"/>
          <w:kern w:val="0"/>
          <w:sz w:val="24"/>
          <w:szCs w:val="24"/>
          <w:highlight w:val="none"/>
          <w:lang w:val="en-US" w:eastAsia="zh-CN" w:bidi="ar-SA"/>
        </w:rPr>
        <w:t>跟踪了解设备的使用情况及供应商的售后服务质量，并收集最终用户对供应商在服务效率、服务规范、服务质量等方面的综合评价。具体评价机制如下：</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
        <w:gridCol w:w="1255"/>
        <w:gridCol w:w="1255"/>
        <w:gridCol w:w="1496"/>
        <w:gridCol w:w="3446"/>
      </w:tblGrid>
      <w:tr w14:paraId="2AFE2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8" w:type="dxa"/>
          </w:tcPr>
          <w:p w14:paraId="4BAEFBCA">
            <w:pPr>
              <w:keepNext w:val="0"/>
              <w:keepLines w:val="0"/>
              <w:widowControl/>
              <w:suppressLineNumbers w:val="0"/>
              <w:spacing w:before="0" w:beforeAutospacing="0" w:after="0" w:afterAutospacing="0" w:line="360" w:lineRule="auto"/>
              <w:ind w:left="0" w:right="0"/>
              <w:jc w:val="center"/>
              <w:rPr>
                <w:rFonts w:hint="default" w:ascii="宋体" w:hAnsi="宋体" w:cs="宋体"/>
                <w:b/>
                <w:color w:val="auto"/>
                <w:sz w:val="24"/>
                <w:szCs w:val="24"/>
                <w:highlight w:val="none"/>
              </w:rPr>
            </w:pPr>
            <w:r>
              <w:rPr>
                <w:rFonts w:hint="eastAsia" w:ascii="宋体" w:hAnsi="宋体" w:cs="宋体"/>
                <w:b/>
                <w:color w:val="auto"/>
                <w:sz w:val="24"/>
                <w:szCs w:val="24"/>
                <w:highlight w:val="none"/>
              </w:rPr>
              <w:t>评价</w:t>
            </w:r>
          </w:p>
          <w:p w14:paraId="0A0BFD5B">
            <w:pPr>
              <w:keepNext w:val="0"/>
              <w:keepLines w:val="0"/>
              <w:widowControl/>
              <w:suppressLineNumbers w:val="0"/>
              <w:spacing w:before="0" w:beforeAutospacing="0" w:after="0" w:afterAutospacing="0" w:line="360" w:lineRule="auto"/>
              <w:ind w:left="0" w:right="0"/>
              <w:jc w:val="center"/>
              <w:rPr>
                <w:rFonts w:hint="default" w:ascii="宋体" w:hAnsi="宋体" w:cs="宋体"/>
                <w:b/>
                <w:color w:val="auto"/>
                <w:sz w:val="24"/>
                <w:szCs w:val="24"/>
                <w:highlight w:val="none"/>
              </w:rPr>
            </w:pPr>
            <w:r>
              <w:rPr>
                <w:rFonts w:hint="eastAsia" w:ascii="宋体" w:hAnsi="宋体" w:cs="宋体"/>
                <w:b/>
                <w:color w:val="auto"/>
                <w:sz w:val="24"/>
                <w:szCs w:val="24"/>
                <w:highlight w:val="none"/>
              </w:rPr>
              <w:t>范围</w:t>
            </w:r>
          </w:p>
        </w:tc>
        <w:tc>
          <w:tcPr>
            <w:tcW w:w="1255" w:type="dxa"/>
          </w:tcPr>
          <w:p w14:paraId="1939CAFE">
            <w:pPr>
              <w:keepNext w:val="0"/>
              <w:keepLines w:val="0"/>
              <w:widowControl/>
              <w:suppressLineNumbers w:val="0"/>
              <w:spacing w:before="0" w:beforeAutospacing="0" w:after="0" w:afterAutospacing="0" w:line="360" w:lineRule="auto"/>
              <w:ind w:left="0" w:right="0"/>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lang w:val="en-US" w:eastAsia="zh-CN"/>
              </w:rPr>
              <w:t>评价指标</w:t>
            </w:r>
          </w:p>
        </w:tc>
        <w:tc>
          <w:tcPr>
            <w:tcW w:w="1255" w:type="dxa"/>
          </w:tcPr>
          <w:p w14:paraId="662B38E8">
            <w:pPr>
              <w:keepNext w:val="0"/>
              <w:keepLines w:val="0"/>
              <w:widowControl/>
              <w:suppressLineNumbers w:val="0"/>
              <w:spacing w:before="0" w:beforeAutospacing="0" w:after="0" w:afterAutospacing="0" w:line="360" w:lineRule="auto"/>
              <w:ind w:left="0" w:right="0"/>
              <w:jc w:val="center"/>
              <w:rPr>
                <w:rFonts w:hint="default" w:ascii="宋体" w:hAnsi="宋体" w:cs="宋体"/>
                <w:color w:val="auto"/>
                <w:sz w:val="24"/>
                <w:szCs w:val="24"/>
                <w:highlight w:val="none"/>
              </w:rPr>
            </w:pPr>
            <w:r>
              <w:rPr>
                <w:rFonts w:hint="eastAsia" w:ascii="宋体" w:hAnsi="宋体" w:cs="宋体"/>
                <w:b/>
                <w:color w:val="auto"/>
                <w:sz w:val="24"/>
                <w:szCs w:val="24"/>
                <w:highlight w:val="none"/>
              </w:rPr>
              <w:t>评价数</w:t>
            </w:r>
          </w:p>
        </w:tc>
        <w:tc>
          <w:tcPr>
            <w:tcW w:w="1496" w:type="dxa"/>
          </w:tcPr>
          <w:p w14:paraId="16F782DB">
            <w:pPr>
              <w:keepNext w:val="0"/>
              <w:keepLines w:val="0"/>
              <w:widowControl/>
              <w:suppressLineNumbers w:val="0"/>
              <w:spacing w:before="0" w:beforeAutospacing="0" w:after="0" w:afterAutospacing="0" w:line="360" w:lineRule="auto"/>
              <w:ind w:left="0" w:right="0"/>
              <w:jc w:val="center"/>
              <w:rPr>
                <w:rFonts w:hint="default" w:ascii="宋体" w:hAnsi="宋体" w:cs="宋体"/>
                <w:color w:val="auto"/>
                <w:sz w:val="24"/>
                <w:szCs w:val="24"/>
                <w:highlight w:val="none"/>
              </w:rPr>
            </w:pPr>
            <w:r>
              <w:rPr>
                <w:rFonts w:hint="eastAsia" w:ascii="宋体" w:hAnsi="宋体" w:cs="宋体"/>
                <w:b/>
                <w:color w:val="auto"/>
                <w:sz w:val="24"/>
                <w:szCs w:val="24"/>
                <w:highlight w:val="none"/>
              </w:rPr>
              <w:t>好差评奖惩标准</w:t>
            </w:r>
          </w:p>
        </w:tc>
        <w:tc>
          <w:tcPr>
            <w:tcW w:w="3446" w:type="dxa"/>
          </w:tcPr>
          <w:p w14:paraId="683CA177">
            <w:pPr>
              <w:keepNext w:val="0"/>
              <w:keepLines w:val="0"/>
              <w:widowControl/>
              <w:suppressLineNumbers w:val="0"/>
              <w:spacing w:before="0" w:beforeAutospacing="0" w:after="0" w:afterAutospacing="0" w:line="360" w:lineRule="auto"/>
              <w:ind w:left="0" w:right="0"/>
              <w:jc w:val="center"/>
              <w:rPr>
                <w:rFonts w:hint="default" w:ascii="宋体" w:hAnsi="宋体" w:cs="宋体"/>
                <w:color w:val="auto"/>
                <w:sz w:val="24"/>
                <w:szCs w:val="24"/>
                <w:highlight w:val="none"/>
              </w:rPr>
            </w:pPr>
            <w:r>
              <w:rPr>
                <w:rFonts w:hint="eastAsia" w:ascii="宋体" w:hAnsi="宋体" w:cs="宋体"/>
                <w:b/>
                <w:color w:val="auto"/>
                <w:sz w:val="24"/>
                <w:szCs w:val="24"/>
                <w:highlight w:val="none"/>
              </w:rPr>
              <w:t>好差评奖惩应用内容</w:t>
            </w:r>
          </w:p>
        </w:tc>
      </w:tr>
      <w:tr w14:paraId="7392C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8" w:type="dxa"/>
            <w:vMerge w:val="restart"/>
          </w:tcPr>
          <w:p w14:paraId="72F2AFC1">
            <w:pPr>
              <w:keepNext w:val="0"/>
              <w:keepLines w:val="0"/>
              <w:widowControl/>
              <w:suppressLineNumbers w:val="0"/>
              <w:spacing w:before="0" w:beforeAutospacing="0" w:after="0" w:afterAutospacing="0" w:line="360" w:lineRule="auto"/>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rPr>
              <w:t>针对服务效率、服务规范、服务质量等方面对供应商进行综合评价。</w:t>
            </w:r>
          </w:p>
        </w:tc>
        <w:tc>
          <w:tcPr>
            <w:tcW w:w="1255" w:type="dxa"/>
            <w:vMerge w:val="restart"/>
            <w:vAlign w:val="center"/>
          </w:tcPr>
          <w:p w14:paraId="34B02AD9">
            <w:pPr>
              <w:keepNext w:val="0"/>
              <w:keepLines w:val="0"/>
              <w:widowControl/>
              <w:suppressLineNumbers w:val="0"/>
              <w:spacing w:before="0" w:beforeAutospacing="0" w:after="0" w:afterAutospacing="0" w:line="360" w:lineRule="auto"/>
              <w:ind w:left="0" w:right="0" w:firstLine="0" w:firstLine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1、好评</w:t>
            </w:r>
          </w:p>
          <w:p w14:paraId="095B4D2C">
            <w:pPr>
              <w:keepNext w:val="0"/>
              <w:keepLines w:val="0"/>
              <w:suppressLineNumbers w:val="0"/>
              <w:spacing w:before="0" w:beforeAutospacing="0" w:after="0" w:afterAutospacing="0" w:line="360" w:lineRule="auto"/>
              <w:ind w:left="0" w:right="0" w:firstLine="0" w:firstLine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2、中评</w:t>
            </w:r>
          </w:p>
          <w:p w14:paraId="2D168C29">
            <w:pPr>
              <w:keepNext w:val="0"/>
              <w:keepLines w:val="0"/>
              <w:suppressLineNumbers w:val="0"/>
              <w:spacing w:before="0" w:beforeAutospacing="0" w:after="0" w:afterAutospacing="0" w:line="360" w:lineRule="auto"/>
              <w:ind w:left="0" w:right="0" w:firstLine="0" w:firstLineChars="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3、差评</w:t>
            </w:r>
          </w:p>
        </w:tc>
        <w:tc>
          <w:tcPr>
            <w:tcW w:w="1255" w:type="dxa"/>
            <w:vMerge w:val="restart"/>
            <w:vAlign w:val="center"/>
          </w:tcPr>
          <w:p w14:paraId="09535750">
            <w:pPr>
              <w:keepNext w:val="0"/>
              <w:keepLines w:val="0"/>
              <w:widowControl/>
              <w:suppressLineNumbers w:val="0"/>
              <w:spacing w:before="0" w:beforeAutospacing="0" w:after="0" w:afterAutospacing="0" w:line="360" w:lineRule="auto"/>
              <w:ind w:left="0" w:right="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总评价数≤</w:t>
            </w:r>
            <w:r>
              <w:rPr>
                <w:rFonts w:hint="default" w:ascii="宋体" w:hAnsi="宋体" w:cs="宋体"/>
                <w:color w:val="auto"/>
                <w:sz w:val="24"/>
                <w:szCs w:val="24"/>
                <w:highlight w:val="none"/>
              </w:rPr>
              <w:t>10</w:t>
            </w:r>
            <w:r>
              <w:rPr>
                <w:rFonts w:hint="eastAsia" w:ascii="宋体" w:hAnsi="宋体" w:cs="宋体"/>
                <w:color w:val="auto"/>
                <w:sz w:val="24"/>
                <w:szCs w:val="24"/>
                <w:highlight w:val="none"/>
                <w:lang w:val="en-US" w:eastAsia="zh-CN"/>
              </w:rPr>
              <w:t>0</w:t>
            </w:r>
          </w:p>
        </w:tc>
        <w:tc>
          <w:tcPr>
            <w:tcW w:w="1496" w:type="dxa"/>
            <w:vAlign w:val="center"/>
          </w:tcPr>
          <w:p w14:paraId="51EFA77E">
            <w:pPr>
              <w:keepNext w:val="0"/>
              <w:keepLines w:val="0"/>
              <w:widowControl/>
              <w:suppressLineNumbers w:val="0"/>
              <w:spacing w:before="0" w:beforeAutospacing="0" w:after="0" w:afterAutospacing="0" w:line="360" w:lineRule="auto"/>
              <w:ind w:left="0" w:right="0"/>
              <w:rPr>
                <w:rFonts w:hint="eastAsia" w:ascii="宋体" w:hAnsi="宋体" w:cs="宋体"/>
                <w:color w:val="auto"/>
                <w:sz w:val="24"/>
                <w:szCs w:val="24"/>
                <w:highlight w:val="none"/>
              </w:rPr>
            </w:pPr>
            <w:r>
              <w:rPr>
                <w:rFonts w:hint="eastAsia" w:ascii="宋体" w:hAnsi="宋体" w:cs="宋体"/>
                <w:color w:val="auto"/>
                <w:sz w:val="24"/>
                <w:szCs w:val="24"/>
                <w:highlight w:val="none"/>
              </w:rPr>
              <w:t>好评率≥</w:t>
            </w:r>
            <w:r>
              <w:rPr>
                <w:rFonts w:hint="eastAsia" w:ascii="宋体" w:hAnsi="宋体" w:cs="宋体"/>
                <w:color w:val="auto"/>
                <w:sz w:val="24"/>
                <w:szCs w:val="24"/>
                <w:highlight w:val="none"/>
                <w:lang w:val="en-US" w:eastAsia="zh-CN"/>
              </w:rPr>
              <w:t>90%</w:t>
            </w:r>
            <w:r>
              <w:rPr>
                <w:rFonts w:hint="eastAsia" w:ascii="宋体" w:hAnsi="宋体" w:cs="宋体"/>
                <w:color w:val="auto"/>
                <w:sz w:val="24"/>
                <w:szCs w:val="24"/>
                <w:highlight w:val="none"/>
              </w:rPr>
              <w:t>，且差评率为0</w:t>
            </w:r>
            <w:r>
              <w:rPr>
                <w:rFonts w:hint="eastAsia" w:ascii="宋体" w:hAnsi="宋体" w:cs="宋体"/>
                <w:color w:val="auto"/>
                <w:sz w:val="24"/>
                <w:szCs w:val="24"/>
                <w:highlight w:val="none"/>
                <w:lang w:val="en-US" w:eastAsia="zh-CN"/>
              </w:rPr>
              <w:t>%</w:t>
            </w:r>
          </w:p>
        </w:tc>
        <w:tc>
          <w:tcPr>
            <w:tcW w:w="3446" w:type="dxa"/>
            <w:vAlign w:val="center"/>
          </w:tcPr>
          <w:p w14:paraId="000B4943">
            <w:pPr>
              <w:keepNext w:val="0"/>
              <w:keepLines w:val="0"/>
              <w:widowControl/>
              <w:suppressLineNumbers w:val="0"/>
              <w:spacing w:before="0" w:beforeAutospacing="0" w:after="0" w:afterAutospacing="0" w:line="360" w:lineRule="auto"/>
              <w:ind w:left="0" w:right="0"/>
              <w:rPr>
                <w:rFonts w:hint="eastAsia" w:ascii="宋体" w:hAnsi="宋体" w:cs="宋体"/>
                <w:color w:val="auto"/>
                <w:sz w:val="24"/>
                <w:szCs w:val="24"/>
                <w:highlight w:val="none"/>
              </w:rPr>
            </w:pPr>
            <w:r>
              <w:rPr>
                <w:rFonts w:hint="eastAsia" w:ascii="宋体" w:hAnsi="宋体" w:cs="宋体"/>
                <w:color w:val="auto"/>
                <w:sz w:val="24"/>
                <w:szCs w:val="24"/>
                <w:highlight w:val="none"/>
              </w:rPr>
              <w:t>供应商可申请在12个月内</w:t>
            </w:r>
            <w:r>
              <w:rPr>
                <w:rFonts w:hint="eastAsia" w:ascii="宋体" w:hAnsi="宋体" w:cs="宋体"/>
                <w:color w:val="auto"/>
                <w:sz w:val="24"/>
                <w:szCs w:val="24"/>
                <w:highlight w:val="none"/>
                <w:lang w:val="en-US" w:eastAsia="zh-CN"/>
              </w:rPr>
              <w:t>减免</w:t>
            </w:r>
            <w:r>
              <w:rPr>
                <w:rFonts w:hint="eastAsia" w:ascii="宋体" w:hAnsi="宋体" w:cs="宋体"/>
                <w:color w:val="auto"/>
                <w:sz w:val="24"/>
                <w:szCs w:val="24"/>
                <w:highlight w:val="none"/>
              </w:rPr>
              <w:t>同品类项目投标保证金、履约保证金；</w:t>
            </w:r>
          </w:p>
        </w:tc>
      </w:tr>
      <w:tr w14:paraId="765F6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8" w:type="dxa"/>
            <w:vMerge w:val="continue"/>
          </w:tcPr>
          <w:p w14:paraId="4C772DE3">
            <w:pPr>
              <w:keepNext w:val="0"/>
              <w:keepLines w:val="0"/>
              <w:widowControl/>
              <w:suppressLineNumbers w:val="0"/>
              <w:spacing w:before="0" w:beforeAutospacing="0" w:after="0" w:afterAutospacing="0" w:line="360" w:lineRule="auto"/>
              <w:ind w:left="0" w:right="0"/>
              <w:jc w:val="center"/>
              <w:rPr>
                <w:rFonts w:hint="default" w:ascii="宋体" w:hAnsi="宋体" w:cs="宋体"/>
                <w:color w:val="auto"/>
                <w:sz w:val="24"/>
                <w:szCs w:val="24"/>
                <w:highlight w:val="none"/>
              </w:rPr>
            </w:pPr>
          </w:p>
        </w:tc>
        <w:tc>
          <w:tcPr>
            <w:tcW w:w="1255" w:type="dxa"/>
            <w:vMerge w:val="continue"/>
            <w:vAlign w:val="center"/>
          </w:tcPr>
          <w:p w14:paraId="1E1CE1A4">
            <w:pPr>
              <w:keepNext w:val="0"/>
              <w:keepLines w:val="0"/>
              <w:widowControl/>
              <w:suppressLineNumbers w:val="0"/>
              <w:spacing w:before="0" w:beforeAutospacing="0" w:after="0" w:afterAutospacing="0" w:line="360" w:lineRule="auto"/>
              <w:ind w:left="0" w:right="0"/>
              <w:jc w:val="center"/>
              <w:rPr>
                <w:rFonts w:hint="default" w:ascii="宋体" w:hAnsi="宋体" w:cs="宋体"/>
                <w:color w:val="auto"/>
                <w:sz w:val="24"/>
                <w:szCs w:val="24"/>
                <w:highlight w:val="none"/>
              </w:rPr>
            </w:pPr>
          </w:p>
        </w:tc>
        <w:tc>
          <w:tcPr>
            <w:tcW w:w="1255" w:type="dxa"/>
            <w:vMerge w:val="continue"/>
            <w:vAlign w:val="center"/>
          </w:tcPr>
          <w:p w14:paraId="54A12674">
            <w:pPr>
              <w:keepNext w:val="0"/>
              <w:keepLines w:val="0"/>
              <w:widowControl/>
              <w:suppressLineNumbers w:val="0"/>
              <w:spacing w:before="0" w:beforeAutospacing="0" w:after="0" w:afterAutospacing="0" w:line="360" w:lineRule="auto"/>
              <w:ind w:left="0" w:right="0"/>
              <w:jc w:val="center"/>
              <w:rPr>
                <w:rFonts w:hint="default" w:ascii="宋体" w:hAnsi="宋体" w:cs="宋体"/>
                <w:color w:val="auto"/>
                <w:sz w:val="24"/>
                <w:szCs w:val="24"/>
                <w:highlight w:val="none"/>
              </w:rPr>
            </w:pPr>
          </w:p>
        </w:tc>
        <w:tc>
          <w:tcPr>
            <w:tcW w:w="1496" w:type="dxa"/>
            <w:vAlign w:val="center"/>
          </w:tcPr>
          <w:p w14:paraId="237D0F80">
            <w:pPr>
              <w:keepNext w:val="0"/>
              <w:keepLines w:val="0"/>
              <w:widowControl/>
              <w:suppressLineNumbers w:val="0"/>
              <w:spacing w:before="0" w:beforeAutospacing="0" w:after="0" w:afterAutospacing="0" w:line="360" w:lineRule="auto"/>
              <w:ind w:left="0" w:right="0"/>
              <w:rPr>
                <w:rFonts w:hint="eastAsia" w:ascii="宋体" w:hAnsi="宋体" w:cs="宋体"/>
                <w:color w:val="auto"/>
                <w:sz w:val="24"/>
                <w:szCs w:val="24"/>
                <w:highlight w:val="none"/>
              </w:rPr>
            </w:pPr>
            <w:r>
              <w:rPr>
                <w:rFonts w:hint="eastAsia" w:ascii="宋体" w:hAnsi="宋体" w:cs="宋体"/>
                <w:color w:val="auto"/>
                <w:sz w:val="24"/>
                <w:szCs w:val="24"/>
                <w:highlight w:val="none"/>
              </w:rPr>
              <w:t>差评率≥</w:t>
            </w:r>
            <w:r>
              <w:rPr>
                <w:rFonts w:hint="eastAsia" w:ascii="宋体" w:hAnsi="宋体" w:cs="宋体"/>
                <w:color w:val="auto"/>
                <w:sz w:val="24"/>
                <w:szCs w:val="24"/>
                <w:highlight w:val="none"/>
                <w:lang w:val="en-US" w:eastAsia="zh-CN"/>
              </w:rPr>
              <w:t>10%</w:t>
            </w:r>
          </w:p>
        </w:tc>
        <w:tc>
          <w:tcPr>
            <w:tcW w:w="3446" w:type="dxa"/>
            <w:vAlign w:val="center"/>
          </w:tcPr>
          <w:p w14:paraId="4F998729">
            <w:pPr>
              <w:keepNext w:val="0"/>
              <w:keepLines w:val="0"/>
              <w:widowControl/>
              <w:suppressLineNumbers w:val="0"/>
              <w:spacing w:before="0" w:beforeAutospacing="0" w:after="0" w:afterAutospacing="0" w:line="360" w:lineRule="auto"/>
              <w:ind w:left="0" w:right="0"/>
              <w:rPr>
                <w:rFonts w:hint="eastAsia" w:ascii="宋体" w:hAnsi="宋体" w:cs="宋体"/>
                <w:color w:val="auto"/>
                <w:sz w:val="24"/>
                <w:szCs w:val="24"/>
                <w:highlight w:val="none"/>
              </w:rPr>
            </w:pPr>
            <w:r>
              <w:rPr>
                <w:rFonts w:hint="eastAsia" w:ascii="宋体" w:hAnsi="宋体" w:cs="宋体"/>
                <w:color w:val="auto"/>
                <w:sz w:val="24"/>
                <w:szCs w:val="24"/>
                <w:highlight w:val="none"/>
              </w:rPr>
              <w:t>对供应商按合同约定处理，并将评价情况在厦门招投标网上公布。</w:t>
            </w:r>
          </w:p>
        </w:tc>
      </w:tr>
      <w:tr w14:paraId="5E2FC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8" w:type="dxa"/>
            <w:vMerge w:val="continue"/>
          </w:tcPr>
          <w:p w14:paraId="2FACE151">
            <w:pPr>
              <w:keepNext w:val="0"/>
              <w:keepLines w:val="0"/>
              <w:widowControl/>
              <w:suppressLineNumbers w:val="0"/>
              <w:spacing w:before="0" w:beforeAutospacing="0" w:after="0" w:afterAutospacing="0" w:line="360" w:lineRule="auto"/>
              <w:ind w:left="0" w:right="0"/>
              <w:rPr>
                <w:rFonts w:hint="default" w:ascii="宋体" w:hAnsi="宋体" w:cs="宋体"/>
                <w:color w:val="auto"/>
                <w:sz w:val="24"/>
                <w:szCs w:val="24"/>
                <w:highlight w:val="none"/>
              </w:rPr>
            </w:pPr>
          </w:p>
        </w:tc>
        <w:tc>
          <w:tcPr>
            <w:tcW w:w="1255" w:type="dxa"/>
            <w:vMerge w:val="continue"/>
            <w:vAlign w:val="center"/>
          </w:tcPr>
          <w:p w14:paraId="4F8C9F9E">
            <w:pPr>
              <w:keepNext w:val="0"/>
              <w:keepLines w:val="0"/>
              <w:widowControl/>
              <w:suppressLineNumbers w:val="0"/>
              <w:spacing w:before="0" w:beforeAutospacing="0" w:after="0" w:afterAutospacing="0" w:line="360" w:lineRule="auto"/>
              <w:ind w:left="0" w:right="0"/>
              <w:rPr>
                <w:rFonts w:hint="eastAsia" w:ascii="宋体" w:hAnsi="宋体" w:cs="宋体"/>
                <w:color w:val="auto"/>
                <w:sz w:val="24"/>
                <w:szCs w:val="24"/>
                <w:highlight w:val="none"/>
              </w:rPr>
            </w:pPr>
          </w:p>
        </w:tc>
        <w:tc>
          <w:tcPr>
            <w:tcW w:w="1255" w:type="dxa"/>
            <w:vMerge w:val="restart"/>
            <w:vAlign w:val="center"/>
          </w:tcPr>
          <w:p w14:paraId="23806C02">
            <w:pPr>
              <w:keepNext w:val="0"/>
              <w:keepLines w:val="0"/>
              <w:widowControl/>
              <w:suppressLineNumbers w:val="0"/>
              <w:spacing w:before="0" w:beforeAutospacing="0" w:after="0" w:afterAutospacing="0" w:line="360" w:lineRule="auto"/>
              <w:ind w:left="0" w:right="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总评价数＞</w:t>
            </w:r>
            <w:r>
              <w:rPr>
                <w:rFonts w:hint="default" w:ascii="宋体" w:hAnsi="宋体" w:cs="宋体"/>
                <w:color w:val="auto"/>
                <w:sz w:val="24"/>
                <w:szCs w:val="24"/>
                <w:highlight w:val="none"/>
              </w:rPr>
              <w:t>10</w:t>
            </w:r>
            <w:r>
              <w:rPr>
                <w:rFonts w:hint="eastAsia" w:ascii="宋体" w:hAnsi="宋体" w:cs="宋体"/>
                <w:color w:val="auto"/>
                <w:sz w:val="24"/>
                <w:szCs w:val="24"/>
                <w:highlight w:val="none"/>
                <w:lang w:val="en-US" w:eastAsia="zh-CN"/>
              </w:rPr>
              <w:t>0</w:t>
            </w:r>
          </w:p>
        </w:tc>
        <w:tc>
          <w:tcPr>
            <w:tcW w:w="1496" w:type="dxa"/>
            <w:vAlign w:val="center"/>
          </w:tcPr>
          <w:p w14:paraId="0EC8D588">
            <w:pPr>
              <w:keepNext w:val="0"/>
              <w:keepLines w:val="0"/>
              <w:widowControl/>
              <w:suppressLineNumbers w:val="0"/>
              <w:spacing w:before="0" w:beforeAutospacing="0" w:after="0" w:afterAutospacing="0" w:line="360" w:lineRule="auto"/>
              <w:ind w:left="0" w:right="0"/>
              <w:rPr>
                <w:rFonts w:hint="eastAsia" w:ascii="宋体" w:hAnsi="宋体" w:cs="宋体"/>
                <w:color w:val="auto"/>
                <w:sz w:val="24"/>
                <w:szCs w:val="24"/>
                <w:highlight w:val="none"/>
              </w:rPr>
            </w:pPr>
            <w:r>
              <w:rPr>
                <w:rFonts w:hint="eastAsia" w:ascii="宋体" w:hAnsi="宋体" w:cs="宋体"/>
                <w:color w:val="auto"/>
                <w:sz w:val="24"/>
                <w:szCs w:val="24"/>
                <w:highlight w:val="none"/>
              </w:rPr>
              <w:t>好评率≥</w:t>
            </w:r>
            <w:r>
              <w:rPr>
                <w:rFonts w:hint="eastAsia" w:ascii="宋体" w:hAnsi="宋体" w:cs="宋体"/>
                <w:color w:val="auto"/>
                <w:sz w:val="24"/>
                <w:szCs w:val="24"/>
                <w:highlight w:val="none"/>
                <w:lang w:val="en-US" w:eastAsia="zh-CN"/>
              </w:rPr>
              <w:t>90</w:t>
            </w:r>
            <w:r>
              <w:rPr>
                <w:rFonts w:hint="eastAsia" w:ascii="宋体" w:hAnsi="宋体" w:cs="宋体"/>
                <w:color w:val="auto"/>
                <w:sz w:val="24"/>
                <w:szCs w:val="24"/>
                <w:highlight w:val="none"/>
              </w:rPr>
              <w:t>%，且差评率为≤5%</w:t>
            </w:r>
          </w:p>
        </w:tc>
        <w:tc>
          <w:tcPr>
            <w:tcW w:w="3446" w:type="dxa"/>
            <w:vAlign w:val="center"/>
          </w:tcPr>
          <w:p w14:paraId="5FAE93B6">
            <w:pPr>
              <w:keepNext w:val="0"/>
              <w:keepLines w:val="0"/>
              <w:widowControl/>
              <w:suppressLineNumbers w:val="0"/>
              <w:spacing w:before="0" w:beforeAutospacing="0" w:after="0" w:afterAutospacing="0" w:line="360" w:lineRule="auto"/>
              <w:ind w:left="0" w:right="0"/>
              <w:rPr>
                <w:rFonts w:hint="eastAsia" w:ascii="宋体" w:hAnsi="宋体" w:cs="宋体"/>
                <w:color w:val="auto"/>
                <w:sz w:val="24"/>
                <w:szCs w:val="24"/>
                <w:highlight w:val="none"/>
              </w:rPr>
            </w:pPr>
            <w:r>
              <w:rPr>
                <w:rFonts w:hint="eastAsia" w:ascii="宋体" w:hAnsi="宋体" w:cs="宋体"/>
                <w:color w:val="auto"/>
                <w:sz w:val="24"/>
                <w:szCs w:val="24"/>
                <w:highlight w:val="none"/>
              </w:rPr>
              <w:t>供应商可申请在12个月内</w:t>
            </w:r>
            <w:r>
              <w:rPr>
                <w:rFonts w:hint="eastAsia" w:ascii="宋体" w:hAnsi="宋体" w:cs="宋体"/>
                <w:color w:val="auto"/>
                <w:sz w:val="24"/>
                <w:szCs w:val="24"/>
                <w:highlight w:val="none"/>
                <w:lang w:val="en-US" w:eastAsia="zh-CN"/>
              </w:rPr>
              <w:t>减免</w:t>
            </w:r>
            <w:r>
              <w:rPr>
                <w:rFonts w:hint="eastAsia" w:ascii="宋体" w:hAnsi="宋体" w:cs="宋体"/>
                <w:color w:val="auto"/>
                <w:sz w:val="24"/>
                <w:szCs w:val="24"/>
                <w:highlight w:val="none"/>
              </w:rPr>
              <w:t>同品类项目投标保证金、履约保证金；</w:t>
            </w:r>
          </w:p>
        </w:tc>
      </w:tr>
      <w:tr w14:paraId="66856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8" w:type="dxa"/>
            <w:vMerge w:val="continue"/>
          </w:tcPr>
          <w:p w14:paraId="63C6C344">
            <w:pPr>
              <w:keepNext w:val="0"/>
              <w:keepLines w:val="0"/>
              <w:widowControl w:val="0"/>
              <w:suppressLineNumbers w:val="0"/>
              <w:autoSpaceDE w:val="0"/>
              <w:autoSpaceDN w:val="0"/>
              <w:spacing w:before="0" w:beforeAutospacing="0" w:after="0" w:afterAutospacing="0" w:line="360" w:lineRule="auto"/>
              <w:ind w:left="2122" w:right="0" w:firstLine="0"/>
              <w:jc w:val="center"/>
              <w:rPr>
                <w:rFonts w:hint="default" w:ascii="宋体" w:hAnsi="宋体" w:eastAsia="宋体" w:cs="宋体"/>
                <w:color w:val="auto"/>
                <w:kern w:val="0"/>
                <w:sz w:val="24"/>
                <w:szCs w:val="24"/>
                <w:highlight w:val="none"/>
                <w:lang w:val="zh-CN" w:eastAsia="zh-CN" w:bidi="zh-CN"/>
              </w:rPr>
            </w:pPr>
          </w:p>
        </w:tc>
        <w:tc>
          <w:tcPr>
            <w:tcW w:w="1255" w:type="dxa"/>
            <w:vMerge w:val="continue"/>
            <w:vAlign w:val="center"/>
          </w:tcPr>
          <w:p w14:paraId="75BCF9D6">
            <w:pPr>
              <w:keepNext w:val="0"/>
              <w:keepLines w:val="0"/>
              <w:widowControl w:val="0"/>
              <w:suppressLineNumbers w:val="0"/>
              <w:autoSpaceDE w:val="0"/>
              <w:autoSpaceDN w:val="0"/>
              <w:spacing w:before="0" w:beforeAutospacing="0" w:after="0" w:afterAutospacing="0" w:line="360" w:lineRule="auto"/>
              <w:ind w:left="2122" w:right="0" w:hanging="322"/>
              <w:jc w:val="center"/>
              <w:rPr>
                <w:rFonts w:hint="default" w:ascii="宋体" w:hAnsi="宋体" w:eastAsia="宋体" w:cs="宋体"/>
                <w:color w:val="auto"/>
                <w:kern w:val="0"/>
                <w:sz w:val="24"/>
                <w:szCs w:val="24"/>
                <w:highlight w:val="none"/>
                <w:lang w:val="zh-CN" w:eastAsia="zh-CN" w:bidi="zh-CN"/>
              </w:rPr>
            </w:pPr>
          </w:p>
        </w:tc>
        <w:tc>
          <w:tcPr>
            <w:tcW w:w="1255" w:type="dxa"/>
            <w:vMerge w:val="continue"/>
            <w:vAlign w:val="center"/>
          </w:tcPr>
          <w:p w14:paraId="39D2EF5B">
            <w:pPr>
              <w:keepNext w:val="0"/>
              <w:keepLines w:val="0"/>
              <w:widowControl w:val="0"/>
              <w:suppressLineNumbers w:val="0"/>
              <w:autoSpaceDE w:val="0"/>
              <w:autoSpaceDN w:val="0"/>
              <w:spacing w:before="0" w:beforeAutospacing="0" w:after="0" w:afterAutospacing="0" w:line="360" w:lineRule="auto"/>
              <w:ind w:left="2122" w:right="0" w:hanging="322"/>
              <w:jc w:val="center"/>
              <w:rPr>
                <w:rFonts w:hint="default" w:ascii="宋体" w:hAnsi="宋体" w:eastAsia="宋体" w:cs="宋体"/>
                <w:color w:val="auto"/>
                <w:kern w:val="0"/>
                <w:sz w:val="24"/>
                <w:szCs w:val="24"/>
                <w:highlight w:val="none"/>
                <w:lang w:val="zh-CN" w:eastAsia="zh-CN" w:bidi="zh-CN"/>
              </w:rPr>
            </w:pPr>
          </w:p>
        </w:tc>
        <w:tc>
          <w:tcPr>
            <w:tcW w:w="1496" w:type="dxa"/>
            <w:vAlign w:val="center"/>
          </w:tcPr>
          <w:p w14:paraId="6C88CFAB">
            <w:pPr>
              <w:keepNext w:val="0"/>
              <w:keepLines w:val="0"/>
              <w:widowControl/>
              <w:suppressLineNumbers w:val="0"/>
              <w:spacing w:before="0" w:beforeAutospacing="0" w:after="0" w:afterAutospacing="0" w:line="360" w:lineRule="auto"/>
              <w:ind w:left="0" w:right="0"/>
              <w:rPr>
                <w:rFonts w:hint="eastAsia" w:ascii="宋体" w:hAnsi="宋体" w:cs="宋体"/>
                <w:color w:val="auto"/>
                <w:sz w:val="24"/>
                <w:szCs w:val="24"/>
                <w:highlight w:val="none"/>
              </w:rPr>
            </w:pPr>
            <w:r>
              <w:rPr>
                <w:rFonts w:hint="eastAsia" w:ascii="宋体" w:hAnsi="宋体" w:cs="宋体"/>
                <w:color w:val="auto"/>
                <w:sz w:val="24"/>
                <w:szCs w:val="24"/>
                <w:highlight w:val="none"/>
              </w:rPr>
              <w:t>差评率≥</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0%</w:t>
            </w:r>
          </w:p>
        </w:tc>
        <w:tc>
          <w:tcPr>
            <w:tcW w:w="3446" w:type="dxa"/>
            <w:vAlign w:val="center"/>
          </w:tcPr>
          <w:p w14:paraId="06599672">
            <w:pPr>
              <w:keepNext w:val="0"/>
              <w:keepLines w:val="0"/>
              <w:widowControl/>
              <w:suppressLineNumbers w:val="0"/>
              <w:spacing w:before="0" w:beforeAutospacing="0" w:after="0" w:afterAutospacing="0" w:line="360" w:lineRule="auto"/>
              <w:ind w:left="0" w:right="0"/>
              <w:rPr>
                <w:rFonts w:hint="eastAsia" w:ascii="宋体" w:hAnsi="宋体" w:cs="宋体"/>
                <w:color w:val="auto"/>
                <w:sz w:val="24"/>
                <w:szCs w:val="24"/>
                <w:highlight w:val="none"/>
              </w:rPr>
            </w:pPr>
            <w:r>
              <w:rPr>
                <w:rFonts w:hint="eastAsia" w:ascii="宋体" w:hAnsi="宋体" w:cs="宋体"/>
                <w:color w:val="auto"/>
                <w:sz w:val="24"/>
                <w:szCs w:val="24"/>
                <w:highlight w:val="none"/>
              </w:rPr>
              <w:t>对供应商按合同约定处理，并将评价情况在厦门招投标网上公布。</w:t>
            </w:r>
          </w:p>
        </w:tc>
      </w:tr>
    </w:tbl>
    <w:p w14:paraId="752A7F74">
      <w:pPr>
        <w:widowControl/>
        <w:spacing w:before="0" w:beforeAutospacing="0" w:after="0" w:afterAutospacing="0" w:line="360" w:lineRule="auto"/>
        <w:jc w:val="left"/>
        <w:outlineLvl w:val="1"/>
        <w:rPr>
          <w:rFonts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五、其他事项</w:t>
      </w:r>
    </w:p>
    <w:p w14:paraId="5227A68E">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left"/>
        <w:textAlignment w:val="auto"/>
        <w:rPr>
          <w:rFonts w:ascii="宋体" w:hAnsi="宋体" w:eastAsia="宋体" w:cs="宋体"/>
          <w:color w:val="auto"/>
          <w:kern w:val="0"/>
          <w:sz w:val="24"/>
          <w:szCs w:val="24"/>
          <w:highlight w:val="none"/>
          <w:lang w:val="en-US" w:eastAsia="zh-CN" w:bidi="ar-SA"/>
        </w:rPr>
      </w:pPr>
      <w:r>
        <w:rPr>
          <w:rFonts w:ascii="宋体" w:hAnsi="宋体" w:cs="宋体"/>
          <w:color w:val="auto"/>
          <w:kern w:val="0"/>
          <w:sz w:val="24"/>
          <w:szCs w:val="24"/>
          <w:highlight w:val="none"/>
          <w:lang w:eastAsia="zh-CN" w:bidi="ar-SA"/>
        </w:rPr>
        <w:t xml:space="preserve">    </w:t>
      </w:r>
      <w:r>
        <w:rPr>
          <w:rFonts w:ascii="宋体" w:hAnsi="宋体" w:eastAsia="宋体" w:cs="宋体"/>
          <w:color w:val="auto"/>
          <w:kern w:val="0"/>
          <w:sz w:val="24"/>
          <w:szCs w:val="24"/>
          <w:highlight w:val="none"/>
          <w:lang w:val="en-US" w:eastAsia="zh-CN" w:bidi="ar-SA"/>
        </w:rPr>
        <w:t>1、除征集文件另有规定外，若出现有关法律、法规和规章有强制性规定但征集文件未列明的情形，则投标人应按照有关法律、法规和规章强制性规定执行。</w:t>
      </w:r>
    </w:p>
    <w:p w14:paraId="20C9921B">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left"/>
        <w:textAlignment w:val="auto"/>
        <w:rPr>
          <w:rFonts w:ascii="宋体" w:hAnsi="宋体" w:eastAsia="宋体" w:cs="宋体"/>
          <w:color w:val="auto"/>
          <w:kern w:val="0"/>
          <w:sz w:val="24"/>
          <w:szCs w:val="24"/>
          <w:highlight w:val="none"/>
          <w:lang w:val="en-US" w:eastAsia="zh-CN" w:bidi="ar-SA"/>
        </w:rPr>
      </w:pPr>
      <w:r>
        <w:rPr>
          <w:rFonts w:ascii="宋体" w:hAnsi="宋体" w:cs="宋体"/>
          <w:color w:val="auto"/>
          <w:kern w:val="0"/>
          <w:sz w:val="24"/>
          <w:szCs w:val="24"/>
          <w:highlight w:val="none"/>
          <w:lang w:eastAsia="zh-CN" w:bidi="ar-SA"/>
        </w:rPr>
        <w:t xml:space="preserve">   </w:t>
      </w:r>
      <w:r>
        <w:rPr>
          <w:rFonts w:ascii="宋体" w:hAnsi="宋体" w:eastAsia="宋体" w:cs="宋体"/>
          <w:color w:val="auto"/>
          <w:kern w:val="0"/>
          <w:sz w:val="24"/>
          <w:szCs w:val="24"/>
          <w:highlight w:val="none"/>
          <w:lang w:val="en-US" w:eastAsia="zh-CN" w:bidi="ar-SA"/>
        </w:rPr>
        <w:t>2、征集文件有要求的，</w:t>
      </w:r>
      <w:r>
        <w:rPr>
          <w:rFonts w:hint="eastAsia" w:ascii="宋体" w:hAnsi="宋体" w:cs="宋体"/>
          <w:color w:val="auto"/>
          <w:kern w:val="0"/>
          <w:sz w:val="24"/>
          <w:szCs w:val="24"/>
          <w:highlight w:val="none"/>
          <w:lang w:val="en-US" w:eastAsia="zh-CN" w:bidi="ar-SA"/>
        </w:rPr>
        <w:t>供应商</w:t>
      </w:r>
      <w:r>
        <w:rPr>
          <w:rFonts w:ascii="宋体" w:hAnsi="宋体" w:eastAsia="宋体" w:cs="宋体"/>
          <w:color w:val="auto"/>
          <w:kern w:val="0"/>
          <w:sz w:val="24"/>
          <w:szCs w:val="24"/>
          <w:highlight w:val="none"/>
          <w:lang w:val="en-US" w:eastAsia="zh-CN" w:bidi="ar-SA"/>
        </w:rPr>
        <w:t>应当同时对产品的选配件、耗材进行报价。</w:t>
      </w:r>
    </w:p>
    <w:p w14:paraId="433CF854">
      <w:pPr>
        <w:keepNext w:val="0"/>
        <w:keepLines w:val="0"/>
        <w:pageBreakBefore w:val="0"/>
        <w:widowControl/>
        <w:numPr>
          <w:ilvl w:val="-1"/>
          <w:numId w:val="0"/>
        </w:numPr>
        <w:kinsoku/>
        <w:wordWrap/>
        <w:overflowPunct/>
        <w:topLinePunct w:val="0"/>
        <w:autoSpaceDE/>
        <w:autoSpaceDN/>
        <w:bidi w:val="0"/>
        <w:adjustRightInd/>
        <w:snapToGrid/>
        <w:spacing w:before="0" w:beforeAutospacing="0" w:after="0" w:afterAutospacing="0" w:line="360" w:lineRule="auto"/>
        <w:jc w:val="left"/>
        <w:textAlignment w:val="auto"/>
        <w:rPr>
          <w:rFonts w:hint="eastAsia" w:ascii="宋体" w:hAnsi="宋体" w:eastAsia="宋体" w:cs="宋体"/>
          <w:color w:val="auto"/>
          <w:kern w:val="0"/>
          <w:sz w:val="24"/>
          <w:szCs w:val="24"/>
          <w:highlight w:val="none"/>
          <w:lang w:val="en-US" w:eastAsia="zh-CN" w:bidi="ar-SA"/>
        </w:rPr>
      </w:pPr>
      <w:r>
        <w:rPr>
          <w:rFonts w:hint="default" w:ascii="宋体" w:hAnsi="宋体" w:cs="宋体"/>
          <w:color w:val="auto"/>
          <w:kern w:val="0"/>
          <w:sz w:val="24"/>
          <w:szCs w:val="24"/>
          <w:highlight w:val="none"/>
          <w:lang w:eastAsia="zh-CN" w:bidi="ar-SA"/>
        </w:rPr>
        <w:t xml:space="preserve">   </w:t>
      </w:r>
      <w:r>
        <w:rPr>
          <w:rFonts w:hint="eastAsia" w:ascii="宋体" w:hAnsi="宋体" w:cs="宋体"/>
          <w:color w:val="auto"/>
          <w:kern w:val="0"/>
          <w:sz w:val="24"/>
          <w:szCs w:val="24"/>
          <w:highlight w:val="none"/>
          <w:lang w:val="en-US" w:eastAsia="zh-CN" w:bidi="ar-SA"/>
        </w:rPr>
        <w:t>3、</w:t>
      </w:r>
      <w:r>
        <w:rPr>
          <w:rFonts w:hint="eastAsia" w:ascii="宋体" w:hAnsi="宋体" w:eastAsia="宋体" w:cs="宋体"/>
          <w:color w:val="auto"/>
          <w:kern w:val="0"/>
          <w:sz w:val="24"/>
          <w:szCs w:val="24"/>
          <w:highlight w:val="none"/>
          <w:lang w:val="en-US" w:eastAsia="zh-CN" w:bidi="ar-SA"/>
        </w:rPr>
        <w:t>关于第二阶段代理商的要求</w:t>
      </w:r>
    </w:p>
    <w:p w14:paraId="287686C0">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宋体"/>
          <w:b/>
          <w:bCs/>
          <w:color w:val="auto"/>
          <w:sz w:val="24"/>
          <w:szCs w:val="24"/>
          <w:highlight w:val="none"/>
          <w:lang w:val="en-US" w:eastAsia="zh-CN"/>
        </w:rPr>
      </w:pPr>
      <w:r>
        <w:rPr>
          <w:rFonts w:ascii="宋体" w:hAnsi="宋体" w:cs="宋体"/>
          <w:color w:val="auto"/>
          <w:sz w:val="24"/>
          <w:szCs w:val="24"/>
          <w:highlight w:val="none"/>
        </w:rPr>
        <w:t xml:space="preserve">   </w:t>
      </w:r>
      <w:r>
        <w:rPr>
          <w:rFonts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3</w:t>
      </w:r>
      <w:r>
        <w:rPr>
          <w:rFonts w:ascii="宋体" w:hAnsi="宋体" w:eastAsia="宋体" w:cs="宋体"/>
          <w:b/>
          <w:bCs/>
          <w:color w:val="auto"/>
          <w:sz w:val="24"/>
          <w:szCs w:val="24"/>
          <w:highlight w:val="none"/>
        </w:rPr>
        <w:t>.1、投标人</w:t>
      </w:r>
      <w:r>
        <w:rPr>
          <w:rFonts w:hint="eastAsia" w:ascii="宋体" w:hAnsi="宋体" w:eastAsia="宋体" w:cs="宋体"/>
          <w:b/>
          <w:bCs/>
          <w:color w:val="auto"/>
          <w:sz w:val="24"/>
          <w:szCs w:val="24"/>
          <w:highlight w:val="none"/>
          <w:lang w:val="en-US" w:eastAsia="zh-CN"/>
        </w:rPr>
        <w:t>若第二阶段委托代理</w:t>
      </w:r>
      <w:r>
        <w:rPr>
          <w:rFonts w:ascii="宋体" w:hAnsi="宋体" w:eastAsia="宋体" w:cs="宋体"/>
          <w:b/>
          <w:bCs/>
          <w:color w:val="auto"/>
          <w:sz w:val="24"/>
          <w:szCs w:val="24"/>
          <w:highlight w:val="none"/>
        </w:rPr>
        <w:t>商</w:t>
      </w:r>
      <w:r>
        <w:rPr>
          <w:rFonts w:hint="eastAsia" w:ascii="宋体" w:hAnsi="宋体" w:eastAsia="宋体" w:cs="宋体"/>
          <w:b/>
          <w:bCs/>
          <w:color w:val="auto"/>
          <w:sz w:val="24"/>
          <w:szCs w:val="24"/>
          <w:highlight w:val="none"/>
        </w:rPr>
        <w:t>按照框架协议约定接受征集人合同授予，并履行采购合同</w:t>
      </w:r>
      <w:r>
        <w:rPr>
          <w:rFonts w:hint="eastAsia" w:ascii="宋体" w:hAnsi="宋体" w:eastAsia="宋体" w:cs="宋体"/>
          <w:b/>
          <w:bCs/>
          <w:color w:val="auto"/>
          <w:sz w:val="24"/>
          <w:szCs w:val="24"/>
          <w:highlight w:val="none"/>
          <w:lang w:val="en-US" w:eastAsia="zh-CN"/>
        </w:rPr>
        <w:t>的，</w:t>
      </w:r>
      <w:r>
        <w:rPr>
          <w:rFonts w:ascii="宋体" w:hAnsi="宋体" w:eastAsia="宋体" w:cs="宋体"/>
          <w:b/>
          <w:bCs/>
          <w:color w:val="auto"/>
          <w:sz w:val="24"/>
          <w:szCs w:val="24"/>
          <w:highlight w:val="none"/>
        </w:rPr>
        <w:t>应在投标文件中</w:t>
      </w:r>
      <w:r>
        <w:rPr>
          <w:rFonts w:hint="eastAsia" w:ascii="宋体" w:hAnsi="宋体" w:eastAsia="宋体" w:cs="宋体"/>
          <w:b/>
          <w:bCs/>
          <w:color w:val="auto"/>
          <w:sz w:val="24"/>
          <w:szCs w:val="24"/>
          <w:highlight w:val="none"/>
          <w:lang w:val="en-US" w:eastAsia="zh-CN"/>
        </w:rPr>
        <w:t>提供</w:t>
      </w:r>
      <w:r>
        <w:rPr>
          <w:rFonts w:ascii="宋体" w:hAnsi="宋体" w:eastAsia="宋体" w:cs="宋体"/>
          <w:b/>
          <w:bCs/>
          <w:color w:val="auto"/>
          <w:sz w:val="24"/>
          <w:szCs w:val="24"/>
          <w:highlight w:val="none"/>
        </w:rPr>
        <w:t>第二阶段与征集人签订采购合同的代理商名单</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并书面承诺</w:t>
      </w:r>
      <w:r>
        <w:rPr>
          <w:rFonts w:ascii="宋体" w:hAnsi="宋体" w:eastAsia="宋体" w:cs="宋体"/>
          <w:b/>
          <w:bCs/>
          <w:color w:val="auto"/>
          <w:sz w:val="24"/>
          <w:szCs w:val="24"/>
          <w:highlight w:val="none"/>
        </w:rPr>
        <w:t>若投标人入围，投标人在框架协议中提供的代理商名单应当与投标文件中列明的一致</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投标人若</w:t>
      </w:r>
      <w:r>
        <w:rPr>
          <w:rFonts w:ascii="宋体" w:hAnsi="宋体" w:eastAsia="宋体" w:cs="宋体"/>
          <w:b/>
          <w:bCs/>
          <w:color w:val="auto"/>
          <w:sz w:val="24"/>
          <w:szCs w:val="24"/>
          <w:highlight w:val="none"/>
        </w:rPr>
        <w:t>自身直接作为第二阶段代理商</w:t>
      </w:r>
      <w:r>
        <w:rPr>
          <w:rFonts w:hint="eastAsia" w:ascii="宋体" w:hAnsi="宋体" w:eastAsia="宋体" w:cs="宋体"/>
          <w:b/>
          <w:bCs/>
          <w:color w:val="auto"/>
          <w:sz w:val="24"/>
          <w:szCs w:val="24"/>
          <w:highlight w:val="none"/>
          <w:lang w:val="en-US" w:eastAsia="zh-CN"/>
        </w:rPr>
        <w:t>的应提供书面</w:t>
      </w:r>
      <w:r>
        <w:rPr>
          <w:rFonts w:ascii="宋体" w:hAnsi="宋体" w:eastAsia="宋体" w:cs="宋体"/>
          <w:b/>
          <w:bCs/>
          <w:color w:val="auto"/>
          <w:sz w:val="24"/>
          <w:szCs w:val="24"/>
          <w:highlight w:val="none"/>
        </w:rPr>
        <w:t>说明</w:t>
      </w:r>
      <w:r>
        <w:rPr>
          <w:rFonts w:hint="eastAsia" w:ascii="宋体" w:hAnsi="宋体" w:eastAsia="宋体" w:cs="宋体"/>
          <w:b/>
          <w:bCs/>
          <w:color w:val="auto"/>
          <w:sz w:val="24"/>
          <w:szCs w:val="24"/>
          <w:highlight w:val="none"/>
          <w:lang w:val="en-US" w:eastAsia="zh-CN"/>
        </w:rPr>
        <w:t>（格式自拟）。</w:t>
      </w:r>
    </w:p>
    <w:p w14:paraId="1A63A088">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default" w:ascii="宋体" w:hAnsi="宋体" w:eastAsia="宋体" w:cs="宋体"/>
          <w:b/>
          <w:bCs/>
          <w:color w:val="auto"/>
          <w:sz w:val="24"/>
          <w:szCs w:val="24"/>
          <w:highlight w:val="none"/>
          <w:lang w:val="en-US" w:eastAsia="zh-CN"/>
        </w:rPr>
      </w:pPr>
      <w:r>
        <w:rPr>
          <w:rFonts w:ascii="宋体" w:hAnsi="宋体" w:cs="宋体"/>
          <w:b/>
          <w:bCs/>
          <w:color w:val="auto"/>
          <w:sz w:val="24"/>
          <w:szCs w:val="24"/>
          <w:highlight w:val="none"/>
        </w:rPr>
        <w:t xml:space="preserve">    </w:t>
      </w:r>
      <w:r>
        <w:rPr>
          <w:rFonts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3</w:t>
      </w:r>
      <w:r>
        <w:rPr>
          <w:rFonts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2</w:t>
      </w:r>
      <w:r>
        <w:rPr>
          <w:rFonts w:ascii="宋体" w:hAnsi="宋体" w:eastAsia="宋体" w:cs="宋体"/>
          <w:b/>
          <w:bCs/>
          <w:color w:val="auto"/>
          <w:sz w:val="24"/>
          <w:szCs w:val="24"/>
          <w:highlight w:val="none"/>
        </w:rPr>
        <w:t>、</w:t>
      </w:r>
      <w:r>
        <w:rPr>
          <w:rFonts w:hint="eastAsia" w:ascii="宋体" w:hAnsi="宋体" w:eastAsia="宋体" w:cs="宋体"/>
          <w:b/>
          <w:bCs/>
          <w:color w:val="auto"/>
          <w:kern w:val="0"/>
          <w:sz w:val="24"/>
          <w:szCs w:val="24"/>
          <w:highlight w:val="none"/>
          <w:lang w:val="en-US" w:eastAsia="zh-CN" w:bidi="ar-SA"/>
        </w:rPr>
        <w:t>①</w:t>
      </w:r>
      <w:r>
        <w:rPr>
          <w:rFonts w:hint="eastAsia" w:ascii="宋体" w:hAnsi="宋体" w:eastAsia="宋体" w:cs="宋体"/>
          <w:b/>
          <w:bCs/>
          <w:color w:val="auto"/>
          <w:sz w:val="24"/>
          <w:szCs w:val="24"/>
          <w:highlight w:val="none"/>
          <w:lang w:val="en-US" w:eastAsia="zh-CN"/>
        </w:rPr>
        <w:t>本</w:t>
      </w:r>
      <w:r>
        <w:rPr>
          <w:rFonts w:ascii="宋体" w:hAnsi="宋体" w:cs="宋体"/>
          <w:b/>
          <w:bCs/>
          <w:color w:val="auto"/>
          <w:sz w:val="24"/>
          <w:szCs w:val="24"/>
          <w:highlight w:val="none"/>
        </w:rPr>
        <w:t>采购包</w:t>
      </w:r>
      <w:r>
        <w:rPr>
          <w:rFonts w:hint="eastAsia" w:ascii="宋体" w:hAnsi="宋体" w:eastAsia="宋体" w:cs="宋体"/>
          <w:b/>
          <w:bCs/>
          <w:color w:val="auto"/>
          <w:sz w:val="24"/>
          <w:szCs w:val="24"/>
          <w:highlight w:val="none"/>
          <w:lang w:val="en-US" w:eastAsia="zh-CN"/>
        </w:rPr>
        <w:t>只允许供应商委托一家代理商，按照框架协议约定接受征集人合同授予，并履行采购合同。</w:t>
      </w:r>
      <w:r>
        <w:rPr>
          <w:rFonts w:hint="eastAsia" w:ascii="宋体" w:hAnsi="宋体" w:eastAsia="宋体" w:cs="宋体"/>
          <w:b/>
          <w:bCs/>
          <w:color w:val="auto"/>
          <w:kern w:val="0"/>
          <w:sz w:val="24"/>
          <w:szCs w:val="24"/>
          <w:highlight w:val="none"/>
          <w:lang w:val="en-US" w:eastAsia="zh-CN" w:bidi="ar-SA"/>
        </w:rPr>
        <w:t>②</w:t>
      </w:r>
      <w:r>
        <w:rPr>
          <w:rFonts w:hint="eastAsia" w:ascii="宋体" w:hAnsi="宋体" w:eastAsia="宋体" w:cs="宋体"/>
          <w:b/>
          <w:bCs/>
          <w:color w:val="auto"/>
          <w:sz w:val="24"/>
          <w:szCs w:val="24"/>
          <w:highlight w:val="none"/>
          <w:lang w:val="en-US" w:eastAsia="zh-CN"/>
        </w:rPr>
        <w:t>在框架协议有效期内委托的代理商名单不允许变更，同时本</w:t>
      </w:r>
      <w:r>
        <w:rPr>
          <w:rFonts w:ascii="宋体" w:hAnsi="宋体" w:cs="宋体"/>
          <w:b/>
          <w:bCs/>
          <w:color w:val="auto"/>
          <w:sz w:val="24"/>
          <w:szCs w:val="24"/>
          <w:highlight w:val="none"/>
        </w:rPr>
        <w:t>采购包</w:t>
      </w:r>
      <w:r>
        <w:rPr>
          <w:rFonts w:hint="eastAsia" w:ascii="宋体" w:hAnsi="宋体" w:eastAsia="宋体" w:cs="宋体"/>
          <w:b/>
          <w:bCs/>
          <w:color w:val="auto"/>
          <w:sz w:val="24"/>
          <w:szCs w:val="24"/>
          <w:highlight w:val="none"/>
          <w:lang w:val="en-US" w:eastAsia="zh-CN"/>
        </w:rPr>
        <w:t>不允许投标人委托参与本</w:t>
      </w:r>
      <w:r>
        <w:rPr>
          <w:rFonts w:ascii="宋体" w:hAnsi="宋体" w:cs="宋体"/>
          <w:b/>
          <w:bCs/>
          <w:color w:val="auto"/>
          <w:sz w:val="24"/>
          <w:szCs w:val="24"/>
          <w:highlight w:val="none"/>
        </w:rPr>
        <w:t>采购包</w:t>
      </w:r>
      <w:r>
        <w:rPr>
          <w:rFonts w:hint="eastAsia" w:ascii="宋体" w:hAnsi="宋体" w:eastAsia="宋体" w:cs="宋体"/>
          <w:b/>
          <w:bCs/>
          <w:color w:val="auto"/>
          <w:sz w:val="24"/>
          <w:szCs w:val="24"/>
          <w:highlight w:val="none"/>
          <w:lang w:val="en-US" w:eastAsia="zh-CN"/>
        </w:rPr>
        <w:t>的其他投标人作为代理商参与第二阶段的合同授予。投标人应对以上内容作出书面承诺（格式自拟）；投标人若</w:t>
      </w:r>
      <w:r>
        <w:rPr>
          <w:rFonts w:ascii="宋体" w:hAnsi="宋体" w:eastAsia="宋体" w:cs="宋体"/>
          <w:b/>
          <w:bCs/>
          <w:color w:val="auto"/>
          <w:sz w:val="24"/>
          <w:szCs w:val="24"/>
          <w:highlight w:val="none"/>
        </w:rPr>
        <w:t>自身直接作为第二阶段代理商</w:t>
      </w:r>
      <w:r>
        <w:rPr>
          <w:rFonts w:hint="eastAsia" w:ascii="宋体" w:hAnsi="宋体" w:eastAsia="宋体" w:cs="宋体"/>
          <w:b/>
          <w:bCs/>
          <w:color w:val="auto"/>
          <w:sz w:val="24"/>
          <w:szCs w:val="24"/>
          <w:highlight w:val="none"/>
          <w:lang w:val="en-US" w:eastAsia="zh-CN"/>
        </w:rPr>
        <w:t>的</w:t>
      </w:r>
      <w:r>
        <w:rPr>
          <w:rFonts w:hint="default" w:ascii="宋体" w:hAnsi="宋体" w:cs="宋体"/>
          <w:b/>
          <w:bCs/>
          <w:color w:val="auto"/>
          <w:sz w:val="24"/>
          <w:szCs w:val="24"/>
          <w:highlight w:val="none"/>
          <w:lang w:eastAsia="zh-CN"/>
        </w:rPr>
        <w:t>仅需</w:t>
      </w:r>
      <w:r>
        <w:rPr>
          <w:rFonts w:hint="eastAsia" w:ascii="宋体" w:hAnsi="宋体" w:eastAsia="宋体" w:cs="宋体"/>
          <w:b/>
          <w:bCs/>
          <w:color w:val="auto"/>
          <w:sz w:val="24"/>
          <w:szCs w:val="24"/>
          <w:highlight w:val="none"/>
          <w:lang w:val="en-US" w:eastAsia="zh-CN"/>
        </w:rPr>
        <w:t>承诺</w:t>
      </w:r>
      <w:r>
        <w:rPr>
          <w:rFonts w:hint="eastAsia" w:ascii="宋体" w:hAnsi="宋体" w:eastAsia="宋体" w:cs="宋体"/>
          <w:b/>
          <w:bCs/>
          <w:color w:val="auto"/>
          <w:kern w:val="0"/>
          <w:sz w:val="24"/>
          <w:szCs w:val="24"/>
          <w:highlight w:val="none"/>
          <w:lang w:val="en-US" w:eastAsia="zh-CN" w:bidi="ar-SA"/>
        </w:rPr>
        <w:t>②</w:t>
      </w:r>
      <w:r>
        <w:rPr>
          <w:rFonts w:hint="eastAsia" w:ascii="宋体" w:hAnsi="宋体" w:eastAsia="宋体" w:cs="宋体"/>
          <w:b/>
          <w:bCs/>
          <w:color w:val="auto"/>
          <w:sz w:val="24"/>
          <w:szCs w:val="24"/>
          <w:highlight w:val="none"/>
          <w:lang w:val="en-US" w:eastAsia="zh-CN"/>
        </w:rPr>
        <w:t>。</w:t>
      </w:r>
    </w:p>
    <w:p w14:paraId="5AB92AC6">
      <w:pPr>
        <w:widowControl/>
        <w:spacing w:before="0" w:beforeAutospacing="0" w:after="0" w:afterAutospacing="0" w:line="360" w:lineRule="auto"/>
        <w:jc w:val="left"/>
        <w:rPr>
          <w:rFonts w:hint="eastAsia" w:ascii="宋体" w:hAnsi="宋体" w:eastAsia="宋体" w:cs="宋体"/>
          <w:b/>
          <w:bCs/>
          <w:color w:val="auto"/>
          <w:kern w:val="0"/>
          <w:sz w:val="28"/>
          <w:szCs w:val="28"/>
          <w:highlight w:val="none"/>
          <w:lang w:val="en-US" w:eastAsia="zh-CN" w:bidi="ar-SA"/>
        </w:rPr>
      </w:pPr>
      <w:r>
        <w:rPr>
          <w:rFonts w:hint="default" w:ascii="宋体" w:hAnsi="宋体" w:cs="宋体"/>
          <w:b/>
          <w:bCs/>
          <w:color w:val="auto"/>
          <w:sz w:val="24"/>
          <w:szCs w:val="24"/>
          <w:highlight w:val="none"/>
          <w:lang w:eastAsia="zh-CN"/>
        </w:rPr>
        <w:t xml:space="preserve">    </w:t>
      </w:r>
      <w:r>
        <w:rPr>
          <w:rFonts w:hint="eastAsia" w:ascii="宋体" w:hAnsi="宋体" w:eastAsia="宋体" w:cs="宋体"/>
          <w:b/>
          <w:bCs/>
          <w:color w:val="auto"/>
          <w:sz w:val="24"/>
          <w:szCs w:val="24"/>
          <w:highlight w:val="none"/>
          <w:lang w:val="en-US" w:eastAsia="zh-CN"/>
        </w:rPr>
        <w:t>★4、投标人应提供书面承诺：若投标人入围，投标人指定的唯一授权代理商在采购合同签订及执行期间，如违反或不执行采购合同约定，投标人需履行采购合同约定，并与其授权代理商共同承担征集人的损失。在签订框架协议之前，投标人需向征集人出具与其授权代理商的授权协议。投标人若</w:t>
      </w:r>
      <w:r>
        <w:rPr>
          <w:rFonts w:ascii="宋体" w:hAnsi="宋体" w:eastAsia="宋体" w:cs="宋体"/>
          <w:b/>
          <w:bCs/>
          <w:color w:val="auto"/>
          <w:sz w:val="24"/>
          <w:szCs w:val="24"/>
          <w:highlight w:val="none"/>
        </w:rPr>
        <w:t>自身直接作为第二阶段代理商</w:t>
      </w:r>
      <w:r>
        <w:rPr>
          <w:rFonts w:hint="eastAsia" w:ascii="宋体" w:hAnsi="宋体" w:eastAsia="宋体" w:cs="宋体"/>
          <w:b/>
          <w:bCs/>
          <w:color w:val="auto"/>
          <w:sz w:val="24"/>
          <w:szCs w:val="24"/>
          <w:highlight w:val="none"/>
          <w:lang w:val="en-US" w:eastAsia="zh-CN"/>
        </w:rPr>
        <w:t>的无需对以上内容作出承诺。</w:t>
      </w:r>
    </w:p>
    <w:p w14:paraId="2A906602">
      <w:pPr>
        <w:widowControl/>
        <w:spacing w:before="0" w:beforeLines="0" w:beforeAutospacing="0" w:after="0" w:afterLines="0" w:afterAutospacing="0" w:line="360" w:lineRule="auto"/>
        <w:jc w:val="left"/>
        <w:rPr>
          <w:rFonts w:hint="eastAsia" w:ascii="宋体" w:hAnsi="宋体" w:eastAsia="宋体" w:cs="宋体"/>
          <w:color w:val="auto"/>
          <w:kern w:val="0"/>
          <w:sz w:val="28"/>
          <w:szCs w:val="28"/>
          <w:highlight w:val="none"/>
          <w:lang w:val="en-US" w:eastAsia="zh-CN" w:bidi="ar-SA"/>
        </w:rPr>
      </w:pPr>
      <w:r>
        <w:rPr>
          <w:rFonts w:hint="default" w:ascii="宋体" w:hAnsi="宋体" w:cs="宋体"/>
          <w:color w:val="auto"/>
          <w:kern w:val="0"/>
          <w:sz w:val="28"/>
          <w:szCs w:val="28"/>
          <w:highlight w:val="none"/>
          <w:lang w:eastAsia="zh-CN" w:bidi="ar-SA"/>
        </w:rPr>
        <w:t>5</w:t>
      </w:r>
      <w:r>
        <w:rPr>
          <w:rFonts w:hint="eastAsia" w:ascii="宋体" w:hAnsi="宋体" w:eastAsia="宋体" w:cs="宋体"/>
          <w:color w:val="auto"/>
          <w:kern w:val="0"/>
          <w:sz w:val="28"/>
          <w:szCs w:val="28"/>
          <w:highlight w:val="none"/>
          <w:lang w:val="en-US" w:eastAsia="zh-CN" w:bidi="ar-SA"/>
        </w:rPr>
        <w:t>、其他：</w:t>
      </w:r>
    </w:p>
    <w:p w14:paraId="68A83257">
      <w:pPr>
        <w:widowControl/>
        <w:spacing w:beforeLines="0" w:afterLines="0" w:line="360" w:lineRule="auto"/>
        <w:jc w:val="left"/>
        <w:rPr>
          <w:rFonts w:hint="eastAsia" w:ascii="宋体" w:hAnsi="宋体" w:cs="宋体"/>
          <w:color w:val="auto"/>
          <w:kern w:val="0"/>
          <w:sz w:val="28"/>
          <w:szCs w:val="28"/>
          <w:highlight w:val="none"/>
        </w:rPr>
      </w:pPr>
    </w:p>
    <w:p w14:paraId="02C9CCFB">
      <w:pPr>
        <w:widowControl/>
        <w:spacing w:beforeLines="0" w:afterLines="0" w:line="360" w:lineRule="auto"/>
        <w:jc w:val="left"/>
        <w:rPr>
          <w:rFonts w:hint="eastAsia" w:ascii="宋体" w:hAnsi="宋体" w:cs="宋体"/>
          <w:color w:val="auto"/>
          <w:kern w:val="0"/>
          <w:sz w:val="28"/>
          <w:szCs w:val="28"/>
          <w:highlight w:val="none"/>
        </w:rPr>
        <w:sectPr>
          <w:pgSz w:w="11906" w:h="16838"/>
          <w:pgMar w:top="1440" w:right="1800" w:bottom="1440" w:left="1800" w:header="851" w:footer="992" w:gutter="0"/>
          <w:cols w:space="720" w:num="1"/>
          <w:docGrid w:type="lines" w:linePitch="312" w:charSpace="0"/>
        </w:sectPr>
      </w:pPr>
    </w:p>
    <w:p w14:paraId="670CEC44">
      <w:pPr>
        <w:widowControl/>
        <w:spacing w:beforeLines="0" w:afterLines="0" w:line="360" w:lineRule="auto"/>
        <w:jc w:val="left"/>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附件1</w:t>
      </w:r>
    </w:p>
    <w:p w14:paraId="4D0455F7">
      <w:pPr>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cs="宋体"/>
          <w:b/>
          <w:bCs/>
          <w:color w:val="auto"/>
          <w:sz w:val="28"/>
          <w:szCs w:val="28"/>
          <w:highlight w:val="none"/>
        </w:rPr>
      </w:pPr>
      <w:r>
        <w:rPr>
          <w:rFonts w:hint="eastAsia" w:ascii="宋体" w:hAnsi="宋体" w:cs="宋体"/>
          <w:b/>
          <w:bCs/>
          <w:color w:val="auto"/>
          <w:sz w:val="28"/>
          <w:szCs w:val="28"/>
          <w:highlight w:val="none"/>
          <w:lang w:val="en-US" w:eastAsia="zh-CN"/>
        </w:rPr>
        <w:t>福建省</w:t>
      </w:r>
      <w:r>
        <w:rPr>
          <w:rFonts w:hint="eastAsia" w:ascii="宋体" w:hAnsi="宋体" w:cs="宋体"/>
          <w:b/>
          <w:bCs/>
          <w:color w:val="auto"/>
          <w:sz w:val="28"/>
          <w:szCs w:val="28"/>
          <w:highlight w:val="none"/>
        </w:rPr>
        <w:t>政府采购供应商资格承诺函</w:t>
      </w:r>
    </w:p>
    <w:p w14:paraId="04BE2320">
      <w:pPr>
        <w:pageBreakBefore w:val="0"/>
        <w:widowControl w:val="0"/>
        <w:kinsoku/>
        <w:wordWrap/>
        <w:overflowPunct/>
        <w:topLinePunct w:val="0"/>
        <w:autoSpaceDE/>
        <w:autoSpaceDN/>
        <w:bidi w:val="0"/>
        <w:adjustRightInd/>
        <w:snapToGrid/>
        <w:spacing w:beforeLines="0" w:afterLines="0" w:line="360" w:lineRule="auto"/>
        <w:textAlignment w:val="auto"/>
        <w:rPr>
          <w:rFonts w:hint="eastAsia" w:ascii="宋体" w:hAnsi="宋体" w:eastAsia="宋体" w:cs="宋体"/>
          <w:color w:val="auto"/>
          <w:sz w:val="28"/>
          <w:szCs w:val="28"/>
          <w:highlight w:val="none"/>
        </w:rPr>
      </w:pPr>
    </w:p>
    <w:p w14:paraId="3A0B72BE">
      <w:pPr>
        <w:pageBreakBefore w:val="0"/>
        <w:widowControl w:val="0"/>
        <w:kinsoku/>
        <w:wordWrap/>
        <w:overflowPunct/>
        <w:topLinePunct w:val="0"/>
        <w:autoSpaceDE/>
        <w:autoSpaceDN/>
        <w:bidi w:val="0"/>
        <w:adjustRightInd/>
        <w:snapToGrid/>
        <w:spacing w:beforeLines="0" w:afterLines="0"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致(采购人或政府采购代理机构):</w:t>
      </w:r>
    </w:p>
    <w:p w14:paraId="4B2B3AB6">
      <w:pPr>
        <w:pageBreakBefore w:val="0"/>
        <w:widowControl w:val="0"/>
        <w:kinsoku/>
        <w:wordWrap/>
        <w:overflowPunct/>
        <w:topLinePunct w:val="0"/>
        <w:autoSpaceDE/>
        <w:autoSpaceDN/>
        <w:bidi w:val="0"/>
        <w:adjustRightInd/>
        <w:snapToGrid/>
        <w:spacing w:beforeLines="0" w:afterLines="0"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单位名称:</w:t>
      </w:r>
    </w:p>
    <w:p w14:paraId="4BE81839">
      <w:pPr>
        <w:pageBreakBefore w:val="0"/>
        <w:widowControl w:val="0"/>
        <w:kinsoku/>
        <w:wordWrap/>
        <w:overflowPunct/>
        <w:topLinePunct w:val="0"/>
        <w:autoSpaceDE/>
        <w:autoSpaceDN/>
        <w:bidi w:val="0"/>
        <w:adjustRightInd/>
        <w:snapToGrid/>
        <w:spacing w:beforeLines="0" w:afterLines="0"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统一社会信用代码:</w:t>
      </w:r>
    </w:p>
    <w:p w14:paraId="66797153">
      <w:pPr>
        <w:pageBreakBefore w:val="0"/>
        <w:widowControl w:val="0"/>
        <w:kinsoku/>
        <w:wordWrap/>
        <w:overflowPunct/>
        <w:topLinePunct w:val="0"/>
        <w:autoSpaceDE/>
        <w:autoSpaceDN/>
        <w:bidi w:val="0"/>
        <w:adjustRightInd/>
        <w:snapToGrid/>
        <w:spacing w:beforeLines="0" w:afterLines="0"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w:t>
      </w:r>
      <w:r>
        <w:rPr>
          <w:rFonts w:hint="eastAsia" w:ascii="宋体" w:hAnsi="宋体" w:cs="宋体"/>
          <w:color w:val="auto"/>
          <w:sz w:val="28"/>
          <w:szCs w:val="28"/>
          <w:highlight w:val="none"/>
          <w:lang w:val="en-US" w:eastAsia="zh-CN"/>
        </w:rPr>
        <w:t>单位</w:t>
      </w:r>
      <w:r>
        <w:rPr>
          <w:rFonts w:hint="eastAsia" w:ascii="宋体" w:hAnsi="宋体" w:eastAsia="宋体" w:cs="宋体"/>
          <w:color w:val="auto"/>
          <w:sz w:val="28"/>
          <w:szCs w:val="28"/>
          <w:highlight w:val="none"/>
        </w:rPr>
        <w:t>负责人):</w:t>
      </w:r>
    </w:p>
    <w:p w14:paraId="4E5B6804">
      <w:pPr>
        <w:pageBreakBefore w:val="0"/>
        <w:widowControl w:val="0"/>
        <w:kinsoku/>
        <w:wordWrap/>
        <w:overflowPunct/>
        <w:topLinePunct w:val="0"/>
        <w:autoSpaceDE/>
        <w:autoSpaceDN/>
        <w:bidi w:val="0"/>
        <w:adjustRightInd/>
        <w:snapToGrid/>
        <w:spacing w:beforeLines="0" w:afterLines="0"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联系地址和电话:</w:t>
      </w:r>
    </w:p>
    <w:p w14:paraId="5A64743A">
      <w:pPr>
        <w:pageBreakBefore w:val="0"/>
        <w:widowControl w:val="0"/>
        <w:kinsoku/>
        <w:wordWrap/>
        <w:overflowPunct/>
        <w:topLinePunct w:val="0"/>
        <w:autoSpaceDE/>
        <w:autoSpaceDN/>
        <w:bidi w:val="0"/>
        <w:adjustRightInd/>
        <w:snapToGrid/>
        <w:spacing w:beforeLines="0" w:afterLines="0" w:line="360" w:lineRule="auto"/>
        <w:textAlignment w:val="auto"/>
        <w:rPr>
          <w:rFonts w:hint="eastAsia" w:ascii="宋体" w:hAnsi="宋体" w:eastAsia="宋体" w:cs="宋体"/>
          <w:color w:val="auto"/>
          <w:sz w:val="28"/>
          <w:szCs w:val="28"/>
          <w:highlight w:val="none"/>
        </w:rPr>
      </w:pPr>
    </w:p>
    <w:p w14:paraId="58978D57">
      <w:pPr>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我单位自愿参加本次政府采购活动，严格遵守《中华人民共和国政府采购法》及相关法律法规，坚守公开、公平公正和诚实信用等原则，依法诚信经营，并郑重承诺:</w:t>
      </w:r>
    </w:p>
    <w:p w14:paraId="44F071A1">
      <w:pPr>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一、我单位</w:t>
      </w:r>
      <w:r>
        <w:rPr>
          <w:rFonts w:hint="eastAsia" w:ascii="宋体" w:hAnsi="宋体" w:eastAsia="宋体" w:cs="宋体"/>
          <w:color w:val="auto"/>
          <w:sz w:val="28"/>
          <w:szCs w:val="28"/>
          <w:highlight w:val="none"/>
          <w:lang w:val="en-US" w:eastAsia="zh-CN"/>
        </w:rPr>
        <w:t>具备</w:t>
      </w:r>
      <w:r>
        <w:rPr>
          <w:rFonts w:hint="eastAsia" w:ascii="宋体" w:hAnsi="宋体" w:eastAsia="宋体" w:cs="宋体"/>
          <w:color w:val="auto"/>
          <w:sz w:val="28"/>
          <w:szCs w:val="28"/>
          <w:highlight w:val="none"/>
        </w:rPr>
        <w:t>采购文件要求以及《中华人民共和国政府采购法》第二十二条规定的条件:</w:t>
      </w:r>
    </w:p>
    <w:p w14:paraId="43581666">
      <w:pPr>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1.具有独立承担民事责任的能力;</w:t>
      </w:r>
    </w:p>
    <w:p w14:paraId="0C9298EB">
      <w:pPr>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2.具有良好的商业信誉和健全的财务会计制度;</w:t>
      </w:r>
    </w:p>
    <w:p w14:paraId="589BDAF4">
      <w:pPr>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3.具有履行合同所必需的设备和专业技术能力;</w:t>
      </w:r>
    </w:p>
    <w:p w14:paraId="78299531">
      <w:pPr>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4.有依法缴纳税收和社会保障资金的良好记录;</w:t>
      </w:r>
    </w:p>
    <w:p w14:paraId="1DCE3411">
      <w:pPr>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5.参加政府采购活动前三年内，在经营活动中没有重大违法记录</w:t>
      </w:r>
      <w:r>
        <w:rPr>
          <w:rFonts w:hint="eastAsia" w:ascii="宋体" w:hAnsi="宋体" w:eastAsia="宋体" w:cs="宋体"/>
          <w:color w:val="auto"/>
          <w:sz w:val="28"/>
          <w:szCs w:val="28"/>
          <w:highlight w:val="none"/>
          <w:lang w:eastAsia="zh-CN"/>
        </w:rPr>
        <w:t>；</w:t>
      </w:r>
    </w:p>
    <w:p w14:paraId="30B835F8">
      <w:pPr>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6.</w:t>
      </w:r>
      <w:r>
        <w:rPr>
          <w:rFonts w:hint="eastAsia" w:ascii="宋体" w:hAnsi="宋体" w:eastAsia="宋体" w:cs="宋体"/>
          <w:color w:val="auto"/>
          <w:sz w:val="28"/>
          <w:szCs w:val="28"/>
          <w:highlight w:val="none"/>
          <w:lang w:eastAsia="zh-CN"/>
        </w:rPr>
        <w:t>法律、行政法规规定的其他条件。</w:t>
      </w:r>
    </w:p>
    <w:p w14:paraId="1E17D4B9">
      <w:pPr>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7DD994CA">
      <w:pPr>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我单位对本承诺函及所承诺事项的真实性、合法性及有效性负责，并已知晓如所作信用承诺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w:t>
      </w:r>
      <w:r>
        <w:rPr>
          <w:rFonts w:hint="eastAsia" w:ascii="宋体" w:hAnsi="宋体" w:eastAsia="宋体" w:cs="宋体"/>
          <w:color w:val="auto"/>
          <w:sz w:val="28"/>
          <w:szCs w:val="28"/>
          <w:highlight w:val="none"/>
          <w:lang w:eastAsia="zh-CN"/>
        </w:rPr>
        <w:t>和政府采购法律法规有关</w:t>
      </w:r>
      <w:r>
        <w:rPr>
          <w:rFonts w:hint="eastAsia" w:ascii="宋体" w:hAnsi="宋体" w:eastAsia="宋体" w:cs="宋体"/>
          <w:color w:val="auto"/>
          <w:sz w:val="28"/>
          <w:szCs w:val="28"/>
          <w:highlight w:val="none"/>
          <w:lang w:val="en-US" w:eastAsia="zh-CN"/>
        </w:rPr>
        <w:t>规定</w:t>
      </w:r>
      <w:r>
        <w:rPr>
          <w:rFonts w:hint="eastAsia" w:ascii="宋体" w:hAnsi="宋体" w:eastAsia="宋体" w:cs="宋体"/>
          <w:color w:val="auto"/>
          <w:sz w:val="28"/>
          <w:szCs w:val="28"/>
          <w:highlight w:val="none"/>
        </w:rPr>
        <w:t>处理。</w:t>
      </w:r>
    </w:p>
    <w:p w14:paraId="63AFA91F">
      <w:pPr>
        <w:pageBreakBefore w:val="0"/>
        <w:widowControl w:val="0"/>
        <w:kinsoku/>
        <w:wordWrap/>
        <w:overflowPunct/>
        <w:topLinePunct w:val="0"/>
        <w:autoSpaceDE/>
        <w:autoSpaceDN/>
        <w:bidi w:val="0"/>
        <w:adjustRightInd/>
        <w:snapToGrid/>
        <w:spacing w:beforeLines="0" w:afterLines="0" w:line="360" w:lineRule="auto"/>
        <w:textAlignment w:val="auto"/>
        <w:rPr>
          <w:rFonts w:hint="eastAsia" w:ascii="宋体" w:hAnsi="宋体" w:eastAsia="宋体" w:cs="宋体"/>
          <w:color w:val="auto"/>
          <w:sz w:val="28"/>
          <w:szCs w:val="28"/>
          <w:highlight w:val="none"/>
        </w:rPr>
      </w:pPr>
    </w:p>
    <w:p w14:paraId="25E26F3C">
      <w:pPr>
        <w:pageBreakBefore w:val="0"/>
        <w:widowControl w:val="0"/>
        <w:kinsoku/>
        <w:wordWrap/>
        <w:overflowPunct/>
        <w:topLinePunct w:val="0"/>
        <w:autoSpaceDE/>
        <w:autoSpaceDN/>
        <w:bidi w:val="0"/>
        <w:adjustRightInd/>
        <w:snapToGrid/>
        <w:spacing w:beforeLines="0" w:afterLines="0" w:line="360" w:lineRule="auto"/>
        <w:ind w:firstLine="3080" w:firstLineChars="11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供应商名称(单位公章):</w:t>
      </w:r>
    </w:p>
    <w:p w14:paraId="3F9F0A6F">
      <w:pPr>
        <w:pageBreakBefore w:val="0"/>
        <w:widowControl w:val="0"/>
        <w:kinsoku/>
        <w:wordWrap/>
        <w:overflowPunct/>
        <w:topLinePunct w:val="0"/>
        <w:autoSpaceDE/>
        <w:autoSpaceDN/>
        <w:bidi w:val="0"/>
        <w:adjustRightInd/>
        <w:snapToGrid/>
        <w:spacing w:beforeLines="0" w:afterLines="0" w:line="360" w:lineRule="auto"/>
        <w:ind w:firstLine="3080" w:firstLineChars="11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 xml:space="preserve">   月   </w:t>
      </w:r>
      <w:r>
        <w:rPr>
          <w:rFonts w:hint="eastAsia" w:ascii="宋体" w:hAnsi="宋体" w:eastAsia="宋体" w:cs="宋体"/>
          <w:color w:val="auto"/>
          <w:sz w:val="28"/>
          <w:szCs w:val="28"/>
          <w:highlight w:val="none"/>
        </w:rPr>
        <w:t>日</w:t>
      </w:r>
    </w:p>
    <w:p w14:paraId="19A6986D">
      <w:pPr>
        <w:pageBreakBefore w:val="0"/>
        <w:widowControl w:val="0"/>
        <w:kinsoku/>
        <w:wordWrap/>
        <w:overflowPunct/>
        <w:topLinePunct w:val="0"/>
        <w:autoSpaceDE/>
        <w:autoSpaceDN/>
        <w:bidi w:val="0"/>
        <w:adjustRightInd/>
        <w:snapToGrid/>
        <w:spacing w:beforeLines="0" w:afterLines="0" w:line="360" w:lineRule="auto"/>
        <w:ind w:firstLine="0" w:firstLineChars="0"/>
        <w:textAlignment w:val="auto"/>
        <w:rPr>
          <w:rFonts w:hint="eastAsia" w:ascii="宋体" w:hAnsi="宋体" w:eastAsia="宋体" w:cs="宋体"/>
          <w:color w:val="auto"/>
          <w:sz w:val="28"/>
          <w:szCs w:val="28"/>
          <w:highlight w:val="none"/>
        </w:rPr>
      </w:pPr>
    </w:p>
    <w:p w14:paraId="764D0FCA">
      <w:pPr>
        <w:pageBreakBefore w:val="0"/>
        <w:widowControl w:val="0"/>
        <w:kinsoku/>
        <w:wordWrap/>
        <w:overflowPunct/>
        <w:topLinePunct w:val="0"/>
        <w:autoSpaceDE/>
        <w:autoSpaceDN/>
        <w:bidi w:val="0"/>
        <w:adjustRightInd/>
        <w:snapToGrid/>
        <w:spacing w:beforeLines="0" w:afterLines="0" w:line="360" w:lineRule="auto"/>
        <w:ind w:firstLine="0" w:firstLineChars="0"/>
        <w:textAlignment w:val="auto"/>
        <w:rPr>
          <w:rFonts w:hint="eastAsia" w:ascii="宋体" w:hAnsi="宋体" w:eastAsia="宋体" w:cs="宋体"/>
          <w:color w:val="auto"/>
          <w:sz w:val="28"/>
          <w:szCs w:val="28"/>
          <w:highlight w:val="none"/>
        </w:rPr>
      </w:pPr>
    </w:p>
    <w:p w14:paraId="7EE6AB80">
      <w:pPr>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注:</w:t>
      </w:r>
    </w:p>
    <w:p w14:paraId="5903377C">
      <w:pPr>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1.我单位专指参加政府采购活动的供应商</w:t>
      </w:r>
      <w:r>
        <w:rPr>
          <w:rFonts w:hint="eastAsia" w:ascii="宋体" w:hAnsi="宋体" w:eastAsia="宋体" w:cs="宋体"/>
          <w:color w:val="auto"/>
          <w:sz w:val="28"/>
          <w:szCs w:val="28"/>
          <w:highlight w:val="none"/>
          <w:lang w:eastAsia="zh-CN"/>
        </w:rPr>
        <w:t>；</w:t>
      </w:r>
    </w:p>
    <w:p w14:paraId="33D312CF">
      <w:pPr>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2.</w:t>
      </w:r>
      <w:r>
        <w:rPr>
          <w:rFonts w:hint="eastAsia" w:ascii="宋体" w:hAnsi="宋体" w:eastAsia="宋体" w:cs="宋体"/>
          <w:color w:val="auto"/>
          <w:sz w:val="28"/>
          <w:szCs w:val="28"/>
          <w:highlight w:val="none"/>
          <w:lang w:eastAsia="zh-CN"/>
        </w:rPr>
        <w:t>资格承诺的</w:t>
      </w:r>
      <w:r>
        <w:rPr>
          <w:rFonts w:hint="eastAsia" w:ascii="宋体" w:hAnsi="宋体" w:eastAsia="宋体" w:cs="宋体"/>
          <w:color w:val="auto"/>
          <w:sz w:val="28"/>
          <w:szCs w:val="28"/>
          <w:highlight w:val="none"/>
        </w:rPr>
        <w:t>供应商</w:t>
      </w:r>
      <w:r>
        <w:rPr>
          <w:rFonts w:hint="eastAsia" w:ascii="宋体" w:hAnsi="宋体" w:eastAsia="宋体" w:cs="宋体"/>
          <w:color w:val="auto"/>
          <w:sz w:val="28"/>
          <w:szCs w:val="28"/>
          <w:highlight w:val="none"/>
          <w:lang w:eastAsia="zh-CN"/>
        </w:rPr>
        <w:t>应</w:t>
      </w:r>
      <w:r>
        <w:rPr>
          <w:rFonts w:hint="eastAsia" w:ascii="宋体" w:hAnsi="宋体" w:eastAsia="宋体" w:cs="宋体"/>
          <w:color w:val="auto"/>
          <w:sz w:val="28"/>
          <w:szCs w:val="28"/>
          <w:highlight w:val="none"/>
        </w:rPr>
        <w:t>在投标(响应)文件中按此模板提供承诺函</w:t>
      </w:r>
      <w:r>
        <w:rPr>
          <w:rFonts w:hint="eastAsia" w:ascii="宋体" w:hAnsi="宋体" w:eastAsia="宋体" w:cs="宋体"/>
          <w:color w:val="auto"/>
          <w:sz w:val="28"/>
          <w:szCs w:val="28"/>
          <w:highlight w:val="none"/>
          <w:lang w:eastAsia="zh-CN"/>
        </w:rPr>
        <w:t>。</w:t>
      </w:r>
    </w:p>
    <w:p w14:paraId="69650B8A">
      <w:pPr>
        <w:widowControl/>
        <w:spacing w:beforeLines="0" w:afterLines="0" w:line="360" w:lineRule="auto"/>
        <w:jc w:val="left"/>
        <w:rPr>
          <w:rFonts w:hint="eastAsia" w:ascii="宋体" w:hAnsi="宋体" w:cs="宋体"/>
          <w:color w:val="auto"/>
          <w:sz w:val="28"/>
          <w:szCs w:val="28"/>
          <w:highlight w:val="none"/>
        </w:rPr>
      </w:pPr>
      <w:r>
        <w:rPr>
          <w:rFonts w:hint="eastAsia" w:ascii="宋体" w:hAnsi="宋体" w:cs="宋体"/>
          <w:color w:val="auto"/>
          <w:kern w:val="0"/>
          <w:sz w:val="28"/>
          <w:szCs w:val="28"/>
          <w:highlight w:val="none"/>
        </w:rPr>
        <w:t> </w:t>
      </w:r>
    </w:p>
    <w:p w14:paraId="5B1FDD69">
      <w:pPr>
        <w:widowControl/>
        <w:spacing w:beforeLines="0" w:afterLines="0" w:line="360" w:lineRule="auto"/>
        <w:jc w:val="left"/>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附件2：</w:t>
      </w:r>
    </w:p>
    <w:p w14:paraId="2C2464B6">
      <w:pPr>
        <w:widowControl/>
        <w:spacing w:beforeLines="0" w:afterLines="0" w:line="360" w:lineRule="auto"/>
        <w:ind w:firstLine="645"/>
        <w:jc w:val="center"/>
        <w:rPr>
          <w:rFonts w:hint="eastAsia" w:ascii="宋体" w:hAnsi="宋体" w:cs="宋体"/>
          <w:color w:val="auto"/>
          <w:kern w:val="0"/>
          <w:sz w:val="28"/>
          <w:szCs w:val="28"/>
          <w:highlight w:val="none"/>
        </w:rPr>
      </w:pPr>
      <w:r>
        <w:rPr>
          <w:rFonts w:hint="eastAsia" w:ascii="宋体" w:hAnsi="宋体" w:cs="宋体"/>
          <w:b/>
          <w:bCs/>
          <w:color w:val="auto"/>
          <w:kern w:val="0"/>
          <w:sz w:val="28"/>
          <w:szCs w:val="28"/>
          <w:highlight w:val="none"/>
        </w:rPr>
        <w:t>关于串标情形及后果的告知函</w:t>
      </w:r>
    </w:p>
    <w:p w14:paraId="3D1C6FB0">
      <w:pPr>
        <w:widowControl/>
        <w:spacing w:beforeLines="0" w:afterLines="0" w:line="360" w:lineRule="auto"/>
        <w:jc w:val="left"/>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致各投标人：</w:t>
      </w:r>
    </w:p>
    <w:p w14:paraId="449A721C">
      <w:pPr>
        <w:widowControl/>
        <w:spacing w:beforeLines="0" w:afterLines="0" w:line="360" w:lineRule="auto"/>
        <w:jc w:val="left"/>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  根据《厦门市财政局关于加强涉嫌串通投标情形处理的通知》要求，现将有关恶意串通、视为串通情形及供 应商需承担的后果列明如下，请各供 应商仔细阅读，如在参与本项目采购活动中存在串通投标情形，将依法承担相应责任：</w:t>
      </w:r>
    </w:p>
    <w:p w14:paraId="05C6F652">
      <w:pPr>
        <w:widowControl/>
        <w:spacing w:beforeLines="0" w:afterLines="0" w:line="360" w:lineRule="auto"/>
        <w:jc w:val="left"/>
        <w:rPr>
          <w:rFonts w:hint="eastAsia" w:ascii="宋体" w:hAnsi="宋体" w:cs="宋体"/>
          <w:color w:val="auto"/>
          <w:kern w:val="0"/>
          <w:sz w:val="28"/>
          <w:szCs w:val="28"/>
          <w:highlight w:val="none"/>
        </w:rPr>
      </w:pPr>
      <w:r>
        <w:rPr>
          <w:rFonts w:hint="eastAsia" w:ascii="宋体" w:hAnsi="宋体" w:cs="宋体"/>
          <w:b/>
          <w:bCs/>
          <w:color w:val="auto"/>
          <w:kern w:val="0"/>
          <w:sz w:val="28"/>
          <w:szCs w:val="28"/>
          <w:highlight w:val="none"/>
        </w:rPr>
        <w:t>一、恶意串通情形</w:t>
      </w:r>
    </w:p>
    <w:p w14:paraId="51C3C725">
      <w:pPr>
        <w:widowControl/>
        <w:spacing w:beforeLines="0" w:afterLines="0" w:line="360" w:lineRule="auto"/>
        <w:ind w:firstLine="315"/>
        <w:jc w:val="left"/>
        <w:rPr>
          <w:rFonts w:hint="eastAsia" w:ascii="宋体" w:hAnsi="宋体" w:cs="宋体"/>
          <w:color w:val="auto"/>
          <w:kern w:val="0"/>
          <w:sz w:val="28"/>
          <w:szCs w:val="28"/>
          <w:highlight w:val="none"/>
        </w:rPr>
      </w:pPr>
      <w:r>
        <w:rPr>
          <w:rFonts w:hint="eastAsia" w:ascii="宋体" w:hAnsi="宋体" w:cs="宋体"/>
          <w:b/>
          <w:bCs/>
          <w:color w:val="auto"/>
          <w:kern w:val="0"/>
          <w:sz w:val="28"/>
          <w:szCs w:val="28"/>
          <w:highlight w:val="none"/>
        </w:rPr>
        <w:t>《政府采购法实施条例》第七十四条：有下列情形之一的，属于恶意串通：</w:t>
      </w:r>
    </w:p>
    <w:p w14:paraId="11B02948">
      <w:pPr>
        <w:widowControl/>
        <w:spacing w:beforeLines="0" w:afterLines="0" w:line="360" w:lineRule="auto"/>
        <w:ind w:firstLine="315"/>
        <w:jc w:val="left"/>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（一）供应商直接或者间接从</w:t>
      </w:r>
      <w:r>
        <w:rPr>
          <w:rFonts w:hint="eastAsia" w:ascii="宋体" w:hAnsi="宋体" w:cs="宋体"/>
          <w:color w:val="auto"/>
          <w:kern w:val="0"/>
          <w:sz w:val="28"/>
          <w:szCs w:val="28"/>
          <w:highlight w:val="none"/>
          <w:lang w:eastAsia="zh-CN"/>
        </w:rPr>
        <w:t>征集人</w:t>
      </w:r>
      <w:r>
        <w:rPr>
          <w:rFonts w:hint="eastAsia" w:ascii="宋体" w:hAnsi="宋体" w:cs="宋体"/>
          <w:color w:val="auto"/>
          <w:kern w:val="0"/>
          <w:sz w:val="28"/>
          <w:szCs w:val="28"/>
          <w:highlight w:val="none"/>
        </w:rPr>
        <w:t>或者采购代 理机构处获得其他供 应商的相关情况并修改其投标文件或者响应文件；</w:t>
      </w:r>
    </w:p>
    <w:p w14:paraId="28D94C39">
      <w:pPr>
        <w:widowControl/>
        <w:spacing w:beforeLines="0" w:afterLines="0" w:line="360" w:lineRule="auto"/>
        <w:ind w:firstLine="315"/>
        <w:jc w:val="left"/>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（二）供应商按照</w:t>
      </w:r>
      <w:r>
        <w:rPr>
          <w:rFonts w:hint="eastAsia" w:ascii="宋体" w:hAnsi="宋体" w:cs="宋体"/>
          <w:color w:val="auto"/>
          <w:kern w:val="0"/>
          <w:sz w:val="28"/>
          <w:szCs w:val="28"/>
          <w:highlight w:val="none"/>
          <w:lang w:eastAsia="zh-CN"/>
        </w:rPr>
        <w:t>征集人</w:t>
      </w:r>
      <w:r>
        <w:rPr>
          <w:rFonts w:hint="eastAsia" w:ascii="宋体" w:hAnsi="宋体" w:cs="宋体"/>
          <w:color w:val="auto"/>
          <w:kern w:val="0"/>
          <w:sz w:val="28"/>
          <w:szCs w:val="28"/>
          <w:highlight w:val="none"/>
        </w:rPr>
        <w:t>或者采购代 理机构的授意撤换、修改投标文件或者响应文件；</w:t>
      </w:r>
    </w:p>
    <w:p w14:paraId="0A90FE49">
      <w:pPr>
        <w:widowControl/>
        <w:spacing w:beforeLines="0" w:afterLines="0" w:line="360" w:lineRule="auto"/>
        <w:ind w:firstLine="315"/>
        <w:jc w:val="left"/>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（三）供应商之间协商报价、技术方案等投标文件或者响应文件的实质性内容；</w:t>
      </w:r>
    </w:p>
    <w:p w14:paraId="50C88333">
      <w:pPr>
        <w:widowControl/>
        <w:spacing w:beforeLines="0" w:afterLines="0" w:line="360" w:lineRule="auto"/>
        <w:ind w:firstLine="315"/>
        <w:jc w:val="left"/>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（四）属于同一集团、协会、商会等组织成员的供 应商按照该组织要求协同参加政府采购活动；</w:t>
      </w:r>
    </w:p>
    <w:p w14:paraId="251C7070">
      <w:pPr>
        <w:widowControl/>
        <w:spacing w:beforeLines="0" w:afterLines="0" w:line="360" w:lineRule="auto"/>
        <w:ind w:firstLine="315"/>
        <w:jc w:val="left"/>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（五）供应商之间事先约定由某一特定供应商</w:t>
      </w:r>
      <w:r>
        <w:rPr>
          <w:rFonts w:hint="eastAsia" w:ascii="宋体" w:hAnsi="宋体" w:cs="宋体"/>
          <w:color w:val="auto"/>
          <w:kern w:val="0"/>
          <w:sz w:val="28"/>
          <w:szCs w:val="28"/>
          <w:highlight w:val="none"/>
          <w:lang w:eastAsia="zh-CN"/>
        </w:rPr>
        <w:t>入围</w:t>
      </w:r>
      <w:r>
        <w:rPr>
          <w:rFonts w:hint="eastAsia" w:ascii="宋体" w:hAnsi="宋体" w:cs="宋体"/>
          <w:color w:val="auto"/>
          <w:kern w:val="0"/>
          <w:sz w:val="28"/>
          <w:szCs w:val="28"/>
          <w:highlight w:val="none"/>
        </w:rPr>
        <w:t>、成交；</w:t>
      </w:r>
    </w:p>
    <w:p w14:paraId="48E86198">
      <w:pPr>
        <w:widowControl/>
        <w:spacing w:beforeLines="0" w:afterLines="0" w:line="360" w:lineRule="auto"/>
        <w:ind w:firstLine="315"/>
        <w:jc w:val="left"/>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（六）供应商之间商定部分供 应商放弃参加政府采购活动或者放弃</w:t>
      </w:r>
      <w:r>
        <w:rPr>
          <w:rFonts w:hint="eastAsia" w:ascii="宋体" w:hAnsi="宋体" w:cs="宋体"/>
          <w:color w:val="auto"/>
          <w:kern w:val="0"/>
          <w:sz w:val="28"/>
          <w:szCs w:val="28"/>
          <w:highlight w:val="none"/>
          <w:lang w:eastAsia="zh-CN"/>
        </w:rPr>
        <w:t>入围</w:t>
      </w:r>
      <w:r>
        <w:rPr>
          <w:rFonts w:hint="eastAsia" w:ascii="宋体" w:hAnsi="宋体" w:cs="宋体"/>
          <w:color w:val="auto"/>
          <w:kern w:val="0"/>
          <w:sz w:val="28"/>
          <w:szCs w:val="28"/>
          <w:highlight w:val="none"/>
        </w:rPr>
        <w:t>、成交；</w:t>
      </w:r>
    </w:p>
    <w:p w14:paraId="07EC0A3A">
      <w:pPr>
        <w:widowControl/>
        <w:spacing w:beforeLines="0" w:afterLines="0" w:line="360" w:lineRule="auto"/>
        <w:ind w:firstLine="315"/>
        <w:jc w:val="left"/>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（七）供应商与</w:t>
      </w:r>
      <w:r>
        <w:rPr>
          <w:rFonts w:hint="eastAsia" w:ascii="宋体" w:hAnsi="宋体" w:cs="宋体"/>
          <w:color w:val="auto"/>
          <w:kern w:val="0"/>
          <w:sz w:val="28"/>
          <w:szCs w:val="28"/>
          <w:highlight w:val="none"/>
          <w:lang w:eastAsia="zh-CN"/>
        </w:rPr>
        <w:t>征集人</w:t>
      </w:r>
      <w:r>
        <w:rPr>
          <w:rFonts w:hint="eastAsia" w:ascii="宋体" w:hAnsi="宋体" w:cs="宋体"/>
          <w:color w:val="auto"/>
          <w:kern w:val="0"/>
          <w:sz w:val="28"/>
          <w:szCs w:val="28"/>
          <w:highlight w:val="none"/>
        </w:rPr>
        <w:t>或者采购代 理机构之间、供 应商相互之间，为谋求特定供 应商</w:t>
      </w:r>
      <w:r>
        <w:rPr>
          <w:rFonts w:hint="eastAsia" w:ascii="宋体" w:hAnsi="宋体" w:cs="宋体"/>
          <w:color w:val="auto"/>
          <w:kern w:val="0"/>
          <w:sz w:val="28"/>
          <w:szCs w:val="28"/>
          <w:highlight w:val="none"/>
          <w:lang w:eastAsia="zh-CN"/>
        </w:rPr>
        <w:t>入围</w:t>
      </w:r>
      <w:r>
        <w:rPr>
          <w:rFonts w:hint="eastAsia" w:ascii="宋体" w:hAnsi="宋体" w:cs="宋体"/>
          <w:color w:val="auto"/>
          <w:kern w:val="0"/>
          <w:sz w:val="28"/>
          <w:szCs w:val="28"/>
          <w:highlight w:val="none"/>
        </w:rPr>
        <w:t>、成交或者排斥其他供 应商的其他串通行为。</w:t>
      </w:r>
    </w:p>
    <w:p w14:paraId="784A1197">
      <w:pPr>
        <w:widowControl/>
        <w:spacing w:beforeLines="0" w:afterLines="0" w:line="360" w:lineRule="auto"/>
        <w:jc w:val="left"/>
        <w:rPr>
          <w:rFonts w:hint="eastAsia" w:ascii="宋体" w:hAnsi="宋体" w:cs="宋体"/>
          <w:color w:val="auto"/>
          <w:kern w:val="0"/>
          <w:sz w:val="28"/>
          <w:szCs w:val="28"/>
          <w:highlight w:val="none"/>
        </w:rPr>
      </w:pPr>
      <w:r>
        <w:rPr>
          <w:rFonts w:hint="eastAsia" w:ascii="宋体" w:hAnsi="宋体" w:cs="宋体"/>
          <w:b/>
          <w:bCs/>
          <w:color w:val="auto"/>
          <w:kern w:val="0"/>
          <w:sz w:val="28"/>
          <w:szCs w:val="28"/>
          <w:highlight w:val="none"/>
        </w:rPr>
        <w:t>二、视为串通情形</w:t>
      </w:r>
    </w:p>
    <w:p w14:paraId="683A1D0D">
      <w:pPr>
        <w:widowControl/>
        <w:spacing w:beforeLines="0" w:afterLines="0" w:line="360" w:lineRule="auto"/>
        <w:ind w:firstLine="315"/>
        <w:jc w:val="left"/>
        <w:rPr>
          <w:rFonts w:hint="eastAsia" w:ascii="宋体" w:hAnsi="宋体" w:cs="宋体"/>
          <w:color w:val="auto"/>
          <w:kern w:val="0"/>
          <w:sz w:val="28"/>
          <w:szCs w:val="28"/>
          <w:highlight w:val="none"/>
        </w:rPr>
      </w:pPr>
      <w:r>
        <w:rPr>
          <w:rFonts w:hint="eastAsia" w:ascii="宋体" w:hAnsi="宋体" w:cs="宋体"/>
          <w:b/>
          <w:bCs/>
          <w:color w:val="auto"/>
          <w:kern w:val="0"/>
          <w:sz w:val="28"/>
          <w:szCs w:val="28"/>
          <w:highlight w:val="none"/>
        </w:rPr>
        <w:t>《政府采购货物和服务招标投标管理办法》（财政部令第87号）第三十七条：有下列情形之一的，视为投标人串通投标，其投标无效：</w:t>
      </w:r>
    </w:p>
    <w:p w14:paraId="4D6B0F5D">
      <w:pPr>
        <w:widowControl/>
        <w:spacing w:beforeLines="0" w:afterLines="0" w:line="360" w:lineRule="auto"/>
        <w:ind w:firstLine="315"/>
        <w:jc w:val="left"/>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（一）不同投标人的投标文件由同一单位或者个人编制；</w:t>
      </w:r>
    </w:p>
    <w:p w14:paraId="12DD5FAF">
      <w:pPr>
        <w:widowControl/>
        <w:spacing w:beforeLines="0" w:afterLines="0" w:line="360" w:lineRule="auto"/>
        <w:ind w:firstLine="315"/>
        <w:jc w:val="left"/>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（二）不同投标人委托同一单位或者个人办理投标事宜；</w:t>
      </w:r>
    </w:p>
    <w:p w14:paraId="2EF98519">
      <w:pPr>
        <w:widowControl/>
        <w:spacing w:beforeLines="0" w:afterLines="0" w:line="360" w:lineRule="auto"/>
        <w:ind w:firstLine="280" w:firstLineChars="100"/>
        <w:jc w:val="left"/>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（三）不同投标人的投标文件载明的项目管理成员或者联系人员为同一人；</w:t>
      </w:r>
    </w:p>
    <w:p w14:paraId="3C056885">
      <w:pPr>
        <w:widowControl/>
        <w:spacing w:beforeLines="0" w:afterLines="0" w:line="360" w:lineRule="auto"/>
        <w:ind w:firstLine="280" w:firstLineChars="100"/>
        <w:jc w:val="left"/>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（四）不同投标人的投标文件异常一致或者投标报价呈规律性差异；</w:t>
      </w:r>
    </w:p>
    <w:p w14:paraId="3EDB3B53">
      <w:pPr>
        <w:widowControl/>
        <w:spacing w:beforeLines="0" w:afterLines="0" w:line="360" w:lineRule="auto"/>
        <w:ind w:firstLine="280" w:firstLineChars="100"/>
        <w:jc w:val="left"/>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（五）不同投标人的投标文件相互混装；</w:t>
      </w:r>
    </w:p>
    <w:p w14:paraId="4F5C45C8">
      <w:pPr>
        <w:widowControl/>
        <w:spacing w:beforeLines="0" w:afterLines="0" w:line="360" w:lineRule="auto"/>
        <w:ind w:firstLine="280" w:firstLineChars="100"/>
        <w:jc w:val="left"/>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（六）不同投标人的投标保证金从同一单位或者个人的账户转出。</w:t>
      </w:r>
    </w:p>
    <w:p w14:paraId="1E2AD2A9">
      <w:pPr>
        <w:widowControl/>
        <w:spacing w:beforeLines="0" w:afterLines="0" w:line="360" w:lineRule="auto"/>
        <w:jc w:val="left"/>
        <w:rPr>
          <w:rFonts w:hint="eastAsia" w:ascii="宋体" w:hAnsi="宋体" w:cs="宋体"/>
          <w:color w:val="auto"/>
          <w:kern w:val="0"/>
          <w:sz w:val="28"/>
          <w:szCs w:val="28"/>
          <w:highlight w:val="none"/>
        </w:rPr>
      </w:pPr>
      <w:r>
        <w:rPr>
          <w:rFonts w:hint="eastAsia" w:ascii="宋体" w:hAnsi="宋体" w:cs="宋体"/>
          <w:b/>
          <w:bCs/>
          <w:color w:val="auto"/>
          <w:kern w:val="0"/>
          <w:sz w:val="28"/>
          <w:szCs w:val="28"/>
          <w:highlight w:val="none"/>
        </w:rPr>
        <w:t>三、供应商需承担的后果</w:t>
      </w:r>
    </w:p>
    <w:p w14:paraId="6F9E82A6">
      <w:pPr>
        <w:widowControl/>
        <w:spacing w:beforeLines="0" w:afterLines="0" w:line="360" w:lineRule="auto"/>
        <w:ind w:firstLine="480"/>
        <w:jc w:val="left"/>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1、《政府采购法》第七十七条：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三）与</w:t>
      </w:r>
      <w:r>
        <w:rPr>
          <w:rFonts w:hint="eastAsia" w:ascii="宋体" w:hAnsi="宋体" w:cs="宋体"/>
          <w:color w:val="auto"/>
          <w:kern w:val="0"/>
          <w:sz w:val="28"/>
          <w:szCs w:val="28"/>
          <w:highlight w:val="none"/>
          <w:lang w:eastAsia="zh-CN"/>
        </w:rPr>
        <w:t>征集人</w:t>
      </w:r>
      <w:r>
        <w:rPr>
          <w:rFonts w:hint="eastAsia" w:ascii="宋体" w:hAnsi="宋体" w:cs="宋体"/>
          <w:color w:val="auto"/>
          <w:kern w:val="0"/>
          <w:sz w:val="28"/>
          <w:szCs w:val="28"/>
          <w:highlight w:val="none"/>
        </w:rPr>
        <w:t>、其他供 应商或者采购代 理机构恶意串通的； 供应商有前款第（一）至（五）项情形之一的，</w:t>
      </w:r>
      <w:r>
        <w:rPr>
          <w:rFonts w:hint="eastAsia" w:ascii="宋体" w:hAnsi="宋体" w:cs="宋体"/>
          <w:color w:val="auto"/>
          <w:kern w:val="0"/>
          <w:sz w:val="28"/>
          <w:szCs w:val="28"/>
          <w:highlight w:val="none"/>
          <w:lang w:eastAsia="zh-CN"/>
        </w:rPr>
        <w:t>入围</w:t>
      </w:r>
      <w:r>
        <w:rPr>
          <w:rFonts w:hint="eastAsia" w:ascii="宋体" w:hAnsi="宋体" w:cs="宋体"/>
          <w:color w:val="auto"/>
          <w:kern w:val="0"/>
          <w:sz w:val="28"/>
          <w:szCs w:val="28"/>
          <w:highlight w:val="none"/>
        </w:rPr>
        <w:t>、成交无效。</w:t>
      </w:r>
    </w:p>
    <w:p w14:paraId="7FF5ABD4">
      <w:pPr>
        <w:widowControl/>
        <w:spacing w:beforeLines="0" w:afterLines="0" w:line="360" w:lineRule="auto"/>
        <w:ind w:firstLine="480"/>
        <w:jc w:val="left"/>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2、《政府采购非招标采购方式管理办法》（财政部令第74号）第二十条：有下列情形之一的，保证金不予退还：（四）供 应商与</w:t>
      </w:r>
      <w:r>
        <w:rPr>
          <w:rFonts w:hint="eastAsia" w:ascii="宋体" w:hAnsi="宋体" w:cs="宋体"/>
          <w:color w:val="auto"/>
          <w:kern w:val="0"/>
          <w:sz w:val="28"/>
          <w:szCs w:val="28"/>
          <w:highlight w:val="none"/>
          <w:lang w:eastAsia="zh-CN"/>
        </w:rPr>
        <w:t>征集人</w:t>
      </w:r>
      <w:r>
        <w:rPr>
          <w:rFonts w:hint="eastAsia" w:ascii="宋体" w:hAnsi="宋体" w:cs="宋体"/>
          <w:color w:val="auto"/>
          <w:kern w:val="0"/>
          <w:sz w:val="28"/>
          <w:szCs w:val="28"/>
          <w:highlight w:val="none"/>
        </w:rPr>
        <w:t>、其他供 应商或者采购代 理机构恶意串通的；</w:t>
      </w:r>
    </w:p>
    <w:p w14:paraId="490F3CFC">
      <w:pPr>
        <w:pStyle w:val="12"/>
        <w:shd w:val="clear" w:color="auto" w:fill="FFFFFF"/>
        <w:spacing w:before="0" w:beforeLines="0" w:beforeAutospacing="0" w:after="0" w:afterLines="0" w:afterAutospacing="0" w:line="360" w:lineRule="auto"/>
        <w:rPr>
          <w:rFonts w:hint="eastAsia" w:ascii="宋体" w:hAnsi="宋体" w:cs="宋体"/>
          <w:b/>
          <w:bCs/>
          <w:color w:val="auto"/>
          <w:sz w:val="28"/>
          <w:szCs w:val="28"/>
          <w:highlight w:val="none"/>
        </w:rPr>
      </w:pPr>
    </w:p>
    <w:p w14:paraId="1E02A927">
      <w:pPr>
        <w:widowControl/>
        <w:spacing w:beforeLines="0" w:afterLines="0" w:line="360" w:lineRule="auto"/>
        <w:jc w:val="left"/>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 </w:t>
      </w:r>
    </w:p>
    <w:p w14:paraId="02688671">
      <w:pPr>
        <w:widowControl/>
        <w:spacing w:beforeLines="0" w:afterLines="0" w:line="360" w:lineRule="auto"/>
        <w:ind w:firstLine="480"/>
        <w:jc w:val="left"/>
        <w:rPr>
          <w:rFonts w:hint="eastAsia" w:ascii="宋体" w:hAnsi="宋体" w:cs="宋体"/>
          <w:color w:val="auto"/>
          <w:kern w:val="0"/>
          <w:sz w:val="28"/>
          <w:szCs w:val="28"/>
          <w:highlight w:val="none"/>
        </w:rPr>
      </w:pPr>
    </w:p>
    <w:p w14:paraId="170DCD41">
      <w:pPr>
        <w:spacing w:beforeLines="0" w:afterLines="0" w:line="360" w:lineRule="auto"/>
        <w:ind w:firstLine="560" w:firstLineChars="200"/>
        <w:rPr>
          <w:rFonts w:hint="eastAsia" w:ascii="宋体" w:hAnsi="宋体" w:eastAsia="宋体" w:cs="宋体"/>
          <w:color w:val="auto"/>
          <w:sz w:val="28"/>
          <w:szCs w:val="28"/>
          <w:highlight w:val="none"/>
        </w:rPr>
      </w:pPr>
    </w:p>
    <w:p w14:paraId="76A61B25">
      <w:pPr>
        <w:widowControl/>
        <w:spacing w:beforeLines="0" w:afterLines="0" w:line="360" w:lineRule="auto"/>
        <w:jc w:val="left"/>
        <w:rPr>
          <w:rFonts w:hint="eastAsia" w:ascii="宋体" w:hAnsi="宋体" w:cs="宋体"/>
          <w:color w:val="auto"/>
          <w:kern w:val="0"/>
          <w:sz w:val="28"/>
          <w:szCs w:val="28"/>
          <w:highlight w:val="none"/>
        </w:rPr>
      </w:pPr>
    </w:p>
    <w:p w14:paraId="6485A19B">
      <w:pPr>
        <w:widowControl/>
        <w:spacing w:beforeLines="0" w:afterLines="0" w:line="360" w:lineRule="auto"/>
        <w:jc w:val="left"/>
        <w:rPr>
          <w:rFonts w:hint="eastAsia" w:ascii="宋体" w:hAnsi="宋体" w:cs="宋体"/>
          <w:color w:val="auto"/>
          <w:kern w:val="0"/>
          <w:sz w:val="28"/>
          <w:szCs w:val="28"/>
          <w:highlight w:val="none"/>
        </w:rPr>
      </w:pPr>
    </w:p>
    <w:p w14:paraId="3B5AA472">
      <w:pPr>
        <w:widowControl/>
        <w:spacing w:before="0" w:beforeAutospacing="0" w:after="0" w:afterAutospacing="0" w:line="360" w:lineRule="auto"/>
        <w:jc w:val="center"/>
        <w:rPr>
          <w:rFonts w:hint="eastAsia" w:ascii="宋体" w:hAnsi="宋体" w:eastAsia="宋体" w:cs="宋体"/>
          <w:b/>
          <w:bCs/>
          <w:color w:val="auto"/>
          <w:kern w:val="0"/>
          <w:sz w:val="32"/>
          <w:szCs w:val="32"/>
          <w:highlight w:val="none"/>
          <w:lang w:val="en-US" w:eastAsia="zh-CN" w:bidi="ar-SA"/>
        </w:rPr>
        <w:sectPr>
          <w:pgSz w:w="11906" w:h="16838"/>
          <w:pgMar w:top="1440" w:right="1800" w:bottom="1440" w:left="1800" w:header="851" w:footer="992" w:gutter="0"/>
          <w:cols w:space="720" w:num="1"/>
          <w:docGrid w:type="lines" w:linePitch="312" w:charSpace="0"/>
        </w:sectPr>
      </w:pPr>
    </w:p>
    <w:p w14:paraId="43EDBBAE">
      <w:pPr>
        <w:widowControl/>
        <w:spacing w:before="0" w:beforeAutospacing="0" w:after="0" w:afterAutospacing="0" w:line="360" w:lineRule="auto"/>
        <w:jc w:val="center"/>
        <w:outlineLvl w:val="0"/>
        <w:rPr>
          <w:rFonts w:ascii="宋体" w:hAnsi="宋体" w:eastAsia="宋体" w:cs="宋体"/>
          <w:b/>
          <w:bCs/>
          <w:color w:val="auto"/>
          <w:kern w:val="0"/>
          <w:sz w:val="32"/>
          <w:szCs w:val="32"/>
          <w:highlight w:val="none"/>
          <w:lang w:val="en-US" w:eastAsia="zh-CN" w:bidi="ar-SA"/>
        </w:rPr>
      </w:pPr>
      <w:r>
        <w:rPr>
          <w:rFonts w:hint="eastAsia" w:ascii="宋体" w:hAnsi="宋体" w:eastAsia="宋体" w:cs="宋体"/>
          <w:b/>
          <w:bCs/>
          <w:color w:val="auto"/>
          <w:kern w:val="0"/>
          <w:sz w:val="32"/>
          <w:szCs w:val="32"/>
          <w:highlight w:val="none"/>
          <w:lang w:val="en-US" w:eastAsia="zh-CN" w:bidi="ar-SA"/>
        </w:rPr>
        <w:t>第六章</w:t>
      </w:r>
      <w:r>
        <w:rPr>
          <w:rFonts w:hint="default" w:ascii="宋体" w:hAnsi="宋体" w:cs="宋体"/>
          <w:b/>
          <w:bCs/>
          <w:color w:val="auto"/>
          <w:kern w:val="0"/>
          <w:sz w:val="32"/>
          <w:szCs w:val="32"/>
          <w:highlight w:val="none"/>
          <w:lang w:eastAsia="zh-CN" w:bidi="ar-SA"/>
        </w:rPr>
        <w:t xml:space="preserve">  </w:t>
      </w:r>
      <w:r>
        <w:rPr>
          <w:rFonts w:hint="eastAsia" w:ascii="宋体" w:hAnsi="宋体" w:eastAsia="宋体" w:cs="宋体"/>
          <w:b/>
          <w:bCs/>
          <w:color w:val="auto"/>
          <w:kern w:val="0"/>
          <w:sz w:val="32"/>
          <w:szCs w:val="32"/>
          <w:highlight w:val="none"/>
          <w:lang w:val="en-US" w:eastAsia="zh-CN" w:bidi="ar-SA"/>
        </w:rPr>
        <w:t>封闭式框架协议</w:t>
      </w:r>
    </w:p>
    <w:p w14:paraId="4111C01E">
      <w:pPr>
        <w:spacing w:line="360" w:lineRule="auto"/>
        <w:ind w:firstLine="480" w:firstLineChars="200"/>
        <w:rPr>
          <w:rFonts w:ascii="宋体" w:hAnsi="宋体" w:cs="宋体"/>
          <w:color w:val="auto"/>
          <w:sz w:val="24"/>
          <w:highlight w:val="none"/>
          <w:lang w:val="zh-CN" w:bidi="zh-CN"/>
        </w:rPr>
      </w:pPr>
    </w:p>
    <w:p w14:paraId="07820E72">
      <w:pPr>
        <w:widowControl/>
        <w:suppressAutoHyphens/>
        <w:bidi w:val="0"/>
        <w:spacing w:before="0" w:beforeLines="0" w:beforeAutospacing="0" w:after="0" w:afterLines="0" w:afterAutospacing="0" w:line="360" w:lineRule="auto"/>
        <w:jc w:val="center"/>
        <w:rPr>
          <w:rFonts w:ascii="宋体" w:hAnsi="宋体" w:eastAsia="宋体" w:cs="宋体"/>
          <w:b/>
          <w:bCs/>
          <w:color w:val="auto"/>
          <w:kern w:val="0"/>
          <w:sz w:val="32"/>
          <w:szCs w:val="32"/>
          <w:highlight w:val="none"/>
          <w:lang w:val="en-US" w:eastAsia="zh-CN" w:bidi="ar-SA"/>
        </w:rPr>
      </w:pPr>
      <w:r>
        <w:rPr>
          <w:rFonts w:hint="eastAsia" w:ascii="宋体" w:hAnsi="宋体" w:eastAsia="宋体" w:cs="宋体"/>
          <w:b/>
          <w:bCs/>
          <w:color w:val="auto"/>
          <w:kern w:val="0"/>
          <w:sz w:val="32"/>
          <w:szCs w:val="32"/>
          <w:highlight w:val="none"/>
          <w:lang w:val="en-US" w:eastAsia="zh-CN" w:bidi="ar-SA"/>
        </w:rPr>
        <w:t>封闭式框架协议</w:t>
      </w:r>
    </w:p>
    <w:p w14:paraId="08B73618">
      <w:pPr>
        <w:suppressAutoHyphens/>
        <w:bidi w:val="0"/>
        <w:spacing w:line="360" w:lineRule="auto"/>
        <w:ind w:firstLine="480" w:firstLineChars="200"/>
        <w:rPr>
          <w:rFonts w:ascii="宋体" w:hAnsi="宋体" w:eastAsia="宋体" w:cs="宋体"/>
          <w:color w:val="auto"/>
          <w:sz w:val="24"/>
          <w:highlight w:val="none"/>
          <w:lang w:val="zh-CN" w:bidi="zh-CN"/>
        </w:rPr>
      </w:pPr>
    </w:p>
    <w:p w14:paraId="1323BA33">
      <w:pPr>
        <w:suppressAutoHyphens/>
        <w:bidi w:val="0"/>
        <w:spacing w:line="360" w:lineRule="auto"/>
        <w:ind w:firstLine="560" w:firstLineChars="200"/>
        <w:rPr>
          <w:rFonts w:hint="eastAsia" w:ascii="宋体" w:hAnsi="宋体" w:eastAsia="宋体" w:cs="宋体"/>
          <w:color w:val="auto"/>
          <w:sz w:val="28"/>
          <w:szCs w:val="28"/>
          <w:highlight w:val="none"/>
          <w:lang w:val="zh-CN" w:bidi="zh-CN"/>
        </w:rPr>
      </w:pPr>
    </w:p>
    <w:p w14:paraId="4DE4131C">
      <w:pPr>
        <w:keepNext w:val="0"/>
        <w:keepLines w:val="0"/>
        <w:pageBreakBefore w:val="0"/>
        <w:suppressAutoHyphens/>
        <w:kinsoku/>
        <w:wordWrap/>
        <w:overflowPunct/>
        <w:topLinePunct w:val="0"/>
        <w:autoSpaceDE/>
        <w:autoSpaceDN/>
        <w:bidi w:val="0"/>
        <w:adjustRightInd/>
        <w:snapToGrid/>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zh-CN" w:bidi="zh-CN"/>
        </w:rPr>
        <w:t>本协议采购项目名称：</w:t>
      </w:r>
      <w:r>
        <w:rPr>
          <w:rFonts w:hint="eastAsia" w:ascii="宋体" w:hAnsi="宋体" w:cs="宋体"/>
          <w:color w:val="auto"/>
          <w:kern w:val="2"/>
          <w:sz w:val="28"/>
          <w:szCs w:val="28"/>
          <w:highlight w:val="none"/>
          <w:lang w:val="en-US" w:eastAsia="zh-CN"/>
        </w:rPr>
        <w:t>2026年大宗触控一体机采购</w:t>
      </w:r>
      <w:r>
        <w:rPr>
          <w:rFonts w:hint="eastAsia" w:ascii="宋体" w:hAnsi="宋体" w:eastAsia="宋体" w:cs="宋体"/>
          <w:color w:val="auto"/>
          <w:sz w:val="28"/>
          <w:szCs w:val="28"/>
          <w:highlight w:val="none"/>
          <w:u w:val="none"/>
          <w:lang w:val="en-US" w:bidi="zh-CN"/>
        </w:rPr>
        <w:t>项目</w:t>
      </w:r>
      <w:r>
        <w:rPr>
          <w:rFonts w:hint="eastAsia" w:ascii="宋体" w:hAnsi="宋体" w:eastAsia="宋体" w:cs="宋体"/>
          <w:color w:val="auto"/>
          <w:sz w:val="28"/>
          <w:szCs w:val="28"/>
          <w:highlight w:val="none"/>
          <w:lang w:val="zh-CN" w:bidi="zh-CN"/>
        </w:rPr>
        <w:t>，编号：</w:t>
      </w:r>
      <w:r>
        <w:rPr>
          <w:rFonts w:hint="eastAsia" w:ascii="宋体" w:hAnsi="宋体" w:eastAsia="宋体" w:cs="宋体"/>
          <w:color w:val="auto"/>
          <w:sz w:val="28"/>
          <w:szCs w:val="28"/>
          <w:highlight w:val="none"/>
          <w:u w:val="single"/>
          <w:lang w:val="en-US" w:bidi="zh-CN"/>
        </w:rPr>
        <w:t xml:space="preserve">         </w:t>
      </w:r>
      <w:r>
        <w:rPr>
          <w:rFonts w:hint="eastAsia" w:ascii="宋体" w:hAnsi="宋体" w:eastAsia="宋体" w:cs="宋体"/>
          <w:color w:val="auto"/>
          <w:sz w:val="28"/>
          <w:szCs w:val="28"/>
          <w:highlight w:val="none"/>
          <w:lang w:val="zh-CN" w:bidi="zh-CN"/>
        </w:rPr>
        <w:t>，</w:t>
      </w:r>
      <w:r>
        <w:rPr>
          <w:rFonts w:hint="default" w:ascii="宋体" w:hAnsi="宋体" w:cs="宋体"/>
          <w:color w:val="auto"/>
          <w:sz w:val="28"/>
          <w:szCs w:val="28"/>
          <w:highlight w:val="none"/>
          <w:lang w:bidi="zh-CN"/>
        </w:rPr>
        <w:t>甲乙双方依据</w:t>
      </w:r>
      <w:r>
        <w:rPr>
          <w:rFonts w:hint="eastAsia" w:ascii="宋体" w:hAnsi="宋体" w:eastAsia="宋体" w:cs="宋体"/>
          <w:color w:val="auto"/>
          <w:sz w:val="28"/>
          <w:szCs w:val="28"/>
          <w:highlight w:val="none"/>
          <w:lang w:val="zh-CN" w:bidi="zh-CN"/>
        </w:rPr>
        <w:t>公开竞争</w:t>
      </w:r>
      <w:r>
        <w:rPr>
          <w:rFonts w:hint="default" w:ascii="宋体" w:hAnsi="宋体" w:cs="宋体"/>
          <w:color w:val="auto"/>
          <w:sz w:val="28"/>
          <w:szCs w:val="28"/>
          <w:highlight w:val="none"/>
          <w:lang w:bidi="zh-CN"/>
        </w:rPr>
        <w:t>结果</w:t>
      </w:r>
      <w:r>
        <w:rPr>
          <w:rFonts w:hint="eastAsia" w:ascii="宋体" w:hAnsi="宋体" w:eastAsia="宋体" w:cs="宋体"/>
          <w:color w:val="auto"/>
          <w:sz w:val="28"/>
          <w:szCs w:val="28"/>
          <w:highlight w:val="none"/>
          <w:lang w:val="zh-CN" w:bidi="zh-CN"/>
        </w:rPr>
        <w:t>订立</w:t>
      </w:r>
      <w:r>
        <w:rPr>
          <w:rFonts w:hint="default" w:ascii="宋体" w:hAnsi="宋体" w:cs="宋体"/>
          <w:color w:val="auto"/>
          <w:sz w:val="28"/>
          <w:szCs w:val="28"/>
          <w:highlight w:val="none"/>
          <w:lang w:bidi="zh-CN"/>
        </w:rPr>
        <w:t>封闭式框架</w:t>
      </w:r>
      <w:r>
        <w:rPr>
          <w:rFonts w:hint="eastAsia" w:ascii="宋体" w:hAnsi="宋体" w:eastAsia="宋体" w:cs="宋体"/>
          <w:color w:val="auto"/>
          <w:sz w:val="28"/>
          <w:szCs w:val="28"/>
          <w:highlight w:val="none"/>
          <w:lang w:val="zh-CN" w:bidi="zh-CN"/>
        </w:rPr>
        <w:t>协议</w:t>
      </w:r>
      <w:r>
        <w:rPr>
          <w:rFonts w:hint="default" w:ascii="宋体" w:hAnsi="宋体" w:cs="宋体"/>
          <w:color w:val="auto"/>
          <w:sz w:val="28"/>
          <w:szCs w:val="28"/>
          <w:highlight w:val="none"/>
          <w:lang w:bidi="zh-CN"/>
        </w:rPr>
        <w:t>（以下简称“框架协议”）</w:t>
      </w:r>
      <w:r>
        <w:rPr>
          <w:rFonts w:hint="eastAsia" w:ascii="宋体" w:hAnsi="宋体" w:eastAsia="宋体" w:cs="宋体"/>
          <w:color w:val="auto"/>
          <w:sz w:val="28"/>
          <w:szCs w:val="28"/>
          <w:highlight w:val="none"/>
          <w:lang w:val="zh-CN" w:bidi="zh-CN"/>
        </w:rPr>
        <w:t>，</w:t>
      </w:r>
      <w:r>
        <w:rPr>
          <w:rFonts w:hint="default" w:ascii="宋体" w:hAnsi="宋体" w:cs="宋体"/>
          <w:color w:val="auto"/>
          <w:sz w:val="28"/>
          <w:szCs w:val="28"/>
          <w:highlight w:val="none"/>
          <w:lang w:bidi="zh-CN"/>
        </w:rPr>
        <w:t>签订时间：</w:t>
      </w:r>
      <w:r>
        <w:rPr>
          <w:rFonts w:hint="eastAsia" w:ascii="宋体" w:hAnsi="宋体" w:eastAsia="宋体" w:cs="宋体"/>
          <w:color w:val="auto"/>
          <w:sz w:val="28"/>
          <w:szCs w:val="28"/>
          <w:highlight w:val="none"/>
          <w:u w:val="single"/>
          <w:lang w:val="en-US" w:bidi="zh-CN"/>
        </w:rPr>
        <w:t xml:space="preserve">     </w:t>
      </w:r>
      <w:r>
        <w:rPr>
          <w:rFonts w:hint="eastAsia" w:ascii="宋体" w:hAnsi="宋体" w:eastAsia="宋体" w:cs="宋体"/>
          <w:color w:val="auto"/>
          <w:sz w:val="28"/>
          <w:szCs w:val="28"/>
          <w:highlight w:val="none"/>
          <w:lang w:val="zh-CN" w:bidi="zh-CN"/>
        </w:rPr>
        <w:t>年</w:t>
      </w:r>
      <w:r>
        <w:rPr>
          <w:rFonts w:hint="eastAsia" w:ascii="宋体" w:hAnsi="宋体" w:eastAsia="宋体" w:cs="宋体"/>
          <w:color w:val="auto"/>
          <w:sz w:val="28"/>
          <w:szCs w:val="28"/>
          <w:highlight w:val="none"/>
          <w:u w:val="single"/>
          <w:lang w:val="en-US" w:bidi="zh-CN"/>
        </w:rPr>
        <w:t xml:space="preserve">   </w:t>
      </w:r>
      <w:r>
        <w:rPr>
          <w:rFonts w:hint="eastAsia" w:ascii="宋体" w:hAnsi="宋体" w:eastAsia="宋体" w:cs="宋体"/>
          <w:color w:val="auto"/>
          <w:sz w:val="28"/>
          <w:szCs w:val="28"/>
          <w:highlight w:val="none"/>
          <w:lang w:val="zh-CN" w:bidi="zh-CN"/>
        </w:rPr>
        <w:t>月</w:t>
      </w:r>
      <w:r>
        <w:rPr>
          <w:rFonts w:hint="eastAsia" w:ascii="宋体" w:hAnsi="宋体" w:eastAsia="宋体" w:cs="宋体"/>
          <w:color w:val="auto"/>
          <w:sz w:val="28"/>
          <w:szCs w:val="28"/>
          <w:highlight w:val="none"/>
          <w:u w:val="single"/>
          <w:lang w:val="en-US" w:bidi="zh-CN"/>
        </w:rPr>
        <w:t xml:space="preserve">   </w:t>
      </w:r>
      <w:r>
        <w:rPr>
          <w:rFonts w:hint="eastAsia" w:ascii="宋体" w:hAnsi="宋体" w:eastAsia="宋体" w:cs="宋体"/>
          <w:color w:val="auto"/>
          <w:sz w:val="28"/>
          <w:szCs w:val="28"/>
          <w:highlight w:val="none"/>
          <w:lang w:val="zh-CN" w:bidi="zh-CN"/>
        </w:rPr>
        <w:t>日</w:t>
      </w:r>
      <w:r>
        <w:rPr>
          <w:rFonts w:hint="default" w:ascii="宋体" w:hAnsi="宋体" w:cs="宋体"/>
          <w:color w:val="auto"/>
          <w:sz w:val="28"/>
          <w:szCs w:val="28"/>
          <w:highlight w:val="none"/>
          <w:lang w:bidi="zh-CN"/>
        </w:rPr>
        <w:t>，签订地点：</w:t>
      </w:r>
      <w:r>
        <w:rPr>
          <w:rFonts w:hint="eastAsia" w:ascii="宋体" w:hAnsi="宋体" w:eastAsia="宋体" w:cs="宋体"/>
          <w:color w:val="auto"/>
          <w:sz w:val="28"/>
          <w:szCs w:val="28"/>
          <w:highlight w:val="none"/>
          <w:lang w:val="zh-CN" w:bidi="zh-CN"/>
        </w:rPr>
        <w:t>厦门</w:t>
      </w:r>
      <w:r>
        <w:rPr>
          <w:rFonts w:hint="default" w:ascii="宋体" w:hAnsi="宋体" w:cs="宋体"/>
          <w:color w:val="auto"/>
          <w:sz w:val="28"/>
          <w:szCs w:val="28"/>
          <w:highlight w:val="none"/>
          <w:lang w:bidi="zh-CN"/>
        </w:rPr>
        <w:t>市湖里区</w:t>
      </w:r>
      <w:r>
        <w:rPr>
          <w:rFonts w:hint="eastAsia" w:ascii="宋体" w:hAnsi="宋体" w:eastAsia="宋体" w:cs="宋体"/>
          <w:color w:val="auto"/>
          <w:sz w:val="28"/>
          <w:szCs w:val="28"/>
          <w:highlight w:val="none"/>
          <w:lang w:val="zh-CN" w:bidi="zh-CN"/>
        </w:rPr>
        <w:t>。</w:t>
      </w:r>
    </w:p>
    <w:p w14:paraId="2FB584BE">
      <w:pPr>
        <w:keepNext w:val="0"/>
        <w:keepLines w:val="0"/>
        <w:pageBreakBefore w:val="0"/>
        <w:suppressAutoHyphens/>
        <w:kinsoku/>
        <w:wordWrap/>
        <w:overflowPunct/>
        <w:topLinePunct w:val="0"/>
        <w:autoSpaceDE/>
        <w:autoSpaceDN/>
        <w:bidi w:val="0"/>
        <w:adjustRightInd/>
        <w:snapToGrid/>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bidi="zh-CN"/>
        </w:rPr>
        <w:t>甲方（征集人）</w:t>
      </w:r>
      <w:r>
        <w:rPr>
          <w:rFonts w:hint="eastAsia" w:ascii="宋体" w:hAnsi="宋体" w:eastAsia="宋体" w:cs="宋体"/>
          <w:color w:val="auto"/>
          <w:sz w:val="28"/>
          <w:szCs w:val="28"/>
          <w:highlight w:val="none"/>
          <w:lang w:val="zh-CN" w:bidi="zh-CN"/>
        </w:rPr>
        <w:t>：</w:t>
      </w:r>
    </w:p>
    <w:p w14:paraId="671EB6CF">
      <w:pPr>
        <w:suppressAutoHyphens/>
        <w:bidi w:val="0"/>
        <w:spacing w:line="360" w:lineRule="auto"/>
        <w:ind w:left="476" w:leftChars="170" w:firstLine="0" w:firstLineChars="0"/>
        <w:rPr>
          <w:rFonts w:hint="eastAsia" w:ascii="宋体" w:hAnsi="宋体" w:eastAsia="宋体" w:cs="宋体"/>
          <w:color w:val="auto"/>
          <w:sz w:val="28"/>
          <w:szCs w:val="28"/>
          <w:highlight w:val="none"/>
          <w:lang w:val="zh-CN" w:bidi="zh-CN"/>
        </w:rPr>
      </w:pPr>
      <w:r>
        <w:rPr>
          <w:rFonts w:hint="eastAsia" w:ascii="宋体" w:hAnsi="宋体" w:eastAsia="宋体" w:cs="宋体"/>
          <w:color w:val="auto"/>
          <w:sz w:val="28"/>
          <w:szCs w:val="28"/>
          <w:highlight w:val="none"/>
          <w:lang w:val="zh-CN" w:bidi="zh-CN"/>
        </w:rPr>
        <w:t>法定代表人：</w:t>
      </w:r>
    </w:p>
    <w:p w14:paraId="5A0C796F">
      <w:pPr>
        <w:suppressAutoHyphens/>
        <w:bidi w:val="0"/>
        <w:spacing w:line="360" w:lineRule="auto"/>
        <w:ind w:left="476" w:leftChars="170" w:firstLine="0" w:firstLineChars="0"/>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val="zh-CN" w:bidi="zh-CN"/>
        </w:rPr>
        <w:t>地址：</w:t>
      </w:r>
      <w:r>
        <w:rPr>
          <w:rFonts w:hint="eastAsia" w:ascii="宋体" w:hAnsi="宋体" w:eastAsia="宋体" w:cs="宋体"/>
          <w:color w:val="auto"/>
          <w:sz w:val="28"/>
          <w:szCs w:val="28"/>
          <w:highlight w:val="none"/>
          <w:lang w:val="en-US" w:bidi="zh-CN"/>
        </w:rPr>
        <w:t xml:space="preserve"> </w:t>
      </w:r>
    </w:p>
    <w:p w14:paraId="0A0D2C83">
      <w:pPr>
        <w:keepNext w:val="0"/>
        <w:keepLines w:val="0"/>
        <w:pageBreakBefore w:val="0"/>
        <w:suppressAutoHyphens/>
        <w:kinsoku/>
        <w:wordWrap/>
        <w:overflowPunct/>
        <w:topLinePunct w:val="0"/>
        <w:autoSpaceDE/>
        <w:autoSpaceDN/>
        <w:bidi w:val="0"/>
        <w:adjustRightInd/>
        <w:snapToGrid/>
        <w:spacing w:line="360" w:lineRule="auto"/>
        <w:ind w:firstLine="560" w:firstLineChars="200"/>
        <w:rPr>
          <w:rFonts w:hint="eastAsia" w:ascii="宋体" w:hAnsi="宋体" w:eastAsia="宋体" w:cs="宋体"/>
          <w:color w:val="auto"/>
          <w:sz w:val="28"/>
          <w:szCs w:val="28"/>
          <w:highlight w:val="none"/>
          <w:lang w:val="en-US" w:bidi="zh-CN"/>
        </w:rPr>
      </w:pPr>
      <w:r>
        <w:rPr>
          <w:rFonts w:hint="eastAsia" w:ascii="宋体" w:hAnsi="宋体" w:eastAsia="宋体" w:cs="宋体"/>
          <w:color w:val="auto"/>
          <w:sz w:val="28"/>
          <w:szCs w:val="28"/>
          <w:highlight w:val="none"/>
          <w:lang w:val="zh-CN" w:bidi="zh-CN"/>
        </w:rPr>
        <w:t xml:space="preserve">联系人及联系方式： </w:t>
      </w:r>
      <w:r>
        <w:rPr>
          <w:rFonts w:hint="eastAsia" w:ascii="宋体" w:hAnsi="宋体" w:eastAsia="宋体" w:cs="宋体"/>
          <w:color w:val="auto"/>
          <w:sz w:val="28"/>
          <w:szCs w:val="28"/>
          <w:highlight w:val="none"/>
          <w:lang w:val="en-US" w:bidi="zh-CN"/>
        </w:rPr>
        <w:t xml:space="preserve"> </w:t>
      </w:r>
    </w:p>
    <w:p w14:paraId="26B07E42">
      <w:pPr>
        <w:keepNext w:val="0"/>
        <w:keepLines w:val="0"/>
        <w:pageBreakBefore w:val="0"/>
        <w:suppressAutoHyphens/>
        <w:kinsoku/>
        <w:wordWrap/>
        <w:overflowPunct/>
        <w:topLinePunct w:val="0"/>
        <w:autoSpaceDE/>
        <w:autoSpaceDN/>
        <w:bidi w:val="0"/>
        <w:adjustRightInd/>
        <w:snapToGrid/>
        <w:spacing w:line="360" w:lineRule="auto"/>
        <w:ind w:firstLine="560" w:firstLineChars="200"/>
        <w:rPr>
          <w:rFonts w:hint="eastAsia" w:ascii="宋体" w:hAnsi="宋体" w:eastAsia="宋体" w:cs="宋体"/>
          <w:color w:val="auto"/>
          <w:sz w:val="28"/>
          <w:szCs w:val="28"/>
          <w:highlight w:val="none"/>
          <w:lang w:val="zh-CN" w:bidi="zh-CN"/>
        </w:rPr>
      </w:pPr>
    </w:p>
    <w:p w14:paraId="72F3E876">
      <w:pPr>
        <w:suppressAutoHyphens/>
        <w:bidi w:val="0"/>
        <w:spacing w:line="360" w:lineRule="auto"/>
        <w:ind w:left="476" w:leftChars="170" w:firstLine="0" w:firstLineChars="0"/>
        <w:rPr>
          <w:rFonts w:hint="eastAsia" w:ascii="宋体" w:hAnsi="宋体" w:eastAsia="宋体" w:cs="宋体"/>
          <w:b w:val="0"/>
          <w:bCs w:val="0"/>
          <w:color w:val="auto"/>
          <w:sz w:val="28"/>
          <w:szCs w:val="28"/>
          <w:highlight w:val="none"/>
          <w:lang w:val="zh-CN" w:bidi="zh-CN"/>
        </w:rPr>
      </w:pPr>
      <w:r>
        <w:rPr>
          <w:rFonts w:hint="eastAsia" w:ascii="宋体" w:hAnsi="宋体" w:eastAsia="宋体" w:cs="宋体"/>
          <w:b w:val="0"/>
          <w:bCs w:val="0"/>
          <w:color w:val="auto"/>
          <w:sz w:val="28"/>
          <w:szCs w:val="28"/>
          <w:highlight w:val="none"/>
          <w:lang w:val="zh-CN" w:bidi="zh-CN"/>
        </w:rPr>
        <w:t>乙方</w:t>
      </w:r>
      <w:r>
        <w:rPr>
          <w:rFonts w:hint="eastAsia" w:ascii="宋体" w:hAnsi="宋体" w:eastAsia="宋体" w:cs="宋体"/>
          <w:b w:val="0"/>
          <w:bCs w:val="0"/>
          <w:color w:val="auto"/>
          <w:sz w:val="28"/>
          <w:szCs w:val="28"/>
          <w:highlight w:val="none"/>
          <w:lang w:val="en-US" w:bidi="zh-CN"/>
        </w:rPr>
        <w:t>（入围供应商）</w:t>
      </w:r>
      <w:r>
        <w:rPr>
          <w:rFonts w:hint="eastAsia" w:ascii="宋体" w:hAnsi="宋体" w:eastAsia="宋体" w:cs="宋体"/>
          <w:b w:val="0"/>
          <w:bCs w:val="0"/>
          <w:color w:val="auto"/>
          <w:sz w:val="28"/>
          <w:szCs w:val="28"/>
          <w:highlight w:val="none"/>
          <w:lang w:val="zh-CN" w:bidi="zh-CN"/>
        </w:rPr>
        <w:t>：</w:t>
      </w:r>
    </w:p>
    <w:p w14:paraId="15B013EF">
      <w:pPr>
        <w:suppressAutoHyphens/>
        <w:bidi w:val="0"/>
        <w:spacing w:line="360" w:lineRule="auto"/>
        <w:ind w:left="476" w:leftChars="170" w:firstLine="0" w:firstLineChars="0"/>
        <w:rPr>
          <w:rFonts w:hint="eastAsia" w:ascii="宋体" w:hAnsi="宋体" w:eastAsia="宋体" w:cs="宋体"/>
          <w:b w:val="0"/>
          <w:bCs w:val="0"/>
          <w:color w:val="auto"/>
          <w:sz w:val="28"/>
          <w:szCs w:val="28"/>
          <w:highlight w:val="none"/>
          <w:lang w:val="zh-CN" w:bidi="zh-CN"/>
        </w:rPr>
      </w:pPr>
      <w:r>
        <w:rPr>
          <w:rFonts w:hint="eastAsia" w:ascii="宋体" w:hAnsi="宋体" w:eastAsia="宋体" w:cs="宋体"/>
          <w:b w:val="0"/>
          <w:bCs w:val="0"/>
          <w:color w:val="auto"/>
          <w:sz w:val="28"/>
          <w:szCs w:val="28"/>
          <w:highlight w:val="none"/>
          <w:lang w:val="zh-CN" w:bidi="zh-CN"/>
        </w:rPr>
        <w:t>法定代表人：</w:t>
      </w:r>
    </w:p>
    <w:p w14:paraId="373AA0E0">
      <w:pPr>
        <w:suppressAutoHyphens/>
        <w:bidi w:val="0"/>
        <w:spacing w:line="360" w:lineRule="auto"/>
        <w:ind w:left="476" w:leftChars="170" w:firstLine="0" w:firstLineChars="0"/>
        <w:rPr>
          <w:rFonts w:hint="eastAsia" w:ascii="宋体" w:hAnsi="宋体" w:eastAsia="宋体" w:cs="宋体"/>
          <w:b w:val="0"/>
          <w:bCs w:val="0"/>
          <w:color w:val="auto"/>
          <w:sz w:val="28"/>
          <w:szCs w:val="28"/>
          <w:highlight w:val="none"/>
          <w:lang w:val="zh-CN" w:bidi="zh-CN"/>
        </w:rPr>
      </w:pPr>
      <w:r>
        <w:rPr>
          <w:rFonts w:hint="eastAsia" w:ascii="宋体" w:hAnsi="宋体" w:eastAsia="宋体" w:cs="宋体"/>
          <w:b w:val="0"/>
          <w:bCs w:val="0"/>
          <w:color w:val="auto"/>
          <w:sz w:val="28"/>
          <w:szCs w:val="28"/>
          <w:highlight w:val="none"/>
          <w:lang w:val="zh-CN" w:bidi="zh-CN"/>
        </w:rPr>
        <w:t>地址：</w:t>
      </w:r>
    </w:p>
    <w:p w14:paraId="1C3763AD">
      <w:pPr>
        <w:keepNext w:val="0"/>
        <w:keepLines w:val="0"/>
        <w:pageBreakBefore w:val="0"/>
        <w:suppressAutoHyphens/>
        <w:kinsoku/>
        <w:wordWrap/>
        <w:overflowPunct/>
        <w:topLinePunct w:val="0"/>
        <w:autoSpaceDE/>
        <w:autoSpaceDN/>
        <w:bidi w:val="0"/>
        <w:adjustRightInd/>
        <w:snapToGrid/>
        <w:spacing w:line="360" w:lineRule="auto"/>
        <w:ind w:left="238" w:leftChars="85" w:firstLine="280" w:firstLineChars="100"/>
        <w:rPr>
          <w:rFonts w:hint="eastAsia" w:ascii="宋体" w:hAnsi="宋体" w:eastAsia="宋体" w:cs="宋体"/>
          <w:b w:val="0"/>
          <w:bCs w:val="0"/>
          <w:color w:val="auto"/>
          <w:sz w:val="28"/>
          <w:szCs w:val="28"/>
          <w:highlight w:val="none"/>
          <w:lang w:val="en-US" w:eastAsia="zh-CN" w:bidi="zh-CN"/>
        </w:rPr>
      </w:pPr>
      <w:r>
        <w:rPr>
          <w:rFonts w:hint="eastAsia" w:ascii="宋体" w:hAnsi="宋体" w:eastAsia="宋体" w:cs="宋体"/>
          <w:b w:val="0"/>
          <w:bCs w:val="0"/>
          <w:color w:val="auto"/>
          <w:sz w:val="28"/>
          <w:szCs w:val="28"/>
          <w:highlight w:val="none"/>
          <w:lang w:val="zh-CN" w:bidi="zh-CN"/>
        </w:rPr>
        <w:t>联系人及联系方式：</w:t>
      </w:r>
      <w:r>
        <w:rPr>
          <w:rFonts w:hint="eastAsia" w:ascii="宋体" w:hAnsi="宋体" w:eastAsia="宋体" w:cs="宋体"/>
          <w:b w:val="0"/>
          <w:bCs w:val="0"/>
          <w:color w:val="auto"/>
          <w:sz w:val="28"/>
          <w:szCs w:val="28"/>
          <w:highlight w:val="none"/>
          <w:lang w:val="en-US" w:eastAsia="zh-CN" w:bidi="zh-CN"/>
        </w:rPr>
        <w:t xml:space="preserve"> </w:t>
      </w:r>
    </w:p>
    <w:p w14:paraId="4577DEDC">
      <w:pPr>
        <w:keepNext w:val="0"/>
        <w:keepLines w:val="0"/>
        <w:pageBreakBefore w:val="0"/>
        <w:suppressAutoHyphens/>
        <w:kinsoku/>
        <w:wordWrap/>
        <w:overflowPunct/>
        <w:topLinePunct w:val="0"/>
        <w:autoSpaceDE/>
        <w:autoSpaceDN/>
        <w:bidi w:val="0"/>
        <w:adjustRightInd/>
        <w:snapToGrid/>
        <w:spacing w:line="360" w:lineRule="auto"/>
        <w:ind w:left="238" w:leftChars="85" w:firstLine="280" w:firstLineChars="1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val="zh-CN" w:bidi="zh-CN"/>
        </w:rPr>
        <w:t>（上述“甲方”和“乙方”以下合称为“双方”）</w:t>
      </w:r>
    </w:p>
    <w:p w14:paraId="50980EDE">
      <w:pPr>
        <w:keepNext w:val="0"/>
        <w:keepLines w:val="0"/>
        <w:pageBreakBefore w:val="0"/>
        <w:suppressAutoHyphens/>
        <w:kinsoku/>
        <w:wordWrap/>
        <w:overflowPunct/>
        <w:topLinePunct w:val="0"/>
        <w:autoSpaceDE/>
        <w:autoSpaceDN/>
        <w:bidi w:val="0"/>
        <w:adjustRightInd/>
        <w:snapToGrid/>
        <w:spacing w:line="360" w:lineRule="auto"/>
        <w:ind w:firstLine="560" w:firstLineChars="200"/>
        <w:rPr>
          <w:rFonts w:hint="eastAsia" w:ascii="宋体" w:hAnsi="宋体" w:eastAsia="宋体" w:cs="宋体"/>
          <w:color w:val="auto"/>
          <w:sz w:val="28"/>
          <w:szCs w:val="28"/>
          <w:highlight w:val="none"/>
        </w:rPr>
      </w:pPr>
    </w:p>
    <w:p w14:paraId="41741E18">
      <w:pPr>
        <w:keepNext w:val="0"/>
        <w:keepLines w:val="0"/>
        <w:pageBreakBefore w:val="0"/>
        <w:suppressAutoHyphens/>
        <w:kinsoku/>
        <w:wordWrap/>
        <w:overflowPunct/>
        <w:topLinePunct w:val="0"/>
        <w:autoSpaceDE/>
        <w:autoSpaceDN/>
        <w:bidi w:val="0"/>
        <w:adjustRightInd/>
        <w:snapToGrid/>
        <w:spacing w:line="360" w:lineRule="auto"/>
        <w:ind w:firstLine="560" w:firstLineChars="200"/>
        <w:rPr>
          <w:rFonts w:hint="eastAsia" w:ascii="宋体" w:hAnsi="宋体" w:eastAsia="宋体" w:cs="宋体"/>
          <w:b/>
          <w:bCs/>
          <w:color w:val="auto"/>
          <w:sz w:val="28"/>
          <w:szCs w:val="28"/>
          <w:highlight w:val="none"/>
          <w:lang w:val="zh-CN" w:bidi="zh-CN"/>
        </w:rPr>
      </w:pPr>
      <w:r>
        <w:rPr>
          <w:rFonts w:hint="eastAsia" w:ascii="宋体" w:hAnsi="宋体" w:eastAsia="宋体" w:cs="宋体"/>
          <w:color w:val="auto"/>
          <w:kern w:val="2"/>
          <w:sz w:val="28"/>
          <w:szCs w:val="28"/>
          <w:highlight w:val="none"/>
        </w:rPr>
        <w:t>甲方根据《中华人民共和国政府采购法》《中华人民共和国政府采购法实施条例》《政府采购框架协议采购方式管理暂行办法》等法律法规及规章组织实施了</w:t>
      </w:r>
      <w:r>
        <w:rPr>
          <w:rFonts w:hint="eastAsia" w:ascii="宋体" w:hAnsi="宋体" w:cs="宋体"/>
          <w:color w:val="auto"/>
          <w:kern w:val="2"/>
          <w:sz w:val="28"/>
          <w:szCs w:val="28"/>
          <w:highlight w:val="none"/>
          <w:lang w:val="en-US" w:eastAsia="zh-CN"/>
        </w:rPr>
        <w:t>2026年大宗触控一体机采购</w:t>
      </w:r>
      <w:r>
        <w:rPr>
          <w:rFonts w:hint="eastAsia" w:ascii="宋体" w:hAnsi="宋体" w:eastAsia="宋体" w:cs="宋体"/>
          <w:color w:val="auto"/>
          <w:kern w:val="2"/>
          <w:sz w:val="28"/>
          <w:szCs w:val="28"/>
          <w:highlight w:val="none"/>
        </w:rPr>
        <w:t>项目（项目编号：       ）采购，乙方依法获取了征集文件等全部相关文件，在详细阅读并对其有关要求完全了解基础上参加本项目，递交了响应文件，并被依法确定为入围供应商。</w:t>
      </w:r>
      <w:r>
        <w:rPr>
          <w:rFonts w:hint="eastAsia" w:ascii="宋体" w:hAnsi="宋体" w:eastAsia="宋体" w:cs="宋体"/>
          <w:color w:val="auto"/>
          <w:sz w:val="28"/>
          <w:szCs w:val="28"/>
          <w:highlight w:val="none"/>
          <w:lang w:val="zh-CN" w:bidi="zh-CN"/>
        </w:rPr>
        <w:t>甲乙双方在友好协商的基础上，特订立本协议，以便双方共同遵守。</w:t>
      </w:r>
    </w:p>
    <w:p w14:paraId="20A7F145">
      <w:pPr>
        <w:keepNext w:val="0"/>
        <w:keepLines w:val="0"/>
        <w:widowControl w:val="0"/>
        <w:suppressLineNumbers w:val="0"/>
        <w:suppressAutoHyphens/>
        <w:autoSpaceDE w:val="0"/>
        <w:autoSpaceDN/>
        <w:spacing w:before="0" w:beforeAutospacing="0" w:after="0" w:afterAutospacing="0" w:line="360" w:lineRule="auto"/>
        <w:ind w:left="0" w:right="0" w:firstLine="562" w:firstLineChars="200"/>
        <w:jc w:val="both"/>
        <w:rPr>
          <w:rFonts w:hint="eastAsia" w:ascii="宋体" w:hAnsi="宋体" w:eastAsia="宋体" w:cs="宋体"/>
          <w:b/>
          <w:bCs w:val="0"/>
          <w:color w:val="auto"/>
          <w:kern w:val="2"/>
          <w:sz w:val="28"/>
          <w:szCs w:val="28"/>
          <w:highlight w:val="none"/>
        </w:rPr>
      </w:pPr>
      <w:r>
        <w:rPr>
          <w:rFonts w:hint="eastAsia" w:ascii="宋体" w:hAnsi="宋体" w:eastAsia="宋体" w:cs="宋体"/>
          <w:b/>
          <w:color w:val="auto"/>
          <w:sz w:val="28"/>
          <w:szCs w:val="28"/>
          <w:highlight w:val="none"/>
          <w:lang w:val="zh-CN" w:bidi="zh-CN"/>
        </w:rPr>
        <w:t>第</w:t>
      </w:r>
      <w:r>
        <w:rPr>
          <w:rFonts w:hint="eastAsia" w:ascii="宋体" w:hAnsi="宋体" w:eastAsia="宋体" w:cs="宋体"/>
          <w:b/>
          <w:color w:val="auto"/>
          <w:sz w:val="28"/>
          <w:szCs w:val="28"/>
          <w:highlight w:val="none"/>
          <w:lang w:bidi="zh-CN"/>
        </w:rPr>
        <w:t>1</w:t>
      </w:r>
      <w:r>
        <w:rPr>
          <w:rFonts w:hint="eastAsia" w:ascii="宋体" w:hAnsi="宋体" w:eastAsia="宋体" w:cs="宋体"/>
          <w:b/>
          <w:color w:val="auto"/>
          <w:sz w:val="28"/>
          <w:szCs w:val="28"/>
          <w:highlight w:val="none"/>
          <w:lang w:val="zh-CN" w:bidi="zh-CN"/>
        </w:rPr>
        <w:t>条</w:t>
      </w:r>
      <w:r>
        <w:rPr>
          <w:rFonts w:hint="eastAsia" w:ascii="宋体" w:hAnsi="宋体" w:eastAsia="宋体" w:cs="宋体"/>
          <w:b/>
          <w:color w:val="auto"/>
          <w:sz w:val="28"/>
          <w:szCs w:val="28"/>
          <w:highlight w:val="none"/>
          <w:lang w:bidi="zh-CN"/>
        </w:rPr>
        <w:t xml:space="preserve"> </w:t>
      </w:r>
      <w:r>
        <w:rPr>
          <w:rFonts w:hint="eastAsia" w:ascii="宋体" w:hAnsi="宋体" w:eastAsia="宋体" w:cs="宋体"/>
          <w:b/>
          <w:bCs w:val="0"/>
          <w:color w:val="auto"/>
          <w:kern w:val="2"/>
          <w:sz w:val="28"/>
          <w:szCs w:val="28"/>
          <w:highlight w:val="none"/>
          <w:lang w:val="en-US" w:eastAsia="zh-CN" w:bidi="ar"/>
        </w:rPr>
        <w:t>项目信息</w:t>
      </w:r>
    </w:p>
    <w:p w14:paraId="62F523DB">
      <w:pPr>
        <w:keepNext w:val="0"/>
        <w:keepLines w:val="0"/>
        <w:widowControl/>
        <w:suppressLineNumbers w:val="0"/>
        <w:jc w:val="left"/>
        <w:rPr>
          <w:color w:val="auto"/>
          <w:highlight w:val="none"/>
        </w:rPr>
      </w:pPr>
      <w:r>
        <w:rPr>
          <w:rFonts w:hint="default" w:ascii="宋体" w:hAnsi="宋体" w:cs="宋体"/>
          <w:color w:val="auto"/>
          <w:kern w:val="0"/>
          <w:sz w:val="28"/>
          <w:szCs w:val="28"/>
          <w:highlight w:val="none"/>
          <w:lang w:eastAsia="zh-CN" w:bidi="ar"/>
        </w:rPr>
        <w:t xml:space="preserve">    </w:t>
      </w:r>
      <w:r>
        <w:rPr>
          <w:rFonts w:hint="eastAsia" w:ascii="宋体" w:hAnsi="宋体" w:eastAsia="宋体" w:cs="宋体"/>
          <w:color w:val="auto"/>
          <w:kern w:val="0"/>
          <w:sz w:val="28"/>
          <w:szCs w:val="28"/>
          <w:highlight w:val="none"/>
          <w:lang w:val="en-US" w:eastAsia="zh-CN" w:bidi="ar"/>
        </w:rPr>
        <w:t>第一阶段的入围产品详细技术规格或者服务内容、服务标准、协议价格以征集文件和响应文件内容为准。</w:t>
      </w:r>
    </w:p>
    <w:p w14:paraId="1ECC0D89">
      <w:pPr>
        <w:keepNext w:val="0"/>
        <w:keepLines w:val="0"/>
        <w:pageBreakBefore w:val="0"/>
        <w:suppressAutoHyphens/>
        <w:kinsoku/>
        <w:wordWrap/>
        <w:overflowPunct/>
        <w:topLinePunct w:val="0"/>
        <w:autoSpaceDE/>
        <w:autoSpaceDN/>
        <w:bidi w:val="0"/>
        <w:adjustRightInd/>
        <w:snapToGrid/>
        <w:spacing w:line="360" w:lineRule="auto"/>
        <w:ind w:firstLine="562" w:firstLineChars="200"/>
        <w:rPr>
          <w:rFonts w:hint="eastAsia" w:ascii="宋体" w:hAnsi="宋体" w:eastAsia="宋体" w:cs="宋体"/>
          <w:b/>
          <w:bCs/>
          <w:color w:val="auto"/>
          <w:sz w:val="28"/>
          <w:szCs w:val="28"/>
          <w:highlight w:val="none"/>
          <w:lang w:val="zh-CN" w:bidi="zh-CN"/>
        </w:rPr>
      </w:pPr>
      <w:r>
        <w:rPr>
          <w:rFonts w:hint="eastAsia" w:ascii="宋体" w:hAnsi="宋体" w:eastAsia="宋体" w:cs="宋体"/>
          <w:b/>
          <w:bCs/>
          <w:color w:val="auto"/>
          <w:sz w:val="28"/>
          <w:szCs w:val="28"/>
          <w:highlight w:val="none"/>
          <w:lang w:val="zh-CN" w:bidi="zh-CN"/>
        </w:rPr>
        <w:t>第</w:t>
      </w:r>
      <w:r>
        <w:rPr>
          <w:rFonts w:hint="eastAsia" w:ascii="宋体" w:hAnsi="宋体" w:eastAsia="宋体" w:cs="宋体"/>
          <w:b/>
          <w:bCs/>
          <w:color w:val="auto"/>
          <w:sz w:val="28"/>
          <w:szCs w:val="28"/>
          <w:highlight w:val="none"/>
          <w:lang w:val="en-US" w:bidi="zh-CN"/>
        </w:rPr>
        <w:t>2</w:t>
      </w:r>
      <w:r>
        <w:rPr>
          <w:rFonts w:hint="eastAsia" w:ascii="宋体" w:hAnsi="宋体" w:eastAsia="宋体" w:cs="宋体"/>
          <w:b/>
          <w:bCs/>
          <w:color w:val="auto"/>
          <w:sz w:val="28"/>
          <w:szCs w:val="28"/>
          <w:highlight w:val="none"/>
          <w:lang w:val="zh-CN" w:bidi="zh-CN"/>
        </w:rPr>
        <w:t>条</w:t>
      </w:r>
      <w:r>
        <w:rPr>
          <w:rFonts w:hint="eastAsia" w:ascii="宋体" w:hAnsi="宋体" w:eastAsia="宋体" w:cs="宋体"/>
          <w:b/>
          <w:bCs/>
          <w:color w:val="auto"/>
          <w:sz w:val="28"/>
          <w:szCs w:val="28"/>
          <w:highlight w:val="none"/>
          <w:lang w:bidi="zh-CN"/>
        </w:rPr>
        <w:t xml:space="preserve"> </w:t>
      </w:r>
      <w:r>
        <w:rPr>
          <w:rFonts w:hint="eastAsia" w:ascii="宋体" w:hAnsi="宋体" w:eastAsia="宋体" w:cs="宋体"/>
          <w:b/>
          <w:bCs/>
          <w:color w:val="auto"/>
          <w:sz w:val="28"/>
          <w:szCs w:val="28"/>
          <w:highlight w:val="none"/>
          <w:lang w:val="zh-CN" w:bidi="zh-CN"/>
        </w:rPr>
        <w:t>入围产品升级换代规则：</w:t>
      </w:r>
    </w:p>
    <w:p w14:paraId="52A8E7C9">
      <w:pPr>
        <w:keepNext w:val="0"/>
        <w:keepLines w:val="0"/>
        <w:pageBreakBefore w:val="0"/>
        <w:suppressAutoHyphens/>
        <w:kinsoku/>
        <w:wordWrap/>
        <w:overflowPunct/>
        <w:topLinePunct w:val="0"/>
        <w:autoSpaceDE/>
        <w:autoSpaceDN/>
        <w:bidi w:val="0"/>
        <w:adjustRightInd/>
        <w:snapToGrid/>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lang w:val="zh-CN" w:bidi="zh-CN"/>
        </w:rPr>
        <w:t>在框架协议有效期内如遇入围产品停产，</w:t>
      </w:r>
      <w:r>
        <w:rPr>
          <w:rFonts w:hint="eastAsia" w:ascii="宋体" w:hAnsi="宋体" w:eastAsia="宋体" w:cs="宋体"/>
          <w:color w:val="auto"/>
          <w:kern w:val="0"/>
          <w:sz w:val="28"/>
          <w:szCs w:val="28"/>
          <w:highlight w:val="none"/>
          <w:lang w:val="en-US" w:bidi="zh-CN"/>
        </w:rPr>
        <w:t>乙方在</w:t>
      </w:r>
      <w:r>
        <w:rPr>
          <w:rFonts w:hint="default" w:ascii="宋体" w:hAnsi="宋体" w:cs="宋体"/>
          <w:color w:val="auto"/>
          <w:kern w:val="0"/>
          <w:sz w:val="28"/>
          <w:szCs w:val="28"/>
          <w:highlight w:val="none"/>
          <w:lang w:bidi="zh-CN"/>
        </w:rPr>
        <w:t>保证</w:t>
      </w:r>
      <w:r>
        <w:rPr>
          <w:rFonts w:hint="eastAsia" w:ascii="宋体" w:hAnsi="宋体" w:eastAsia="宋体" w:cs="宋体"/>
          <w:color w:val="auto"/>
          <w:kern w:val="0"/>
          <w:sz w:val="28"/>
          <w:szCs w:val="28"/>
          <w:highlight w:val="none"/>
          <w:lang w:val="en-US" w:bidi="zh-CN"/>
        </w:rPr>
        <w:t>性能不降低、价格不提高的前提下</w:t>
      </w:r>
      <w:r>
        <w:rPr>
          <w:rFonts w:hint="eastAsia" w:ascii="宋体" w:hAnsi="宋体" w:cs="宋体"/>
          <w:color w:val="auto"/>
          <w:kern w:val="0"/>
          <w:sz w:val="28"/>
          <w:szCs w:val="28"/>
          <w:highlight w:val="none"/>
          <w:lang w:val="en-US" w:bidi="zh-CN"/>
        </w:rPr>
        <w:t>提供</w:t>
      </w:r>
      <w:r>
        <w:rPr>
          <w:rFonts w:hint="eastAsia" w:ascii="宋体" w:hAnsi="宋体" w:eastAsia="宋体" w:cs="宋体"/>
          <w:color w:val="auto"/>
          <w:kern w:val="0"/>
          <w:sz w:val="28"/>
          <w:szCs w:val="28"/>
          <w:highlight w:val="none"/>
          <w:lang w:val="zh-CN" w:bidi="zh-CN"/>
        </w:rPr>
        <w:t>产品升级换代</w:t>
      </w:r>
      <w:r>
        <w:rPr>
          <w:rFonts w:hint="eastAsia" w:ascii="宋体" w:hAnsi="宋体" w:cs="宋体"/>
          <w:color w:val="auto"/>
          <w:kern w:val="0"/>
          <w:sz w:val="28"/>
          <w:szCs w:val="28"/>
          <w:highlight w:val="none"/>
          <w:lang w:val="en-US" w:bidi="zh-CN"/>
        </w:rPr>
        <w:t>方案</w:t>
      </w:r>
      <w:r>
        <w:rPr>
          <w:rFonts w:hint="eastAsia" w:ascii="宋体" w:hAnsi="宋体" w:eastAsia="宋体" w:cs="宋体"/>
          <w:color w:val="auto"/>
          <w:kern w:val="0"/>
          <w:sz w:val="28"/>
          <w:szCs w:val="28"/>
          <w:highlight w:val="none"/>
          <w:lang w:val="zh-CN" w:bidi="zh-CN"/>
        </w:rPr>
        <w:t>，升级</w:t>
      </w:r>
      <w:r>
        <w:rPr>
          <w:rFonts w:hint="eastAsia" w:ascii="宋体" w:hAnsi="宋体" w:cs="宋体"/>
          <w:color w:val="auto"/>
          <w:kern w:val="0"/>
          <w:sz w:val="28"/>
          <w:szCs w:val="28"/>
          <w:highlight w:val="none"/>
          <w:lang w:val="en-US" w:bidi="zh-CN"/>
        </w:rPr>
        <w:t>换代</w:t>
      </w:r>
      <w:r>
        <w:rPr>
          <w:rFonts w:hint="eastAsia" w:ascii="宋体" w:hAnsi="宋体" w:eastAsia="宋体" w:cs="宋体"/>
          <w:color w:val="auto"/>
          <w:kern w:val="0"/>
          <w:sz w:val="28"/>
          <w:szCs w:val="28"/>
          <w:highlight w:val="none"/>
          <w:lang w:val="zh-CN" w:bidi="zh-CN"/>
        </w:rPr>
        <w:t>产品</w:t>
      </w:r>
      <w:r>
        <w:rPr>
          <w:rFonts w:hint="eastAsia" w:ascii="宋体" w:hAnsi="宋体" w:cs="宋体"/>
          <w:color w:val="auto"/>
          <w:kern w:val="0"/>
          <w:sz w:val="28"/>
          <w:szCs w:val="28"/>
          <w:highlight w:val="none"/>
          <w:lang w:val="en-US" w:bidi="zh-CN"/>
        </w:rPr>
        <w:t>应满足</w:t>
      </w:r>
      <w:r>
        <w:rPr>
          <w:rFonts w:hint="eastAsia" w:ascii="宋体" w:hAnsi="宋体" w:eastAsia="宋体" w:cs="宋体"/>
          <w:bCs/>
          <w:color w:val="auto"/>
          <w:sz w:val="28"/>
          <w:szCs w:val="28"/>
          <w:highlight w:val="none"/>
        </w:rPr>
        <w:t>★</w:t>
      </w:r>
      <w:r>
        <w:rPr>
          <w:rFonts w:hint="eastAsia" w:ascii="宋体" w:hAnsi="宋体" w:eastAsia="宋体" w:cs="宋体"/>
          <w:color w:val="auto"/>
          <w:kern w:val="0"/>
          <w:sz w:val="28"/>
          <w:szCs w:val="28"/>
          <w:highlight w:val="none"/>
          <w:lang w:val="zh-CN" w:bidi="zh-CN"/>
        </w:rPr>
        <w:t>号条款的主要技术参数</w:t>
      </w:r>
      <w:r>
        <w:rPr>
          <w:rFonts w:hint="eastAsia" w:ascii="宋体" w:hAnsi="宋体" w:cs="宋体"/>
          <w:color w:val="auto"/>
          <w:kern w:val="0"/>
          <w:sz w:val="28"/>
          <w:szCs w:val="28"/>
          <w:highlight w:val="none"/>
          <w:lang w:val="en-US" w:bidi="zh-CN"/>
        </w:rPr>
        <w:t>要求</w:t>
      </w:r>
      <w:r>
        <w:rPr>
          <w:rFonts w:hint="eastAsia" w:ascii="宋体" w:hAnsi="宋体" w:eastAsia="宋体" w:cs="宋体"/>
          <w:color w:val="auto"/>
          <w:kern w:val="0"/>
          <w:sz w:val="28"/>
          <w:szCs w:val="28"/>
          <w:highlight w:val="none"/>
          <w:lang w:val="zh-CN" w:bidi="zh-CN"/>
        </w:rPr>
        <w:t>。</w:t>
      </w:r>
    </w:p>
    <w:p w14:paraId="081F5AC9">
      <w:pPr>
        <w:keepNext w:val="0"/>
        <w:keepLines w:val="0"/>
        <w:pageBreakBefore w:val="0"/>
        <w:suppressAutoHyphens/>
        <w:kinsoku/>
        <w:wordWrap/>
        <w:overflowPunct/>
        <w:topLinePunct w:val="0"/>
        <w:autoSpaceDE/>
        <w:autoSpaceDN/>
        <w:bidi w:val="0"/>
        <w:adjustRightInd/>
        <w:snapToGrid/>
        <w:spacing w:line="360" w:lineRule="auto"/>
        <w:ind w:firstLine="562" w:firstLineChars="200"/>
        <w:rPr>
          <w:rFonts w:hint="eastAsia" w:ascii="宋体" w:hAnsi="宋体" w:eastAsia="宋体" w:cs="宋体"/>
          <w:color w:val="auto"/>
          <w:kern w:val="0"/>
          <w:sz w:val="28"/>
          <w:szCs w:val="28"/>
          <w:highlight w:val="none"/>
          <w:u w:val="single"/>
          <w:lang w:val="zh-CN" w:bidi="zh-CN"/>
        </w:rPr>
      </w:pPr>
      <w:r>
        <w:rPr>
          <w:rFonts w:hint="eastAsia" w:ascii="宋体" w:hAnsi="宋体" w:eastAsia="宋体" w:cs="宋体"/>
          <w:b/>
          <w:bCs/>
          <w:color w:val="auto"/>
          <w:sz w:val="28"/>
          <w:szCs w:val="28"/>
          <w:highlight w:val="none"/>
          <w:lang w:val="zh-CN" w:bidi="zh-CN"/>
        </w:rPr>
        <w:t>第</w:t>
      </w:r>
      <w:r>
        <w:rPr>
          <w:rFonts w:hint="eastAsia" w:ascii="宋体" w:hAnsi="宋体" w:eastAsia="宋体" w:cs="宋体"/>
          <w:b/>
          <w:bCs/>
          <w:color w:val="auto"/>
          <w:sz w:val="28"/>
          <w:szCs w:val="28"/>
          <w:highlight w:val="none"/>
          <w:lang w:val="en-US" w:bidi="zh-CN"/>
        </w:rPr>
        <w:t>3</w:t>
      </w:r>
      <w:r>
        <w:rPr>
          <w:rFonts w:hint="eastAsia" w:ascii="宋体" w:hAnsi="宋体" w:eastAsia="宋体" w:cs="宋体"/>
          <w:b/>
          <w:bCs/>
          <w:color w:val="auto"/>
          <w:sz w:val="28"/>
          <w:szCs w:val="28"/>
          <w:highlight w:val="none"/>
          <w:lang w:bidi="zh-CN"/>
        </w:rPr>
        <w:t>条 确定第二阶段</w:t>
      </w:r>
      <w:r>
        <w:rPr>
          <w:rFonts w:hint="eastAsia" w:ascii="宋体" w:hAnsi="宋体" w:eastAsia="宋体" w:cs="宋体"/>
          <w:b/>
          <w:bCs/>
          <w:color w:val="auto"/>
          <w:sz w:val="28"/>
          <w:szCs w:val="28"/>
          <w:highlight w:val="none"/>
          <w:lang w:val="en-US" w:bidi="zh-CN"/>
        </w:rPr>
        <w:t>成交</w:t>
      </w:r>
      <w:r>
        <w:rPr>
          <w:rFonts w:hint="eastAsia" w:ascii="宋体" w:hAnsi="宋体" w:eastAsia="宋体" w:cs="宋体"/>
          <w:b/>
          <w:bCs/>
          <w:color w:val="auto"/>
          <w:sz w:val="28"/>
          <w:szCs w:val="28"/>
          <w:highlight w:val="none"/>
          <w:lang w:bidi="zh-CN"/>
        </w:rPr>
        <w:t>供应商的方式：</w:t>
      </w:r>
    </w:p>
    <w:p w14:paraId="11D98FFF">
      <w:pPr>
        <w:keepNext w:val="0"/>
        <w:keepLines w:val="0"/>
        <w:pageBreakBefore w:val="0"/>
        <w:suppressAutoHyphens/>
        <w:kinsoku/>
        <w:wordWrap/>
        <w:overflowPunct/>
        <w:topLinePunct w:val="0"/>
        <w:autoSpaceDE/>
        <w:autoSpaceDN/>
        <w:bidi w:val="0"/>
        <w:adjustRightInd/>
        <w:snapToGrid/>
        <w:spacing w:line="360" w:lineRule="auto"/>
        <w:ind w:firstLine="560" w:firstLineChars="200"/>
        <w:rPr>
          <w:rFonts w:hint="eastAsia" w:ascii="宋体" w:hAnsi="宋体" w:eastAsia="宋体" w:cs="宋体"/>
          <w:color w:val="auto"/>
          <w:kern w:val="0"/>
          <w:sz w:val="28"/>
          <w:szCs w:val="28"/>
          <w:highlight w:val="none"/>
          <w:lang w:val="zh-CN" w:bidi="zh-CN"/>
        </w:rPr>
      </w:pPr>
      <w:r>
        <w:rPr>
          <w:rFonts w:hint="eastAsia" w:ascii="宋体" w:hAnsi="宋体" w:eastAsia="宋体" w:cs="宋体"/>
          <w:color w:val="auto"/>
          <w:kern w:val="0"/>
          <w:sz w:val="28"/>
          <w:szCs w:val="28"/>
          <w:highlight w:val="none"/>
          <w:lang w:val="en-US" w:bidi="zh-CN"/>
        </w:rPr>
        <w:t>3.1确定第二阶段</w:t>
      </w:r>
      <w:r>
        <w:rPr>
          <w:rFonts w:hint="eastAsia" w:ascii="宋体" w:hAnsi="宋体" w:eastAsia="宋体" w:cs="宋体"/>
          <w:b/>
          <w:bCs/>
          <w:color w:val="auto"/>
          <w:sz w:val="28"/>
          <w:szCs w:val="28"/>
          <w:highlight w:val="none"/>
          <w:lang w:val="en-US" w:bidi="zh-CN"/>
        </w:rPr>
        <w:t>成交</w:t>
      </w:r>
      <w:r>
        <w:rPr>
          <w:rFonts w:hint="eastAsia" w:ascii="宋体" w:hAnsi="宋体" w:eastAsia="宋体" w:cs="宋体"/>
          <w:color w:val="auto"/>
          <w:kern w:val="0"/>
          <w:sz w:val="28"/>
          <w:szCs w:val="28"/>
          <w:highlight w:val="none"/>
          <w:lang w:val="en-US" w:bidi="zh-CN"/>
        </w:rPr>
        <w:t>供应商的方式：直接选定</w:t>
      </w:r>
      <w:r>
        <w:rPr>
          <w:rFonts w:hint="eastAsia" w:ascii="宋体" w:hAnsi="宋体" w:eastAsia="宋体" w:cs="宋体"/>
          <w:color w:val="auto"/>
          <w:kern w:val="0"/>
          <w:sz w:val="28"/>
          <w:szCs w:val="28"/>
          <w:highlight w:val="none"/>
          <w:lang w:val="zh-CN" w:bidi="zh-CN"/>
        </w:rPr>
        <w:t>。</w:t>
      </w:r>
    </w:p>
    <w:p w14:paraId="1FBD0C86">
      <w:pPr>
        <w:keepNext w:val="0"/>
        <w:keepLines w:val="0"/>
        <w:pageBreakBefore w:val="0"/>
        <w:widowControl w:val="0"/>
        <w:numPr>
          <w:ilvl w:val="0"/>
          <w:numId w:val="0"/>
        </w:numPr>
        <w:suppressAutoHyphens/>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highlight w:val="none"/>
          <w:u w:val="single"/>
        </w:rPr>
      </w:pPr>
      <w:r>
        <w:rPr>
          <w:rFonts w:hint="eastAsia" w:ascii="宋体" w:hAnsi="宋体" w:eastAsia="宋体" w:cs="宋体"/>
          <w:color w:val="auto"/>
          <w:kern w:val="0"/>
          <w:sz w:val="28"/>
          <w:szCs w:val="28"/>
          <w:highlight w:val="none"/>
          <w:lang w:val="en-US" w:bidi="zh-CN"/>
        </w:rPr>
        <w:t>3.2</w:t>
      </w:r>
      <w:r>
        <w:rPr>
          <w:rFonts w:hint="eastAsia" w:ascii="宋体" w:hAnsi="宋体" w:eastAsia="宋体" w:cs="宋体"/>
          <w:color w:val="auto"/>
          <w:kern w:val="0"/>
          <w:sz w:val="28"/>
          <w:szCs w:val="28"/>
          <w:highlight w:val="none"/>
          <w:lang w:bidi="zh-CN"/>
        </w:rPr>
        <w:t>甲方在第二阶段向乙方</w:t>
      </w:r>
      <w:r>
        <w:rPr>
          <w:rFonts w:hint="eastAsia" w:ascii="宋体" w:hAnsi="宋体" w:eastAsia="宋体" w:cs="宋体"/>
          <w:color w:val="auto"/>
          <w:kern w:val="0"/>
          <w:sz w:val="28"/>
          <w:szCs w:val="28"/>
          <w:highlight w:val="none"/>
          <w:lang w:val="en-US" w:bidi="zh-CN"/>
        </w:rPr>
        <w:t>或乙方委托的一家代理商</w:t>
      </w:r>
      <w:r>
        <w:rPr>
          <w:rFonts w:hint="eastAsia" w:ascii="宋体" w:hAnsi="宋体" w:eastAsia="宋体" w:cs="宋体"/>
          <w:color w:val="auto"/>
          <w:kern w:val="0"/>
          <w:sz w:val="28"/>
          <w:szCs w:val="28"/>
          <w:highlight w:val="none"/>
          <w:lang w:bidi="zh-CN"/>
        </w:rPr>
        <w:t>授予采购合同，在框架协议有效期内</w:t>
      </w:r>
      <w:r>
        <w:rPr>
          <w:rFonts w:hint="eastAsia" w:ascii="宋体" w:hAnsi="宋体" w:eastAsia="宋体" w:cs="宋体"/>
          <w:color w:val="auto"/>
          <w:kern w:val="0"/>
          <w:sz w:val="28"/>
          <w:szCs w:val="28"/>
          <w:highlight w:val="none"/>
          <w:lang w:val="en-US" w:eastAsia="zh-CN" w:bidi="zh-CN"/>
        </w:rPr>
        <w:t>委托的代理商名单</w:t>
      </w:r>
      <w:r>
        <w:rPr>
          <w:rFonts w:hint="eastAsia" w:ascii="宋体" w:hAnsi="宋体" w:eastAsia="宋体" w:cs="宋体"/>
          <w:color w:val="auto"/>
          <w:kern w:val="0"/>
          <w:sz w:val="28"/>
          <w:szCs w:val="28"/>
          <w:highlight w:val="none"/>
          <w:lang w:val="en-US" w:bidi="zh-CN"/>
        </w:rPr>
        <w:t>不允许</w:t>
      </w:r>
      <w:r>
        <w:rPr>
          <w:rFonts w:hint="eastAsia" w:ascii="宋体" w:hAnsi="宋体" w:eastAsia="宋体" w:cs="宋体"/>
          <w:color w:val="auto"/>
          <w:kern w:val="0"/>
          <w:sz w:val="28"/>
          <w:szCs w:val="28"/>
          <w:highlight w:val="none"/>
          <w:lang w:bidi="zh-CN"/>
        </w:rPr>
        <w:t>变更。</w:t>
      </w:r>
      <w:r>
        <w:rPr>
          <w:rFonts w:hint="eastAsia" w:ascii="宋体" w:hAnsi="宋体" w:eastAsia="宋体" w:cs="宋体"/>
          <w:color w:val="auto"/>
          <w:kern w:val="0"/>
          <w:sz w:val="28"/>
          <w:szCs w:val="28"/>
          <w:highlight w:val="none"/>
          <w:lang w:val="en-US" w:eastAsia="zh-CN" w:bidi="zh-CN"/>
        </w:rPr>
        <w:t>授权代理商（如有）在采购合同签订及执行期间，如违反或不执行采购合同约定，乙方需履行采购合同约定，并与其授权代理商共同承担甲方的损失。在签订框架</w:t>
      </w:r>
      <w:r>
        <w:rPr>
          <w:rFonts w:hint="default" w:ascii="宋体" w:hAnsi="宋体" w:cs="宋体"/>
          <w:color w:val="auto"/>
          <w:kern w:val="0"/>
          <w:sz w:val="28"/>
          <w:szCs w:val="28"/>
          <w:highlight w:val="none"/>
          <w:lang w:eastAsia="zh-CN" w:bidi="zh-CN"/>
        </w:rPr>
        <w:t>协议</w:t>
      </w:r>
      <w:r>
        <w:rPr>
          <w:rFonts w:hint="eastAsia" w:ascii="宋体" w:hAnsi="宋体" w:eastAsia="宋体" w:cs="宋体"/>
          <w:color w:val="auto"/>
          <w:kern w:val="0"/>
          <w:sz w:val="28"/>
          <w:szCs w:val="28"/>
          <w:highlight w:val="none"/>
          <w:lang w:val="en-US" w:eastAsia="zh-CN" w:bidi="zh-CN"/>
        </w:rPr>
        <w:t>之前，乙方需向甲方出具授权代理商的</w:t>
      </w:r>
      <w:r>
        <w:rPr>
          <w:rFonts w:hint="default" w:ascii="宋体" w:hAnsi="宋体" w:cs="宋体"/>
          <w:color w:val="auto"/>
          <w:kern w:val="0"/>
          <w:sz w:val="28"/>
          <w:szCs w:val="28"/>
          <w:highlight w:val="none"/>
          <w:lang w:eastAsia="zh-CN" w:bidi="zh-CN"/>
        </w:rPr>
        <w:t>相关</w:t>
      </w:r>
      <w:r>
        <w:rPr>
          <w:rFonts w:hint="eastAsia" w:ascii="宋体" w:hAnsi="宋体" w:eastAsia="宋体" w:cs="宋体"/>
          <w:color w:val="auto"/>
          <w:kern w:val="0"/>
          <w:sz w:val="28"/>
          <w:szCs w:val="28"/>
          <w:highlight w:val="none"/>
          <w:lang w:val="en-US" w:eastAsia="zh-CN" w:bidi="zh-CN"/>
        </w:rPr>
        <w:t>授权</w:t>
      </w:r>
      <w:r>
        <w:rPr>
          <w:rFonts w:hint="default" w:ascii="宋体" w:hAnsi="宋体" w:cs="宋体"/>
          <w:color w:val="auto"/>
          <w:kern w:val="0"/>
          <w:sz w:val="28"/>
          <w:szCs w:val="28"/>
          <w:highlight w:val="none"/>
          <w:lang w:eastAsia="zh-CN" w:bidi="zh-CN"/>
        </w:rPr>
        <w:t>委托书</w:t>
      </w:r>
      <w:r>
        <w:rPr>
          <w:rFonts w:hint="eastAsia" w:ascii="宋体" w:hAnsi="宋体" w:eastAsia="宋体" w:cs="宋体"/>
          <w:color w:val="auto"/>
          <w:kern w:val="0"/>
          <w:sz w:val="28"/>
          <w:szCs w:val="28"/>
          <w:highlight w:val="none"/>
          <w:lang w:val="en-US" w:eastAsia="zh-CN" w:bidi="zh-CN"/>
        </w:rPr>
        <w:t>。</w:t>
      </w:r>
    </w:p>
    <w:p w14:paraId="3DCB5130">
      <w:pPr>
        <w:keepNext w:val="0"/>
        <w:keepLines w:val="0"/>
        <w:pageBreakBefore w:val="0"/>
        <w:widowControl/>
        <w:shd w:val="clear" w:color="auto" w:fill="FFFFFF"/>
        <w:suppressAutoHyphens/>
        <w:kinsoku/>
        <w:wordWrap/>
        <w:overflowPunct/>
        <w:topLinePunct w:val="0"/>
        <w:autoSpaceDE/>
        <w:autoSpaceDN/>
        <w:bidi w:val="0"/>
        <w:adjustRightInd/>
        <w:snapToGrid/>
        <w:spacing w:line="360" w:lineRule="auto"/>
        <w:ind w:firstLine="480"/>
        <w:jc w:val="left"/>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第</w:t>
      </w:r>
      <w:r>
        <w:rPr>
          <w:rFonts w:hint="eastAsia" w:ascii="宋体" w:hAnsi="宋体" w:eastAsia="宋体" w:cs="宋体"/>
          <w:b/>
          <w:bCs/>
          <w:color w:val="auto"/>
          <w:sz w:val="28"/>
          <w:szCs w:val="28"/>
          <w:highlight w:val="none"/>
          <w:lang w:val="en-US" w:eastAsia="zh-CN"/>
        </w:rPr>
        <w:t>4</w:t>
      </w:r>
      <w:r>
        <w:rPr>
          <w:rFonts w:hint="eastAsia" w:ascii="宋体" w:hAnsi="宋体" w:eastAsia="宋体" w:cs="宋体"/>
          <w:b/>
          <w:bCs/>
          <w:color w:val="auto"/>
          <w:sz w:val="28"/>
          <w:szCs w:val="28"/>
          <w:highlight w:val="none"/>
        </w:rPr>
        <w:t>条 适用框架协议的服务对象范围，以及履行合同的地域范围：</w:t>
      </w:r>
    </w:p>
    <w:p w14:paraId="72C24BAB">
      <w:pPr>
        <w:keepNext w:val="0"/>
        <w:keepLines w:val="0"/>
        <w:pageBreakBefore w:val="0"/>
        <w:suppressAutoHyphens/>
        <w:kinsoku/>
        <w:wordWrap/>
        <w:overflowPunct/>
        <w:topLinePunct w:val="0"/>
        <w:autoSpaceDE/>
        <w:autoSpaceDN/>
        <w:bidi w:val="0"/>
        <w:adjustRightInd/>
        <w:snapToGrid/>
        <w:spacing w:line="360" w:lineRule="auto"/>
        <w:ind w:firstLine="560" w:firstLineChars="200"/>
        <w:rPr>
          <w:rFonts w:hint="eastAsia" w:ascii="宋体" w:hAnsi="宋体" w:eastAsia="宋体" w:cs="宋体"/>
          <w:color w:val="auto"/>
          <w:kern w:val="0"/>
          <w:sz w:val="28"/>
          <w:szCs w:val="28"/>
          <w:highlight w:val="none"/>
          <w:lang w:bidi="zh-CN"/>
        </w:rPr>
      </w:pPr>
      <w:r>
        <w:rPr>
          <w:rFonts w:hint="eastAsia" w:ascii="宋体" w:hAnsi="宋体" w:eastAsia="宋体" w:cs="宋体"/>
          <w:color w:val="auto"/>
          <w:kern w:val="0"/>
          <w:sz w:val="28"/>
          <w:szCs w:val="28"/>
          <w:highlight w:val="none"/>
        </w:rPr>
        <w:t>适用框架协议的</w:t>
      </w:r>
      <w:r>
        <w:rPr>
          <w:rFonts w:hint="eastAsia" w:ascii="宋体" w:hAnsi="宋体" w:eastAsia="宋体" w:cs="宋体"/>
          <w:color w:val="auto"/>
          <w:kern w:val="0"/>
          <w:sz w:val="28"/>
          <w:szCs w:val="28"/>
          <w:highlight w:val="none"/>
          <w:lang w:val="zh-CN" w:bidi="zh-CN"/>
        </w:rPr>
        <w:t>服务对象范围为厦门市行政区域内所有机关事业单位和福建省内其他终端用户。</w:t>
      </w:r>
      <w:r>
        <w:rPr>
          <w:rFonts w:hint="eastAsia" w:ascii="宋体" w:hAnsi="宋体" w:cs="宋体"/>
          <w:color w:val="auto"/>
          <w:kern w:val="0"/>
          <w:sz w:val="28"/>
          <w:szCs w:val="28"/>
          <w:highlight w:val="none"/>
          <w:lang w:val="en-US" w:bidi="zh-CN"/>
        </w:rPr>
        <w:t>合同履行地为</w:t>
      </w:r>
      <w:r>
        <w:rPr>
          <w:rFonts w:hint="eastAsia" w:ascii="宋体" w:hAnsi="宋体" w:eastAsia="宋体" w:cs="宋体"/>
          <w:color w:val="auto"/>
          <w:kern w:val="0"/>
          <w:sz w:val="28"/>
          <w:szCs w:val="28"/>
          <w:highlight w:val="none"/>
          <w:lang w:val="zh-CN" w:bidi="zh-CN"/>
        </w:rPr>
        <w:t>福建省地域范围。</w:t>
      </w:r>
    </w:p>
    <w:p w14:paraId="1069D213">
      <w:pPr>
        <w:keepNext w:val="0"/>
        <w:keepLines w:val="0"/>
        <w:pageBreakBefore w:val="0"/>
        <w:suppressAutoHyphens/>
        <w:kinsoku/>
        <w:wordWrap/>
        <w:overflowPunct/>
        <w:topLinePunct w:val="0"/>
        <w:autoSpaceDE/>
        <w:autoSpaceDN/>
        <w:bidi w:val="0"/>
        <w:adjustRightInd/>
        <w:snapToGrid/>
        <w:spacing w:line="360" w:lineRule="auto"/>
        <w:ind w:firstLine="562" w:firstLineChars="200"/>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lang w:val="zh-CN" w:bidi="zh-CN"/>
        </w:rPr>
        <w:t>第</w:t>
      </w:r>
      <w:r>
        <w:rPr>
          <w:rFonts w:hint="eastAsia" w:ascii="宋体" w:hAnsi="宋体" w:eastAsia="宋体" w:cs="宋体"/>
          <w:b/>
          <w:bCs/>
          <w:color w:val="auto"/>
          <w:sz w:val="28"/>
          <w:szCs w:val="28"/>
          <w:highlight w:val="none"/>
          <w:lang w:val="en-US" w:bidi="zh-CN"/>
        </w:rPr>
        <w:t>5</w:t>
      </w:r>
      <w:r>
        <w:rPr>
          <w:rFonts w:hint="eastAsia" w:ascii="宋体" w:hAnsi="宋体" w:eastAsia="宋体" w:cs="宋体"/>
          <w:b/>
          <w:bCs/>
          <w:color w:val="auto"/>
          <w:sz w:val="28"/>
          <w:szCs w:val="28"/>
          <w:highlight w:val="none"/>
          <w:lang w:val="zh-CN" w:bidi="zh-CN"/>
        </w:rPr>
        <w:t>条</w:t>
      </w:r>
      <w:r>
        <w:rPr>
          <w:rFonts w:hint="eastAsia" w:ascii="宋体" w:hAnsi="宋体" w:eastAsia="宋体" w:cs="宋体"/>
          <w:b/>
          <w:bCs/>
          <w:color w:val="auto"/>
          <w:sz w:val="28"/>
          <w:szCs w:val="28"/>
          <w:highlight w:val="none"/>
          <w:lang w:bidi="zh-CN"/>
        </w:rPr>
        <w:t xml:space="preserve"> </w:t>
      </w:r>
      <w:r>
        <w:rPr>
          <w:rFonts w:hint="eastAsia" w:ascii="宋体" w:hAnsi="宋体" w:eastAsia="宋体" w:cs="宋体"/>
          <w:b/>
          <w:bCs/>
          <w:color w:val="auto"/>
          <w:sz w:val="28"/>
          <w:szCs w:val="28"/>
          <w:highlight w:val="none"/>
          <w:lang w:val="zh-CN" w:bidi="zh-CN"/>
        </w:rPr>
        <w:t>履约保证金、</w:t>
      </w:r>
      <w:r>
        <w:rPr>
          <w:rFonts w:hint="eastAsia" w:ascii="宋体" w:hAnsi="宋体" w:eastAsia="宋体" w:cs="宋体"/>
          <w:b/>
          <w:bCs/>
          <w:color w:val="auto"/>
          <w:sz w:val="28"/>
          <w:szCs w:val="28"/>
          <w:highlight w:val="none"/>
        </w:rPr>
        <w:t>资金支付方式、时间和条件：</w:t>
      </w:r>
    </w:p>
    <w:p w14:paraId="169EEBB8">
      <w:pPr>
        <w:keepNext w:val="0"/>
        <w:keepLines w:val="0"/>
        <w:pageBreakBefore w:val="0"/>
        <w:widowControl/>
        <w:suppressAutoHyphens/>
        <w:kinsoku/>
        <w:wordWrap/>
        <w:overflowPunct/>
        <w:topLinePunct w:val="0"/>
        <w:autoSpaceDE/>
        <w:autoSpaceDN/>
        <w:bidi w:val="0"/>
        <w:adjustRightInd/>
        <w:snapToGrid/>
        <w:spacing w:after="0" w:line="360" w:lineRule="auto"/>
        <w:ind w:firstLine="560" w:firstLineChars="200"/>
        <w:jc w:val="both"/>
        <w:rPr>
          <w:rFonts w:hint="eastAsia" w:ascii="宋体" w:hAnsi="宋体" w:eastAsia="宋体" w:cs="宋体"/>
          <w:color w:val="auto"/>
          <w:kern w:val="0"/>
          <w:sz w:val="28"/>
          <w:szCs w:val="28"/>
          <w:highlight w:val="none"/>
          <w:lang w:val="en-US" w:eastAsia="zh-CN" w:bidi="ar-SA"/>
        </w:rPr>
      </w:pPr>
      <w:r>
        <w:rPr>
          <w:rFonts w:hint="eastAsia" w:ascii="宋体" w:hAnsi="宋体" w:eastAsia="宋体" w:cs="宋体"/>
          <w:color w:val="auto"/>
          <w:kern w:val="0"/>
          <w:sz w:val="28"/>
          <w:szCs w:val="28"/>
          <w:highlight w:val="none"/>
          <w:lang w:val="en-US" w:eastAsia="zh-CN" w:bidi="ar-SA"/>
        </w:rPr>
        <w:t>5.1乙方应在框架协议签订之日起7个日历日内以转账方式向甲方支付履约保证金，采购</w:t>
      </w:r>
      <w:r>
        <w:rPr>
          <w:rFonts w:hint="eastAsia" w:ascii="宋体" w:hAnsi="宋体" w:eastAsia="宋体" w:cs="宋体"/>
          <w:color w:val="auto"/>
          <w:kern w:val="0"/>
          <w:sz w:val="28"/>
          <w:szCs w:val="28"/>
          <w:highlight w:val="none"/>
          <w:u w:val="single"/>
          <w:lang w:val="en-US" w:eastAsia="zh-CN" w:bidi="ar-SA"/>
        </w:rPr>
        <w:t>包</w:t>
      </w:r>
      <w:r>
        <w:rPr>
          <w:rFonts w:hint="default" w:ascii="宋体" w:hAnsi="宋体" w:cs="宋体"/>
          <w:color w:val="auto"/>
          <w:kern w:val="0"/>
          <w:sz w:val="28"/>
          <w:szCs w:val="28"/>
          <w:highlight w:val="none"/>
          <w:u w:val="single"/>
          <w:lang w:eastAsia="zh-CN" w:bidi="ar-SA"/>
        </w:rPr>
        <w:t xml:space="preserve">  </w:t>
      </w:r>
      <w:r>
        <w:rPr>
          <w:rFonts w:hint="eastAsia" w:ascii="宋体" w:hAnsi="宋体" w:eastAsia="宋体" w:cs="宋体"/>
          <w:color w:val="auto"/>
          <w:kern w:val="0"/>
          <w:sz w:val="28"/>
          <w:szCs w:val="28"/>
          <w:highlight w:val="none"/>
          <w:u w:val="none"/>
          <w:lang w:val="en-US" w:eastAsia="zh-CN" w:bidi="ar-SA"/>
        </w:rPr>
        <w:t>至</w:t>
      </w:r>
      <w:r>
        <w:rPr>
          <w:rFonts w:hint="eastAsia" w:ascii="宋体" w:hAnsi="宋体" w:eastAsia="宋体" w:cs="宋体"/>
          <w:color w:val="auto"/>
          <w:kern w:val="0"/>
          <w:sz w:val="28"/>
          <w:szCs w:val="28"/>
          <w:highlight w:val="none"/>
          <w:u w:val="single"/>
          <w:lang w:val="en-US" w:eastAsia="zh-CN" w:bidi="ar-SA"/>
        </w:rPr>
        <w:t>包</w:t>
      </w:r>
      <w:r>
        <w:rPr>
          <w:rFonts w:hint="default" w:ascii="宋体" w:hAnsi="宋体" w:cs="宋体"/>
          <w:color w:val="auto"/>
          <w:kern w:val="0"/>
          <w:sz w:val="28"/>
          <w:szCs w:val="28"/>
          <w:highlight w:val="none"/>
          <w:u w:val="single"/>
          <w:lang w:eastAsia="zh-CN" w:bidi="ar-SA"/>
        </w:rPr>
        <w:t xml:space="preserve">  </w:t>
      </w:r>
      <w:r>
        <w:rPr>
          <w:rFonts w:hint="eastAsia" w:ascii="宋体" w:hAnsi="宋体" w:eastAsia="宋体" w:cs="宋体"/>
          <w:color w:val="auto"/>
          <w:kern w:val="0"/>
          <w:sz w:val="28"/>
          <w:szCs w:val="28"/>
          <w:highlight w:val="none"/>
          <w:lang w:val="en-US" w:eastAsia="zh-CN" w:bidi="ar-SA"/>
        </w:rPr>
        <w:t>的履约保证金</w:t>
      </w:r>
      <w:r>
        <w:rPr>
          <w:rFonts w:hint="eastAsia" w:ascii="宋体" w:hAnsi="宋体" w:cs="宋体"/>
          <w:color w:val="auto"/>
          <w:kern w:val="0"/>
          <w:sz w:val="28"/>
          <w:szCs w:val="28"/>
          <w:highlight w:val="none"/>
          <w:lang w:val="en-US" w:eastAsia="zh-CN" w:bidi="ar-SA"/>
        </w:rPr>
        <w:t>分别</w:t>
      </w:r>
      <w:r>
        <w:rPr>
          <w:rFonts w:hint="eastAsia" w:ascii="宋体" w:hAnsi="宋体" w:eastAsia="宋体" w:cs="宋体"/>
          <w:color w:val="auto"/>
          <w:kern w:val="0"/>
          <w:sz w:val="28"/>
          <w:szCs w:val="28"/>
          <w:highlight w:val="none"/>
          <w:lang w:val="en-US" w:eastAsia="zh-CN" w:bidi="ar-SA"/>
        </w:rPr>
        <w:t>为人民币</w:t>
      </w:r>
      <w:r>
        <w:rPr>
          <w:rFonts w:hint="default" w:ascii="宋体" w:hAnsi="宋体" w:cs="宋体"/>
          <w:color w:val="auto"/>
          <w:kern w:val="0"/>
          <w:sz w:val="28"/>
          <w:szCs w:val="28"/>
          <w:highlight w:val="none"/>
          <w:u w:val="single"/>
          <w:lang w:eastAsia="zh-CN" w:bidi="ar-SA"/>
        </w:rPr>
        <w:t xml:space="preserve">   </w:t>
      </w:r>
      <w:r>
        <w:rPr>
          <w:rFonts w:hint="eastAsia" w:ascii="宋体" w:hAnsi="宋体" w:eastAsia="宋体" w:cs="宋体"/>
          <w:color w:val="auto"/>
          <w:kern w:val="0"/>
          <w:sz w:val="28"/>
          <w:szCs w:val="28"/>
          <w:highlight w:val="none"/>
          <w:u w:val="single"/>
          <w:lang w:val="en-US" w:eastAsia="zh-CN" w:bidi="ar-SA"/>
        </w:rPr>
        <w:t>元整</w:t>
      </w:r>
      <w:r>
        <w:rPr>
          <w:rFonts w:hint="eastAsia" w:ascii="宋体" w:hAnsi="宋体" w:eastAsia="宋体" w:cs="宋体"/>
          <w:color w:val="auto"/>
          <w:kern w:val="0"/>
          <w:sz w:val="28"/>
          <w:szCs w:val="28"/>
          <w:highlight w:val="none"/>
          <w:u w:val="none"/>
          <w:lang w:val="en-US" w:eastAsia="zh-CN" w:bidi="ar-SA"/>
        </w:rPr>
        <w:t>。</w:t>
      </w:r>
      <w:r>
        <w:rPr>
          <w:rFonts w:hint="eastAsia" w:ascii="宋体" w:hAnsi="宋体" w:eastAsia="宋体" w:cs="宋体"/>
          <w:color w:val="auto"/>
          <w:kern w:val="0"/>
          <w:sz w:val="28"/>
          <w:szCs w:val="28"/>
          <w:highlight w:val="none"/>
          <w:lang w:val="en-US" w:eastAsia="zh-CN" w:bidi="ar-SA"/>
        </w:rPr>
        <w:t>履约保证金待框架协议有效期届满后7个工作日内一次性无息返还（扣除相应的违约金、赔偿金）。备注：乙方入围产品均为中小企业（含个体工商户）制造的货物，或者监狱企业提供本单位制造的货物</w:t>
      </w:r>
      <w:r>
        <w:rPr>
          <w:rFonts w:hint="default" w:ascii="宋体" w:hAnsi="宋体" w:cs="宋体"/>
          <w:color w:val="auto"/>
          <w:kern w:val="0"/>
          <w:sz w:val="28"/>
          <w:szCs w:val="28"/>
          <w:highlight w:val="none"/>
          <w:lang w:eastAsia="zh-CN" w:bidi="ar-SA"/>
        </w:rPr>
        <w:t>，</w:t>
      </w:r>
      <w:r>
        <w:rPr>
          <w:rFonts w:hint="eastAsia" w:ascii="宋体" w:hAnsi="宋体" w:eastAsia="宋体" w:cs="宋体"/>
          <w:color w:val="auto"/>
          <w:kern w:val="0"/>
          <w:sz w:val="28"/>
          <w:szCs w:val="28"/>
          <w:highlight w:val="none"/>
          <w:lang w:val="en-US" w:eastAsia="zh-CN" w:bidi="ar-SA"/>
        </w:rPr>
        <w:t>或者残疾人福利性单位提供本单位制造的货物（或提供其他残疾人福利性单位制造的货物）</w:t>
      </w:r>
      <w:r>
        <w:rPr>
          <w:rFonts w:hint="default" w:ascii="宋体" w:hAnsi="宋体" w:cs="宋体"/>
          <w:color w:val="auto"/>
          <w:kern w:val="0"/>
          <w:sz w:val="28"/>
          <w:szCs w:val="28"/>
          <w:highlight w:val="none"/>
          <w:lang w:eastAsia="zh-CN" w:bidi="ar-SA"/>
        </w:rPr>
        <w:t>的</w:t>
      </w:r>
      <w:r>
        <w:rPr>
          <w:rFonts w:hint="eastAsia" w:ascii="宋体" w:hAnsi="宋体" w:eastAsia="宋体" w:cs="宋体"/>
          <w:color w:val="auto"/>
          <w:kern w:val="0"/>
          <w:sz w:val="28"/>
          <w:szCs w:val="28"/>
          <w:highlight w:val="none"/>
          <w:lang w:val="en-US" w:eastAsia="zh-CN" w:bidi="ar-SA"/>
        </w:rPr>
        <w:t>，履约保证金按约定比例的50%支付，</w:t>
      </w:r>
      <w:r>
        <w:rPr>
          <w:rFonts w:hint="default" w:ascii="宋体" w:hAnsi="宋体" w:cs="宋体"/>
          <w:color w:val="auto"/>
          <w:kern w:val="0"/>
          <w:sz w:val="28"/>
          <w:szCs w:val="28"/>
          <w:highlight w:val="none"/>
          <w:lang w:eastAsia="zh-CN" w:bidi="ar-SA"/>
        </w:rPr>
        <w:t>乙方</w:t>
      </w:r>
      <w:r>
        <w:rPr>
          <w:rFonts w:hint="eastAsia" w:ascii="宋体" w:hAnsi="宋体" w:eastAsia="宋体" w:cs="宋体"/>
          <w:color w:val="auto"/>
          <w:kern w:val="0"/>
          <w:sz w:val="28"/>
          <w:szCs w:val="28"/>
          <w:highlight w:val="none"/>
          <w:lang w:val="en-US" w:eastAsia="zh-CN" w:bidi="ar-SA"/>
        </w:rPr>
        <w:t>需提供证明材料：①乙方须在投标文件中提交《中小企业声明函》或《残疾人福利性单位声明函》或监狱企业证明材料。乙方需对其</w:t>
      </w:r>
      <w:r>
        <w:rPr>
          <w:rFonts w:hint="default" w:ascii="宋体" w:hAnsi="宋体" w:cs="宋体"/>
          <w:color w:val="auto"/>
          <w:kern w:val="0"/>
          <w:sz w:val="28"/>
          <w:szCs w:val="28"/>
          <w:highlight w:val="none"/>
          <w:lang w:eastAsia="zh-CN" w:bidi="ar-SA"/>
        </w:rPr>
        <w:t>提供的</w:t>
      </w:r>
      <w:r>
        <w:rPr>
          <w:rFonts w:hint="eastAsia" w:ascii="宋体" w:hAnsi="宋体" w:eastAsia="宋体" w:cs="宋体"/>
          <w:color w:val="auto"/>
          <w:kern w:val="0"/>
          <w:sz w:val="28"/>
          <w:szCs w:val="28"/>
          <w:highlight w:val="none"/>
          <w:lang w:val="en-US" w:eastAsia="zh-CN" w:bidi="ar-SA"/>
        </w:rPr>
        <w:t>证明材料的真实性负责。</w:t>
      </w:r>
    </w:p>
    <w:p w14:paraId="1777BA0E">
      <w:pPr>
        <w:keepNext w:val="0"/>
        <w:keepLines w:val="0"/>
        <w:pageBreakBefore w:val="0"/>
        <w:widowControl/>
        <w:suppressAutoHyphens/>
        <w:kinsoku/>
        <w:wordWrap/>
        <w:overflowPunct/>
        <w:topLinePunct w:val="0"/>
        <w:autoSpaceDE/>
        <w:autoSpaceDN/>
        <w:bidi w:val="0"/>
        <w:adjustRightInd/>
        <w:snapToGrid/>
        <w:spacing w:after="0" w:line="360" w:lineRule="auto"/>
        <w:ind w:firstLine="560" w:firstLineChars="200"/>
        <w:jc w:val="both"/>
        <w:rPr>
          <w:rFonts w:hint="eastAsia" w:ascii="宋体" w:hAnsi="宋体" w:eastAsia="宋体" w:cs="宋体"/>
          <w:color w:val="auto"/>
          <w:kern w:val="0"/>
          <w:sz w:val="28"/>
          <w:szCs w:val="28"/>
          <w:highlight w:val="none"/>
          <w:lang w:val="en-US" w:eastAsia="zh-CN" w:bidi="ar-SA"/>
        </w:rPr>
      </w:pPr>
      <w:r>
        <w:rPr>
          <w:rFonts w:hint="eastAsia" w:ascii="宋体" w:hAnsi="宋体" w:eastAsia="宋体" w:cs="宋体"/>
          <w:color w:val="auto"/>
          <w:kern w:val="0"/>
          <w:sz w:val="28"/>
          <w:szCs w:val="28"/>
          <w:highlight w:val="none"/>
          <w:lang w:val="en-US" w:eastAsia="zh-CN" w:bidi="ar-SA"/>
        </w:rPr>
        <w:t>5.2</w:t>
      </w:r>
      <w:r>
        <w:rPr>
          <w:rFonts w:hint="eastAsia" w:ascii="宋体" w:hAnsi="宋体" w:eastAsia="宋体" w:cs="宋体"/>
          <w:color w:val="auto"/>
          <w:kern w:val="0"/>
          <w:sz w:val="28"/>
          <w:szCs w:val="28"/>
          <w:highlight w:val="none"/>
          <w:lang w:val="en-US" w:eastAsia="zh-CN"/>
        </w:rPr>
        <w:t>甲方</w:t>
      </w:r>
      <w:r>
        <w:rPr>
          <w:rFonts w:hint="eastAsia" w:ascii="宋体" w:hAnsi="宋体" w:eastAsia="宋体" w:cs="宋体"/>
          <w:color w:val="auto"/>
          <w:kern w:val="0"/>
          <w:sz w:val="28"/>
          <w:szCs w:val="28"/>
          <w:highlight w:val="none"/>
          <w:lang w:val="en-US"/>
        </w:rPr>
        <w:t>按批次支付货款。</w:t>
      </w:r>
    </w:p>
    <w:p w14:paraId="54F1DFF3">
      <w:pPr>
        <w:keepNext w:val="0"/>
        <w:keepLines w:val="0"/>
        <w:pageBreakBefore w:val="0"/>
        <w:widowControl/>
        <w:suppressAutoHyphens/>
        <w:kinsoku/>
        <w:wordWrap/>
        <w:overflowPunct/>
        <w:topLinePunct w:val="0"/>
        <w:autoSpaceDE/>
        <w:autoSpaceDN/>
        <w:bidi w:val="0"/>
        <w:adjustRightInd/>
        <w:snapToGrid/>
        <w:spacing w:after="0" w:line="360" w:lineRule="auto"/>
        <w:ind w:firstLine="560" w:firstLineChars="200"/>
        <w:jc w:val="both"/>
        <w:rPr>
          <w:rFonts w:hint="eastAsia" w:ascii="宋体" w:hAnsi="宋体" w:eastAsia="宋体" w:cs="宋体"/>
          <w:color w:val="auto"/>
          <w:kern w:val="0"/>
          <w:sz w:val="28"/>
          <w:szCs w:val="28"/>
          <w:highlight w:val="none"/>
        </w:rPr>
      </w:pPr>
      <w:r>
        <w:rPr>
          <w:rFonts w:hint="default" w:ascii="宋体" w:hAnsi="宋体" w:eastAsia="宋体" w:cs="宋体"/>
          <w:color w:val="auto"/>
          <w:kern w:val="0"/>
          <w:sz w:val="28"/>
          <w:szCs w:val="28"/>
          <w:highlight w:val="none"/>
        </w:rPr>
        <w:t>5.2.1</w:t>
      </w:r>
      <w:r>
        <w:rPr>
          <w:rFonts w:hint="eastAsia" w:ascii="宋体" w:hAnsi="宋体" w:eastAsia="宋体" w:cs="宋体"/>
          <w:color w:val="auto"/>
          <w:kern w:val="0"/>
          <w:sz w:val="28"/>
          <w:szCs w:val="28"/>
          <w:highlight w:val="none"/>
          <w:lang w:val="en-US" w:eastAsia="zh-CN"/>
        </w:rPr>
        <w:t>乙方选择委托甲方推荐的第三方物流进行集中仓储的，货交甲方推荐的第三方物流仓库且经甲方签收合格后</w:t>
      </w:r>
      <w:r>
        <w:rPr>
          <w:rFonts w:hint="eastAsia" w:ascii="宋体" w:hAnsi="宋体" w:eastAsia="宋体" w:cs="宋体"/>
          <w:color w:val="auto"/>
          <w:kern w:val="0"/>
          <w:sz w:val="28"/>
          <w:szCs w:val="28"/>
          <w:highlight w:val="none"/>
        </w:rPr>
        <w:t>，</w:t>
      </w:r>
      <w:r>
        <w:rPr>
          <w:rFonts w:hint="default" w:ascii="宋体" w:hAnsi="宋体" w:eastAsia="宋体" w:cs="宋体"/>
          <w:color w:val="auto"/>
          <w:kern w:val="0"/>
          <w:sz w:val="28"/>
          <w:szCs w:val="28"/>
          <w:highlight w:val="none"/>
        </w:rPr>
        <w:t>甲方</w:t>
      </w:r>
      <w:r>
        <w:rPr>
          <w:rFonts w:hint="eastAsia" w:ascii="宋体" w:hAnsi="宋体" w:eastAsia="宋体" w:cs="宋体"/>
          <w:color w:val="auto"/>
          <w:kern w:val="0"/>
          <w:sz w:val="28"/>
          <w:szCs w:val="28"/>
          <w:highlight w:val="none"/>
        </w:rPr>
        <w:t>凭相关验收材料在1</w:t>
      </w:r>
      <w:r>
        <w:rPr>
          <w:rFonts w:hint="eastAsia" w:ascii="宋体" w:hAnsi="宋体" w:eastAsia="宋体" w:cs="宋体"/>
          <w:color w:val="auto"/>
          <w:kern w:val="0"/>
          <w:sz w:val="28"/>
          <w:szCs w:val="28"/>
          <w:highlight w:val="none"/>
          <w:lang w:val="en-US" w:eastAsia="zh-CN"/>
        </w:rPr>
        <w:t>8</w:t>
      </w:r>
      <w:r>
        <w:rPr>
          <w:rFonts w:hint="eastAsia" w:ascii="宋体" w:hAnsi="宋体" w:eastAsia="宋体" w:cs="宋体"/>
          <w:color w:val="auto"/>
          <w:kern w:val="0"/>
          <w:sz w:val="28"/>
          <w:szCs w:val="28"/>
          <w:highlight w:val="none"/>
        </w:rPr>
        <w:t>0个日历日内（从采购单位收货之日算起）向</w:t>
      </w:r>
      <w:r>
        <w:rPr>
          <w:rFonts w:hint="default" w:ascii="宋体" w:hAnsi="宋体" w:eastAsia="宋体" w:cs="宋体"/>
          <w:color w:val="auto"/>
          <w:kern w:val="0"/>
          <w:sz w:val="28"/>
          <w:szCs w:val="28"/>
          <w:highlight w:val="none"/>
        </w:rPr>
        <w:t>乙方</w:t>
      </w:r>
      <w:r>
        <w:rPr>
          <w:rFonts w:hint="eastAsia" w:ascii="宋体" w:hAnsi="宋体" w:eastAsia="宋体" w:cs="宋体"/>
          <w:color w:val="auto"/>
          <w:kern w:val="0"/>
          <w:sz w:val="28"/>
          <w:szCs w:val="28"/>
          <w:highlight w:val="none"/>
        </w:rPr>
        <w:t>一次性支付该批次货款的全款。</w:t>
      </w:r>
    </w:p>
    <w:p w14:paraId="06FE27D9">
      <w:pPr>
        <w:widowControl/>
        <w:spacing w:after="0" w:line="360" w:lineRule="auto"/>
        <w:ind w:firstLine="560" w:firstLineChars="200"/>
        <w:jc w:val="both"/>
        <w:rPr>
          <w:rFonts w:hint="eastAsia" w:ascii="Calibri" w:hAnsi="Calibri" w:eastAsia="宋体" w:cs="Times New Roman"/>
          <w:color w:val="auto"/>
          <w:kern w:val="2"/>
          <w:sz w:val="28"/>
          <w:szCs w:val="24"/>
          <w:highlight w:val="none"/>
          <w:lang w:val="en-US" w:eastAsia="zh-CN" w:bidi="ar-SA"/>
        </w:rPr>
      </w:pPr>
      <w:r>
        <w:rPr>
          <w:rFonts w:hint="default" w:ascii="宋体" w:hAnsi="宋体" w:eastAsia="宋体" w:cs="宋体"/>
          <w:color w:val="auto"/>
          <w:kern w:val="0"/>
          <w:sz w:val="28"/>
          <w:szCs w:val="28"/>
          <w:highlight w:val="none"/>
          <w:lang w:eastAsia="zh-CN" w:bidi="ar"/>
        </w:rPr>
        <w:t>5.2.2乙方</w:t>
      </w:r>
      <w:r>
        <w:rPr>
          <w:rFonts w:hint="eastAsia" w:ascii="宋体" w:hAnsi="宋体" w:eastAsia="宋体" w:cs="宋体"/>
          <w:color w:val="auto"/>
          <w:kern w:val="0"/>
          <w:sz w:val="28"/>
          <w:szCs w:val="28"/>
          <w:highlight w:val="none"/>
          <w:lang w:val="en-US" w:eastAsia="zh-CN" w:bidi="ar"/>
        </w:rPr>
        <w:t>选择自行完成仓储配送的，该批次货物经安装调试完毕并经最终验收合格后，</w:t>
      </w:r>
      <w:r>
        <w:rPr>
          <w:rFonts w:hint="default" w:ascii="宋体" w:hAnsi="宋体" w:eastAsia="宋体" w:cs="宋体"/>
          <w:color w:val="auto"/>
          <w:kern w:val="0"/>
          <w:sz w:val="28"/>
          <w:szCs w:val="28"/>
          <w:highlight w:val="none"/>
          <w:lang w:eastAsia="zh-CN" w:bidi="ar"/>
        </w:rPr>
        <w:t>甲方</w:t>
      </w:r>
      <w:r>
        <w:rPr>
          <w:rFonts w:hint="eastAsia" w:ascii="宋体" w:hAnsi="宋体" w:eastAsia="宋体" w:cs="宋体"/>
          <w:color w:val="auto"/>
          <w:kern w:val="0"/>
          <w:sz w:val="28"/>
          <w:szCs w:val="28"/>
          <w:highlight w:val="none"/>
          <w:lang w:val="en-US" w:eastAsia="zh-CN" w:bidi="ar"/>
        </w:rPr>
        <w:t>凭相关验收材料在180个日历日内（账期核算时间从该批次货物经安装调试完毕且最终用户签署验收单之日开始）向</w:t>
      </w:r>
      <w:r>
        <w:rPr>
          <w:rFonts w:hint="default" w:ascii="宋体" w:hAnsi="宋体" w:eastAsia="宋体" w:cs="宋体"/>
          <w:color w:val="auto"/>
          <w:kern w:val="0"/>
          <w:sz w:val="28"/>
          <w:szCs w:val="28"/>
          <w:highlight w:val="none"/>
          <w:lang w:eastAsia="zh-CN" w:bidi="ar"/>
        </w:rPr>
        <w:t>乙方</w:t>
      </w:r>
      <w:r>
        <w:rPr>
          <w:rFonts w:hint="eastAsia" w:ascii="宋体" w:hAnsi="宋体" w:eastAsia="宋体" w:cs="宋体"/>
          <w:color w:val="auto"/>
          <w:kern w:val="0"/>
          <w:sz w:val="28"/>
          <w:szCs w:val="28"/>
          <w:highlight w:val="none"/>
          <w:lang w:val="en-US" w:eastAsia="zh-CN" w:bidi="ar"/>
        </w:rPr>
        <w:t>一次性支付该批次货款的全款。</w:t>
      </w:r>
    </w:p>
    <w:p w14:paraId="05F0EBF3">
      <w:pPr>
        <w:keepNext w:val="0"/>
        <w:keepLines w:val="0"/>
        <w:pageBreakBefore w:val="0"/>
        <w:suppressAutoHyphens/>
        <w:kinsoku/>
        <w:wordWrap/>
        <w:overflowPunct/>
        <w:topLinePunct w:val="0"/>
        <w:autoSpaceDE/>
        <w:autoSpaceDN/>
        <w:bidi w:val="0"/>
        <w:adjustRightInd/>
        <w:snapToGrid/>
        <w:spacing w:line="360" w:lineRule="auto"/>
        <w:ind w:firstLine="562" w:firstLineChars="200"/>
        <w:rPr>
          <w:rFonts w:hint="default" w:ascii="宋体" w:hAnsi="宋体" w:eastAsia="宋体" w:cs="宋体"/>
          <w:b/>
          <w:bCs/>
          <w:color w:val="auto"/>
          <w:sz w:val="28"/>
          <w:szCs w:val="28"/>
          <w:highlight w:val="none"/>
          <w:lang w:bidi="zh-CN"/>
        </w:rPr>
      </w:pPr>
      <w:r>
        <w:rPr>
          <w:rFonts w:hint="eastAsia" w:ascii="宋体" w:hAnsi="宋体" w:eastAsia="宋体" w:cs="宋体"/>
          <w:b/>
          <w:bCs/>
          <w:color w:val="auto"/>
          <w:sz w:val="28"/>
          <w:szCs w:val="28"/>
          <w:highlight w:val="none"/>
          <w:lang w:val="en-US" w:bidi="zh-CN"/>
        </w:rPr>
        <w:t xml:space="preserve">第6条 </w:t>
      </w:r>
      <w:r>
        <w:rPr>
          <w:rFonts w:hint="default" w:ascii="宋体" w:hAnsi="宋体" w:cs="宋体"/>
          <w:b/>
          <w:bCs/>
          <w:color w:val="auto"/>
          <w:sz w:val="28"/>
          <w:szCs w:val="28"/>
          <w:highlight w:val="none"/>
          <w:lang w:bidi="zh-CN"/>
        </w:rPr>
        <w:t>具体采购</w:t>
      </w:r>
      <w:r>
        <w:rPr>
          <w:rFonts w:hint="eastAsia" w:ascii="宋体" w:hAnsi="宋体" w:eastAsia="宋体" w:cs="宋体"/>
          <w:b/>
          <w:bCs/>
          <w:color w:val="auto"/>
          <w:sz w:val="28"/>
          <w:szCs w:val="28"/>
          <w:highlight w:val="none"/>
          <w:lang w:val="en-US" w:bidi="zh-CN"/>
        </w:rPr>
        <w:t>合同文本见附件二</w:t>
      </w:r>
      <w:r>
        <w:rPr>
          <w:rFonts w:hint="eastAsia" w:ascii="宋体" w:hAnsi="宋体" w:eastAsia="宋体" w:cs="宋体"/>
          <w:b/>
          <w:bCs/>
          <w:color w:val="auto"/>
          <w:kern w:val="2"/>
          <w:sz w:val="28"/>
          <w:szCs w:val="28"/>
          <w:highlight w:val="none"/>
        </w:rPr>
        <w:t>《政府采购合同》</w:t>
      </w:r>
      <w:r>
        <w:rPr>
          <w:rFonts w:hint="default" w:ascii="宋体" w:hAnsi="宋体" w:cs="宋体"/>
          <w:b/>
          <w:bCs/>
          <w:color w:val="auto"/>
          <w:kern w:val="2"/>
          <w:sz w:val="28"/>
          <w:szCs w:val="28"/>
          <w:highlight w:val="none"/>
        </w:rPr>
        <w:t>。</w:t>
      </w:r>
    </w:p>
    <w:p w14:paraId="0CEBB878">
      <w:pPr>
        <w:keepNext w:val="0"/>
        <w:keepLines w:val="0"/>
        <w:pageBreakBefore w:val="0"/>
        <w:suppressAutoHyphens/>
        <w:kinsoku/>
        <w:wordWrap/>
        <w:overflowPunct/>
        <w:topLinePunct w:val="0"/>
        <w:autoSpaceDE/>
        <w:autoSpaceDN/>
        <w:bidi w:val="0"/>
        <w:adjustRightInd/>
        <w:snapToGrid/>
        <w:spacing w:line="360" w:lineRule="auto"/>
        <w:ind w:firstLine="562" w:firstLineChars="20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zh-CN" w:bidi="zh-CN"/>
        </w:rPr>
        <w:t>第</w:t>
      </w:r>
      <w:r>
        <w:rPr>
          <w:rFonts w:hint="eastAsia" w:ascii="宋体" w:hAnsi="宋体" w:eastAsia="宋体" w:cs="宋体"/>
          <w:b/>
          <w:bCs/>
          <w:color w:val="auto"/>
          <w:sz w:val="28"/>
          <w:szCs w:val="28"/>
          <w:highlight w:val="none"/>
          <w:lang w:val="en-US" w:bidi="zh-CN"/>
        </w:rPr>
        <w:t>7</w:t>
      </w:r>
      <w:r>
        <w:rPr>
          <w:rFonts w:hint="eastAsia" w:ascii="宋体" w:hAnsi="宋体" w:eastAsia="宋体" w:cs="宋体"/>
          <w:b/>
          <w:bCs/>
          <w:color w:val="auto"/>
          <w:sz w:val="28"/>
          <w:szCs w:val="28"/>
          <w:highlight w:val="none"/>
          <w:lang w:val="zh-CN" w:bidi="zh-CN"/>
        </w:rPr>
        <w:t>条</w:t>
      </w:r>
      <w:r>
        <w:rPr>
          <w:rFonts w:hint="eastAsia" w:ascii="宋体" w:hAnsi="宋体" w:eastAsia="宋体" w:cs="宋体"/>
          <w:b/>
          <w:bCs/>
          <w:color w:val="auto"/>
          <w:sz w:val="28"/>
          <w:szCs w:val="28"/>
          <w:highlight w:val="none"/>
          <w:lang w:bidi="zh-CN"/>
        </w:rPr>
        <w:t xml:space="preserve"> </w:t>
      </w:r>
      <w:r>
        <w:rPr>
          <w:rFonts w:hint="eastAsia" w:ascii="宋体" w:hAnsi="宋体" w:eastAsia="宋体" w:cs="宋体"/>
          <w:b/>
          <w:bCs/>
          <w:color w:val="auto"/>
          <w:kern w:val="0"/>
          <w:sz w:val="28"/>
          <w:szCs w:val="28"/>
          <w:highlight w:val="none"/>
          <w:lang w:val="zh-CN" w:bidi="zh-CN"/>
        </w:rPr>
        <w:t>框架协议期限：</w:t>
      </w:r>
    </w:p>
    <w:p w14:paraId="590021DC">
      <w:pPr>
        <w:keepNext w:val="0"/>
        <w:keepLines w:val="0"/>
        <w:pageBreakBefore w:val="0"/>
        <w:suppressAutoHyphens/>
        <w:kinsoku/>
        <w:wordWrap/>
        <w:overflowPunct/>
        <w:topLinePunct w:val="0"/>
        <w:autoSpaceDE/>
        <w:autoSpaceDN/>
        <w:bidi w:val="0"/>
        <w:adjustRightInd/>
        <w:snapToGrid/>
        <w:spacing w:line="360" w:lineRule="auto"/>
        <w:ind w:firstLine="562" w:firstLineChars="200"/>
        <w:rPr>
          <w:rFonts w:hint="eastAsia" w:ascii="宋体" w:hAnsi="宋体" w:eastAsia="宋体" w:cs="宋体"/>
          <w:color w:val="auto"/>
          <w:sz w:val="28"/>
          <w:szCs w:val="28"/>
          <w:highlight w:val="none"/>
        </w:rPr>
      </w:pPr>
      <w:r>
        <w:rPr>
          <w:rFonts w:hint="eastAsia" w:ascii="宋体" w:hAnsi="宋体" w:eastAsia="宋体" w:cs="宋体"/>
          <w:b/>
          <w:bCs/>
          <w:color w:val="auto"/>
          <w:kern w:val="0"/>
          <w:sz w:val="28"/>
          <w:szCs w:val="28"/>
          <w:highlight w:val="none"/>
          <w:lang w:val="zh-CN" w:bidi="zh-CN"/>
        </w:rPr>
        <w:t>一年</w:t>
      </w:r>
      <w:r>
        <w:rPr>
          <w:rFonts w:hint="eastAsia" w:ascii="宋体" w:hAnsi="宋体" w:eastAsia="宋体" w:cs="宋体"/>
          <w:b/>
          <w:bCs/>
          <w:color w:val="auto"/>
          <w:kern w:val="0"/>
          <w:sz w:val="28"/>
          <w:szCs w:val="28"/>
          <w:highlight w:val="none"/>
          <w:lang w:bidi="zh-CN"/>
        </w:rPr>
        <w:t>，</w:t>
      </w:r>
      <w:r>
        <w:rPr>
          <w:rFonts w:hint="eastAsia" w:ascii="宋体" w:hAnsi="宋体" w:eastAsia="宋体" w:cs="宋体"/>
          <w:b/>
          <w:bCs/>
          <w:color w:val="auto"/>
          <w:kern w:val="0"/>
          <w:sz w:val="28"/>
          <w:szCs w:val="28"/>
          <w:highlight w:val="none"/>
          <w:lang w:val="zh-CN" w:bidi="zh-CN"/>
        </w:rPr>
        <w:t>自</w:t>
      </w:r>
      <w:r>
        <w:rPr>
          <w:rFonts w:hint="eastAsia" w:ascii="宋体" w:hAnsi="宋体" w:eastAsia="宋体" w:cs="宋体"/>
          <w:b/>
          <w:bCs/>
          <w:color w:val="auto"/>
          <w:kern w:val="0"/>
          <w:sz w:val="28"/>
          <w:szCs w:val="28"/>
          <w:highlight w:val="none"/>
          <w:u w:val="single"/>
          <w:lang w:val="en-US" w:bidi="zh-CN"/>
        </w:rPr>
        <w:t xml:space="preserve">    </w:t>
      </w:r>
      <w:r>
        <w:rPr>
          <w:rFonts w:hint="eastAsia" w:ascii="宋体" w:hAnsi="宋体" w:eastAsia="宋体" w:cs="宋体"/>
          <w:b/>
          <w:bCs/>
          <w:color w:val="auto"/>
          <w:kern w:val="0"/>
          <w:sz w:val="28"/>
          <w:szCs w:val="28"/>
          <w:highlight w:val="none"/>
          <w:u w:val="single"/>
          <w:lang w:val="zh-CN" w:bidi="zh-CN"/>
        </w:rPr>
        <w:t>年</w:t>
      </w:r>
      <w:r>
        <w:rPr>
          <w:rFonts w:hint="eastAsia" w:ascii="宋体" w:hAnsi="宋体" w:eastAsia="宋体" w:cs="宋体"/>
          <w:b/>
          <w:bCs/>
          <w:color w:val="auto"/>
          <w:kern w:val="0"/>
          <w:sz w:val="28"/>
          <w:szCs w:val="28"/>
          <w:highlight w:val="none"/>
          <w:u w:val="single"/>
          <w:lang w:val="en-US" w:bidi="zh-CN"/>
        </w:rPr>
        <w:t xml:space="preserve">   </w:t>
      </w:r>
      <w:r>
        <w:rPr>
          <w:rFonts w:hint="eastAsia" w:ascii="宋体" w:hAnsi="宋体" w:eastAsia="宋体" w:cs="宋体"/>
          <w:b/>
          <w:bCs/>
          <w:color w:val="auto"/>
          <w:kern w:val="0"/>
          <w:sz w:val="28"/>
          <w:szCs w:val="28"/>
          <w:highlight w:val="none"/>
          <w:u w:val="single"/>
          <w:lang w:val="zh-CN" w:bidi="zh-CN"/>
        </w:rPr>
        <w:t>月</w:t>
      </w:r>
      <w:r>
        <w:rPr>
          <w:rFonts w:hint="eastAsia" w:ascii="宋体" w:hAnsi="宋体" w:eastAsia="宋体" w:cs="宋体"/>
          <w:b/>
          <w:bCs/>
          <w:color w:val="auto"/>
          <w:kern w:val="0"/>
          <w:sz w:val="28"/>
          <w:szCs w:val="28"/>
          <w:highlight w:val="none"/>
          <w:u w:val="single"/>
          <w:lang w:val="en-US" w:bidi="zh-CN"/>
        </w:rPr>
        <w:t xml:space="preserve">  </w:t>
      </w:r>
      <w:r>
        <w:rPr>
          <w:rFonts w:hint="eastAsia" w:ascii="宋体" w:hAnsi="宋体" w:eastAsia="宋体" w:cs="宋体"/>
          <w:b/>
          <w:bCs/>
          <w:color w:val="auto"/>
          <w:kern w:val="0"/>
          <w:sz w:val="28"/>
          <w:szCs w:val="28"/>
          <w:highlight w:val="none"/>
          <w:lang w:val="zh-CN" w:bidi="zh-CN"/>
        </w:rPr>
        <w:t>日起至</w:t>
      </w:r>
      <w:r>
        <w:rPr>
          <w:rFonts w:hint="eastAsia" w:ascii="宋体" w:hAnsi="宋体" w:eastAsia="宋体" w:cs="宋体"/>
          <w:b/>
          <w:bCs/>
          <w:color w:val="auto"/>
          <w:kern w:val="0"/>
          <w:sz w:val="28"/>
          <w:szCs w:val="28"/>
          <w:highlight w:val="none"/>
          <w:u w:val="single"/>
          <w:lang w:val="en-US" w:bidi="zh-CN"/>
        </w:rPr>
        <w:t xml:space="preserve">     </w:t>
      </w:r>
      <w:r>
        <w:rPr>
          <w:rFonts w:hint="eastAsia" w:ascii="宋体" w:hAnsi="宋体" w:eastAsia="宋体" w:cs="宋体"/>
          <w:b/>
          <w:bCs/>
          <w:color w:val="auto"/>
          <w:kern w:val="0"/>
          <w:sz w:val="28"/>
          <w:szCs w:val="28"/>
          <w:highlight w:val="none"/>
          <w:u w:val="single"/>
          <w:lang w:val="zh-CN" w:bidi="zh-CN"/>
        </w:rPr>
        <w:t>年</w:t>
      </w:r>
      <w:r>
        <w:rPr>
          <w:rFonts w:hint="eastAsia" w:ascii="宋体" w:hAnsi="宋体" w:eastAsia="宋体" w:cs="宋体"/>
          <w:b/>
          <w:bCs/>
          <w:color w:val="auto"/>
          <w:kern w:val="0"/>
          <w:sz w:val="28"/>
          <w:szCs w:val="28"/>
          <w:highlight w:val="none"/>
          <w:u w:val="single"/>
          <w:lang w:val="en-US" w:bidi="zh-CN"/>
        </w:rPr>
        <w:t xml:space="preserve">   </w:t>
      </w:r>
      <w:r>
        <w:rPr>
          <w:rFonts w:hint="eastAsia" w:ascii="宋体" w:hAnsi="宋体" w:eastAsia="宋体" w:cs="宋体"/>
          <w:b/>
          <w:bCs/>
          <w:color w:val="auto"/>
          <w:kern w:val="0"/>
          <w:sz w:val="28"/>
          <w:szCs w:val="28"/>
          <w:highlight w:val="none"/>
          <w:u w:val="single"/>
          <w:lang w:val="zh-CN" w:bidi="zh-CN"/>
        </w:rPr>
        <w:t>月</w:t>
      </w:r>
      <w:r>
        <w:rPr>
          <w:rFonts w:hint="eastAsia" w:ascii="宋体" w:hAnsi="宋体" w:eastAsia="宋体" w:cs="宋体"/>
          <w:b/>
          <w:bCs/>
          <w:color w:val="auto"/>
          <w:kern w:val="0"/>
          <w:sz w:val="28"/>
          <w:szCs w:val="28"/>
          <w:highlight w:val="none"/>
          <w:u w:val="single"/>
          <w:lang w:val="en-US" w:bidi="zh-CN"/>
        </w:rPr>
        <w:t xml:space="preserve">    </w:t>
      </w:r>
      <w:r>
        <w:rPr>
          <w:rFonts w:hint="eastAsia" w:ascii="宋体" w:hAnsi="宋体" w:eastAsia="宋体" w:cs="宋体"/>
          <w:b/>
          <w:bCs/>
          <w:color w:val="auto"/>
          <w:kern w:val="0"/>
          <w:sz w:val="28"/>
          <w:szCs w:val="28"/>
          <w:highlight w:val="none"/>
          <w:lang w:val="zh-CN" w:bidi="zh-CN"/>
        </w:rPr>
        <w:t>日止</w:t>
      </w:r>
      <w:r>
        <w:rPr>
          <w:rFonts w:hint="eastAsia" w:ascii="宋体" w:hAnsi="宋体" w:eastAsia="宋体" w:cs="宋体"/>
          <w:color w:val="auto"/>
          <w:kern w:val="0"/>
          <w:sz w:val="28"/>
          <w:szCs w:val="28"/>
          <w:highlight w:val="none"/>
          <w:lang w:val="zh-CN" w:bidi="zh-CN"/>
        </w:rPr>
        <w:t>。</w:t>
      </w:r>
      <w:r>
        <w:rPr>
          <w:rFonts w:hint="eastAsia" w:ascii="宋体" w:hAnsi="宋体" w:eastAsia="宋体" w:cs="宋体"/>
          <w:color w:val="auto"/>
          <w:sz w:val="28"/>
          <w:szCs w:val="28"/>
          <w:highlight w:val="none"/>
        </w:rPr>
        <w:t>若</w:t>
      </w:r>
      <w:r>
        <w:rPr>
          <w:rFonts w:hint="eastAsia" w:ascii="宋体" w:hAnsi="宋体" w:eastAsia="宋体" w:cs="宋体"/>
          <w:b/>
          <w:bCs/>
          <w:color w:val="auto"/>
          <w:kern w:val="0"/>
          <w:sz w:val="28"/>
          <w:szCs w:val="28"/>
          <w:highlight w:val="none"/>
          <w:lang w:val="zh-CN" w:bidi="zh-CN"/>
        </w:rPr>
        <w:t>协议</w:t>
      </w:r>
      <w:r>
        <w:rPr>
          <w:rFonts w:hint="eastAsia" w:ascii="宋体" w:hAnsi="宋体" w:eastAsia="宋体" w:cs="宋体"/>
          <w:color w:val="auto"/>
          <w:sz w:val="28"/>
          <w:szCs w:val="28"/>
          <w:highlight w:val="none"/>
        </w:rPr>
        <w:t>到期之日下一期</w:t>
      </w:r>
      <w:r>
        <w:rPr>
          <w:rFonts w:hint="eastAsia" w:ascii="宋体" w:hAnsi="宋体" w:eastAsia="宋体" w:cs="宋体"/>
          <w:b/>
          <w:bCs/>
          <w:color w:val="auto"/>
          <w:kern w:val="0"/>
          <w:sz w:val="28"/>
          <w:szCs w:val="28"/>
          <w:highlight w:val="none"/>
          <w:lang w:val="zh-CN" w:bidi="zh-CN"/>
        </w:rPr>
        <w:t>框架协议</w:t>
      </w:r>
      <w:r>
        <w:rPr>
          <w:rFonts w:hint="eastAsia" w:ascii="宋体" w:hAnsi="宋体" w:eastAsia="宋体" w:cs="宋体"/>
          <w:color w:val="auto"/>
          <w:sz w:val="28"/>
          <w:szCs w:val="28"/>
          <w:highlight w:val="none"/>
        </w:rPr>
        <w:t>尚未生效，</w:t>
      </w:r>
      <w:r>
        <w:rPr>
          <w:rFonts w:hint="eastAsia" w:ascii="宋体" w:hAnsi="宋体" w:eastAsia="宋体" w:cs="宋体"/>
          <w:b/>
          <w:bCs/>
          <w:color w:val="auto"/>
          <w:kern w:val="0"/>
          <w:sz w:val="28"/>
          <w:szCs w:val="28"/>
          <w:highlight w:val="none"/>
          <w:lang w:val="zh-CN" w:bidi="zh-CN"/>
        </w:rPr>
        <w:t>框架协议</w:t>
      </w:r>
      <w:r>
        <w:rPr>
          <w:rFonts w:hint="eastAsia" w:ascii="宋体" w:hAnsi="宋体" w:eastAsia="宋体" w:cs="宋体"/>
          <w:color w:val="auto"/>
          <w:sz w:val="28"/>
          <w:szCs w:val="28"/>
          <w:highlight w:val="none"/>
        </w:rPr>
        <w:t>自动顺延至下一期新的</w:t>
      </w:r>
      <w:r>
        <w:rPr>
          <w:rFonts w:hint="eastAsia" w:ascii="宋体" w:hAnsi="宋体" w:eastAsia="宋体" w:cs="宋体"/>
          <w:b/>
          <w:bCs/>
          <w:color w:val="auto"/>
          <w:kern w:val="0"/>
          <w:sz w:val="28"/>
          <w:szCs w:val="28"/>
          <w:highlight w:val="none"/>
          <w:lang w:val="zh-CN" w:bidi="zh-CN"/>
        </w:rPr>
        <w:t>框架协议</w:t>
      </w:r>
      <w:r>
        <w:rPr>
          <w:rFonts w:hint="eastAsia" w:ascii="宋体" w:hAnsi="宋体" w:eastAsia="宋体" w:cs="宋体"/>
          <w:color w:val="auto"/>
          <w:sz w:val="28"/>
          <w:szCs w:val="28"/>
          <w:highlight w:val="none"/>
        </w:rPr>
        <w:t>生效之日止。</w:t>
      </w:r>
    </w:p>
    <w:p w14:paraId="1BB1BE1E">
      <w:pPr>
        <w:keepNext w:val="0"/>
        <w:keepLines w:val="0"/>
        <w:pageBreakBefore w:val="0"/>
        <w:widowControl/>
        <w:suppressAutoHyphens/>
        <w:kinsoku/>
        <w:wordWrap/>
        <w:overflowPunct/>
        <w:topLinePunct w:val="0"/>
        <w:autoSpaceDE/>
        <w:autoSpaceDN/>
        <w:bidi w:val="0"/>
        <w:adjustRightInd/>
        <w:snapToGrid/>
        <w:spacing w:before="0" w:beforeAutospacing="0" w:after="0" w:afterAutospacing="0" w:line="360" w:lineRule="auto"/>
        <w:jc w:val="left"/>
        <w:rPr>
          <w:rFonts w:hint="eastAsia" w:ascii="宋体" w:hAnsi="宋体" w:eastAsia="宋体" w:cs="宋体"/>
          <w:color w:val="auto"/>
          <w:kern w:val="0"/>
          <w:sz w:val="28"/>
          <w:szCs w:val="28"/>
          <w:highlight w:val="none"/>
          <w:lang w:val="en-US" w:eastAsia="zh-CN" w:bidi="ar-SA"/>
        </w:rPr>
      </w:pPr>
      <w:r>
        <w:rPr>
          <w:rFonts w:hint="eastAsia" w:ascii="宋体" w:hAnsi="宋体" w:eastAsia="宋体" w:cs="宋体"/>
          <w:color w:val="auto"/>
          <w:kern w:val="0"/>
          <w:sz w:val="28"/>
          <w:szCs w:val="28"/>
          <w:highlight w:val="none"/>
          <w:lang w:val="en-US" w:eastAsia="zh-CN" w:bidi="ar-SA"/>
        </w:rPr>
        <w:t>  </w:t>
      </w:r>
      <w:r>
        <w:rPr>
          <w:rFonts w:hint="eastAsia" w:ascii="宋体" w:hAnsi="宋体" w:eastAsia="宋体" w:cs="宋体"/>
          <w:b/>
          <w:bCs/>
          <w:color w:val="auto"/>
          <w:kern w:val="2"/>
          <w:sz w:val="28"/>
          <w:szCs w:val="28"/>
          <w:highlight w:val="none"/>
          <w:lang w:val="en-US" w:eastAsia="zh-CN" w:bidi="zh-CN"/>
        </w:rPr>
        <w:t>第8条</w:t>
      </w:r>
      <w:r>
        <w:rPr>
          <w:rFonts w:hint="eastAsia" w:ascii="宋体" w:hAnsi="宋体" w:eastAsia="宋体" w:cs="宋体"/>
          <w:b/>
          <w:bCs/>
          <w:color w:val="auto"/>
          <w:kern w:val="2"/>
          <w:sz w:val="28"/>
          <w:szCs w:val="28"/>
          <w:highlight w:val="none"/>
          <w:lang w:eastAsia="zh-CN" w:bidi="zh-CN"/>
        </w:rPr>
        <w:t xml:space="preserve"> </w:t>
      </w:r>
      <w:r>
        <w:rPr>
          <w:rFonts w:hint="eastAsia" w:ascii="宋体" w:hAnsi="宋体" w:eastAsia="宋体" w:cs="宋体"/>
          <w:b/>
          <w:bCs/>
          <w:color w:val="auto"/>
          <w:kern w:val="2"/>
          <w:sz w:val="28"/>
          <w:szCs w:val="28"/>
          <w:highlight w:val="none"/>
          <w:lang w:val="en-US" w:eastAsia="zh-CN" w:bidi="zh-CN"/>
        </w:rPr>
        <w:t>入围供应商的清退和补充机制</w:t>
      </w:r>
    </w:p>
    <w:p w14:paraId="1E9CD9DD">
      <w:pPr>
        <w:keepNext w:val="0"/>
        <w:keepLines w:val="0"/>
        <w:pageBreakBefore w:val="0"/>
        <w:suppressAutoHyphens/>
        <w:kinsoku/>
        <w:wordWrap/>
        <w:overflowPunct/>
        <w:topLinePunct w:val="0"/>
        <w:autoSpaceDE/>
        <w:autoSpaceDN/>
        <w:bidi w:val="0"/>
        <w:adjustRightInd/>
        <w:snapToGrid/>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lang w:val="en-US" w:bidi="zh-CN"/>
        </w:rPr>
        <w:t>8</w:t>
      </w:r>
      <w:r>
        <w:rPr>
          <w:rFonts w:hint="eastAsia" w:ascii="宋体" w:hAnsi="宋体" w:eastAsia="宋体" w:cs="宋体"/>
          <w:color w:val="auto"/>
          <w:kern w:val="0"/>
          <w:sz w:val="28"/>
          <w:szCs w:val="28"/>
          <w:highlight w:val="none"/>
          <w:lang w:val="zh-CN" w:bidi="zh-CN"/>
        </w:rPr>
        <w:t>.1入围供应商清退机制</w:t>
      </w:r>
    </w:p>
    <w:p w14:paraId="1A2AE069">
      <w:pPr>
        <w:keepNext w:val="0"/>
        <w:keepLines w:val="0"/>
        <w:pageBreakBefore w:val="0"/>
        <w:suppressAutoHyphens/>
        <w:kinsoku/>
        <w:wordWrap/>
        <w:overflowPunct/>
        <w:topLinePunct w:val="0"/>
        <w:autoSpaceDE/>
        <w:autoSpaceDN/>
        <w:bidi w:val="0"/>
        <w:adjustRightInd/>
        <w:snapToGrid/>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lang w:val="zh-CN" w:bidi="zh-CN"/>
        </w:rPr>
        <w:t>入围供应商有下列情形之一，尚未签订框架协议的，取消其入围资格；已经签订框架协议的，解除与其签订的框架协议：</w:t>
      </w:r>
    </w:p>
    <w:p w14:paraId="7C585C43">
      <w:pPr>
        <w:keepNext w:val="0"/>
        <w:keepLines w:val="0"/>
        <w:pageBreakBefore w:val="0"/>
        <w:widowControl w:val="0"/>
        <w:suppressAutoHyphens/>
        <w:kinsoku/>
        <w:wordWrap/>
        <w:overflowPunct/>
        <w:topLinePunct w:val="0"/>
        <w:autoSpaceDE/>
        <w:autoSpaceDN/>
        <w:bidi w:val="0"/>
        <w:adjustRightInd/>
        <w:snapToGrid/>
        <w:spacing w:before="0" w:beforeAutospacing="0" w:after="0" w:afterAutospacing="0" w:line="360" w:lineRule="auto"/>
        <w:ind w:firstLine="560" w:firstLineChars="200"/>
        <w:jc w:val="left"/>
        <w:textAlignment w:val="baseline"/>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（一）恶意串通谋取入围或者合同成交的；</w:t>
      </w:r>
    </w:p>
    <w:p w14:paraId="4F288F9B">
      <w:pPr>
        <w:keepNext w:val="0"/>
        <w:keepLines w:val="0"/>
        <w:pageBreakBefore w:val="0"/>
        <w:widowControl w:val="0"/>
        <w:suppressAutoHyphens/>
        <w:kinsoku/>
        <w:wordWrap/>
        <w:overflowPunct/>
        <w:topLinePunct w:val="0"/>
        <w:autoSpaceDE/>
        <w:autoSpaceDN/>
        <w:bidi w:val="0"/>
        <w:adjustRightInd/>
        <w:snapToGrid/>
        <w:spacing w:before="0" w:beforeAutospacing="0" w:after="0" w:afterAutospacing="0" w:line="360" w:lineRule="auto"/>
        <w:ind w:firstLine="560" w:firstLineChars="200"/>
        <w:jc w:val="left"/>
        <w:textAlignment w:val="baseline"/>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（二）提供虚假材料谋取入围或者合同成交的；</w:t>
      </w:r>
    </w:p>
    <w:p w14:paraId="218AC00F">
      <w:pPr>
        <w:keepNext w:val="0"/>
        <w:keepLines w:val="0"/>
        <w:pageBreakBefore w:val="0"/>
        <w:widowControl w:val="0"/>
        <w:suppressAutoHyphens/>
        <w:kinsoku/>
        <w:wordWrap/>
        <w:overflowPunct/>
        <w:topLinePunct w:val="0"/>
        <w:autoSpaceDE/>
        <w:autoSpaceDN/>
        <w:bidi w:val="0"/>
        <w:adjustRightInd/>
        <w:snapToGrid/>
        <w:spacing w:before="0" w:beforeAutospacing="0" w:after="0" w:afterAutospacing="0" w:line="360" w:lineRule="auto"/>
        <w:ind w:firstLine="560" w:firstLineChars="200"/>
        <w:jc w:val="left"/>
        <w:textAlignment w:val="baseline"/>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（三）无正当理由拒不接受合同授予的；</w:t>
      </w:r>
    </w:p>
    <w:p w14:paraId="06C36E76">
      <w:pPr>
        <w:keepNext w:val="0"/>
        <w:keepLines w:val="0"/>
        <w:pageBreakBefore w:val="0"/>
        <w:widowControl w:val="0"/>
        <w:suppressAutoHyphens/>
        <w:kinsoku/>
        <w:wordWrap/>
        <w:overflowPunct/>
        <w:topLinePunct w:val="0"/>
        <w:autoSpaceDE/>
        <w:autoSpaceDN/>
        <w:bidi w:val="0"/>
        <w:adjustRightInd/>
        <w:snapToGrid/>
        <w:spacing w:before="0" w:beforeAutospacing="0" w:after="0" w:afterAutospacing="0" w:line="360" w:lineRule="auto"/>
        <w:ind w:firstLine="560" w:firstLineChars="200"/>
        <w:jc w:val="left"/>
        <w:textAlignment w:val="baseline"/>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（四）不履行合同义务或者履行合同义务不符合约定，经甲方请求履行后仍不履行或者仍未按约定履行的；</w:t>
      </w:r>
    </w:p>
    <w:p w14:paraId="39174006">
      <w:pPr>
        <w:keepNext w:val="0"/>
        <w:keepLines w:val="0"/>
        <w:pageBreakBefore w:val="0"/>
        <w:widowControl w:val="0"/>
        <w:suppressAutoHyphens/>
        <w:kinsoku/>
        <w:wordWrap/>
        <w:overflowPunct/>
        <w:topLinePunct w:val="0"/>
        <w:autoSpaceDE/>
        <w:autoSpaceDN/>
        <w:bidi w:val="0"/>
        <w:adjustRightInd/>
        <w:snapToGrid/>
        <w:spacing w:before="0" w:beforeAutospacing="0" w:after="0" w:afterAutospacing="0" w:line="360" w:lineRule="auto"/>
        <w:ind w:firstLine="560" w:firstLineChars="200"/>
        <w:jc w:val="left"/>
        <w:textAlignment w:val="baseline"/>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（五）</w:t>
      </w:r>
      <w:r>
        <w:rPr>
          <w:rFonts w:hint="default" w:ascii="宋体" w:hAnsi="宋体" w:cs="宋体"/>
          <w:color w:val="auto"/>
          <w:kern w:val="2"/>
          <w:sz w:val="28"/>
          <w:szCs w:val="28"/>
          <w:highlight w:val="none"/>
          <w:lang w:eastAsia="zh-CN" w:bidi="ar-SA"/>
        </w:rPr>
        <w:t>框架</w:t>
      </w:r>
      <w:r>
        <w:rPr>
          <w:rFonts w:hint="eastAsia" w:ascii="宋体" w:hAnsi="宋体" w:eastAsia="宋体" w:cs="宋体"/>
          <w:color w:val="auto"/>
          <w:kern w:val="2"/>
          <w:sz w:val="28"/>
          <w:szCs w:val="28"/>
          <w:highlight w:val="none"/>
          <w:lang w:val="en-US" w:eastAsia="zh-CN" w:bidi="ar-SA"/>
        </w:rPr>
        <w:t>协议有效期内，因违法行为被禁止或限制参加政府采购活动的；</w:t>
      </w:r>
    </w:p>
    <w:p w14:paraId="6389FFCE">
      <w:pPr>
        <w:keepNext w:val="0"/>
        <w:keepLines w:val="0"/>
        <w:pageBreakBefore w:val="0"/>
        <w:widowControl w:val="0"/>
        <w:suppressAutoHyphens/>
        <w:kinsoku/>
        <w:wordWrap/>
        <w:overflowPunct/>
        <w:topLinePunct w:val="0"/>
        <w:autoSpaceDE/>
        <w:autoSpaceDN/>
        <w:bidi w:val="0"/>
        <w:adjustRightInd/>
        <w:snapToGrid/>
        <w:spacing w:before="0" w:beforeAutospacing="0" w:after="0" w:afterAutospacing="0" w:line="360" w:lineRule="auto"/>
        <w:ind w:firstLine="560" w:firstLineChars="200"/>
        <w:jc w:val="left"/>
        <w:textAlignment w:val="baseline"/>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（六）框架协议约定的其他情形：</w:t>
      </w:r>
    </w:p>
    <w:p w14:paraId="587FDDCE">
      <w:pPr>
        <w:keepNext w:val="0"/>
        <w:keepLines w:val="0"/>
        <w:pageBreakBefore w:val="0"/>
        <w:suppressAutoHyphens/>
        <w:kinsoku/>
        <w:wordWrap/>
        <w:overflowPunct/>
        <w:topLinePunct w:val="0"/>
        <w:autoSpaceDE/>
        <w:autoSpaceDN/>
        <w:bidi w:val="0"/>
        <w:adjustRightInd/>
        <w:snapToGrid/>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w:t>
      </w:r>
      <w:r>
        <w:rPr>
          <w:rFonts w:hint="eastAsia" w:ascii="宋体" w:hAnsi="宋体" w:cs="宋体"/>
          <w:color w:val="auto"/>
          <w:sz w:val="28"/>
          <w:szCs w:val="28"/>
          <w:highlight w:val="none"/>
          <w:lang w:val="en-US" w:eastAsia="zh-CN"/>
        </w:rPr>
        <w:t>1</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在考核评价中存在不当履约，考评不合格的；</w:t>
      </w:r>
    </w:p>
    <w:p w14:paraId="0067D352">
      <w:pPr>
        <w:keepNext w:val="0"/>
        <w:keepLines w:val="0"/>
        <w:pageBreakBefore w:val="0"/>
        <w:suppressAutoHyphens/>
        <w:kinsoku/>
        <w:wordWrap/>
        <w:overflowPunct/>
        <w:topLinePunct w:val="0"/>
        <w:autoSpaceDE/>
        <w:autoSpaceDN/>
        <w:bidi w:val="0"/>
        <w:adjustRightInd/>
        <w:snapToGrid/>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w:t>
      </w:r>
      <w:r>
        <w:rPr>
          <w:rFonts w:hint="eastAsia" w:ascii="宋体" w:hAnsi="宋体" w:cs="宋体"/>
          <w:color w:val="auto"/>
          <w:sz w:val="28"/>
          <w:szCs w:val="28"/>
          <w:highlight w:val="none"/>
          <w:lang w:val="en-US" w:eastAsia="zh-CN"/>
        </w:rPr>
        <w:t>2</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供应商发生被撤销、注销登记、年检结果不合格、收到责令停业处罚、因其重大变化不能提供服务的情形的；</w:t>
      </w:r>
    </w:p>
    <w:p w14:paraId="1E14FBBD">
      <w:pPr>
        <w:keepNext w:val="0"/>
        <w:keepLines w:val="0"/>
        <w:pageBreakBefore w:val="0"/>
        <w:suppressAutoHyphens/>
        <w:kinsoku/>
        <w:wordWrap/>
        <w:overflowPunct/>
        <w:topLinePunct w:val="0"/>
        <w:autoSpaceDE/>
        <w:autoSpaceDN/>
        <w:bidi w:val="0"/>
        <w:adjustRightInd/>
        <w:snapToGrid/>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w:t>
      </w:r>
      <w:r>
        <w:rPr>
          <w:rFonts w:hint="eastAsia" w:ascii="宋体" w:hAnsi="宋体" w:cs="宋体"/>
          <w:color w:val="auto"/>
          <w:sz w:val="28"/>
          <w:szCs w:val="28"/>
          <w:highlight w:val="none"/>
          <w:lang w:val="en-US" w:eastAsia="zh-CN"/>
        </w:rPr>
        <w:t>3</w:t>
      </w:r>
      <w:r>
        <w:rPr>
          <w:rFonts w:hint="eastAsia" w:ascii="宋体" w:hAnsi="宋体" w:eastAsia="宋体" w:cs="宋体"/>
          <w:color w:val="auto"/>
          <w:sz w:val="28"/>
          <w:szCs w:val="28"/>
          <w:highlight w:val="none"/>
          <w:lang w:val="en-US" w:eastAsia="zh-CN"/>
        </w:rPr>
        <w:t>）在履行框架采购协议期间，如果出现以下任一情况，甲方有权单方解除</w:t>
      </w:r>
      <w:r>
        <w:rPr>
          <w:rFonts w:hint="default" w:ascii="宋体" w:hAnsi="宋体" w:cs="宋体"/>
          <w:color w:val="auto"/>
          <w:sz w:val="28"/>
          <w:szCs w:val="28"/>
          <w:highlight w:val="none"/>
          <w:lang w:eastAsia="zh-CN"/>
        </w:rPr>
        <w:t>框架</w:t>
      </w:r>
      <w:r>
        <w:rPr>
          <w:rFonts w:hint="eastAsia" w:ascii="宋体" w:hAnsi="宋体" w:eastAsia="宋体" w:cs="宋体"/>
          <w:color w:val="auto"/>
          <w:sz w:val="28"/>
          <w:szCs w:val="28"/>
          <w:highlight w:val="none"/>
          <w:lang w:val="en-US" w:eastAsia="zh-CN"/>
        </w:rPr>
        <w:t>协议，</w:t>
      </w:r>
      <w:r>
        <w:rPr>
          <w:rFonts w:hint="default" w:ascii="宋体" w:hAnsi="宋体" w:cs="宋体"/>
          <w:color w:val="auto"/>
          <w:sz w:val="28"/>
          <w:szCs w:val="28"/>
          <w:highlight w:val="none"/>
          <w:lang w:eastAsia="zh-CN"/>
        </w:rPr>
        <w:t>并没收乙方已支付的</w:t>
      </w:r>
      <w:r>
        <w:rPr>
          <w:rFonts w:hint="eastAsia" w:ascii="宋体" w:hAnsi="宋体" w:eastAsia="宋体" w:cs="宋体"/>
          <w:color w:val="auto"/>
          <w:sz w:val="28"/>
          <w:szCs w:val="28"/>
          <w:highlight w:val="none"/>
          <w:lang w:val="en-US" w:eastAsia="zh-CN"/>
        </w:rPr>
        <w:t>履约保证金。同时，</w:t>
      </w:r>
      <w:r>
        <w:rPr>
          <w:rFonts w:hint="default" w:ascii="宋体" w:hAnsi="宋体" w:cs="宋体"/>
          <w:color w:val="auto"/>
          <w:sz w:val="28"/>
          <w:szCs w:val="28"/>
          <w:highlight w:val="none"/>
          <w:lang w:eastAsia="zh-CN"/>
        </w:rPr>
        <w:t>甲方有权</w:t>
      </w:r>
      <w:r>
        <w:rPr>
          <w:rFonts w:hint="eastAsia" w:ascii="宋体" w:hAnsi="宋体" w:eastAsia="宋体" w:cs="宋体"/>
          <w:color w:val="auto"/>
          <w:sz w:val="28"/>
          <w:szCs w:val="28"/>
          <w:highlight w:val="none"/>
          <w:lang w:val="en-US" w:eastAsia="zh-CN"/>
        </w:rPr>
        <w:t>在厦门招投标网公示</w:t>
      </w:r>
      <w:r>
        <w:rPr>
          <w:rFonts w:hint="default" w:ascii="宋体" w:hAnsi="宋体" w:cs="宋体"/>
          <w:color w:val="auto"/>
          <w:sz w:val="28"/>
          <w:szCs w:val="28"/>
          <w:highlight w:val="none"/>
          <w:lang w:eastAsia="zh-CN"/>
        </w:rPr>
        <w:t>乙方的下列行为</w:t>
      </w:r>
      <w:r>
        <w:rPr>
          <w:rFonts w:hint="eastAsia" w:ascii="宋体" w:hAnsi="宋体" w:eastAsia="宋体" w:cs="宋体"/>
          <w:color w:val="auto"/>
          <w:sz w:val="28"/>
          <w:szCs w:val="28"/>
          <w:highlight w:val="none"/>
          <w:lang w:val="en-US" w:eastAsia="zh-CN"/>
        </w:rPr>
        <w:t>，并在三年内拒绝乙方进入大宗政府招标采购项目的投标报价：</w:t>
      </w:r>
    </w:p>
    <w:p w14:paraId="28E01077">
      <w:pPr>
        <w:keepNext w:val="0"/>
        <w:keepLines w:val="0"/>
        <w:pageBreakBefore w:val="0"/>
        <w:suppressAutoHyphens/>
        <w:kinsoku/>
        <w:wordWrap/>
        <w:overflowPunct/>
        <w:topLinePunct w:val="0"/>
        <w:autoSpaceDE/>
        <w:autoSpaceDN/>
        <w:bidi w:val="0"/>
        <w:adjustRightInd/>
        <w:snapToGrid/>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①违反法律法规、行业规范要求被有关部门查处的；</w:t>
      </w:r>
    </w:p>
    <w:p w14:paraId="53AE6921">
      <w:pPr>
        <w:keepNext w:val="0"/>
        <w:keepLines w:val="0"/>
        <w:pageBreakBefore w:val="0"/>
        <w:suppressAutoHyphens/>
        <w:kinsoku/>
        <w:wordWrap/>
        <w:overflowPunct/>
        <w:topLinePunct w:val="0"/>
        <w:autoSpaceDE/>
        <w:autoSpaceDN/>
        <w:bidi w:val="0"/>
        <w:adjustRightInd/>
        <w:snapToGrid/>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②提供假冒伪劣产品的；</w:t>
      </w:r>
    </w:p>
    <w:p w14:paraId="48707A32">
      <w:pPr>
        <w:keepNext w:val="0"/>
        <w:keepLines w:val="0"/>
        <w:pageBreakBefore w:val="0"/>
        <w:suppressAutoHyphens/>
        <w:kinsoku/>
        <w:wordWrap/>
        <w:overflowPunct/>
        <w:topLinePunct w:val="0"/>
        <w:autoSpaceDE/>
        <w:autoSpaceDN/>
        <w:bidi w:val="0"/>
        <w:adjustRightInd/>
        <w:snapToGrid/>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③通过给回扣或变相给回扣的方式招揽业务的；</w:t>
      </w:r>
    </w:p>
    <w:p w14:paraId="1ECF1C17">
      <w:pPr>
        <w:keepNext w:val="0"/>
        <w:keepLines w:val="0"/>
        <w:pageBreakBefore w:val="0"/>
        <w:suppressAutoHyphens/>
        <w:kinsoku/>
        <w:wordWrap/>
        <w:overflowPunct/>
        <w:topLinePunct w:val="0"/>
        <w:autoSpaceDE/>
        <w:autoSpaceDN/>
        <w:bidi w:val="0"/>
        <w:adjustRightInd/>
        <w:snapToGrid/>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④因产品质量或服务问题被有效投诉达三次以上的；</w:t>
      </w:r>
    </w:p>
    <w:p w14:paraId="294E866B">
      <w:pPr>
        <w:keepNext w:val="0"/>
        <w:keepLines w:val="0"/>
        <w:pageBreakBefore w:val="0"/>
        <w:suppressAutoHyphens/>
        <w:kinsoku/>
        <w:wordWrap/>
        <w:overflowPunct/>
        <w:topLinePunct w:val="0"/>
        <w:autoSpaceDE/>
        <w:autoSpaceDN/>
        <w:bidi w:val="0"/>
        <w:adjustRightInd/>
        <w:snapToGrid/>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⑤向有关部门、甲方、最终使用方提供虚假信息或资料等情况的；</w:t>
      </w:r>
    </w:p>
    <w:p w14:paraId="7095ECB8">
      <w:pPr>
        <w:keepNext w:val="0"/>
        <w:keepLines w:val="0"/>
        <w:pageBreakBefore w:val="0"/>
        <w:suppressAutoHyphens/>
        <w:kinsoku/>
        <w:wordWrap/>
        <w:overflowPunct/>
        <w:topLinePunct w:val="0"/>
        <w:autoSpaceDE/>
        <w:autoSpaceDN/>
        <w:bidi w:val="0"/>
        <w:adjustRightInd/>
        <w:snapToGrid/>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⑥出现重大客户投诉事件（如政府采购管理部门督办事件、新闻媒体公开报道、采购业主书面发函投诉以及其他对买方产生严重负面影响的事件）；</w:t>
      </w:r>
    </w:p>
    <w:p w14:paraId="7CB816EA">
      <w:pPr>
        <w:keepNext w:val="0"/>
        <w:keepLines w:val="0"/>
        <w:pageBreakBefore w:val="0"/>
        <w:suppressAutoHyphens/>
        <w:kinsoku/>
        <w:wordWrap/>
        <w:overflowPunct/>
        <w:topLinePunct w:val="0"/>
        <w:autoSpaceDE/>
        <w:autoSpaceDN/>
        <w:bidi w:val="0"/>
        <w:adjustRightInd/>
        <w:snapToGrid/>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⑦报修率超过3%。报修率=保修期内硬件故障报修有效台次/已销售台数*100%（已销售台数超过100台之后开始计算报修率）。</w:t>
      </w:r>
    </w:p>
    <w:p w14:paraId="6BB246CD">
      <w:pPr>
        <w:keepNext w:val="0"/>
        <w:keepLines w:val="0"/>
        <w:pageBreakBefore w:val="0"/>
        <w:suppressAutoHyphens/>
        <w:kinsoku/>
        <w:wordWrap/>
        <w:overflowPunct/>
        <w:topLinePunct w:val="0"/>
        <w:autoSpaceDE/>
        <w:autoSpaceDN/>
        <w:bidi w:val="0"/>
        <w:adjustRightInd/>
        <w:snapToGrid/>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w:t>
      </w:r>
      <w:r>
        <w:rPr>
          <w:rFonts w:hint="eastAsia" w:ascii="宋体" w:hAnsi="宋体" w:cs="宋体"/>
          <w:color w:val="auto"/>
          <w:sz w:val="28"/>
          <w:szCs w:val="28"/>
          <w:highlight w:val="none"/>
          <w:lang w:val="en-US" w:eastAsia="zh-CN"/>
        </w:rPr>
        <w:t>4</w:t>
      </w:r>
      <w:r>
        <w:rPr>
          <w:rFonts w:hint="eastAsia" w:ascii="宋体" w:hAnsi="宋体" w:eastAsia="宋体" w:cs="宋体"/>
          <w:color w:val="auto"/>
          <w:sz w:val="28"/>
          <w:szCs w:val="28"/>
          <w:highlight w:val="none"/>
          <w:lang w:val="en-US" w:eastAsia="zh-CN"/>
        </w:rPr>
        <w:t>）框架协议有效期内，乙方</w:t>
      </w:r>
      <w:r>
        <w:rPr>
          <w:rFonts w:hint="default" w:ascii="宋体" w:hAnsi="宋体" w:cs="宋体"/>
          <w:color w:val="auto"/>
          <w:sz w:val="28"/>
          <w:szCs w:val="28"/>
          <w:highlight w:val="none"/>
          <w:lang w:eastAsia="zh-CN"/>
        </w:rPr>
        <w:t>无正当理由拒绝</w:t>
      </w:r>
      <w:r>
        <w:rPr>
          <w:rFonts w:hint="eastAsia" w:ascii="宋体" w:hAnsi="宋体" w:eastAsia="宋体" w:cs="宋体"/>
          <w:color w:val="auto"/>
          <w:sz w:val="28"/>
          <w:szCs w:val="28"/>
          <w:highlight w:val="none"/>
          <w:lang w:val="en-US" w:eastAsia="zh-CN"/>
        </w:rPr>
        <w:t>按照甲方监测到的主流网站或异地政府的最低价格再下浮10%作为框架协议价格的。</w:t>
      </w:r>
    </w:p>
    <w:p w14:paraId="15BC08A3">
      <w:pPr>
        <w:keepNext w:val="0"/>
        <w:keepLines w:val="0"/>
        <w:pageBreakBefore w:val="0"/>
        <w:suppressAutoHyphens/>
        <w:kinsoku/>
        <w:wordWrap/>
        <w:overflowPunct/>
        <w:topLinePunct w:val="0"/>
        <w:autoSpaceDE/>
        <w:autoSpaceDN/>
        <w:bidi w:val="0"/>
        <w:adjustRightInd/>
        <w:snapToGrid/>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8</w:t>
      </w:r>
      <w:r>
        <w:rPr>
          <w:rFonts w:hint="eastAsia" w:ascii="宋体" w:hAnsi="宋体" w:eastAsia="宋体" w:cs="宋体"/>
          <w:color w:val="auto"/>
          <w:sz w:val="28"/>
          <w:szCs w:val="28"/>
          <w:highlight w:val="none"/>
        </w:rPr>
        <w:t>.2入围供应商补充规则</w:t>
      </w:r>
    </w:p>
    <w:p w14:paraId="3E3AC66D">
      <w:pPr>
        <w:keepNext w:val="0"/>
        <w:keepLines w:val="0"/>
        <w:pageBreakBefore w:val="0"/>
        <w:suppressAutoHyphens/>
        <w:kinsoku/>
        <w:wordWrap/>
        <w:overflowPunct/>
        <w:topLinePunct w:val="0"/>
        <w:autoSpaceDE/>
        <w:autoSpaceDN/>
        <w:bidi w:val="0"/>
        <w:adjustRightInd/>
        <w:snapToGrid/>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8</w:t>
      </w:r>
      <w:r>
        <w:rPr>
          <w:rFonts w:hint="eastAsia" w:ascii="宋体" w:hAnsi="宋体" w:eastAsia="宋体" w:cs="宋体"/>
          <w:color w:val="auto"/>
          <w:sz w:val="28"/>
          <w:szCs w:val="28"/>
          <w:highlight w:val="none"/>
        </w:rPr>
        <w:t>.2.1被取消入围资格或者被解除框架协议的供应商不得参加同一封闭式框架协议补充征集活动或者重新申请加入同一开放式框架协议</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并没收履约保证金</w:t>
      </w:r>
      <w:r>
        <w:rPr>
          <w:rFonts w:hint="eastAsia" w:ascii="宋体" w:hAnsi="宋体" w:eastAsia="宋体" w:cs="宋体"/>
          <w:color w:val="auto"/>
          <w:sz w:val="28"/>
          <w:szCs w:val="28"/>
          <w:highlight w:val="none"/>
        </w:rPr>
        <w:t>。</w:t>
      </w:r>
    </w:p>
    <w:p w14:paraId="78E4D092">
      <w:pPr>
        <w:keepNext w:val="0"/>
        <w:keepLines w:val="0"/>
        <w:pageBreakBefore w:val="0"/>
        <w:suppressAutoHyphens/>
        <w:kinsoku/>
        <w:wordWrap/>
        <w:overflowPunct/>
        <w:topLinePunct w:val="0"/>
        <w:autoSpaceDE/>
        <w:autoSpaceDN/>
        <w:bidi w:val="0"/>
        <w:adjustRightInd/>
        <w:snapToGrid/>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8</w:t>
      </w:r>
      <w:r>
        <w:rPr>
          <w:rFonts w:hint="eastAsia" w:ascii="宋体" w:hAnsi="宋体" w:eastAsia="宋体" w:cs="宋体"/>
          <w:color w:val="auto"/>
          <w:sz w:val="28"/>
          <w:szCs w:val="28"/>
          <w:highlight w:val="none"/>
        </w:rPr>
        <w:t>.2.2框架协议入围供应商无正当理由，不得主动放弃入围资格或者</w:t>
      </w:r>
      <w:r>
        <w:rPr>
          <w:rFonts w:hint="eastAsia" w:ascii="宋体" w:hAnsi="宋体" w:eastAsia="宋体" w:cs="宋体"/>
          <w:color w:val="auto"/>
          <w:sz w:val="28"/>
          <w:szCs w:val="28"/>
          <w:highlight w:val="none"/>
          <w:lang w:val="zh-CN" w:bidi="zh-CN"/>
        </w:rPr>
        <w:t>退出框架协议。主动放弃或者退出框架协议的供应商，1年内不得参与本项目公开征集活动和补充征集活动。</w:t>
      </w:r>
    </w:p>
    <w:p w14:paraId="3149746D">
      <w:pPr>
        <w:keepNext w:val="0"/>
        <w:keepLines w:val="0"/>
        <w:pageBreakBefore w:val="0"/>
        <w:suppressAutoHyphens/>
        <w:kinsoku/>
        <w:wordWrap/>
        <w:overflowPunct/>
        <w:topLinePunct w:val="0"/>
        <w:autoSpaceDE/>
        <w:autoSpaceDN/>
        <w:bidi w:val="0"/>
        <w:adjustRightInd/>
        <w:snapToGrid/>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bidi="zh-CN"/>
        </w:rPr>
        <w:t>8</w:t>
      </w:r>
      <w:r>
        <w:rPr>
          <w:rFonts w:hint="eastAsia" w:ascii="宋体" w:hAnsi="宋体" w:eastAsia="宋体" w:cs="宋体"/>
          <w:color w:val="auto"/>
          <w:sz w:val="28"/>
          <w:szCs w:val="28"/>
          <w:highlight w:val="none"/>
          <w:lang w:val="zh-CN" w:bidi="zh-CN"/>
        </w:rPr>
        <w:t>.2.3入围</w:t>
      </w:r>
      <w:r>
        <w:rPr>
          <w:rFonts w:hint="eastAsia" w:ascii="宋体" w:hAnsi="宋体" w:eastAsia="宋体" w:cs="宋体"/>
          <w:color w:val="auto"/>
          <w:sz w:val="28"/>
          <w:szCs w:val="28"/>
          <w:highlight w:val="none"/>
        </w:rPr>
        <w:t>供应商退出或者取消供应商入围资格后，剩余入围供应商数量不足原入围供应商数量70%的且影响框架协议执行的情形外的，将补充征集供应商。补充征集规则：补充征集的条件、程序、评审方法和淘汰比例，以及入围最高限价或入围质量标准与初次征集相同。补充征集遵守原框架协议的有效期。补充征集入围供应商数为退出的供应商数量。补充征集期间，原框架协议继续履行。</w:t>
      </w:r>
    </w:p>
    <w:p w14:paraId="246EB5AC">
      <w:pPr>
        <w:keepNext w:val="0"/>
        <w:keepLines w:val="0"/>
        <w:pageBreakBefore w:val="0"/>
        <w:suppressAutoHyphens/>
        <w:kinsoku/>
        <w:wordWrap/>
        <w:overflowPunct/>
        <w:topLinePunct w:val="0"/>
        <w:autoSpaceDE/>
        <w:autoSpaceDN/>
        <w:bidi w:val="0"/>
        <w:adjustRightInd/>
        <w:snapToGrid/>
        <w:spacing w:line="360" w:lineRule="auto"/>
        <w:ind w:firstLine="560" w:firstLineChars="200"/>
        <w:rPr>
          <w:rFonts w:hint="eastAsia" w:ascii="宋体" w:hAnsi="宋体" w:eastAsia="宋体" w:cs="宋体"/>
          <w:color w:val="auto"/>
          <w:kern w:val="0"/>
          <w:sz w:val="28"/>
          <w:szCs w:val="28"/>
          <w:highlight w:val="none"/>
          <w:lang w:val="zh-CN" w:bidi="zh-CN"/>
        </w:rPr>
      </w:pPr>
      <w:r>
        <w:rPr>
          <w:rFonts w:hint="eastAsia" w:ascii="宋体" w:hAnsi="宋体" w:eastAsia="宋体" w:cs="宋体"/>
          <w:color w:val="auto"/>
          <w:sz w:val="28"/>
          <w:szCs w:val="28"/>
          <w:highlight w:val="none"/>
          <w:lang w:val="zh-CN" w:bidi="zh-CN"/>
        </w:rPr>
        <w:t>补充征集失败或框架协议剩余期限不足以补充征集供应商时，框架协议将履行至期满终止。退出和被取消入围资格的供应商不得参加补充征集活动。</w:t>
      </w:r>
    </w:p>
    <w:p w14:paraId="02AB8746">
      <w:pPr>
        <w:keepNext w:val="0"/>
        <w:keepLines w:val="0"/>
        <w:pageBreakBefore w:val="0"/>
        <w:suppressAutoHyphens/>
        <w:kinsoku/>
        <w:wordWrap/>
        <w:overflowPunct/>
        <w:topLinePunct w:val="0"/>
        <w:autoSpaceDE/>
        <w:autoSpaceDN/>
        <w:bidi w:val="0"/>
        <w:adjustRightInd/>
        <w:snapToGrid/>
        <w:spacing w:line="360" w:lineRule="auto"/>
        <w:ind w:firstLine="562" w:firstLineChars="20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zh-CN" w:bidi="zh-CN"/>
        </w:rPr>
        <w:t>第</w:t>
      </w:r>
      <w:r>
        <w:rPr>
          <w:rFonts w:hint="eastAsia" w:ascii="宋体" w:hAnsi="宋体" w:eastAsia="宋体" w:cs="宋体"/>
          <w:b/>
          <w:bCs/>
          <w:color w:val="auto"/>
          <w:sz w:val="28"/>
          <w:szCs w:val="28"/>
          <w:highlight w:val="none"/>
          <w:lang w:val="en-US" w:bidi="zh-CN"/>
        </w:rPr>
        <w:t>9</w:t>
      </w:r>
      <w:r>
        <w:rPr>
          <w:rFonts w:hint="eastAsia" w:ascii="宋体" w:hAnsi="宋体" w:eastAsia="宋体" w:cs="宋体"/>
          <w:b/>
          <w:bCs/>
          <w:color w:val="auto"/>
          <w:sz w:val="28"/>
          <w:szCs w:val="28"/>
          <w:highlight w:val="none"/>
          <w:lang w:val="zh-CN" w:bidi="zh-CN"/>
        </w:rPr>
        <w:t>条 协议双方的权利和义务</w:t>
      </w:r>
    </w:p>
    <w:p w14:paraId="63FFEEFD">
      <w:pPr>
        <w:keepNext w:val="0"/>
        <w:keepLines w:val="0"/>
        <w:pageBreakBefore w:val="0"/>
        <w:suppressAutoHyphens/>
        <w:kinsoku/>
        <w:wordWrap/>
        <w:overflowPunct/>
        <w:topLinePunct w:val="0"/>
        <w:autoSpaceDE/>
        <w:autoSpaceDN/>
        <w:bidi w:val="0"/>
        <w:adjustRightInd/>
        <w:snapToGrid/>
        <w:spacing w:line="360" w:lineRule="auto"/>
        <w:ind w:firstLine="560" w:firstLineChars="200"/>
        <w:jc w:val="left"/>
        <w:rPr>
          <w:rFonts w:hint="eastAsia" w:ascii="宋体" w:hAnsi="宋体" w:eastAsia="宋体" w:cs="宋体"/>
          <w:b w:val="0"/>
          <w:bCs w:val="0"/>
          <w:color w:val="auto"/>
          <w:sz w:val="28"/>
          <w:szCs w:val="28"/>
          <w:highlight w:val="none"/>
        </w:rPr>
      </w:pPr>
      <w:r>
        <w:rPr>
          <w:rFonts w:hint="eastAsia" w:ascii="宋体" w:hAnsi="宋体" w:eastAsia="宋体" w:cs="宋体"/>
          <w:color w:val="auto"/>
          <w:sz w:val="28"/>
          <w:szCs w:val="28"/>
          <w:highlight w:val="none"/>
          <w:lang w:val="en-US" w:eastAsia="zh-CN"/>
        </w:rPr>
        <w:t>9</w:t>
      </w:r>
      <w:r>
        <w:rPr>
          <w:rFonts w:hint="eastAsia" w:ascii="宋体" w:hAnsi="宋体" w:eastAsia="宋体" w:cs="宋体"/>
          <w:color w:val="auto"/>
          <w:sz w:val="28"/>
          <w:szCs w:val="28"/>
          <w:highlight w:val="none"/>
        </w:rPr>
        <w:t xml:space="preserve">.1 </w:t>
      </w:r>
      <w:r>
        <w:rPr>
          <w:rFonts w:hint="eastAsia" w:ascii="宋体" w:hAnsi="宋体" w:eastAsia="宋体" w:cs="宋体"/>
          <w:b w:val="0"/>
          <w:bCs w:val="0"/>
          <w:color w:val="auto"/>
          <w:sz w:val="28"/>
          <w:szCs w:val="28"/>
          <w:highlight w:val="none"/>
          <w:lang w:val="en-US" w:eastAsia="zh-CN"/>
        </w:rPr>
        <w:t xml:space="preserve">甲方的权利 </w:t>
      </w:r>
    </w:p>
    <w:p w14:paraId="75965A70">
      <w:pPr>
        <w:keepNext w:val="0"/>
        <w:keepLines w:val="0"/>
        <w:pageBreakBefore w:val="0"/>
        <w:suppressAutoHyphens/>
        <w:kinsoku/>
        <w:wordWrap/>
        <w:overflowPunct/>
        <w:topLinePunct w:val="0"/>
        <w:autoSpaceDE/>
        <w:autoSpaceDN/>
        <w:bidi w:val="0"/>
        <w:adjustRightInd/>
        <w:snapToGrid/>
        <w:spacing w:line="360" w:lineRule="auto"/>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 xml:space="preserve">9.1.1确定框架协议采购需求。 </w:t>
      </w:r>
    </w:p>
    <w:p w14:paraId="74AF4764">
      <w:pPr>
        <w:keepNext w:val="0"/>
        <w:keepLines w:val="0"/>
        <w:pageBreakBefore w:val="0"/>
        <w:suppressAutoHyphens/>
        <w:kinsoku/>
        <w:wordWrap/>
        <w:overflowPunct/>
        <w:topLinePunct w:val="0"/>
        <w:autoSpaceDE/>
        <w:autoSpaceDN/>
        <w:bidi w:val="0"/>
        <w:adjustRightInd/>
        <w:snapToGrid/>
        <w:spacing w:line="360" w:lineRule="auto"/>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 xml:space="preserve">9.1.2确定最高限制单价。 </w:t>
      </w:r>
    </w:p>
    <w:p w14:paraId="03F323B2">
      <w:pPr>
        <w:keepNext w:val="0"/>
        <w:keepLines w:val="0"/>
        <w:pageBreakBefore w:val="0"/>
        <w:suppressAutoHyphens/>
        <w:kinsoku/>
        <w:wordWrap/>
        <w:overflowPunct/>
        <w:topLinePunct w:val="0"/>
        <w:autoSpaceDE/>
        <w:autoSpaceDN/>
        <w:bidi w:val="0"/>
        <w:adjustRightInd/>
        <w:snapToGrid/>
        <w:spacing w:line="360" w:lineRule="auto"/>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 xml:space="preserve">9.1.3确定框架协议有限期。 </w:t>
      </w:r>
    </w:p>
    <w:p w14:paraId="3A85C78B">
      <w:pPr>
        <w:keepNext w:val="0"/>
        <w:keepLines w:val="0"/>
        <w:pageBreakBefore w:val="0"/>
        <w:suppressAutoHyphens/>
        <w:kinsoku/>
        <w:wordWrap/>
        <w:overflowPunct/>
        <w:topLinePunct w:val="0"/>
        <w:autoSpaceDE/>
        <w:autoSpaceDN/>
        <w:bidi w:val="0"/>
        <w:adjustRightInd/>
        <w:snapToGrid/>
        <w:spacing w:line="360" w:lineRule="auto"/>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 xml:space="preserve">9.1.4供应商存在《政府采购框架协议采购方式管理暂行办法》第十九条第一款规定的情形时，取消入围供应商的入围资格，或解除与其签订的框架协议。 </w:t>
      </w:r>
    </w:p>
    <w:p w14:paraId="05806211">
      <w:pPr>
        <w:keepNext w:val="0"/>
        <w:keepLines w:val="0"/>
        <w:pageBreakBefore w:val="0"/>
        <w:suppressAutoHyphens/>
        <w:kinsoku/>
        <w:wordWrap/>
        <w:overflowPunct/>
        <w:topLinePunct w:val="0"/>
        <w:autoSpaceDE/>
        <w:autoSpaceDN/>
        <w:bidi w:val="0"/>
        <w:adjustRightInd/>
        <w:snapToGrid/>
        <w:spacing w:line="360" w:lineRule="auto"/>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 xml:space="preserve">9.1.5在框架协议期内，随时对入围供应商及其委托的代理商履约情况进行检查。 </w:t>
      </w:r>
    </w:p>
    <w:p w14:paraId="3DF6A017">
      <w:pPr>
        <w:keepNext w:val="0"/>
        <w:keepLines w:val="0"/>
        <w:pageBreakBefore w:val="0"/>
        <w:suppressAutoHyphens/>
        <w:kinsoku/>
        <w:wordWrap/>
        <w:overflowPunct/>
        <w:topLinePunct w:val="0"/>
        <w:autoSpaceDE/>
        <w:autoSpaceDN/>
        <w:bidi w:val="0"/>
        <w:adjustRightInd/>
        <w:snapToGrid/>
        <w:spacing w:line="360" w:lineRule="auto"/>
        <w:ind w:firstLine="560" w:firstLineChars="200"/>
        <w:jc w:val="left"/>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val="en-US" w:eastAsia="zh-CN"/>
        </w:rPr>
        <w:t xml:space="preserve">9.2甲方的义务 </w:t>
      </w:r>
    </w:p>
    <w:p w14:paraId="57669623">
      <w:pPr>
        <w:keepNext w:val="0"/>
        <w:keepLines w:val="0"/>
        <w:pageBreakBefore w:val="0"/>
        <w:suppressAutoHyphens/>
        <w:kinsoku/>
        <w:wordWrap/>
        <w:overflowPunct/>
        <w:topLinePunct w:val="0"/>
        <w:autoSpaceDE/>
        <w:autoSpaceDN/>
        <w:bidi w:val="0"/>
        <w:adjustRightInd/>
        <w:snapToGrid/>
        <w:spacing w:line="360" w:lineRule="auto"/>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 xml:space="preserve">9.2.1为第二阶段合同授予提供工作便利。 </w:t>
      </w:r>
    </w:p>
    <w:p w14:paraId="33DED1A8">
      <w:pPr>
        <w:keepNext w:val="0"/>
        <w:keepLines w:val="0"/>
        <w:pageBreakBefore w:val="0"/>
        <w:suppressAutoHyphens/>
        <w:kinsoku/>
        <w:wordWrap/>
        <w:overflowPunct/>
        <w:topLinePunct w:val="0"/>
        <w:autoSpaceDE/>
        <w:autoSpaceDN/>
        <w:bidi w:val="0"/>
        <w:adjustRightInd/>
        <w:snapToGrid/>
        <w:spacing w:line="360" w:lineRule="auto"/>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 xml:space="preserve">9.2.2对第二阶段最高限价和需求标准执行情况进行管理。 </w:t>
      </w:r>
    </w:p>
    <w:p w14:paraId="4762127D">
      <w:pPr>
        <w:keepNext w:val="0"/>
        <w:keepLines w:val="0"/>
        <w:pageBreakBefore w:val="0"/>
        <w:suppressAutoHyphens/>
        <w:kinsoku/>
        <w:wordWrap/>
        <w:overflowPunct/>
        <w:topLinePunct w:val="0"/>
        <w:autoSpaceDE/>
        <w:autoSpaceDN/>
        <w:bidi w:val="0"/>
        <w:adjustRightInd/>
        <w:snapToGrid/>
        <w:spacing w:line="360" w:lineRule="auto"/>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 xml:space="preserve">9.2.3对第二阶段确定成交供应商情况进行管理。 </w:t>
      </w:r>
    </w:p>
    <w:p w14:paraId="30D1783B">
      <w:pPr>
        <w:keepNext w:val="0"/>
        <w:keepLines w:val="0"/>
        <w:pageBreakBefore w:val="0"/>
        <w:suppressAutoHyphens/>
        <w:kinsoku/>
        <w:wordWrap/>
        <w:overflowPunct/>
        <w:topLinePunct w:val="0"/>
        <w:autoSpaceDE/>
        <w:autoSpaceDN/>
        <w:bidi w:val="0"/>
        <w:adjustRightInd/>
        <w:snapToGrid/>
        <w:spacing w:line="360" w:lineRule="auto"/>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9.2.4建立用户反馈和评价机制，接受甲方和</w:t>
      </w:r>
      <w:r>
        <w:rPr>
          <w:rFonts w:hint="default" w:ascii="宋体" w:hAnsi="宋体" w:cs="宋体"/>
          <w:color w:val="auto"/>
          <w:sz w:val="28"/>
          <w:szCs w:val="28"/>
          <w:highlight w:val="none"/>
          <w:lang w:eastAsia="zh-CN"/>
        </w:rPr>
        <w:t>其</w:t>
      </w:r>
      <w:r>
        <w:rPr>
          <w:rFonts w:hint="eastAsia" w:ascii="宋体" w:hAnsi="宋体" w:eastAsia="宋体" w:cs="宋体"/>
          <w:color w:val="auto"/>
          <w:sz w:val="28"/>
          <w:szCs w:val="28"/>
          <w:highlight w:val="none"/>
          <w:lang w:val="en-US" w:eastAsia="zh-CN"/>
        </w:rPr>
        <w:t>服务对象对入围供应商履行框架协议和采购合同情况的反馈与评价，并将反馈和评价情况向甲方和</w:t>
      </w:r>
      <w:r>
        <w:rPr>
          <w:rFonts w:hint="default" w:ascii="宋体" w:hAnsi="宋体" w:cs="宋体"/>
          <w:color w:val="auto"/>
          <w:sz w:val="28"/>
          <w:szCs w:val="28"/>
          <w:highlight w:val="none"/>
          <w:lang w:eastAsia="zh-CN"/>
        </w:rPr>
        <w:t>其</w:t>
      </w:r>
      <w:r>
        <w:rPr>
          <w:rFonts w:hint="eastAsia" w:ascii="宋体" w:hAnsi="宋体" w:eastAsia="宋体" w:cs="宋体"/>
          <w:color w:val="auto"/>
          <w:sz w:val="28"/>
          <w:szCs w:val="28"/>
          <w:highlight w:val="none"/>
          <w:lang w:val="en-US" w:eastAsia="zh-CN"/>
        </w:rPr>
        <w:t xml:space="preserve">服务对象公开，作为第二阶段直接选定成交供应商的参考。 </w:t>
      </w:r>
    </w:p>
    <w:p w14:paraId="40F4CD9C">
      <w:pPr>
        <w:keepNext w:val="0"/>
        <w:keepLines w:val="0"/>
        <w:pageBreakBefore w:val="0"/>
        <w:suppressAutoHyphens/>
        <w:kinsoku/>
        <w:wordWrap/>
        <w:overflowPunct/>
        <w:topLinePunct w:val="0"/>
        <w:autoSpaceDE/>
        <w:autoSpaceDN/>
        <w:bidi w:val="0"/>
        <w:adjustRightInd/>
        <w:snapToGrid/>
        <w:spacing w:line="360" w:lineRule="auto"/>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 xml:space="preserve">9.2.5公开框架协议的第二阶段成交结果。 </w:t>
      </w:r>
    </w:p>
    <w:p w14:paraId="2B2939EA">
      <w:pPr>
        <w:keepNext w:val="0"/>
        <w:keepLines w:val="0"/>
        <w:pageBreakBefore w:val="0"/>
        <w:suppressAutoHyphens/>
        <w:kinsoku/>
        <w:wordWrap/>
        <w:overflowPunct/>
        <w:topLinePunct w:val="0"/>
        <w:autoSpaceDE/>
        <w:autoSpaceDN/>
        <w:bidi w:val="0"/>
        <w:adjustRightInd/>
        <w:snapToGrid/>
        <w:spacing w:line="360" w:lineRule="auto"/>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 xml:space="preserve">9.2.6办理入围供应商清退和补充相关事宜。 </w:t>
      </w:r>
    </w:p>
    <w:p w14:paraId="4C3D6CA5">
      <w:pPr>
        <w:keepNext w:val="0"/>
        <w:keepLines w:val="0"/>
        <w:pageBreakBefore w:val="0"/>
        <w:suppressAutoHyphens/>
        <w:kinsoku/>
        <w:wordWrap/>
        <w:overflowPunct/>
        <w:topLinePunct w:val="0"/>
        <w:autoSpaceDE/>
        <w:autoSpaceDN/>
        <w:bidi w:val="0"/>
        <w:adjustRightInd/>
        <w:snapToGrid/>
        <w:spacing w:line="360" w:lineRule="auto"/>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 xml:space="preserve">9.2.7建立真实完整的框架协议采购档案，妥善保存每项采购活动的采购文件资料。 </w:t>
      </w:r>
    </w:p>
    <w:p w14:paraId="6A77A617">
      <w:pPr>
        <w:keepNext w:val="0"/>
        <w:keepLines w:val="0"/>
        <w:pageBreakBefore w:val="0"/>
        <w:suppressAutoHyphens/>
        <w:kinsoku/>
        <w:wordWrap/>
        <w:overflowPunct/>
        <w:topLinePunct w:val="0"/>
        <w:autoSpaceDE/>
        <w:autoSpaceDN/>
        <w:bidi w:val="0"/>
        <w:adjustRightInd/>
        <w:snapToGrid/>
        <w:spacing w:line="360" w:lineRule="auto"/>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b w:val="0"/>
          <w:bCs w:val="0"/>
          <w:color w:val="auto"/>
          <w:sz w:val="28"/>
          <w:szCs w:val="28"/>
          <w:highlight w:val="none"/>
          <w:lang w:val="en-US" w:eastAsia="zh-CN"/>
        </w:rPr>
        <w:t>9.3乙方的权利</w:t>
      </w:r>
      <w:r>
        <w:rPr>
          <w:rFonts w:hint="eastAsia" w:ascii="宋体" w:hAnsi="宋体" w:eastAsia="宋体" w:cs="宋体"/>
          <w:color w:val="auto"/>
          <w:sz w:val="28"/>
          <w:szCs w:val="28"/>
          <w:highlight w:val="none"/>
          <w:lang w:val="en-US" w:eastAsia="zh-CN"/>
        </w:rPr>
        <w:t xml:space="preserve"> </w:t>
      </w:r>
    </w:p>
    <w:p w14:paraId="6ABA8898">
      <w:pPr>
        <w:keepNext w:val="0"/>
        <w:keepLines w:val="0"/>
        <w:pageBreakBefore w:val="0"/>
        <w:suppressAutoHyphens/>
        <w:kinsoku/>
        <w:wordWrap/>
        <w:overflowPunct/>
        <w:topLinePunct w:val="0"/>
        <w:autoSpaceDE/>
        <w:autoSpaceDN/>
        <w:bidi w:val="0"/>
        <w:adjustRightInd/>
        <w:snapToGrid/>
        <w:spacing w:line="360" w:lineRule="auto"/>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 xml:space="preserve">9.3.1乙方（入围供应商及其委托的代理商，以下统称乙方）具有为甲方供货及提供相关服务的资格。 </w:t>
      </w:r>
    </w:p>
    <w:p w14:paraId="13019DA4">
      <w:pPr>
        <w:keepNext w:val="0"/>
        <w:keepLines w:val="0"/>
        <w:pageBreakBefore w:val="0"/>
        <w:suppressAutoHyphens/>
        <w:kinsoku/>
        <w:wordWrap/>
        <w:overflowPunct/>
        <w:topLinePunct w:val="0"/>
        <w:autoSpaceDE/>
        <w:autoSpaceDN/>
        <w:bidi w:val="0"/>
        <w:adjustRightInd/>
        <w:snapToGrid/>
        <w:spacing w:line="360" w:lineRule="auto"/>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 xml:space="preserve">9.3.2乙方有权拒绝甲方提出的以本次框架协议采购名义购买非入围产品、配件或满足甲方超出响应承诺以外的其他要求。 </w:t>
      </w:r>
    </w:p>
    <w:p w14:paraId="174898A5">
      <w:pPr>
        <w:keepNext w:val="0"/>
        <w:keepLines w:val="0"/>
        <w:pageBreakBefore w:val="0"/>
        <w:suppressAutoHyphens/>
        <w:kinsoku/>
        <w:wordWrap/>
        <w:overflowPunct/>
        <w:topLinePunct w:val="0"/>
        <w:autoSpaceDE/>
        <w:autoSpaceDN/>
        <w:bidi w:val="0"/>
        <w:adjustRightInd/>
        <w:snapToGrid/>
        <w:spacing w:line="360" w:lineRule="auto"/>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 xml:space="preserve">9.3.3对甲方在购买入围产品过程中的不正当要求和违规行为进行投诉，并要求有关部门做出处理。 </w:t>
      </w:r>
    </w:p>
    <w:p w14:paraId="2B17F8C3">
      <w:pPr>
        <w:keepNext w:val="0"/>
        <w:keepLines w:val="0"/>
        <w:pageBreakBefore w:val="0"/>
        <w:suppressAutoHyphens/>
        <w:kinsoku/>
        <w:wordWrap/>
        <w:overflowPunct/>
        <w:topLinePunct w:val="0"/>
        <w:autoSpaceDE/>
        <w:autoSpaceDN/>
        <w:bidi w:val="0"/>
        <w:adjustRightInd/>
        <w:snapToGrid/>
        <w:spacing w:line="360" w:lineRule="auto"/>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 xml:space="preserve">9.3.4有权拒绝任何个人以甲方名义按照协议价格购买入围产品和进行现金交易。 </w:t>
      </w:r>
    </w:p>
    <w:p w14:paraId="6BB38D51">
      <w:pPr>
        <w:keepNext w:val="0"/>
        <w:keepLines w:val="0"/>
        <w:pageBreakBefore w:val="0"/>
        <w:suppressAutoHyphens/>
        <w:kinsoku/>
        <w:wordWrap/>
        <w:overflowPunct/>
        <w:topLinePunct w:val="0"/>
        <w:autoSpaceDE/>
        <w:autoSpaceDN/>
        <w:bidi w:val="0"/>
        <w:adjustRightInd/>
        <w:snapToGrid/>
        <w:spacing w:line="360" w:lineRule="auto"/>
        <w:ind w:firstLine="560" w:firstLineChars="200"/>
        <w:jc w:val="left"/>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val="en-US" w:eastAsia="zh-CN"/>
        </w:rPr>
        <w:t xml:space="preserve">9.4乙方的义务 </w:t>
      </w:r>
    </w:p>
    <w:p w14:paraId="68D78D1B">
      <w:pPr>
        <w:keepNext w:val="0"/>
        <w:keepLines w:val="0"/>
        <w:pageBreakBefore w:val="0"/>
        <w:suppressAutoHyphens/>
        <w:kinsoku/>
        <w:wordWrap/>
        <w:overflowPunct/>
        <w:topLinePunct w:val="0"/>
        <w:autoSpaceDE/>
        <w:autoSpaceDN/>
        <w:bidi w:val="0"/>
        <w:adjustRightInd/>
        <w:snapToGrid/>
        <w:spacing w:line="360" w:lineRule="auto"/>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 xml:space="preserve">9.4.1严格执行国家法律法规，严格按照响应文件承诺的价格和服务履约，遵守本合同条款。 </w:t>
      </w:r>
    </w:p>
    <w:p w14:paraId="6203AF25">
      <w:pPr>
        <w:keepNext w:val="0"/>
        <w:keepLines w:val="0"/>
        <w:pageBreakBefore w:val="0"/>
        <w:suppressAutoHyphens/>
        <w:kinsoku/>
        <w:wordWrap/>
        <w:overflowPunct/>
        <w:topLinePunct w:val="0"/>
        <w:autoSpaceDE/>
        <w:autoSpaceDN/>
        <w:bidi w:val="0"/>
        <w:adjustRightInd/>
        <w:snapToGrid/>
        <w:spacing w:line="360" w:lineRule="auto"/>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9.4.2如入围供应商委托代理商代其接受甲方合同授予并履行采购合同，在签订框架协议时需提供代理商</w:t>
      </w:r>
      <w:r>
        <w:rPr>
          <w:rFonts w:hint="default" w:ascii="宋体" w:hAnsi="宋体" w:cs="宋体"/>
          <w:color w:val="auto"/>
          <w:sz w:val="28"/>
          <w:szCs w:val="28"/>
          <w:highlight w:val="none"/>
          <w:lang w:eastAsia="zh-CN"/>
        </w:rPr>
        <w:t>授权委托书</w:t>
      </w:r>
      <w:r>
        <w:rPr>
          <w:rFonts w:hint="eastAsia" w:ascii="宋体" w:hAnsi="宋体" w:eastAsia="宋体" w:cs="宋体"/>
          <w:color w:val="auto"/>
          <w:sz w:val="28"/>
          <w:szCs w:val="28"/>
          <w:highlight w:val="none"/>
          <w:lang w:val="en-US" w:eastAsia="zh-CN"/>
        </w:rPr>
        <w:t>和代理商名单，作为框架协议的附件</w:t>
      </w:r>
      <w:r>
        <w:rPr>
          <w:rFonts w:hint="default" w:ascii="宋体" w:hAnsi="宋体" w:cs="宋体"/>
          <w:color w:val="auto"/>
          <w:sz w:val="28"/>
          <w:szCs w:val="28"/>
          <w:highlight w:val="none"/>
          <w:lang w:eastAsia="zh-CN"/>
        </w:rPr>
        <w:t>，格式详见附件三</w:t>
      </w:r>
      <w:r>
        <w:rPr>
          <w:rFonts w:hint="eastAsia" w:ascii="宋体" w:hAnsi="宋体" w:eastAsia="宋体" w:cs="宋体"/>
          <w:color w:val="auto"/>
          <w:sz w:val="28"/>
          <w:szCs w:val="28"/>
          <w:highlight w:val="none"/>
          <w:lang w:val="en-US" w:eastAsia="zh-CN"/>
        </w:rPr>
        <w:t>。供应商委托的代理商应当符合《政府采购法》第二十二条第一款的规定。</w:t>
      </w:r>
      <w:r>
        <w:rPr>
          <w:rFonts w:hint="default" w:ascii="宋体" w:hAnsi="宋体" w:cs="宋体"/>
          <w:color w:val="auto"/>
          <w:sz w:val="28"/>
          <w:szCs w:val="28"/>
          <w:highlight w:val="none"/>
          <w:lang w:eastAsia="zh-CN"/>
        </w:rPr>
        <w:t>供应商为供货代理商在具体采购合同项下的全部义务和责任向甲方承担无限连带保证责任。</w:t>
      </w:r>
      <w:r>
        <w:rPr>
          <w:rFonts w:hint="eastAsia" w:ascii="宋体" w:hAnsi="宋体" w:eastAsia="宋体" w:cs="宋体"/>
          <w:color w:val="auto"/>
          <w:sz w:val="28"/>
          <w:szCs w:val="28"/>
          <w:highlight w:val="none"/>
          <w:lang w:val="en-US" w:eastAsia="zh-CN"/>
        </w:rPr>
        <w:t xml:space="preserve"> </w:t>
      </w:r>
    </w:p>
    <w:p w14:paraId="3DE75EBD">
      <w:pPr>
        <w:keepNext w:val="0"/>
        <w:keepLines w:val="0"/>
        <w:pageBreakBefore w:val="0"/>
        <w:suppressAutoHyphens/>
        <w:kinsoku/>
        <w:wordWrap/>
        <w:overflowPunct/>
        <w:topLinePunct w:val="0"/>
        <w:autoSpaceDE/>
        <w:autoSpaceDN/>
        <w:bidi w:val="0"/>
        <w:adjustRightInd/>
        <w:snapToGrid/>
        <w:spacing w:line="360" w:lineRule="auto"/>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 xml:space="preserve">9.4.3随时接受并配合甲方的监督检查，且配合财政部门对甲方和其他入围供应商对框架协议执行情况进行监督，发现违规违约情形的，及时向财政部门报告。 </w:t>
      </w:r>
    </w:p>
    <w:p w14:paraId="24C294AC">
      <w:pPr>
        <w:keepNext w:val="0"/>
        <w:keepLines w:val="0"/>
        <w:pageBreakBefore w:val="0"/>
        <w:suppressAutoHyphens/>
        <w:kinsoku/>
        <w:wordWrap/>
        <w:overflowPunct/>
        <w:topLinePunct w:val="0"/>
        <w:autoSpaceDE/>
        <w:autoSpaceDN/>
        <w:bidi w:val="0"/>
        <w:adjustRightInd/>
        <w:snapToGrid/>
        <w:spacing w:line="360" w:lineRule="auto"/>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 xml:space="preserve">9.4.4在框架协议有效期内，乙方应按照不超过协议约定价格的定价，向甲方销售入围产品（包含专用耗材，如适用），并提供相关配套服务。 </w:t>
      </w:r>
    </w:p>
    <w:p w14:paraId="364FDB9F">
      <w:pPr>
        <w:keepNext w:val="0"/>
        <w:keepLines w:val="0"/>
        <w:pageBreakBefore w:val="0"/>
        <w:suppressAutoHyphens/>
        <w:kinsoku/>
        <w:wordWrap/>
        <w:overflowPunct/>
        <w:topLinePunct w:val="0"/>
        <w:autoSpaceDE/>
        <w:autoSpaceDN/>
        <w:bidi w:val="0"/>
        <w:adjustRightInd/>
        <w:snapToGrid/>
        <w:spacing w:line="360" w:lineRule="auto"/>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9.4.5乙方及其委托的代理商对本项目承担连带责任，乙方委托的代理商必须履行乙方在响应文件中承诺的责任和义务。</w:t>
      </w:r>
    </w:p>
    <w:p w14:paraId="63F54468">
      <w:pPr>
        <w:keepNext w:val="0"/>
        <w:keepLines w:val="0"/>
        <w:pageBreakBefore w:val="0"/>
        <w:suppressAutoHyphens/>
        <w:kinsoku/>
        <w:wordWrap/>
        <w:overflowPunct/>
        <w:topLinePunct w:val="0"/>
        <w:autoSpaceDE/>
        <w:autoSpaceDN/>
        <w:bidi w:val="0"/>
        <w:adjustRightInd/>
        <w:snapToGrid/>
        <w:spacing w:line="360" w:lineRule="auto"/>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lang w:val="en-US" w:eastAsia="zh-CN"/>
        </w:rPr>
        <w:t>9</w:t>
      </w:r>
      <w:r>
        <w:rPr>
          <w:rFonts w:hint="eastAsia" w:ascii="宋体" w:hAnsi="宋体" w:eastAsia="宋体" w:cs="宋体"/>
          <w:color w:val="auto"/>
          <w:kern w:val="0"/>
          <w:sz w:val="28"/>
          <w:szCs w:val="28"/>
          <w:highlight w:val="none"/>
        </w:rPr>
        <w:t>.</w:t>
      </w:r>
      <w:r>
        <w:rPr>
          <w:rFonts w:hint="eastAsia" w:ascii="宋体" w:hAnsi="宋体" w:eastAsia="宋体" w:cs="宋体"/>
          <w:color w:val="auto"/>
          <w:kern w:val="0"/>
          <w:sz w:val="28"/>
          <w:szCs w:val="28"/>
          <w:highlight w:val="none"/>
          <w:lang w:val="en-US" w:eastAsia="zh-CN"/>
        </w:rPr>
        <w:t>4.6</w:t>
      </w:r>
      <w:r>
        <w:rPr>
          <w:rFonts w:hint="eastAsia" w:ascii="宋体" w:hAnsi="宋体" w:eastAsia="宋体" w:cs="宋体"/>
          <w:color w:val="auto"/>
          <w:sz w:val="28"/>
          <w:szCs w:val="28"/>
          <w:highlight w:val="none"/>
        </w:rPr>
        <w:t>乙方应遵守相关法律法规，积极配合甲方做好采购工作，保证采购工作顺利进行。</w:t>
      </w:r>
      <w:r>
        <w:rPr>
          <w:rFonts w:hint="eastAsia" w:ascii="宋体" w:hAnsi="宋体" w:eastAsia="宋体" w:cs="宋体"/>
          <w:color w:val="auto"/>
          <w:kern w:val="0"/>
          <w:sz w:val="28"/>
          <w:szCs w:val="28"/>
          <w:highlight w:val="none"/>
        </w:rPr>
        <w:t>如由于乙方原因导致采购无法进行，乙方承担由此所造成的法律责任和甲方损失。</w:t>
      </w:r>
    </w:p>
    <w:p w14:paraId="6676D3EA">
      <w:pPr>
        <w:keepNext w:val="0"/>
        <w:keepLines w:val="0"/>
        <w:pageBreakBefore w:val="0"/>
        <w:suppressAutoHyphens/>
        <w:kinsoku/>
        <w:wordWrap/>
        <w:overflowPunct/>
        <w:topLinePunct w:val="0"/>
        <w:autoSpaceDE/>
        <w:autoSpaceDN/>
        <w:bidi w:val="0"/>
        <w:adjustRightInd/>
        <w:snapToGrid/>
        <w:spacing w:line="360" w:lineRule="auto"/>
        <w:ind w:firstLine="562" w:firstLineChars="20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第1</w:t>
      </w:r>
      <w:r>
        <w:rPr>
          <w:rFonts w:hint="eastAsia" w:ascii="宋体" w:hAnsi="宋体" w:eastAsia="宋体" w:cs="宋体"/>
          <w:b/>
          <w:color w:val="auto"/>
          <w:sz w:val="28"/>
          <w:szCs w:val="28"/>
          <w:highlight w:val="none"/>
          <w:lang w:val="en-US" w:eastAsia="zh-CN"/>
        </w:rPr>
        <w:t>0</w:t>
      </w:r>
      <w:r>
        <w:rPr>
          <w:rFonts w:hint="eastAsia" w:ascii="宋体" w:hAnsi="宋体" w:eastAsia="宋体" w:cs="宋体"/>
          <w:b/>
          <w:color w:val="auto"/>
          <w:sz w:val="28"/>
          <w:szCs w:val="28"/>
          <w:highlight w:val="none"/>
        </w:rPr>
        <w:t>条 协议纠纷处理方式</w:t>
      </w:r>
    </w:p>
    <w:p w14:paraId="55343AAE">
      <w:pPr>
        <w:keepNext w:val="0"/>
        <w:keepLines w:val="0"/>
        <w:pageBreakBefore w:val="0"/>
        <w:suppressAutoHyphens/>
        <w:kinsoku/>
        <w:wordWrap/>
        <w:overflowPunct/>
        <w:topLinePunct w:val="0"/>
        <w:autoSpaceDE/>
        <w:autoSpaceDN/>
        <w:bidi w:val="0"/>
        <w:adjustRightInd/>
        <w:snapToGrid/>
        <w:spacing w:line="360" w:lineRule="auto"/>
        <w:ind w:left="69" w:firstLine="48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因本合同或与本合同有关的一切事项发生争议，由双方友好协商解决。协商不成的，任何一方均可向甲方所在地人民法院提起诉讼。</w:t>
      </w:r>
    </w:p>
    <w:p w14:paraId="3F4A1DED">
      <w:pPr>
        <w:keepNext w:val="0"/>
        <w:keepLines w:val="0"/>
        <w:pageBreakBefore w:val="0"/>
        <w:suppressAutoHyphens/>
        <w:kinsoku/>
        <w:wordWrap/>
        <w:overflowPunct/>
        <w:topLinePunct w:val="0"/>
        <w:autoSpaceDE/>
        <w:autoSpaceDN/>
        <w:bidi w:val="0"/>
        <w:adjustRightInd/>
        <w:snapToGrid/>
        <w:spacing w:line="360" w:lineRule="auto"/>
        <w:ind w:firstLine="0" w:firstLineChars="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第1</w:t>
      </w:r>
      <w:r>
        <w:rPr>
          <w:rFonts w:hint="eastAsia" w:ascii="宋体" w:hAnsi="宋体" w:eastAsia="宋体" w:cs="宋体"/>
          <w:b/>
          <w:color w:val="auto"/>
          <w:sz w:val="28"/>
          <w:szCs w:val="28"/>
          <w:highlight w:val="none"/>
          <w:lang w:val="en-US" w:eastAsia="zh-CN"/>
        </w:rPr>
        <w:t>1</w:t>
      </w:r>
      <w:r>
        <w:rPr>
          <w:rFonts w:hint="eastAsia" w:ascii="宋体" w:hAnsi="宋体" w:eastAsia="宋体" w:cs="宋体"/>
          <w:b/>
          <w:color w:val="auto"/>
          <w:sz w:val="28"/>
          <w:szCs w:val="28"/>
          <w:highlight w:val="none"/>
        </w:rPr>
        <w:t>条 其他约定</w:t>
      </w:r>
    </w:p>
    <w:p w14:paraId="3F067457">
      <w:pPr>
        <w:keepNext w:val="0"/>
        <w:keepLines w:val="0"/>
        <w:pageBreakBefore w:val="0"/>
        <w:suppressAutoHyphens/>
        <w:kinsoku/>
        <w:wordWrap/>
        <w:overflowPunct/>
        <w:topLinePunct w:val="0"/>
        <w:autoSpaceDE/>
        <w:autoSpaceDN/>
        <w:bidi w:val="0"/>
        <w:adjustRightInd/>
        <w:snapToGrid/>
        <w:spacing w:line="360" w:lineRule="auto"/>
        <w:ind w:left="0" w:firstLine="560" w:firstLineChars="200"/>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1</w:t>
      </w:r>
      <w:r>
        <w:rPr>
          <w:rFonts w:hint="eastAsia" w:ascii="宋体" w:hAnsi="宋体" w:eastAsia="宋体" w:cs="宋体"/>
          <w:color w:val="auto"/>
          <w:kern w:val="0"/>
          <w:sz w:val="28"/>
          <w:szCs w:val="28"/>
          <w:highlight w:val="none"/>
          <w:lang w:val="en-US" w:eastAsia="zh-CN"/>
        </w:rPr>
        <w:t>1</w:t>
      </w:r>
      <w:r>
        <w:rPr>
          <w:rFonts w:hint="eastAsia" w:ascii="宋体" w:hAnsi="宋体" w:eastAsia="宋体" w:cs="宋体"/>
          <w:color w:val="auto"/>
          <w:kern w:val="0"/>
          <w:sz w:val="28"/>
          <w:szCs w:val="28"/>
          <w:highlight w:val="none"/>
        </w:rPr>
        <w:t>.1本协议未尽事宜，</w:t>
      </w:r>
      <w:r>
        <w:rPr>
          <w:rFonts w:hint="eastAsia" w:ascii="宋体" w:hAnsi="宋体" w:eastAsia="宋体" w:cs="宋体"/>
          <w:color w:val="auto"/>
          <w:kern w:val="0"/>
          <w:sz w:val="28"/>
          <w:szCs w:val="28"/>
          <w:highlight w:val="none"/>
          <w:lang w:val="en-US" w:eastAsia="zh-CN"/>
        </w:rPr>
        <w:t>甲乙</w:t>
      </w:r>
      <w:r>
        <w:rPr>
          <w:rFonts w:hint="eastAsia" w:ascii="宋体" w:hAnsi="宋体" w:eastAsia="宋体" w:cs="宋体"/>
          <w:color w:val="auto"/>
          <w:kern w:val="0"/>
          <w:sz w:val="28"/>
          <w:szCs w:val="28"/>
          <w:highlight w:val="none"/>
        </w:rPr>
        <w:t>双方另行补充。</w:t>
      </w:r>
      <w:r>
        <w:rPr>
          <w:rFonts w:hint="eastAsia" w:ascii="宋体" w:hAnsi="宋体" w:eastAsia="宋体" w:cs="宋体"/>
          <w:color w:val="auto"/>
          <w:kern w:val="2"/>
          <w:sz w:val="28"/>
          <w:szCs w:val="28"/>
          <w:highlight w:val="none"/>
        </w:rPr>
        <w:t>甲方发布的征集文件及乙方递交的响应文件为本框架协议的组成部分。</w:t>
      </w:r>
    </w:p>
    <w:p w14:paraId="134CA830">
      <w:pPr>
        <w:keepNext w:val="0"/>
        <w:keepLines w:val="0"/>
        <w:pageBreakBefore w:val="0"/>
        <w:suppressAutoHyphens/>
        <w:kinsoku/>
        <w:wordWrap/>
        <w:overflowPunct/>
        <w:topLinePunct w:val="0"/>
        <w:autoSpaceDE/>
        <w:autoSpaceDN/>
        <w:bidi w:val="0"/>
        <w:adjustRightInd/>
        <w:snapToGrid/>
        <w:spacing w:line="360" w:lineRule="auto"/>
        <w:ind w:left="0" w:firstLine="560" w:firstLineChars="200"/>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1</w:t>
      </w:r>
      <w:r>
        <w:rPr>
          <w:rFonts w:hint="eastAsia" w:ascii="宋体" w:hAnsi="宋体" w:eastAsia="宋体" w:cs="宋体"/>
          <w:color w:val="auto"/>
          <w:kern w:val="0"/>
          <w:sz w:val="28"/>
          <w:szCs w:val="28"/>
          <w:highlight w:val="none"/>
          <w:lang w:val="en-US" w:eastAsia="zh-CN"/>
        </w:rPr>
        <w:t>1</w:t>
      </w:r>
      <w:r>
        <w:rPr>
          <w:rFonts w:hint="eastAsia" w:ascii="宋体" w:hAnsi="宋体" w:eastAsia="宋体" w:cs="宋体"/>
          <w:color w:val="auto"/>
          <w:kern w:val="0"/>
          <w:sz w:val="28"/>
          <w:szCs w:val="28"/>
          <w:highlight w:val="none"/>
        </w:rPr>
        <w:t>.2乙方同意，由乙方直接向</w:t>
      </w:r>
      <w:r>
        <w:rPr>
          <w:rFonts w:hint="eastAsia" w:ascii="宋体" w:hAnsi="宋体" w:eastAsia="宋体" w:cs="宋体"/>
          <w:color w:val="auto"/>
          <w:kern w:val="0"/>
          <w:sz w:val="28"/>
          <w:szCs w:val="28"/>
          <w:highlight w:val="none"/>
          <w:lang w:eastAsia="zh-CN"/>
        </w:rPr>
        <w:t>甲方</w:t>
      </w:r>
      <w:r>
        <w:rPr>
          <w:rFonts w:hint="eastAsia" w:ascii="宋体" w:hAnsi="宋体" w:eastAsia="宋体" w:cs="宋体"/>
          <w:color w:val="auto"/>
          <w:kern w:val="0"/>
          <w:sz w:val="28"/>
          <w:szCs w:val="28"/>
          <w:highlight w:val="none"/>
        </w:rPr>
        <w:t>履行安装调试、售后服务等义务。</w:t>
      </w:r>
    </w:p>
    <w:p w14:paraId="57405FBE">
      <w:pPr>
        <w:keepNext w:val="0"/>
        <w:keepLines w:val="0"/>
        <w:pageBreakBefore w:val="0"/>
        <w:suppressAutoHyphens/>
        <w:kinsoku/>
        <w:wordWrap/>
        <w:overflowPunct/>
        <w:topLinePunct w:val="0"/>
        <w:autoSpaceDE/>
        <w:autoSpaceDN/>
        <w:bidi w:val="0"/>
        <w:adjustRightInd/>
        <w:snapToGrid/>
        <w:spacing w:line="360" w:lineRule="auto"/>
        <w:ind w:left="0" w:firstLine="560" w:firstLineChars="200"/>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1</w:t>
      </w:r>
      <w:r>
        <w:rPr>
          <w:rFonts w:hint="eastAsia" w:ascii="宋体" w:hAnsi="宋体" w:eastAsia="宋体" w:cs="宋体"/>
          <w:color w:val="auto"/>
          <w:kern w:val="0"/>
          <w:sz w:val="28"/>
          <w:szCs w:val="28"/>
          <w:highlight w:val="none"/>
          <w:lang w:val="en-US" w:eastAsia="zh-CN"/>
        </w:rPr>
        <w:t>1</w:t>
      </w:r>
      <w:r>
        <w:rPr>
          <w:rFonts w:hint="eastAsia" w:ascii="宋体" w:hAnsi="宋体" w:eastAsia="宋体" w:cs="宋体"/>
          <w:color w:val="auto"/>
          <w:kern w:val="0"/>
          <w:sz w:val="28"/>
          <w:szCs w:val="28"/>
          <w:highlight w:val="none"/>
        </w:rPr>
        <w:t>.3本合同</w:t>
      </w:r>
      <w:r>
        <w:rPr>
          <w:rFonts w:hint="default" w:ascii="宋体" w:hAnsi="宋体" w:cs="宋体"/>
          <w:color w:val="auto"/>
          <w:kern w:val="0"/>
          <w:sz w:val="28"/>
          <w:szCs w:val="28"/>
          <w:highlight w:val="none"/>
        </w:rPr>
        <w:t>自</w:t>
      </w:r>
      <w:r>
        <w:rPr>
          <w:rFonts w:hint="eastAsia" w:ascii="宋体" w:hAnsi="宋体" w:eastAsia="宋体" w:cs="宋体"/>
          <w:color w:val="auto"/>
          <w:kern w:val="0"/>
          <w:sz w:val="28"/>
          <w:szCs w:val="28"/>
          <w:highlight w:val="none"/>
        </w:rPr>
        <w:t>双方签订之日起生效。一式</w:t>
      </w:r>
      <w:r>
        <w:rPr>
          <w:rFonts w:hint="eastAsia" w:ascii="宋体" w:hAnsi="宋体" w:eastAsia="宋体" w:cs="宋体"/>
          <w:color w:val="auto"/>
          <w:kern w:val="0"/>
          <w:sz w:val="28"/>
          <w:szCs w:val="28"/>
          <w:highlight w:val="none"/>
          <w:u w:val="single"/>
        </w:rPr>
        <w:t>伍</w:t>
      </w:r>
      <w:r>
        <w:rPr>
          <w:rFonts w:hint="eastAsia" w:ascii="宋体" w:hAnsi="宋体" w:eastAsia="宋体" w:cs="宋体"/>
          <w:color w:val="auto"/>
          <w:kern w:val="0"/>
          <w:sz w:val="28"/>
          <w:szCs w:val="28"/>
          <w:highlight w:val="none"/>
        </w:rPr>
        <w:t>份，甲方</w:t>
      </w:r>
      <w:r>
        <w:rPr>
          <w:rFonts w:hint="eastAsia" w:ascii="宋体" w:hAnsi="宋体" w:eastAsia="宋体" w:cs="宋体"/>
          <w:color w:val="auto"/>
          <w:kern w:val="0"/>
          <w:sz w:val="28"/>
          <w:szCs w:val="28"/>
          <w:highlight w:val="none"/>
          <w:u w:val="single"/>
        </w:rPr>
        <w:t>贰</w:t>
      </w:r>
      <w:r>
        <w:rPr>
          <w:rFonts w:hint="eastAsia" w:ascii="宋体" w:hAnsi="宋体" w:eastAsia="宋体" w:cs="宋体"/>
          <w:color w:val="auto"/>
          <w:kern w:val="0"/>
          <w:sz w:val="28"/>
          <w:szCs w:val="28"/>
          <w:highlight w:val="none"/>
        </w:rPr>
        <w:t>份，乙方</w:t>
      </w:r>
      <w:r>
        <w:rPr>
          <w:rFonts w:hint="eastAsia" w:ascii="宋体" w:hAnsi="宋体" w:eastAsia="宋体" w:cs="宋体"/>
          <w:color w:val="auto"/>
          <w:kern w:val="0"/>
          <w:sz w:val="28"/>
          <w:szCs w:val="28"/>
          <w:highlight w:val="none"/>
          <w:u w:val="single"/>
        </w:rPr>
        <w:t>贰</w:t>
      </w:r>
      <w:r>
        <w:rPr>
          <w:rFonts w:hint="eastAsia" w:ascii="宋体" w:hAnsi="宋体" w:eastAsia="宋体" w:cs="宋体"/>
          <w:color w:val="auto"/>
          <w:kern w:val="0"/>
          <w:sz w:val="28"/>
          <w:szCs w:val="28"/>
          <w:highlight w:val="none"/>
        </w:rPr>
        <w:t>份，送厦门市财政局政府采购监管处备案</w:t>
      </w:r>
      <w:r>
        <w:rPr>
          <w:rFonts w:hint="eastAsia" w:ascii="宋体" w:hAnsi="宋体" w:eastAsia="宋体" w:cs="宋体"/>
          <w:color w:val="auto"/>
          <w:kern w:val="0"/>
          <w:sz w:val="28"/>
          <w:szCs w:val="28"/>
          <w:highlight w:val="none"/>
          <w:u w:val="single"/>
          <w:lang w:val="en-US" w:eastAsia="zh-CN"/>
        </w:rPr>
        <w:t>壹</w:t>
      </w:r>
      <w:r>
        <w:rPr>
          <w:rFonts w:hint="eastAsia" w:ascii="宋体" w:hAnsi="宋体" w:eastAsia="宋体" w:cs="宋体"/>
          <w:color w:val="auto"/>
          <w:kern w:val="0"/>
          <w:sz w:val="28"/>
          <w:szCs w:val="28"/>
          <w:highlight w:val="none"/>
        </w:rPr>
        <w:t>份，具有同等效力。</w:t>
      </w:r>
    </w:p>
    <w:p w14:paraId="6E29D875">
      <w:pPr>
        <w:keepNext w:val="0"/>
        <w:keepLines w:val="0"/>
        <w:pageBreakBefore w:val="0"/>
        <w:suppressAutoHyphens/>
        <w:kinsoku/>
        <w:wordWrap/>
        <w:overflowPunct/>
        <w:topLinePunct w:val="0"/>
        <w:autoSpaceDE/>
        <w:autoSpaceDN/>
        <w:bidi w:val="0"/>
        <w:adjustRightInd/>
        <w:snapToGrid/>
        <w:spacing w:line="360" w:lineRule="auto"/>
        <w:ind w:left="69" w:firstLine="60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 xml:space="preserve"> (以下无正文)</w:t>
      </w:r>
    </w:p>
    <w:p w14:paraId="59B4A2C3">
      <w:pPr>
        <w:suppressAutoHyphens/>
        <w:bidi w:val="0"/>
        <w:rPr>
          <w:rFonts w:hint="eastAsia" w:ascii="宋体" w:hAnsi="宋体" w:eastAsia="宋体" w:cs="宋体"/>
          <w:color w:val="auto"/>
          <w:sz w:val="28"/>
          <w:szCs w:val="28"/>
          <w:highlight w:val="none"/>
        </w:rPr>
      </w:pPr>
    </w:p>
    <w:tbl>
      <w:tblPr>
        <w:tblStyle w:val="14"/>
        <w:tblW w:w="4999" w:type="pct"/>
        <w:jc w:val="center"/>
        <w:tblLayout w:type="autofit"/>
        <w:tblCellMar>
          <w:top w:w="0" w:type="dxa"/>
          <w:left w:w="10" w:type="dxa"/>
          <w:bottom w:w="0" w:type="dxa"/>
          <w:right w:w="10" w:type="dxa"/>
        </w:tblCellMar>
      </w:tblPr>
      <w:tblGrid>
        <w:gridCol w:w="1319"/>
        <w:gridCol w:w="3143"/>
        <w:gridCol w:w="1221"/>
        <w:gridCol w:w="2837"/>
      </w:tblGrid>
      <w:tr w14:paraId="0D8C7D98">
        <w:tblPrEx>
          <w:tblCellMar>
            <w:top w:w="0" w:type="dxa"/>
            <w:left w:w="10" w:type="dxa"/>
            <w:bottom w:w="0" w:type="dxa"/>
            <w:right w:w="10" w:type="dxa"/>
          </w:tblCellMar>
        </w:tblPrEx>
        <w:trPr>
          <w:trHeight w:val="567" w:hRule="atLeast"/>
          <w:jc w:val="center"/>
        </w:trPr>
        <w:tc>
          <w:tcPr>
            <w:tcW w:w="774" w:type="pct"/>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635C8B2A">
            <w:pPr>
              <w:keepNext w:val="0"/>
              <w:keepLines w:val="0"/>
              <w:pageBreakBefore w:val="0"/>
              <w:widowControl w:val="0"/>
              <w:suppressLineNumbers w:val="0"/>
              <w:tabs>
                <w:tab w:val="center" w:pos="4153"/>
                <w:tab w:val="right" w:pos="8306"/>
              </w:tabs>
              <w:suppressAutoHyphens/>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甲</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方：</w:t>
            </w:r>
          </w:p>
        </w:tc>
        <w:tc>
          <w:tcPr>
            <w:tcW w:w="1844" w:type="pct"/>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1C13A94C">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sz w:val="28"/>
                <w:szCs w:val="28"/>
                <w:highlight w:val="none"/>
              </w:rPr>
            </w:pPr>
          </w:p>
        </w:tc>
        <w:tc>
          <w:tcPr>
            <w:tcW w:w="716" w:type="pct"/>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4EC75E12">
            <w:pPr>
              <w:keepNext w:val="0"/>
              <w:keepLines w:val="0"/>
              <w:pageBreakBefore w:val="0"/>
              <w:widowControl w:val="0"/>
              <w:suppressLineNumbers w:val="0"/>
              <w:tabs>
                <w:tab w:val="center" w:pos="4153"/>
                <w:tab w:val="right" w:pos="8306"/>
              </w:tabs>
              <w:suppressAutoHyphens/>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乙</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方：</w:t>
            </w:r>
          </w:p>
        </w:tc>
        <w:tc>
          <w:tcPr>
            <w:tcW w:w="1664" w:type="pct"/>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44B157DA">
            <w:pPr>
              <w:keepNext w:val="0"/>
              <w:keepLines w:val="0"/>
              <w:pageBreakBefore w:val="0"/>
              <w:widowControl w:val="0"/>
              <w:suppressLineNumbers w:val="0"/>
              <w:tabs>
                <w:tab w:val="center" w:pos="4153"/>
                <w:tab w:val="right" w:pos="8306"/>
              </w:tabs>
              <w:suppressAutoHyphens/>
              <w:kinsoku/>
              <w:wordWrap/>
              <w:overflowPunct/>
              <w:topLinePunct w:val="0"/>
              <w:autoSpaceDE/>
              <w:autoSpaceDN/>
              <w:bidi w:val="0"/>
              <w:adjustRightInd/>
              <w:snapToGrid/>
              <w:spacing w:before="0" w:beforeAutospacing="0" w:after="0" w:afterAutospacing="0" w:line="240" w:lineRule="auto"/>
              <w:ind w:left="0" w:right="-123"/>
              <w:textAlignment w:val="auto"/>
              <w:rPr>
                <w:rFonts w:hint="eastAsia" w:ascii="宋体" w:hAnsi="宋体" w:eastAsia="宋体" w:cs="宋体"/>
                <w:color w:val="auto"/>
                <w:sz w:val="28"/>
                <w:szCs w:val="28"/>
                <w:highlight w:val="none"/>
              </w:rPr>
            </w:pPr>
          </w:p>
        </w:tc>
      </w:tr>
      <w:tr w14:paraId="18166C60">
        <w:tblPrEx>
          <w:tblCellMar>
            <w:top w:w="0" w:type="dxa"/>
            <w:left w:w="10" w:type="dxa"/>
            <w:bottom w:w="0" w:type="dxa"/>
            <w:right w:w="10" w:type="dxa"/>
          </w:tblCellMar>
        </w:tblPrEx>
        <w:trPr>
          <w:trHeight w:val="567" w:hRule="atLeast"/>
          <w:jc w:val="center"/>
        </w:trPr>
        <w:tc>
          <w:tcPr>
            <w:tcW w:w="774" w:type="pct"/>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06B3A31C">
            <w:pPr>
              <w:keepNext w:val="0"/>
              <w:keepLines w:val="0"/>
              <w:pageBreakBefore w:val="0"/>
              <w:widowControl w:val="0"/>
              <w:suppressLineNumbers w:val="0"/>
              <w:tabs>
                <w:tab w:val="center" w:pos="4153"/>
                <w:tab w:val="right" w:pos="8306"/>
              </w:tabs>
              <w:suppressAutoHyphens/>
              <w:kinsoku/>
              <w:wordWrap/>
              <w:overflowPunct/>
              <w:topLinePunct w:val="0"/>
              <w:autoSpaceDE/>
              <w:autoSpaceDN/>
              <w:bidi w:val="0"/>
              <w:adjustRightInd/>
              <w:snapToGrid/>
              <w:spacing w:before="0" w:beforeAutospacing="0" w:after="0" w:afterAutospacing="0" w:line="240" w:lineRule="auto"/>
              <w:ind w:left="0" w:right="-123"/>
              <w:jc w:val="left"/>
              <w:textAlignment w:val="auto"/>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单位地址：</w:t>
            </w:r>
          </w:p>
        </w:tc>
        <w:tc>
          <w:tcPr>
            <w:tcW w:w="1844" w:type="pct"/>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37A85684">
            <w:pPr>
              <w:keepNext w:val="0"/>
              <w:keepLines w:val="0"/>
              <w:pageBreakBefore w:val="0"/>
              <w:widowControl w:val="0"/>
              <w:suppressLineNumbers w:val="0"/>
              <w:tabs>
                <w:tab w:val="center" w:pos="4153"/>
                <w:tab w:val="right" w:pos="8306"/>
              </w:tabs>
              <w:suppressAutoHyphens/>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kern w:val="2"/>
                <w:sz w:val="28"/>
                <w:szCs w:val="28"/>
                <w:highlight w:val="none"/>
                <w:lang w:val="en-US" w:eastAsia="zh-CN" w:bidi="ar-SA"/>
              </w:rPr>
            </w:pPr>
          </w:p>
        </w:tc>
        <w:tc>
          <w:tcPr>
            <w:tcW w:w="716" w:type="pct"/>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5FAD17B2">
            <w:pPr>
              <w:keepNext w:val="0"/>
              <w:keepLines w:val="0"/>
              <w:pageBreakBefore w:val="0"/>
              <w:widowControl w:val="0"/>
              <w:suppressLineNumbers w:val="0"/>
              <w:tabs>
                <w:tab w:val="center" w:pos="4153"/>
                <w:tab w:val="right" w:pos="8306"/>
              </w:tabs>
              <w:suppressAutoHyphens/>
              <w:kinsoku/>
              <w:wordWrap/>
              <w:overflowPunct/>
              <w:topLinePunct w:val="0"/>
              <w:autoSpaceDE/>
              <w:autoSpaceDN/>
              <w:bidi w:val="0"/>
              <w:adjustRightInd/>
              <w:snapToGrid/>
              <w:spacing w:before="0" w:beforeAutospacing="0" w:after="0" w:afterAutospacing="0" w:line="240" w:lineRule="auto"/>
              <w:ind w:left="0" w:right="-59"/>
              <w:jc w:val="left"/>
              <w:textAlignment w:val="auto"/>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 xml:space="preserve">单位地址： </w:t>
            </w:r>
          </w:p>
        </w:tc>
        <w:tc>
          <w:tcPr>
            <w:tcW w:w="1664" w:type="pct"/>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1BE7A596">
            <w:pPr>
              <w:keepNext w:val="0"/>
              <w:keepLines w:val="0"/>
              <w:pageBreakBefore w:val="0"/>
              <w:widowControl w:val="0"/>
              <w:suppressLineNumbers w:val="0"/>
              <w:tabs>
                <w:tab w:val="center" w:pos="4153"/>
                <w:tab w:val="right" w:pos="8306"/>
              </w:tabs>
              <w:suppressAutoHyphens/>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color w:val="auto"/>
                <w:kern w:val="2"/>
                <w:sz w:val="28"/>
                <w:szCs w:val="28"/>
                <w:highlight w:val="none"/>
                <w:lang w:val="en-US" w:eastAsia="zh-CN" w:bidi="ar-SA"/>
              </w:rPr>
            </w:pPr>
          </w:p>
        </w:tc>
      </w:tr>
      <w:tr w14:paraId="219A29F1">
        <w:tblPrEx>
          <w:tblCellMar>
            <w:top w:w="0" w:type="dxa"/>
            <w:left w:w="10" w:type="dxa"/>
            <w:bottom w:w="0" w:type="dxa"/>
            <w:right w:w="10" w:type="dxa"/>
          </w:tblCellMar>
        </w:tblPrEx>
        <w:trPr>
          <w:trHeight w:val="567" w:hRule="atLeast"/>
          <w:jc w:val="center"/>
        </w:trPr>
        <w:tc>
          <w:tcPr>
            <w:tcW w:w="774" w:type="pct"/>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620853A3">
            <w:pPr>
              <w:keepNext w:val="0"/>
              <w:keepLines w:val="0"/>
              <w:pageBreakBefore w:val="0"/>
              <w:widowControl w:val="0"/>
              <w:suppressLineNumbers w:val="0"/>
              <w:tabs>
                <w:tab w:val="center" w:pos="4153"/>
                <w:tab w:val="right" w:pos="8306"/>
              </w:tabs>
              <w:suppressAutoHyphens/>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法定代表人</w:t>
            </w:r>
          </w:p>
        </w:tc>
        <w:tc>
          <w:tcPr>
            <w:tcW w:w="1844" w:type="pct"/>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5E210AA5">
            <w:pPr>
              <w:keepNext w:val="0"/>
              <w:keepLines w:val="0"/>
              <w:pageBreakBefore w:val="0"/>
              <w:widowControl w:val="0"/>
              <w:suppressLineNumbers w:val="0"/>
              <w:tabs>
                <w:tab w:val="center" w:pos="4153"/>
                <w:tab w:val="right" w:pos="8306"/>
              </w:tabs>
              <w:suppressAutoHyphens/>
              <w:kinsoku/>
              <w:wordWrap/>
              <w:overflowPunct/>
              <w:topLinePunct w:val="0"/>
              <w:autoSpaceDE/>
              <w:autoSpaceDN/>
              <w:bidi w:val="0"/>
              <w:adjustRightInd/>
              <w:snapToGrid/>
              <w:spacing w:before="0" w:beforeAutospacing="0" w:after="0" w:afterAutospacing="0" w:line="240" w:lineRule="auto"/>
              <w:ind w:left="0" w:right="-59" w:rightChars="0"/>
              <w:jc w:val="left"/>
              <w:textAlignment w:val="auto"/>
              <w:rPr>
                <w:rFonts w:hint="eastAsia" w:ascii="宋体" w:hAnsi="宋体" w:eastAsia="宋体" w:cs="宋体"/>
                <w:color w:val="auto"/>
                <w:kern w:val="2"/>
                <w:sz w:val="28"/>
                <w:szCs w:val="28"/>
                <w:highlight w:val="none"/>
                <w:lang w:val="en-US" w:eastAsia="zh-CN" w:bidi="ar-SA"/>
              </w:rPr>
            </w:pPr>
          </w:p>
        </w:tc>
        <w:tc>
          <w:tcPr>
            <w:tcW w:w="716" w:type="pct"/>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13FD707E">
            <w:pPr>
              <w:keepNext w:val="0"/>
              <w:keepLines w:val="0"/>
              <w:pageBreakBefore w:val="0"/>
              <w:widowControl w:val="0"/>
              <w:suppressLineNumbers w:val="0"/>
              <w:tabs>
                <w:tab w:val="center" w:pos="4153"/>
                <w:tab w:val="right" w:pos="8306"/>
              </w:tabs>
              <w:suppressAutoHyphens/>
              <w:kinsoku/>
              <w:wordWrap/>
              <w:overflowPunct/>
              <w:topLinePunct w:val="0"/>
              <w:autoSpaceDE/>
              <w:autoSpaceDN/>
              <w:bidi w:val="0"/>
              <w:adjustRightInd/>
              <w:snapToGrid/>
              <w:spacing w:before="0" w:beforeAutospacing="0" w:after="0" w:afterAutospacing="0" w:line="240" w:lineRule="auto"/>
              <w:ind w:left="0" w:right="-59"/>
              <w:jc w:val="left"/>
              <w:textAlignment w:val="auto"/>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法定代表人</w:t>
            </w:r>
          </w:p>
        </w:tc>
        <w:tc>
          <w:tcPr>
            <w:tcW w:w="1664" w:type="pct"/>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3BEA57EC">
            <w:pPr>
              <w:keepNext w:val="0"/>
              <w:keepLines w:val="0"/>
              <w:pageBreakBefore w:val="0"/>
              <w:widowControl w:val="0"/>
              <w:suppressLineNumbers w:val="0"/>
              <w:tabs>
                <w:tab w:val="center" w:pos="4153"/>
                <w:tab w:val="right" w:pos="8306"/>
              </w:tabs>
              <w:suppressAutoHyphens/>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color w:val="auto"/>
                <w:kern w:val="2"/>
                <w:sz w:val="28"/>
                <w:szCs w:val="28"/>
                <w:highlight w:val="none"/>
                <w:lang w:val="en-US" w:eastAsia="zh-CN" w:bidi="ar-SA"/>
              </w:rPr>
            </w:pPr>
          </w:p>
        </w:tc>
      </w:tr>
      <w:tr w14:paraId="09CC2C20">
        <w:tblPrEx>
          <w:tblCellMar>
            <w:top w:w="0" w:type="dxa"/>
            <w:left w:w="10" w:type="dxa"/>
            <w:bottom w:w="0" w:type="dxa"/>
            <w:right w:w="10" w:type="dxa"/>
          </w:tblCellMar>
        </w:tblPrEx>
        <w:trPr>
          <w:trHeight w:val="567" w:hRule="atLeast"/>
          <w:jc w:val="center"/>
        </w:trPr>
        <w:tc>
          <w:tcPr>
            <w:tcW w:w="774" w:type="pct"/>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1A8BEA6D">
            <w:pPr>
              <w:keepNext w:val="0"/>
              <w:keepLines w:val="0"/>
              <w:pageBreakBefore w:val="0"/>
              <w:widowControl w:val="0"/>
              <w:suppressLineNumbers w:val="0"/>
              <w:tabs>
                <w:tab w:val="center" w:pos="4153"/>
                <w:tab w:val="right" w:pos="8306"/>
              </w:tabs>
              <w:suppressAutoHyphens/>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签字代表：</w:t>
            </w:r>
          </w:p>
        </w:tc>
        <w:tc>
          <w:tcPr>
            <w:tcW w:w="1844" w:type="pct"/>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391E74E2">
            <w:pPr>
              <w:keepNext w:val="0"/>
              <w:keepLines w:val="0"/>
              <w:pageBreakBefore w:val="0"/>
              <w:widowControl w:val="0"/>
              <w:suppressLineNumbers w:val="0"/>
              <w:tabs>
                <w:tab w:val="center" w:pos="4153"/>
                <w:tab w:val="right" w:pos="8306"/>
              </w:tabs>
              <w:suppressAutoHyphens/>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kern w:val="2"/>
                <w:sz w:val="28"/>
                <w:szCs w:val="28"/>
                <w:highlight w:val="none"/>
                <w:lang w:val="en-US" w:eastAsia="zh-CN" w:bidi="ar-SA"/>
              </w:rPr>
            </w:pPr>
          </w:p>
        </w:tc>
        <w:tc>
          <w:tcPr>
            <w:tcW w:w="716" w:type="pct"/>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2CA85ED4">
            <w:pPr>
              <w:keepNext w:val="0"/>
              <w:keepLines w:val="0"/>
              <w:pageBreakBefore w:val="0"/>
              <w:widowControl w:val="0"/>
              <w:suppressLineNumbers w:val="0"/>
              <w:tabs>
                <w:tab w:val="center" w:pos="4153"/>
                <w:tab w:val="right" w:pos="8306"/>
              </w:tabs>
              <w:suppressAutoHyphens/>
              <w:kinsoku/>
              <w:wordWrap/>
              <w:overflowPunct/>
              <w:topLinePunct w:val="0"/>
              <w:autoSpaceDE/>
              <w:autoSpaceDN/>
              <w:bidi w:val="0"/>
              <w:adjustRightInd/>
              <w:snapToGrid/>
              <w:spacing w:before="0" w:beforeAutospacing="0" w:after="0" w:afterAutospacing="0" w:line="240" w:lineRule="auto"/>
              <w:ind w:left="0" w:right="-59"/>
              <w:jc w:val="left"/>
              <w:textAlignment w:val="auto"/>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签字代表：</w:t>
            </w:r>
          </w:p>
        </w:tc>
        <w:tc>
          <w:tcPr>
            <w:tcW w:w="1664" w:type="pct"/>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0C684B01">
            <w:pPr>
              <w:keepNext w:val="0"/>
              <w:keepLines w:val="0"/>
              <w:pageBreakBefore w:val="0"/>
              <w:widowControl w:val="0"/>
              <w:suppressLineNumbers w:val="0"/>
              <w:tabs>
                <w:tab w:val="center" w:pos="4153"/>
                <w:tab w:val="right" w:pos="8306"/>
              </w:tabs>
              <w:suppressAutoHyphens/>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color w:val="auto"/>
                <w:kern w:val="2"/>
                <w:sz w:val="28"/>
                <w:szCs w:val="28"/>
                <w:highlight w:val="none"/>
                <w:lang w:val="en-US" w:eastAsia="zh-CN" w:bidi="ar-SA"/>
              </w:rPr>
            </w:pPr>
          </w:p>
        </w:tc>
      </w:tr>
      <w:tr w14:paraId="27D6B49F">
        <w:tblPrEx>
          <w:tblCellMar>
            <w:top w:w="0" w:type="dxa"/>
            <w:left w:w="10" w:type="dxa"/>
            <w:bottom w:w="0" w:type="dxa"/>
            <w:right w:w="10" w:type="dxa"/>
          </w:tblCellMar>
        </w:tblPrEx>
        <w:trPr>
          <w:trHeight w:val="567" w:hRule="atLeast"/>
          <w:jc w:val="center"/>
        </w:trPr>
        <w:tc>
          <w:tcPr>
            <w:tcW w:w="774" w:type="pct"/>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1F5F9D2E">
            <w:pPr>
              <w:keepNext w:val="0"/>
              <w:keepLines w:val="0"/>
              <w:pageBreakBefore w:val="0"/>
              <w:widowControl w:val="0"/>
              <w:suppressLineNumbers w:val="0"/>
              <w:tabs>
                <w:tab w:val="center" w:pos="4153"/>
                <w:tab w:val="right" w:pos="8306"/>
              </w:tabs>
              <w:suppressAutoHyphens/>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开户行：</w:t>
            </w:r>
          </w:p>
        </w:tc>
        <w:tc>
          <w:tcPr>
            <w:tcW w:w="1844" w:type="pct"/>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0DBD8385">
            <w:pPr>
              <w:keepNext w:val="0"/>
              <w:keepLines w:val="0"/>
              <w:pageBreakBefore w:val="0"/>
              <w:widowControl w:val="0"/>
              <w:suppressLineNumbers w:val="0"/>
              <w:tabs>
                <w:tab w:val="center" w:pos="4153"/>
                <w:tab w:val="right" w:pos="8306"/>
              </w:tabs>
              <w:suppressAutoHyphens/>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color w:val="auto"/>
                <w:kern w:val="2"/>
                <w:sz w:val="28"/>
                <w:szCs w:val="28"/>
                <w:highlight w:val="none"/>
                <w:lang w:val="en-US" w:eastAsia="zh-CN" w:bidi="ar-SA"/>
              </w:rPr>
            </w:pPr>
          </w:p>
        </w:tc>
        <w:tc>
          <w:tcPr>
            <w:tcW w:w="716" w:type="pct"/>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45BF9437">
            <w:pPr>
              <w:keepNext w:val="0"/>
              <w:keepLines w:val="0"/>
              <w:pageBreakBefore w:val="0"/>
              <w:widowControl w:val="0"/>
              <w:suppressLineNumbers w:val="0"/>
              <w:tabs>
                <w:tab w:val="center" w:pos="4153"/>
                <w:tab w:val="right" w:pos="8306"/>
              </w:tabs>
              <w:suppressAutoHyphens/>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开户行：</w:t>
            </w:r>
          </w:p>
        </w:tc>
        <w:tc>
          <w:tcPr>
            <w:tcW w:w="1664" w:type="pct"/>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17A39556">
            <w:pPr>
              <w:keepNext w:val="0"/>
              <w:keepLines w:val="0"/>
              <w:pageBreakBefore w:val="0"/>
              <w:widowControl w:val="0"/>
              <w:suppressLineNumbers w:val="0"/>
              <w:tabs>
                <w:tab w:val="center" w:pos="4153"/>
                <w:tab w:val="right" w:pos="8306"/>
              </w:tabs>
              <w:suppressAutoHyphens/>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color w:val="auto"/>
                <w:kern w:val="2"/>
                <w:sz w:val="28"/>
                <w:szCs w:val="28"/>
                <w:highlight w:val="none"/>
                <w:lang w:val="en-US" w:eastAsia="zh-CN" w:bidi="ar-SA"/>
              </w:rPr>
            </w:pPr>
          </w:p>
        </w:tc>
      </w:tr>
      <w:tr w14:paraId="58D15ECA">
        <w:tblPrEx>
          <w:tblCellMar>
            <w:top w:w="0" w:type="dxa"/>
            <w:left w:w="10" w:type="dxa"/>
            <w:bottom w:w="0" w:type="dxa"/>
            <w:right w:w="10" w:type="dxa"/>
          </w:tblCellMar>
        </w:tblPrEx>
        <w:trPr>
          <w:trHeight w:val="567" w:hRule="atLeast"/>
          <w:jc w:val="center"/>
        </w:trPr>
        <w:tc>
          <w:tcPr>
            <w:tcW w:w="774" w:type="pct"/>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5FA14E35">
            <w:pPr>
              <w:keepNext w:val="0"/>
              <w:keepLines w:val="0"/>
              <w:pageBreakBefore w:val="0"/>
              <w:widowControl w:val="0"/>
              <w:suppressLineNumbers w:val="0"/>
              <w:tabs>
                <w:tab w:val="center" w:pos="4153"/>
                <w:tab w:val="right" w:pos="8306"/>
              </w:tabs>
              <w:suppressAutoHyphens/>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sz w:val="28"/>
                <w:szCs w:val="28"/>
                <w:highlight w:val="none"/>
              </w:rPr>
            </w:pPr>
            <w:r>
              <w:rPr>
                <w:rFonts w:hint="eastAsia" w:ascii="宋体" w:hAnsi="宋体" w:eastAsia="宋体" w:cs="宋体"/>
                <w:b/>
                <w:color w:val="auto"/>
                <w:spacing w:val="20"/>
                <w:sz w:val="28"/>
                <w:szCs w:val="28"/>
                <w:highlight w:val="none"/>
              </w:rPr>
              <w:t>账号：</w:t>
            </w:r>
          </w:p>
        </w:tc>
        <w:tc>
          <w:tcPr>
            <w:tcW w:w="1844" w:type="pct"/>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5DB6A01C">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kern w:val="2"/>
                <w:sz w:val="28"/>
                <w:szCs w:val="28"/>
                <w:highlight w:val="none"/>
                <w:lang w:val="en-US" w:eastAsia="zh-CN" w:bidi="ar-SA"/>
              </w:rPr>
            </w:pPr>
          </w:p>
        </w:tc>
        <w:tc>
          <w:tcPr>
            <w:tcW w:w="716" w:type="pct"/>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1C023B48">
            <w:pPr>
              <w:keepNext w:val="0"/>
              <w:keepLines w:val="0"/>
              <w:pageBreakBefore w:val="0"/>
              <w:widowControl w:val="0"/>
              <w:suppressLineNumbers w:val="0"/>
              <w:tabs>
                <w:tab w:val="center" w:pos="4153"/>
                <w:tab w:val="right" w:pos="8306"/>
              </w:tabs>
              <w:suppressAutoHyphens/>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sz w:val="28"/>
                <w:szCs w:val="28"/>
                <w:highlight w:val="none"/>
              </w:rPr>
            </w:pPr>
            <w:r>
              <w:rPr>
                <w:rFonts w:hint="eastAsia" w:ascii="宋体" w:hAnsi="宋体" w:eastAsia="宋体" w:cs="宋体"/>
                <w:b/>
                <w:color w:val="auto"/>
                <w:spacing w:val="20"/>
                <w:sz w:val="28"/>
                <w:szCs w:val="28"/>
                <w:highlight w:val="none"/>
              </w:rPr>
              <w:t>账号：</w:t>
            </w:r>
          </w:p>
        </w:tc>
        <w:tc>
          <w:tcPr>
            <w:tcW w:w="1664" w:type="pct"/>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60FFC052">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kern w:val="2"/>
                <w:sz w:val="28"/>
                <w:szCs w:val="28"/>
                <w:highlight w:val="none"/>
                <w:lang w:val="en-US" w:eastAsia="zh-CN" w:bidi="ar-SA"/>
              </w:rPr>
            </w:pPr>
          </w:p>
        </w:tc>
      </w:tr>
      <w:tr w14:paraId="3EB12EF7">
        <w:tblPrEx>
          <w:tblCellMar>
            <w:top w:w="0" w:type="dxa"/>
            <w:left w:w="10" w:type="dxa"/>
            <w:bottom w:w="0" w:type="dxa"/>
            <w:right w:w="10" w:type="dxa"/>
          </w:tblCellMar>
        </w:tblPrEx>
        <w:trPr>
          <w:trHeight w:val="567" w:hRule="atLeast"/>
          <w:jc w:val="center"/>
        </w:trPr>
        <w:tc>
          <w:tcPr>
            <w:tcW w:w="774" w:type="pct"/>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63B20610">
            <w:pPr>
              <w:keepNext w:val="0"/>
              <w:keepLines w:val="0"/>
              <w:pageBreakBefore w:val="0"/>
              <w:widowControl w:val="0"/>
              <w:suppressLineNumbers w:val="0"/>
              <w:tabs>
                <w:tab w:val="center" w:pos="4153"/>
                <w:tab w:val="right" w:pos="8306"/>
              </w:tabs>
              <w:suppressAutoHyphens/>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签订日期：</w:t>
            </w:r>
          </w:p>
        </w:tc>
        <w:tc>
          <w:tcPr>
            <w:tcW w:w="1844" w:type="pct"/>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0ED2AD3C">
            <w:pPr>
              <w:keepNext w:val="0"/>
              <w:keepLines w:val="0"/>
              <w:pageBreakBefore w:val="0"/>
              <w:widowControl w:val="0"/>
              <w:suppressLineNumbers w:val="0"/>
              <w:tabs>
                <w:tab w:val="center" w:pos="4153"/>
                <w:tab w:val="right" w:pos="8306"/>
              </w:tabs>
              <w:suppressAutoHyphens/>
              <w:kinsoku/>
              <w:wordWrap/>
              <w:overflowPunct/>
              <w:topLinePunct w:val="0"/>
              <w:autoSpaceDE/>
              <w:autoSpaceDN/>
              <w:bidi w:val="0"/>
              <w:adjustRightInd/>
              <w:snapToGrid/>
              <w:spacing w:before="100" w:beforeAutospacing="0" w:after="100" w:afterAutospacing="0" w:line="240" w:lineRule="auto"/>
              <w:ind w:left="0" w:right="0"/>
              <w:jc w:val="left"/>
              <w:textAlignment w:val="auto"/>
              <w:rPr>
                <w:rFonts w:hint="eastAsia" w:ascii="宋体" w:hAnsi="宋体" w:eastAsia="宋体" w:cs="宋体"/>
                <w:color w:val="auto"/>
                <w:sz w:val="28"/>
                <w:szCs w:val="28"/>
                <w:highlight w:val="none"/>
              </w:rPr>
            </w:pPr>
          </w:p>
        </w:tc>
        <w:tc>
          <w:tcPr>
            <w:tcW w:w="716" w:type="pct"/>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1F2CC1F3">
            <w:pPr>
              <w:keepNext w:val="0"/>
              <w:keepLines w:val="0"/>
              <w:pageBreakBefore w:val="0"/>
              <w:widowControl w:val="0"/>
              <w:suppressLineNumbers w:val="0"/>
              <w:tabs>
                <w:tab w:val="center" w:pos="4153"/>
                <w:tab w:val="right" w:pos="8306"/>
              </w:tabs>
              <w:suppressAutoHyphens/>
              <w:kinsoku/>
              <w:wordWrap/>
              <w:overflowPunct/>
              <w:topLinePunct w:val="0"/>
              <w:autoSpaceDE/>
              <w:autoSpaceDN/>
              <w:bidi w:val="0"/>
              <w:adjustRightInd/>
              <w:snapToGrid/>
              <w:spacing w:before="0" w:beforeAutospacing="0" w:after="0" w:afterAutospacing="0" w:line="240" w:lineRule="auto"/>
              <w:ind w:left="0" w:right="-59"/>
              <w:jc w:val="left"/>
              <w:textAlignment w:val="auto"/>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签订日期：</w:t>
            </w:r>
          </w:p>
        </w:tc>
        <w:tc>
          <w:tcPr>
            <w:tcW w:w="1664" w:type="pct"/>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015DD451">
            <w:pPr>
              <w:keepNext w:val="0"/>
              <w:keepLines w:val="0"/>
              <w:pageBreakBefore w:val="0"/>
              <w:widowControl w:val="0"/>
              <w:suppressLineNumbers w:val="0"/>
              <w:tabs>
                <w:tab w:val="center" w:pos="4153"/>
                <w:tab w:val="right" w:pos="8306"/>
              </w:tabs>
              <w:suppressAutoHyphens/>
              <w:kinsoku/>
              <w:wordWrap/>
              <w:overflowPunct/>
              <w:topLinePunct w:val="0"/>
              <w:autoSpaceDE/>
              <w:autoSpaceDN/>
              <w:bidi w:val="0"/>
              <w:adjustRightInd/>
              <w:snapToGrid/>
              <w:spacing w:before="100" w:beforeAutospacing="0" w:after="100" w:afterAutospacing="0" w:line="240" w:lineRule="auto"/>
              <w:ind w:left="0" w:right="0"/>
              <w:textAlignment w:val="auto"/>
              <w:rPr>
                <w:rFonts w:hint="eastAsia" w:ascii="宋体" w:hAnsi="宋体" w:eastAsia="宋体" w:cs="宋体"/>
                <w:color w:val="auto"/>
                <w:sz w:val="28"/>
                <w:szCs w:val="28"/>
                <w:highlight w:val="none"/>
              </w:rPr>
            </w:pPr>
          </w:p>
        </w:tc>
      </w:tr>
    </w:tbl>
    <w:p w14:paraId="6F2C0C0B">
      <w:pPr>
        <w:keepNext w:val="0"/>
        <w:keepLines w:val="0"/>
        <w:pageBreakBefore w:val="0"/>
        <w:widowControl/>
        <w:shd w:val="clear" w:color="auto" w:fill="FFFFFF"/>
        <w:suppressAutoHyphens/>
        <w:kinsoku/>
        <w:wordWrap/>
        <w:overflowPunct/>
        <w:topLinePunct w:val="0"/>
        <w:autoSpaceDE/>
        <w:autoSpaceDN/>
        <w:bidi w:val="0"/>
        <w:adjustRightInd/>
        <w:snapToGrid/>
        <w:spacing w:line="360" w:lineRule="auto"/>
        <w:jc w:val="left"/>
        <w:rPr>
          <w:rFonts w:hint="eastAsia" w:ascii="宋体" w:hAnsi="宋体" w:eastAsia="宋体" w:cs="宋体"/>
          <w:b/>
          <w:bCs/>
          <w:color w:val="auto"/>
          <w:sz w:val="28"/>
          <w:szCs w:val="28"/>
          <w:highlight w:val="none"/>
          <w:lang w:val="zh-CN" w:bidi="zh-CN"/>
        </w:rPr>
      </w:pPr>
    </w:p>
    <w:p w14:paraId="57A02EA7">
      <w:pPr>
        <w:suppressAutoHyphens/>
        <w:bidi w:val="0"/>
        <w:rPr>
          <w:rFonts w:hint="eastAsia" w:ascii="宋体" w:hAnsi="宋体" w:eastAsia="宋体" w:cs="宋体"/>
          <w:b/>
          <w:bCs/>
          <w:color w:val="auto"/>
          <w:sz w:val="28"/>
          <w:szCs w:val="28"/>
          <w:highlight w:val="none"/>
          <w:lang w:val="zh-CN" w:bidi="zh-CN"/>
        </w:rPr>
      </w:pPr>
      <w:r>
        <w:rPr>
          <w:rFonts w:hint="eastAsia" w:ascii="宋体" w:hAnsi="宋体" w:eastAsia="宋体" w:cs="宋体"/>
          <w:b/>
          <w:bCs/>
          <w:color w:val="auto"/>
          <w:sz w:val="28"/>
          <w:szCs w:val="28"/>
          <w:highlight w:val="none"/>
          <w:lang w:val="zh-CN" w:bidi="zh-CN"/>
        </w:rPr>
        <w:br w:type="page"/>
      </w:r>
    </w:p>
    <w:p w14:paraId="317A096F">
      <w:pPr>
        <w:keepNext w:val="0"/>
        <w:keepLines w:val="0"/>
        <w:pageBreakBefore w:val="0"/>
        <w:widowControl/>
        <w:shd w:val="clear" w:color="auto" w:fill="FFFFFF"/>
        <w:suppressAutoHyphens/>
        <w:kinsoku/>
        <w:wordWrap/>
        <w:overflowPunct/>
        <w:topLinePunct w:val="0"/>
        <w:autoSpaceDE/>
        <w:autoSpaceDN/>
        <w:bidi w:val="0"/>
        <w:adjustRightInd/>
        <w:snapToGrid/>
        <w:spacing w:line="360" w:lineRule="auto"/>
        <w:jc w:val="left"/>
        <w:rPr>
          <w:rFonts w:hint="eastAsia" w:ascii="宋体" w:hAnsi="宋体" w:eastAsia="宋体" w:cs="宋体"/>
          <w:b/>
          <w:bCs/>
          <w:color w:val="auto"/>
          <w:sz w:val="28"/>
          <w:szCs w:val="28"/>
          <w:highlight w:val="none"/>
          <w:lang w:val="zh-CN" w:bidi="zh-CN"/>
        </w:rPr>
      </w:pPr>
      <w:r>
        <w:rPr>
          <w:rFonts w:hint="eastAsia" w:ascii="宋体" w:hAnsi="宋体" w:eastAsia="宋体" w:cs="宋体"/>
          <w:b/>
          <w:bCs/>
          <w:color w:val="auto"/>
          <w:sz w:val="28"/>
          <w:szCs w:val="28"/>
          <w:highlight w:val="none"/>
          <w:lang w:val="zh-CN" w:bidi="zh-CN"/>
        </w:rPr>
        <w:t>附件</w:t>
      </w:r>
      <w:r>
        <w:rPr>
          <w:rFonts w:hint="eastAsia" w:ascii="宋体" w:hAnsi="宋体" w:eastAsia="宋体" w:cs="宋体"/>
          <w:b/>
          <w:bCs/>
          <w:color w:val="auto"/>
          <w:sz w:val="28"/>
          <w:szCs w:val="28"/>
          <w:highlight w:val="none"/>
          <w:lang w:val="en-US" w:bidi="zh-CN"/>
        </w:rPr>
        <w:t>一</w:t>
      </w:r>
      <w:r>
        <w:rPr>
          <w:rFonts w:hint="eastAsia" w:ascii="宋体" w:hAnsi="宋体" w:eastAsia="宋体" w:cs="宋体"/>
          <w:b/>
          <w:bCs/>
          <w:color w:val="auto"/>
          <w:sz w:val="28"/>
          <w:szCs w:val="28"/>
          <w:highlight w:val="none"/>
          <w:lang w:val="zh-CN" w:bidi="zh-CN"/>
        </w:rPr>
        <w:t>：</w:t>
      </w:r>
    </w:p>
    <w:p w14:paraId="3F7587F4">
      <w:pPr>
        <w:keepNext w:val="0"/>
        <w:keepLines w:val="0"/>
        <w:pageBreakBefore w:val="0"/>
        <w:widowControl/>
        <w:shd w:val="clear" w:color="auto" w:fill="FFFFFF"/>
        <w:suppressAutoHyphens/>
        <w:kinsoku/>
        <w:wordWrap/>
        <w:overflowPunct/>
        <w:topLinePunct w:val="0"/>
        <w:autoSpaceDE/>
        <w:autoSpaceDN/>
        <w:bidi w:val="0"/>
        <w:adjustRightInd/>
        <w:snapToGrid/>
        <w:spacing w:line="360" w:lineRule="auto"/>
        <w:jc w:val="left"/>
        <w:rPr>
          <w:rFonts w:hint="eastAsia" w:ascii="宋体" w:hAnsi="宋体" w:eastAsia="宋体" w:cs="宋体"/>
          <w:b/>
          <w:bCs/>
          <w:color w:val="auto"/>
          <w:sz w:val="28"/>
          <w:szCs w:val="28"/>
          <w:highlight w:val="none"/>
          <w:lang w:val="en-US" w:eastAsia="zh-CN" w:bidi="zh-CN"/>
        </w:rPr>
      </w:pPr>
      <w:r>
        <w:rPr>
          <w:rFonts w:hint="eastAsia" w:ascii="宋体" w:hAnsi="宋体" w:eastAsia="宋体" w:cs="宋体"/>
          <w:b/>
          <w:bCs/>
          <w:color w:val="auto"/>
          <w:sz w:val="28"/>
          <w:szCs w:val="28"/>
          <w:highlight w:val="none"/>
          <w:lang w:val="en-US" w:bidi="zh-CN"/>
        </w:rPr>
        <w:t>协议标的物</w:t>
      </w:r>
      <w:r>
        <w:rPr>
          <w:rFonts w:hint="eastAsia" w:ascii="宋体" w:hAnsi="宋体" w:eastAsia="宋体" w:cs="宋体"/>
          <w:color w:val="auto"/>
          <w:sz w:val="28"/>
          <w:szCs w:val="28"/>
          <w:highlight w:val="none"/>
        </w:rPr>
        <w:t>、</w:t>
      </w:r>
      <w:r>
        <w:rPr>
          <w:rFonts w:hint="eastAsia" w:ascii="宋体" w:hAnsi="宋体" w:eastAsia="宋体" w:cs="宋体"/>
          <w:b/>
          <w:bCs/>
          <w:color w:val="auto"/>
          <w:sz w:val="28"/>
          <w:szCs w:val="28"/>
          <w:highlight w:val="none"/>
          <w:lang w:val="en-US" w:eastAsia="zh-CN" w:bidi="zh-CN"/>
        </w:rPr>
        <w:t>协议价格及最高限制单价</w:t>
      </w:r>
    </w:p>
    <w:tbl>
      <w:tblPr>
        <w:tblStyle w:val="14"/>
        <w:tblW w:w="9397" w:type="dxa"/>
        <w:tblInd w:w="0" w:type="dxa"/>
        <w:tblLayout w:type="autofit"/>
        <w:tblCellMar>
          <w:top w:w="0" w:type="dxa"/>
          <w:left w:w="10" w:type="dxa"/>
          <w:bottom w:w="0" w:type="dxa"/>
          <w:right w:w="10" w:type="dxa"/>
        </w:tblCellMar>
      </w:tblPr>
      <w:tblGrid>
        <w:gridCol w:w="1023"/>
        <w:gridCol w:w="1052"/>
        <w:gridCol w:w="1999"/>
        <w:gridCol w:w="1999"/>
        <w:gridCol w:w="1911"/>
        <w:gridCol w:w="1413"/>
      </w:tblGrid>
      <w:tr w14:paraId="183D2F17">
        <w:tblPrEx>
          <w:tblCellMar>
            <w:top w:w="0" w:type="dxa"/>
            <w:left w:w="10" w:type="dxa"/>
            <w:bottom w:w="0" w:type="dxa"/>
            <w:right w:w="10" w:type="dxa"/>
          </w:tblCellMar>
        </w:tblPrEx>
        <w:trPr>
          <w:trHeight w:val="615" w:hRule="atLeast"/>
        </w:trPr>
        <w:tc>
          <w:tcPr>
            <w:tcW w:w="1023"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10C2A029">
            <w:pPr>
              <w:keepNext w:val="0"/>
              <w:keepLines w:val="0"/>
              <w:pageBreakBefore w:val="0"/>
              <w:suppressLineNumbers w:val="0"/>
              <w:suppressAutoHyphens/>
              <w:kinsoku/>
              <w:wordWrap/>
              <w:overflowPunct/>
              <w:topLinePunct w:val="0"/>
              <w:autoSpaceDE/>
              <w:autoSpaceDN/>
              <w:bidi w:val="0"/>
              <w:adjustRightInd/>
              <w:snapToGrid/>
              <w:spacing w:before="0" w:beforeAutospacing="0" w:after="0" w:afterAutospacing="0" w:line="360" w:lineRule="auto"/>
              <w:ind w:left="69" w:right="0"/>
              <w:jc w:val="center"/>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采购包</w:t>
            </w:r>
          </w:p>
        </w:tc>
        <w:tc>
          <w:tcPr>
            <w:tcW w:w="1052" w:type="dxa"/>
            <w:tcBorders>
              <w:top w:val="single" w:color="000000" w:sz="4" w:space="0"/>
              <w:left w:val="single" w:color="000000" w:sz="0" w:space="0"/>
              <w:bottom w:val="single" w:color="000000" w:sz="4" w:space="0"/>
              <w:right w:val="single" w:color="000000" w:sz="4" w:space="0"/>
            </w:tcBorders>
            <w:shd w:val="clear" w:color="000000" w:fill="FFFFFF"/>
            <w:noWrap w:val="0"/>
            <w:tcMar>
              <w:left w:w="108" w:type="dxa"/>
              <w:right w:w="108" w:type="dxa"/>
            </w:tcMar>
            <w:vAlign w:val="center"/>
          </w:tcPr>
          <w:p w14:paraId="720C260A">
            <w:pPr>
              <w:keepNext w:val="0"/>
              <w:keepLines w:val="0"/>
              <w:pageBreakBefore w:val="0"/>
              <w:suppressLineNumbers w:val="0"/>
              <w:suppressAutoHyphens/>
              <w:kinsoku/>
              <w:wordWrap/>
              <w:overflowPunct/>
              <w:topLinePunct w:val="0"/>
              <w:autoSpaceDE/>
              <w:autoSpaceDN/>
              <w:bidi w:val="0"/>
              <w:adjustRightInd/>
              <w:snapToGrid/>
              <w:spacing w:before="0" w:beforeAutospacing="0" w:after="0" w:afterAutospacing="0" w:line="360" w:lineRule="auto"/>
              <w:ind w:left="69" w:right="0"/>
              <w:jc w:val="center"/>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品目号</w:t>
            </w:r>
          </w:p>
        </w:tc>
        <w:tc>
          <w:tcPr>
            <w:tcW w:w="1999" w:type="dxa"/>
            <w:tcBorders>
              <w:top w:val="single" w:color="000000" w:sz="4" w:space="0"/>
              <w:left w:val="single" w:color="000000" w:sz="0" w:space="0"/>
              <w:bottom w:val="single" w:color="000000" w:sz="4" w:space="0"/>
              <w:right w:val="single" w:color="000000" w:sz="4" w:space="0"/>
            </w:tcBorders>
            <w:shd w:val="clear" w:color="000000" w:fill="FFFFFF"/>
            <w:noWrap w:val="0"/>
            <w:tcMar>
              <w:left w:w="108" w:type="dxa"/>
              <w:right w:w="108" w:type="dxa"/>
            </w:tcMar>
            <w:vAlign w:val="center"/>
          </w:tcPr>
          <w:p w14:paraId="60FB8507">
            <w:pPr>
              <w:keepNext w:val="0"/>
              <w:keepLines w:val="0"/>
              <w:pageBreakBefore w:val="0"/>
              <w:suppressLineNumbers w:val="0"/>
              <w:suppressAutoHyphens/>
              <w:kinsoku/>
              <w:wordWrap/>
              <w:overflowPunct/>
              <w:topLinePunct w:val="0"/>
              <w:autoSpaceDE/>
              <w:autoSpaceDN/>
              <w:bidi w:val="0"/>
              <w:adjustRightInd/>
              <w:snapToGrid/>
              <w:spacing w:before="0" w:beforeAutospacing="0" w:after="0" w:afterAutospacing="0" w:line="360" w:lineRule="auto"/>
              <w:ind w:left="69" w:right="0"/>
              <w:jc w:val="center"/>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产品名称</w:t>
            </w:r>
          </w:p>
        </w:tc>
        <w:tc>
          <w:tcPr>
            <w:tcW w:w="1999" w:type="dxa"/>
            <w:tcBorders>
              <w:top w:val="single" w:color="000000" w:sz="4" w:space="0"/>
              <w:left w:val="single" w:color="000000" w:sz="0" w:space="0"/>
              <w:bottom w:val="single" w:color="000000" w:sz="4" w:space="0"/>
              <w:right w:val="single" w:color="000000" w:sz="4" w:space="0"/>
            </w:tcBorders>
            <w:shd w:val="clear" w:color="000000" w:fill="FFFFFF"/>
            <w:noWrap w:val="0"/>
            <w:tcMar>
              <w:left w:w="108" w:type="dxa"/>
              <w:right w:w="108" w:type="dxa"/>
            </w:tcMar>
            <w:vAlign w:val="center"/>
          </w:tcPr>
          <w:p w14:paraId="71D6F78D">
            <w:pPr>
              <w:keepNext w:val="0"/>
              <w:keepLines w:val="0"/>
              <w:pageBreakBefore w:val="0"/>
              <w:suppressLineNumbers w:val="0"/>
              <w:suppressAutoHyphens/>
              <w:kinsoku/>
              <w:wordWrap/>
              <w:overflowPunct/>
              <w:topLinePunct w:val="0"/>
              <w:autoSpaceDE/>
              <w:autoSpaceDN/>
              <w:bidi w:val="0"/>
              <w:adjustRightInd/>
              <w:snapToGrid/>
              <w:spacing w:before="0" w:beforeAutospacing="0" w:after="0" w:afterAutospacing="0" w:line="360" w:lineRule="auto"/>
              <w:ind w:left="69" w:right="0"/>
              <w:jc w:val="center"/>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kern w:val="0"/>
                <w:sz w:val="28"/>
                <w:szCs w:val="28"/>
                <w:highlight w:val="none"/>
                <w:lang w:val="en-US"/>
              </w:rPr>
              <w:t>最高限制</w:t>
            </w:r>
            <w:r>
              <w:rPr>
                <w:rFonts w:hint="eastAsia" w:ascii="宋体" w:hAnsi="宋体" w:eastAsia="宋体" w:cs="宋体"/>
                <w:b/>
                <w:bCs/>
                <w:color w:val="auto"/>
                <w:kern w:val="0"/>
                <w:sz w:val="28"/>
                <w:szCs w:val="28"/>
                <w:highlight w:val="none"/>
              </w:rPr>
              <w:t>单价</w:t>
            </w:r>
          </w:p>
        </w:tc>
        <w:tc>
          <w:tcPr>
            <w:tcW w:w="1911" w:type="dxa"/>
            <w:tcBorders>
              <w:top w:val="single" w:color="000000" w:sz="4" w:space="0"/>
              <w:left w:val="single" w:color="000000" w:sz="0" w:space="0"/>
              <w:bottom w:val="single" w:color="000000" w:sz="4" w:space="0"/>
              <w:right w:val="single" w:color="000000" w:sz="4" w:space="0"/>
            </w:tcBorders>
            <w:shd w:val="clear" w:color="000000" w:fill="FFFFFF"/>
            <w:noWrap w:val="0"/>
            <w:tcMar>
              <w:left w:w="108" w:type="dxa"/>
              <w:right w:w="108" w:type="dxa"/>
            </w:tcMar>
            <w:vAlign w:val="center"/>
          </w:tcPr>
          <w:p w14:paraId="626D54DC">
            <w:pPr>
              <w:keepNext w:val="0"/>
              <w:keepLines w:val="0"/>
              <w:pageBreakBefore w:val="0"/>
              <w:suppressLineNumbers w:val="0"/>
              <w:suppressAutoHyphens/>
              <w:kinsoku/>
              <w:wordWrap/>
              <w:overflowPunct/>
              <w:topLinePunct w:val="0"/>
              <w:autoSpaceDE/>
              <w:autoSpaceDN/>
              <w:bidi w:val="0"/>
              <w:adjustRightInd/>
              <w:snapToGrid/>
              <w:spacing w:before="0" w:beforeAutospacing="0" w:after="0" w:afterAutospacing="0" w:line="360" w:lineRule="auto"/>
              <w:ind w:left="69" w:right="0"/>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制造商</w:t>
            </w:r>
          </w:p>
        </w:tc>
        <w:tc>
          <w:tcPr>
            <w:tcW w:w="1413" w:type="dxa"/>
            <w:tcBorders>
              <w:top w:val="single" w:color="000000" w:sz="4" w:space="0"/>
              <w:left w:val="single" w:color="000000" w:sz="0" w:space="0"/>
              <w:bottom w:val="single" w:color="000000" w:sz="4" w:space="0"/>
              <w:right w:val="single" w:color="000000" w:sz="4" w:space="0"/>
            </w:tcBorders>
            <w:shd w:val="clear" w:color="000000" w:fill="FFFFFF"/>
            <w:noWrap w:val="0"/>
            <w:tcMar>
              <w:left w:w="108" w:type="dxa"/>
              <w:right w:w="108" w:type="dxa"/>
            </w:tcMar>
            <w:vAlign w:val="center"/>
          </w:tcPr>
          <w:p w14:paraId="555AF444">
            <w:pPr>
              <w:keepNext w:val="0"/>
              <w:keepLines w:val="0"/>
              <w:pageBreakBefore w:val="0"/>
              <w:suppressLineNumbers w:val="0"/>
              <w:suppressAutoHyphens/>
              <w:kinsoku/>
              <w:wordWrap/>
              <w:overflowPunct/>
              <w:topLinePunct w:val="0"/>
              <w:autoSpaceDE/>
              <w:autoSpaceDN/>
              <w:bidi w:val="0"/>
              <w:adjustRightInd/>
              <w:snapToGrid/>
              <w:spacing w:before="0" w:beforeAutospacing="0" w:after="0" w:afterAutospacing="0" w:line="360" w:lineRule="auto"/>
              <w:ind w:left="69" w:right="0"/>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单价（元）</w:t>
            </w:r>
          </w:p>
        </w:tc>
      </w:tr>
      <w:tr w14:paraId="290A85CA">
        <w:tblPrEx>
          <w:tblCellMar>
            <w:top w:w="0" w:type="dxa"/>
            <w:left w:w="10" w:type="dxa"/>
            <w:bottom w:w="0" w:type="dxa"/>
            <w:right w:w="10" w:type="dxa"/>
          </w:tblCellMar>
        </w:tblPrEx>
        <w:trPr>
          <w:trHeight w:val="295" w:hRule="atLeast"/>
        </w:trPr>
        <w:tc>
          <w:tcPr>
            <w:tcW w:w="1023"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37608F1E">
            <w:pPr>
              <w:keepNext w:val="0"/>
              <w:keepLines w:val="0"/>
              <w:pageBreakBefore w:val="0"/>
              <w:suppressLineNumbers w:val="0"/>
              <w:suppressAutoHyphens/>
              <w:kinsoku/>
              <w:wordWrap/>
              <w:overflowPunct/>
              <w:topLinePunct w:val="0"/>
              <w:autoSpaceDE/>
              <w:autoSpaceDN/>
              <w:bidi w:val="0"/>
              <w:adjustRightInd/>
              <w:snapToGrid/>
              <w:spacing w:before="0" w:beforeAutospacing="0" w:after="0" w:afterAutospacing="0" w:line="360" w:lineRule="auto"/>
              <w:ind w:left="69" w:leftChars="0" w:right="0"/>
              <w:jc w:val="center"/>
              <w:rPr>
                <w:rFonts w:hint="eastAsia" w:ascii="宋体" w:hAnsi="宋体" w:eastAsia="宋体" w:cs="宋体"/>
                <w:color w:val="auto"/>
                <w:kern w:val="2"/>
                <w:sz w:val="28"/>
                <w:szCs w:val="28"/>
                <w:highlight w:val="none"/>
                <w:lang w:val="en-US" w:eastAsia="zh-CN" w:bidi="ar-SA"/>
              </w:rPr>
            </w:pPr>
          </w:p>
        </w:tc>
        <w:tc>
          <w:tcPr>
            <w:tcW w:w="1052" w:type="dxa"/>
            <w:tcBorders>
              <w:top w:val="single" w:color="000000" w:sz="4" w:space="0"/>
              <w:left w:val="single" w:color="000000" w:sz="0" w:space="0"/>
              <w:bottom w:val="single" w:color="000000" w:sz="4" w:space="0"/>
              <w:right w:val="single" w:color="000000" w:sz="4" w:space="0"/>
            </w:tcBorders>
            <w:shd w:val="clear" w:color="000000" w:fill="FFFFFF"/>
            <w:noWrap w:val="0"/>
            <w:tcMar>
              <w:left w:w="108" w:type="dxa"/>
              <w:right w:w="108" w:type="dxa"/>
            </w:tcMar>
            <w:vAlign w:val="center"/>
          </w:tcPr>
          <w:p w14:paraId="7979AA4C">
            <w:pPr>
              <w:keepNext w:val="0"/>
              <w:keepLines w:val="0"/>
              <w:pageBreakBefore w:val="0"/>
              <w:suppressLineNumbers w:val="0"/>
              <w:suppressAutoHyphens/>
              <w:kinsoku/>
              <w:wordWrap/>
              <w:overflowPunct/>
              <w:topLinePunct w:val="0"/>
              <w:autoSpaceDE/>
              <w:autoSpaceDN/>
              <w:bidi w:val="0"/>
              <w:adjustRightInd/>
              <w:snapToGrid/>
              <w:spacing w:before="0" w:beforeAutospacing="0" w:after="0" w:afterAutospacing="0" w:line="360" w:lineRule="auto"/>
              <w:ind w:left="69" w:leftChars="0" w:right="0"/>
              <w:jc w:val="center"/>
              <w:rPr>
                <w:rFonts w:hint="eastAsia" w:ascii="宋体" w:hAnsi="宋体" w:eastAsia="宋体" w:cs="宋体"/>
                <w:color w:val="auto"/>
                <w:kern w:val="2"/>
                <w:sz w:val="28"/>
                <w:szCs w:val="28"/>
                <w:highlight w:val="none"/>
                <w:lang w:val="en-US" w:eastAsia="zh-CN" w:bidi="ar-SA"/>
              </w:rPr>
            </w:pPr>
          </w:p>
        </w:tc>
        <w:tc>
          <w:tcPr>
            <w:tcW w:w="1999" w:type="dxa"/>
            <w:tcBorders>
              <w:top w:val="single" w:color="000000" w:sz="4" w:space="0"/>
              <w:left w:val="single" w:color="000000" w:sz="0" w:space="0"/>
              <w:bottom w:val="single" w:color="000000" w:sz="4" w:space="0"/>
              <w:right w:val="single" w:color="000000" w:sz="4" w:space="0"/>
            </w:tcBorders>
            <w:shd w:val="clear" w:color="000000" w:fill="FFFFFF"/>
            <w:noWrap w:val="0"/>
            <w:tcMar>
              <w:left w:w="108" w:type="dxa"/>
              <w:right w:w="108" w:type="dxa"/>
            </w:tcMar>
            <w:vAlign w:val="center"/>
          </w:tcPr>
          <w:p w14:paraId="453EB9B1">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240" w:lineRule="auto"/>
              <w:ind w:left="68" w:leftChars="0" w:right="0"/>
              <w:jc w:val="center"/>
              <w:textAlignment w:val="auto"/>
              <w:rPr>
                <w:rFonts w:hint="eastAsia" w:ascii="宋体" w:hAnsi="宋体" w:eastAsia="宋体" w:cs="宋体"/>
                <w:color w:val="auto"/>
                <w:kern w:val="2"/>
                <w:sz w:val="28"/>
                <w:szCs w:val="28"/>
                <w:highlight w:val="none"/>
                <w:lang w:val="en-US" w:eastAsia="zh-CN" w:bidi="ar-SA"/>
              </w:rPr>
            </w:pPr>
          </w:p>
        </w:tc>
        <w:tc>
          <w:tcPr>
            <w:tcW w:w="1999" w:type="dxa"/>
            <w:tcBorders>
              <w:top w:val="single" w:color="000000" w:sz="4" w:space="0"/>
              <w:left w:val="single" w:color="000000" w:sz="0" w:space="0"/>
              <w:bottom w:val="single" w:color="000000" w:sz="4" w:space="0"/>
              <w:right w:val="single" w:color="000000" w:sz="4" w:space="0"/>
            </w:tcBorders>
            <w:shd w:val="clear" w:color="000000" w:fill="FFFFFF"/>
            <w:noWrap w:val="0"/>
            <w:tcMar>
              <w:left w:w="108" w:type="dxa"/>
              <w:right w:w="108" w:type="dxa"/>
            </w:tcMar>
            <w:vAlign w:val="center"/>
          </w:tcPr>
          <w:p w14:paraId="1236DC95">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240" w:lineRule="auto"/>
              <w:ind w:left="68" w:leftChars="0" w:right="0"/>
              <w:jc w:val="center"/>
              <w:textAlignment w:val="auto"/>
              <w:rPr>
                <w:rFonts w:hint="eastAsia" w:ascii="宋体" w:hAnsi="宋体" w:eastAsia="宋体" w:cs="宋体"/>
                <w:color w:val="auto"/>
                <w:kern w:val="2"/>
                <w:sz w:val="28"/>
                <w:szCs w:val="28"/>
                <w:highlight w:val="none"/>
                <w:lang w:val="en-US" w:eastAsia="zh-CN" w:bidi="ar-SA"/>
              </w:rPr>
            </w:pPr>
          </w:p>
        </w:tc>
        <w:tc>
          <w:tcPr>
            <w:tcW w:w="1911" w:type="dxa"/>
            <w:tcBorders>
              <w:top w:val="single" w:color="000000" w:sz="4" w:space="0"/>
              <w:left w:val="single" w:color="000000" w:sz="0" w:space="0"/>
              <w:bottom w:val="single" w:color="000000" w:sz="4" w:space="0"/>
              <w:right w:val="single" w:color="000000" w:sz="4" w:space="0"/>
            </w:tcBorders>
            <w:shd w:val="clear" w:color="000000" w:fill="FFFFFF"/>
            <w:noWrap w:val="0"/>
            <w:tcMar>
              <w:left w:w="108" w:type="dxa"/>
              <w:right w:w="108" w:type="dxa"/>
            </w:tcMar>
            <w:vAlign w:val="center"/>
          </w:tcPr>
          <w:p w14:paraId="0D633B77">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240" w:lineRule="auto"/>
              <w:ind w:left="68" w:leftChars="0" w:right="0"/>
              <w:jc w:val="center"/>
              <w:textAlignment w:val="auto"/>
              <w:rPr>
                <w:rFonts w:hint="eastAsia" w:ascii="宋体" w:hAnsi="宋体" w:eastAsia="宋体" w:cs="宋体"/>
                <w:color w:val="auto"/>
                <w:kern w:val="2"/>
                <w:sz w:val="28"/>
                <w:szCs w:val="28"/>
                <w:highlight w:val="none"/>
                <w:lang w:val="en-US" w:eastAsia="zh-CN" w:bidi="ar-SA"/>
              </w:rPr>
            </w:pPr>
          </w:p>
        </w:tc>
        <w:tc>
          <w:tcPr>
            <w:tcW w:w="1413" w:type="dxa"/>
            <w:tcBorders>
              <w:top w:val="single" w:color="000000" w:sz="4" w:space="0"/>
              <w:left w:val="single" w:color="000000" w:sz="0" w:space="0"/>
              <w:bottom w:val="single" w:color="000000" w:sz="4" w:space="0"/>
              <w:right w:val="single" w:color="000000" w:sz="4" w:space="0"/>
            </w:tcBorders>
            <w:shd w:val="clear" w:color="000000" w:fill="FFFFFF"/>
            <w:noWrap w:val="0"/>
            <w:tcMar>
              <w:left w:w="108" w:type="dxa"/>
              <w:right w:w="108" w:type="dxa"/>
            </w:tcMar>
            <w:vAlign w:val="center"/>
          </w:tcPr>
          <w:p w14:paraId="34A93387">
            <w:pPr>
              <w:keepNext w:val="0"/>
              <w:keepLines w:val="0"/>
              <w:widowControl/>
              <w:suppressLineNumbers w:val="0"/>
              <w:suppressAutoHyphens/>
              <w:bidi w:val="0"/>
              <w:spacing w:before="0" w:beforeAutospacing="0" w:after="0" w:afterAutospacing="0"/>
              <w:ind w:left="0" w:right="0"/>
              <w:jc w:val="center"/>
              <w:textAlignment w:val="center"/>
              <w:rPr>
                <w:rFonts w:hint="eastAsia" w:ascii="宋体" w:hAnsi="宋体" w:eastAsia="宋体" w:cs="宋体"/>
                <w:color w:val="auto"/>
                <w:kern w:val="2"/>
                <w:sz w:val="28"/>
                <w:szCs w:val="28"/>
                <w:highlight w:val="none"/>
                <w:lang w:val="en-US" w:eastAsia="zh-CN" w:bidi="ar-SA"/>
              </w:rPr>
            </w:pPr>
          </w:p>
        </w:tc>
      </w:tr>
      <w:tr w14:paraId="103AB439">
        <w:tblPrEx>
          <w:tblCellMar>
            <w:top w:w="0" w:type="dxa"/>
            <w:left w:w="10" w:type="dxa"/>
            <w:bottom w:w="0" w:type="dxa"/>
            <w:right w:w="10" w:type="dxa"/>
          </w:tblCellMar>
        </w:tblPrEx>
        <w:trPr>
          <w:trHeight w:val="295" w:hRule="atLeast"/>
        </w:trPr>
        <w:tc>
          <w:tcPr>
            <w:tcW w:w="1023"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77EF7C60">
            <w:pPr>
              <w:keepNext w:val="0"/>
              <w:keepLines w:val="0"/>
              <w:pageBreakBefore w:val="0"/>
              <w:suppressLineNumbers w:val="0"/>
              <w:suppressAutoHyphens/>
              <w:kinsoku/>
              <w:wordWrap/>
              <w:overflowPunct/>
              <w:topLinePunct w:val="0"/>
              <w:autoSpaceDE/>
              <w:autoSpaceDN/>
              <w:bidi w:val="0"/>
              <w:adjustRightInd/>
              <w:snapToGrid/>
              <w:spacing w:before="0" w:beforeAutospacing="0" w:after="0" w:afterAutospacing="0" w:line="360" w:lineRule="auto"/>
              <w:ind w:left="69" w:leftChars="0" w:right="0"/>
              <w:jc w:val="center"/>
              <w:rPr>
                <w:rFonts w:hint="eastAsia" w:ascii="宋体" w:hAnsi="宋体" w:eastAsia="宋体" w:cs="宋体"/>
                <w:color w:val="auto"/>
                <w:kern w:val="2"/>
                <w:sz w:val="28"/>
                <w:szCs w:val="28"/>
                <w:highlight w:val="none"/>
                <w:lang w:val="en-US" w:eastAsia="zh-CN" w:bidi="ar-SA"/>
              </w:rPr>
            </w:pPr>
          </w:p>
        </w:tc>
        <w:tc>
          <w:tcPr>
            <w:tcW w:w="1052" w:type="dxa"/>
            <w:tcBorders>
              <w:top w:val="single" w:color="000000" w:sz="4" w:space="0"/>
              <w:left w:val="single" w:color="000000" w:sz="0" w:space="0"/>
              <w:bottom w:val="single" w:color="000000" w:sz="4" w:space="0"/>
              <w:right w:val="single" w:color="000000" w:sz="4" w:space="0"/>
            </w:tcBorders>
            <w:shd w:val="clear" w:color="000000" w:fill="FFFFFF"/>
            <w:noWrap w:val="0"/>
            <w:tcMar>
              <w:left w:w="108" w:type="dxa"/>
              <w:right w:w="108" w:type="dxa"/>
            </w:tcMar>
            <w:vAlign w:val="center"/>
          </w:tcPr>
          <w:p w14:paraId="2376E28D">
            <w:pPr>
              <w:keepNext w:val="0"/>
              <w:keepLines w:val="0"/>
              <w:pageBreakBefore w:val="0"/>
              <w:suppressLineNumbers w:val="0"/>
              <w:suppressAutoHyphens/>
              <w:kinsoku/>
              <w:wordWrap/>
              <w:overflowPunct/>
              <w:topLinePunct w:val="0"/>
              <w:autoSpaceDE/>
              <w:autoSpaceDN/>
              <w:bidi w:val="0"/>
              <w:adjustRightInd/>
              <w:snapToGrid/>
              <w:spacing w:before="0" w:beforeAutospacing="0" w:after="0" w:afterAutospacing="0" w:line="360" w:lineRule="auto"/>
              <w:ind w:left="69" w:leftChars="0" w:right="0"/>
              <w:jc w:val="center"/>
              <w:rPr>
                <w:rFonts w:hint="eastAsia" w:ascii="宋体" w:hAnsi="宋体" w:eastAsia="宋体" w:cs="宋体"/>
                <w:color w:val="auto"/>
                <w:kern w:val="2"/>
                <w:sz w:val="28"/>
                <w:szCs w:val="28"/>
                <w:highlight w:val="none"/>
                <w:lang w:val="en-US" w:eastAsia="zh-CN" w:bidi="ar-SA"/>
              </w:rPr>
            </w:pPr>
          </w:p>
        </w:tc>
        <w:tc>
          <w:tcPr>
            <w:tcW w:w="1999" w:type="dxa"/>
            <w:tcBorders>
              <w:top w:val="single" w:color="000000" w:sz="4" w:space="0"/>
              <w:left w:val="single" w:color="000000" w:sz="0" w:space="0"/>
              <w:bottom w:val="single" w:color="000000" w:sz="4" w:space="0"/>
              <w:right w:val="single" w:color="000000" w:sz="4" w:space="0"/>
            </w:tcBorders>
            <w:shd w:val="clear" w:color="000000" w:fill="FFFFFF"/>
            <w:noWrap w:val="0"/>
            <w:tcMar>
              <w:left w:w="108" w:type="dxa"/>
              <w:right w:w="108" w:type="dxa"/>
            </w:tcMar>
            <w:vAlign w:val="center"/>
          </w:tcPr>
          <w:p w14:paraId="77D9C06D">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240" w:lineRule="auto"/>
              <w:ind w:left="68" w:leftChars="0" w:right="0"/>
              <w:jc w:val="center"/>
              <w:textAlignment w:val="auto"/>
              <w:rPr>
                <w:rFonts w:hint="eastAsia" w:ascii="宋体" w:hAnsi="宋体" w:eastAsia="宋体" w:cs="宋体"/>
                <w:color w:val="auto"/>
                <w:kern w:val="2"/>
                <w:sz w:val="28"/>
                <w:szCs w:val="28"/>
                <w:highlight w:val="none"/>
                <w:lang w:val="en-US" w:eastAsia="zh-CN" w:bidi="ar-SA"/>
              </w:rPr>
            </w:pPr>
          </w:p>
        </w:tc>
        <w:tc>
          <w:tcPr>
            <w:tcW w:w="1999" w:type="dxa"/>
            <w:tcBorders>
              <w:top w:val="single" w:color="000000" w:sz="4" w:space="0"/>
              <w:left w:val="single" w:color="000000" w:sz="0" w:space="0"/>
              <w:bottom w:val="single" w:color="000000" w:sz="4" w:space="0"/>
              <w:right w:val="single" w:color="000000" w:sz="4" w:space="0"/>
            </w:tcBorders>
            <w:shd w:val="clear" w:color="000000" w:fill="FFFFFF"/>
            <w:noWrap w:val="0"/>
            <w:tcMar>
              <w:left w:w="108" w:type="dxa"/>
              <w:right w:w="108" w:type="dxa"/>
            </w:tcMar>
            <w:vAlign w:val="center"/>
          </w:tcPr>
          <w:p w14:paraId="55F1B5EC">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240" w:lineRule="auto"/>
              <w:ind w:left="68" w:leftChars="0" w:right="0"/>
              <w:jc w:val="center"/>
              <w:textAlignment w:val="auto"/>
              <w:rPr>
                <w:rFonts w:hint="eastAsia" w:ascii="宋体" w:hAnsi="宋体" w:eastAsia="宋体" w:cs="宋体"/>
                <w:color w:val="auto"/>
                <w:kern w:val="2"/>
                <w:sz w:val="28"/>
                <w:szCs w:val="28"/>
                <w:highlight w:val="none"/>
                <w:lang w:val="en-US" w:eastAsia="zh-CN" w:bidi="ar-SA"/>
              </w:rPr>
            </w:pPr>
          </w:p>
        </w:tc>
        <w:tc>
          <w:tcPr>
            <w:tcW w:w="1911" w:type="dxa"/>
            <w:tcBorders>
              <w:top w:val="single" w:color="000000" w:sz="4" w:space="0"/>
              <w:left w:val="single" w:color="000000" w:sz="0" w:space="0"/>
              <w:bottom w:val="single" w:color="000000" w:sz="4" w:space="0"/>
              <w:right w:val="single" w:color="000000" w:sz="4" w:space="0"/>
            </w:tcBorders>
            <w:shd w:val="clear" w:color="000000" w:fill="FFFFFF"/>
            <w:noWrap w:val="0"/>
            <w:tcMar>
              <w:left w:w="108" w:type="dxa"/>
              <w:right w:w="108" w:type="dxa"/>
            </w:tcMar>
            <w:vAlign w:val="center"/>
          </w:tcPr>
          <w:p w14:paraId="7A88A96D">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240" w:lineRule="auto"/>
              <w:ind w:left="68" w:leftChars="0" w:right="0"/>
              <w:jc w:val="center"/>
              <w:textAlignment w:val="auto"/>
              <w:rPr>
                <w:rFonts w:hint="eastAsia" w:ascii="宋体" w:hAnsi="宋体" w:eastAsia="宋体" w:cs="宋体"/>
                <w:color w:val="auto"/>
                <w:kern w:val="2"/>
                <w:sz w:val="28"/>
                <w:szCs w:val="28"/>
                <w:highlight w:val="none"/>
                <w:lang w:val="en-US" w:eastAsia="zh-CN" w:bidi="ar-SA"/>
              </w:rPr>
            </w:pPr>
          </w:p>
        </w:tc>
        <w:tc>
          <w:tcPr>
            <w:tcW w:w="1413" w:type="dxa"/>
            <w:tcBorders>
              <w:top w:val="single" w:color="000000" w:sz="4" w:space="0"/>
              <w:left w:val="single" w:color="000000" w:sz="0" w:space="0"/>
              <w:bottom w:val="single" w:color="000000" w:sz="4" w:space="0"/>
              <w:right w:val="single" w:color="000000" w:sz="4" w:space="0"/>
            </w:tcBorders>
            <w:shd w:val="clear" w:color="000000" w:fill="FFFFFF"/>
            <w:noWrap w:val="0"/>
            <w:tcMar>
              <w:left w:w="108" w:type="dxa"/>
              <w:right w:w="108" w:type="dxa"/>
            </w:tcMar>
            <w:vAlign w:val="center"/>
          </w:tcPr>
          <w:p w14:paraId="707805A9">
            <w:pPr>
              <w:keepNext w:val="0"/>
              <w:keepLines w:val="0"/>
              <w:widowControl/>
              <w:suppressLineNumbers w:val="0"/>
              <w:suppressAutoHyphens/>
              <w:bidi w:val="0"/>
              <w:spacing w:before="0" w:beforeAutospacing="0" w:after="0" w:afterAutospacing="0"/>
              <w:ind w:left="0" w:right="0"/>
              <w:jc w:val="center"/>
              <w:textAlignment w:val="center"/>
              <w:rPr>
                <w:rFonts w:hint="eastAsia" w:ascii="宋体" w:hAnsi="宋体" w:eastAsia="宋体" w:cs="宋体"/>
                <w:color w:val="auto"/>
                <w:kern w:val="2"/>
                <w:sz w:val="28"/>
                <w:szCs w:val="28"/>
                <w:highlight w:val="none"/>
                <w:lang w:val="en-US" w:eastAsia="zh-CN" w:bidi="ar-SA"/>
              </w:rPr>
            </w:pPr>
          </w:p>
        </w:tc>
      </w:tr>
      <w:tr w14:paraId="7E7CB478">
        <w:tblPrEx>
          <w:tblCellMar>
            <w:top w:w="0" w:type="dxa"/>
            <w:left w:w="10" w:type="dxa"/>
            <w:bottom w:w="0" w:type="dxa"/>
            <w:right w:w="10" w:type="dxa"/>
          </w:tblCellMar>
        </w:tblPrEx>
        <w:trPr>
          <w:trHeight w:val="295" w:hRule="atLeast"/>
        </w:trPr>
        <w:tc>
          <w:tcPr>
            <w:tcW w:w="1023"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052818DD">
            <w:pPr>
              <w:keepNext w:val="0"/>
              <w:keepLines w:val="0"/>
              <w:pageBreakBefore w:val="0"/>
              <w:suppressLineNumbers w:val="0"/>
              <w:suppressAutoHyphens/>
              <w:kinsoku/>
              <w:wordWrap/>
              <w:overflowPunct/>
              <w:topLinePunct w:val="0"/>
              <w:autoSpaceDE/>
              <w:autoSpaceDN/>
              <w:bidi w:val="0"/>
              <w:adjustRightInd/>
              <w:snapToGrid/>
              <w:spacing w:before="0" w:beforeAutospacing="0" w:after="0" w:afterAutospacing="0" w:line="360" w:lineRule="auto"/>
              <w:ind w:left="69" w:leftChars="0" w:right="0"/>
              <w:jc w:val="center"/>
              <w:rPr>
                <w:rFonts w:hint="eastAsia" w:ascii="宋体" w:hAnsi="宋体" w:eastAsia="宋体" w:cs="宋体"/>
                <w:color w:val="auto"/>
                <w:kern w:val="2"/>
                <w:sz w:val="28"/>
                <w:szCs w:val="28"/>
                <w:highlight w:val="none"/>
                <w:lang w:val="en-US" w:eastAsia="zh-CN" w:bidi="ar-SA"/>
              </w:rPr>
            </w:pPr>
          </w:p>
        </w:tc>
        <w:tc>
          <w:tcPr>
            <w:tcW w:w="1052" w:type="dxa"/>
            <w:tcBorders>
              <w:top w:val="single" w:color="000000" w:sz="4" w:space="0"/>
              <w:left w:val="single" w:color="000000" w:sz="0" w:space="0"/>
              <w:bottom w:val="single" w:color="000000" w:sz="4" w:space="0"/>
              <w:right w:val="single" w:color="000000" w:sz="4" w:space="0"/>
            </w:tcBorders>
            <w:shd w:val="clear" w:color="000000" w:fill="FFFFFF"/>
            <w:noWrap w:val="0"/>
            <w:tcMar>
              <w:left w:w="108" w:type="dxa"/>
              <w:right w:w="108" w:type="dxa"/>
            </w:tcMar>
            <w:vAlign w:val="center"/>
          </w:tcPr>
          <w:p w14:paraId="2062C049">
            <w:pPr>
              <w:keepNext w:val="0"/>
              <w:keepLines w:val="0"/>
              <w:pageBreakBefore w:val="0"/>
              <w:suppressLineNumbers w:val="0"/>
              <w:suppressAutoHyphens/>
              <w:kinsoku/>
              <w:wordWrap/>
              <w:overflowPunct/>
              <w:topLinePunct w:val="0"/>
              <w:autoSpaceDE/>
              <w:autoSpaceDN/>
              <w:bidi w:val="0"/>
              <w:adjustRightInd/>
              <w:snapToGrid/>
              <w:spacing w:before="0" w:beforeAutospacing="0" w:after="0" w:afterAutospacing="0" w:line="360" w:lineRule="auto"/>
              <w:ind w:left="69" w:leftChars="0" w:right="0"/>
              <w:jc w:val="center"/>
              <w:rPr>
                <w:rFonts w:hint="eastAsia" w:ascii="宋体" w:hAnsi="宋体" w:eastAsia="宋体" w:cs="宋体"/>
                <w:color w:val="auto"/>
                <w:kern w:val="2"/>
                <w:sz w:val="28"/>
                <w:szCs w:val="28"/>
                <w:highlight w:val="none"/>
                <w:lang w:val="en-US" w:eastAsia="zh-CN" w:bidi="ar-SA"/>
              </w:rPr>
            </w:pPr>
          </w:p>
        </w:tc>
        <w:tc>
          <w:tcPr>
            <w:tcW w:w="1999" w:type="dxa"/>
            <w:tcBorders>
              <w:top w:val="single" w:color="000000" w:sz="4" w:space="0"/>
              <w:left w:val="single" w:color="000000" w:sz="0" w:space="0"/>
              <w:bottom w:val="single" w:color="000000" w:sz="4" w:space="0"/>
              <w:right w:val="single" w:color="000000" w:sz="4" w:space="0"/>
            </w:tcBorders>
            <w:shd w:val="clear" w:color="000000" w:fill="FFFFFF"/>
            <w:noWrap w:val="0"/>
            <w:tcMar>
              <w:left w:w="108" w:type="dxa"/>
              <w:right w:w="108" w:type="dxa"/>
            </w:tcMar>
            <w:vAlign w:val="center"/>
          </w:tcPr>
          <w:p w14:paraId="52DAFEAE">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240" w:lineRule="auto"/>
              <w:ind w:left="68" w:leftChars="0" w:right="0"/>
              <w:jc w:val="center"/>
              <w:textAlignment w:val="auto"/>
              <w:rPr>
                <w:rFonts w:hint="eastAsia" w:ascii="宋体" w:hAnsi="宋体" w:eastAsia="宋体" w:cs="宋体"/>
                <w:color w:val="auto"/>
                <w:kern w:val="2"/>
                <w:sz w:val="28"/>
                <w:szCs w:val="28"/>
                <w:highlight w:val="none"/>
                <w:lang w:val="en-US" w:eastAsia="zh-CN" w:bidi="ar-SA"/>
              </w:rPr>
            </w:pPr>
          </w:p>
        </w:tc>
        <w:tc>
          <w:tcPr>
            <w:tcW w:w="1999" w:type="dxa"/>
            <w:tcBorders>
              <w:top w:val="single" w:color="000000" w:sz="4" w:space="0"/>
              <w:left w:val="single" w:color="000000" w:sz="0" w:space="0"/>
              <w:bottom w:val="single" w:color="000000" w:sz="4" w:space="0"/>
              <w:right w:val="single" w:color="000000" w:sz="4" w:space="0"/>
            </w:tcBorders>
            <w:shd w:val="clear" w:color="000000" w:fill="FFFFFF"/>
            <w:noWrap w:val="0"/>
            <w:tcMar>
              <w:left w:w="108" w:type="dxa"/>
              <w:right w:w="108" w:type="dxa"/>
            </w:tcMar>
            <w:vAlign w:val="center"/>
          </w:tcPr>
          <w:p w14:paraId="14156BD4">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240" w:lineRule="auto"/>
              <w:ind w:left="68" w:leftChars="0" w:right="0"/>
              <w:jc w:val="center"/>
              <w:textAlignment w:val="auto"/>
              <w:rPr>
                <w:rFonts w:hint="eastAsia" w:ascii="宋体" w:hAnsi="宋体" w:eastAsia="宋体" w:cs="宋体"/>
                <w:color w:val="auto"/>
                <w:kern w:val="2"/>
                <w:sz w:val="28"/>
                <w:szCs w:val="28"/>
                <w:highlight w:val="none"/>
                <w:lang w:val="en-US" w:eastAsia="zh-CN" w:bidi="ar-SA"/>
              </w:rPr>
            </w:pPr>
          </w:p>
        </w:tc>
        <w:tc>
          <w:tcPr>
            <w:tcW w:w="1911" w:type="dxa"/>
            <w:tcBorders>
              <w:top w:val="single" w:color="000000" w:sz="4" w:space="0"/>
              <w:left w:val="single" w:color="000000" w:sz="0" w:space="0"/>
              <w:bottom w:val="single" w:color="000000" w:sz="4" w:space="0"/>
              <w:right w:val="single" w:color="000000" w:sz="4" w:space="0"/>
            </w:tcBorders>
            <w:shd w:val="clear" w:color="000000" w:fill="FFFFFF"/>
            <w:noWrap w:val="0"/>
            <w:tcMar>
              <w:left w:w="108" w:type="dxa"/>
              <w:right w:w="108" w:type="dxa"/>
            </w:tcMar>
            <w:vAlign w:val="center"/>
          </w:tcPr>
          <w:p w14:paraId="031B90DF">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240" w:lineRule="auto"/>
              <w:ind w:left="68" w:leftChars="0" w:right="0"/>
              <w:jc w:val="center"/>
              <w:textAlignment w:val="auto"/>
              <w:rPr>
                <w:rFonts w:hint="eastAsia" w:ascii="宋体" w:hAnsi="宋体" w:eastAsia="宋体" w:cs="宋体"/>
                <w:color w:val="auto"/>
                <w:kern w:val="2"/>
                <w:sz w:val="28"/>
                <w:szCs w:val="28"/>
                <w:highlight w:val="none"/>
                <w:lang w:val="en-US" w:eastAsia="zh-CN" w:bidi="ar-SA"/>
              </w:rPr>
            </w:pPr>
          </w:p>
        </w:tc>
        <w:tc>
          <w:tcPr>
            <w:tcW w:w="1413" w:type="dxa"/>
            <w:tcBorders>
              <w:top w:val="single" w:color="000000" w:sz="4" w:space="0"/>
              <w:left w:val="single" w:color="000000" w:sz="0" w:space="0"/>
              <w:bottom w:val="single" w:color="000000" w:sz="4" w:space="0"/>
              <w:right w:val="single" w:color="000000" w:sz="4" w:space="0"/>
            </w:tcBorders>
            <w:shd w:val="clear" w:color="000000" w:fill="FFFFFF"/>
            <w:noWrap w:val="0"/>
            <w:tcMar>
              <w:left w:w="108" w:type="dxa"/>
              <w:right w:w="108" w:type="dxa"/>
            </w:tcMar>
            <w:vAlign w:val="center"/>
          </w:tcPr>
          <w:p w14:paraId="7325157E">
            <w:pPr>
              <w:keepNext w:val="0"/>
              <w:keepLines w:val="0"/>
              <w:widowControl/>
              <w:suppressLineNumbers w:val="0"/>
              <w:suppressAutoHyphens/>
              <w:bidi w:val="0"/>
              <w:spacing w:before="0" w:beforeAutospacing="0" w:after="0" w:afterAutospacing="0"/>
              <w:ind w:left="0" w:right="0"/>
              <w:jc w:val="center"/>
              <w:textAlignment w:val="center"/>
              <w:rPr>
                <w:rFonts w:hint="eastAsia" w:ascii="宋体" w:hAnsi="宋体" w:eastAsia="宋体" w:cs="宋体"/>
                <w:color w:val="auto"/>
                <w:kern w:val="2"/>
                <w:sz w:val="28"/>
                <w:szCs w:val="28"/>
                <w:highlight w:val="none"/>
                <w:lang w:val="en-US" w:eastAsia="zh-CN" w:bidi="ar-SA"/>
              </w:rPr>
            </w:pPr>
          </w:p>
        </w:tc>
      </w:tr>
      <w:tr w14:paraId="43FBC415">
        <w:tblPrEx>
          <w:tblCellMar>
            <w:top w:w="0" w:type="dxa"/>
            <w:left w:w="10" w:type="dxa"/>
            <w:bottom w:w="0" w:type="dxa"/>
            <w:right w:w="10" w:type="dxa"/>
          </w:tblCellMar>
        </w:tblPrEx>
        <w:trPr>
          <w:trHeight w:val="780" w:hRule="atLeast"/>
        </w:trPr>
        <w:tc>
          <w:tcPr>
            <w:tcW w:w="9397" w:type="dxa"/>
            <w:gridSpan w:val="6"/>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6AC7D94B">
            <w:pPr>
              <w:keepNext w:val="0"/>
              <w:keepLines w:val="0"/>
              <w:pageBreakBefore w:val="0"/>
              <w:suppressLineNumbers w:val="0"/>
              <w:suppressAutoHyphens/>
              <w:kinsoku/>
              <w:wordWrap/>
              <w:overflowPunct/>
              <w:topLinePunct w:val="0"/>
              <w:autoSpaceDE/>
              <w:autoSpaceDN/>
              <w:bidi w:val="0"/>
              <w:adjustRightInd/>
              <w:snapToGrid/>
              <w:spacing w:before="0" w:beforeAutospacing="0" w:after="0" w:afterAutospacing="0" w:line="360" w:lineRule="auto"/>
              <w:ind w:left="69" w:right="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备注说明： </w:t>
            </w:r>
          </w:p>
          <w:p w14:paraId="6E60E25D">
            <w:pPr>
              <w:keepNext w:val="0"/>
              <w:keepLines w:val="0"/>
              <w:pageBreakBefore w:val="0"/>
              <w:numPr>
                <w:ilvl w:val="0"/>
                <w:numId w:val="4"/>
              </w:numPr>
              <w:suppressLineNumbers w:val="0"/>
              <w:suppressAutoHyphens/>
              <w:kinsoku/>
              <w:wordWrap/>
              <w:overflowPunct/>
              <w:topLinePunct w:val="0"/>
              <w:autoSpaceDE/>
              <w:autoSpaceDN/>
              <w:bidi w:val="0"/>
              <w:adjustRightInd/>
              <w:snapToGrid/>
              <w:spacing w:before="0" w:beforeAutospacing="0" w:after="0" w:afterAutospacing="0" w:line="360" w:lineRule="auto"/>
              <w:ind w:left="69" w:right="0"/>
              <w:rPr>
                <w:rFonts w:hint="eastAsia" w:ascii="宋体" w:hAnsi="宋体" w:eastAsia="宋体" w:cs="宋体"/>
                <w:b w:val="0"/>
                <w:color w:val="auto"/>
                <w:sz w:val="28"/>
                <w:szCs w:val="28"/>
                <w:highlight w:val="none"/>
              </w:rPr>
            </w:pPr>
            <w:r>
              <w:rPr>
                <w:rFonts w:hint="eastAsia" w:ascii="宋体" w:hAnsi="宋体" w:eastAsia="宋体" w:cs="宋体"/>
                <w:color w:val="auto"/>
                <w:sz w:val="28"/>
                <w:szCs w:val="28"/>
                <w:highlight w:val="none"/>
              </w:rPr>
              <w:t>本协议单价包括设备费、仓储操作费、</w:t>
            </w:r>
            <w:r>
              <w:rPr>
                <w:rFonts w:hint="eastAsia" w:ascii="宋体" w:hAnsi="宋体" w:eastAsia="宋体" w:cs="宋体"/>
                <w:color w:val="auto"/>
                <w:sz w:val="28"/>
                <w:szCs w:val="28"/>
                <w:highlight w:val="none"/>
                <w:lang w:val="en-US" w:eastAsia="zh-CN"/>
              </w:rPr>
              <w:t>运输费</w:t>
            </w:r>
            <w:r>
              <w:rPr>
                <w:rFonts w:hint="eastAsia" w:ascii="宋体" w:hAnsi="宋体" w:eastAsia="宋体" w:cs="宋体"/>
                <w:color w:val="auto"/>
                <w:sz w:val="28"/>
                <w:szCs w:val="28"/>
                <w:highlight w:val="none"/>
              </w:rPr>
              <w:t>、运输保险费、专用工具费、装卸费、税费、采购保管费、检验验收、安装调试费以及售后服务等一切费用，</w:t>
            </w:r>
            <w:r>
              <w:rPr>
                <w:rFonts w:hint="eastAsia" w:ascii="宋体" w:hAnsi="宋体" w:eastAsia="宋体" w:cs="宋体"/>
                <w:b w:val="0"/>
                <w:color w:val="auto"/>
                <w:sz w:val="28"/>
                <w:szCs w:val="28"/>
                <w:highlight w:val="none"/>
                <w:lang w:eastAsia="zh-CN"/>
              </w:rPr>
              <w:t>乙</w:t>
            </w:r>
            <w:r>
              <w:rPr>
                <w:rFonts w:hint="eastAsia" w:ascii="宋体" w:hAnsi="宋体" w:eastAsia="宋体" w:cs="宋体"/>
                <w:b w:val="0"/>
                <w:color w:val="auto"/>
                <w:sz w:val="28"/>
                <w:szCs w:val="28"/>
                <w:highlight w:val="none"/>
              </w:rPr>
              <w:t>方不能向最终用户收取任何费用，包含但不限于货物在最终用户侧的二次搬运费等。</w:t>
            </w:r>
          </w:p>
          <w:p w14:paraId="16F673E8">
            <w:pPr>
              <w:keepNext w:val="0"/>
              <w:keepLines w:val="0"/>
              <w:pageBreakBefore w:val="0"/>
              <w:suppressLineNumbers w:val="0"/>
              <w:suppressAutoHyphens/>
              <w:kinsoku/>
              <w:wordWrap/>
              <w:overflowPunct/>
              <w:topLinePunct w:val="0"/>
              <w:autoSpaceDE/>
              <w:autoSpaceDN/>
              <w:bidi w:val="0"/>
              <w:adjustRightInd/>
              <w:snapToGrid/>
              <w:spacing w:before="0" w:beforeAutospacing="0" w:after="0" w:afterAutospacing="0" w:line="360" w:lineRule="auto"/>
              <w:ind w:left="69" w:right="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2、乙方可以申请调整协议价格，调整的价格不得高于投标文件中的响应报价及上一次调整的价格。</w:t>
            </w:r>
          </w:p>
          <w:p w14:paraId="514C4405">
            <w:pPr>
              <w:keepNext w:val="0"/>
              <w:keepLines w:val="0"/>
              <w:pageBreakBefore w:val="0"/>
              <w:suppressLineNumbers w:val="0"/>
              <w:suppressAutoHyphens/>
              <w:kinsoku/>
              <w:wordWrap/>
              <w:overflowPunct/>
              <w:topLinePunct w:val="0"/>
              <w:autoSpaceDE/>
              <w:autoSpaceDN/>
              <w:bidi w:val="0"/>
              <w:adjustRightInd/>
              <w:snapToGrid/>
              <w:spacing w:before="0" w:beforeAutospacing="0" w:after="0" w:afterAutospacing="0" w:line="360" w:lineRule="auto"/>
              <w:ind w:left="69" w:right="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若框架协议有效期内，甲方发现同型号产品的协议单价高于其它同类销售渠道或主流网站（京东、苏宁易购、天猫）或异地政府（广东、广州、深圳、杭州、南京）等的常规销售价格，甲方有权要求入围供应商按照主流网站或异地政府的最低价格再下浮10%作为框架协议价格。</w:t>
            </w:r>
          </w:p>
          <w:p w14:paraId="5E87DE7B">
            <w:pPr>
              <w:keepNext w:val="0"/>
              <w:keepLines w:val="0"/>
              <w:pageBreakBefore w:val="0"/>
              <w:suppressLineNumbers w:val="0"/>
              <w:suppressAutoHyphens/>
              <w:kinsoku/>
              <w:wordWrap/>
              <w:overflowPunct/>
              <w:topLinePunct w:val="0"/>
              <w:autoSpaceDE/>
              <w:autoSpaceDN/>
              <w:bidi w:val="0"/>
              <w:adjustRightInd/>
              <w:snapToGrid/>
              <w:spacing w:before="0" w:beforeAutospacing="0" w:after="0" w:afterAutospacing="0" w:line="360" w:lineRule="auto"/>
              <w:ind w:left="69" w:right="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4、入围产品在框架协议期限内达到累计采购数量及对应报价折扣关系为0-3000套（含）：协议价格×100%；3001套（含）以上：协议价格×98%。</w:t>
            </w:r>
          </w:p>
        </w:tc>
      </w:tr>
    </w:tbl>
    <w:p w14:paraId="6BB60D6C">
      <w:pPr>
        <w:keepNext w:val="0"/>
        <w:keepLines w:val="0"/>
        <w:pageBreakBefore w:val="0"/>
        <w:widowControl/>
        <w:shd w:val="clear" w:color="auto" w:fill="FFFFFF"/>
        <w:suppressAutoHyphens/>
        <w:kinsoku/>
        <w:wordWrap/>
        <w:overflowPunct/>
        <w:topLinePunct w:val="0"/>
        <w:autoSpaceDE/>
        <w:autoSpaceDN/>
        <w:bidi w:val="0"/>
        <w:adjustRightInd/>
        <w:snapToGrid/>
        <w:spacing w:line="360" w:lineRule="auto"/>
        <w:jc w:val="left"/>
        <w:rPr>
          <w:rFonts w:hint="eastAsia" w:ascii="宋体" w:hAnsi="宋体" w:eastAsia="宋体" w:cs="宋体"/>
          <w:b/>
          <w:bCs/>
          <w:color w:val="auto"/>
          <w:sz w:val="28"/>
          <w:szCs w:val="28"/>
          <w:highlight w:val="none"/>
          <w:lang w:val="zh-CN" w:bidi="zh-CN"/>
        </w:rPr>
      </w:pPr>
    </w:p>
    <w:p w14:paraId="1FAA981C">
      <w:pPr>
        <w:suppressAutoHyphens/>
        <w:bidi w:val="0"/>
        <w:rPr>
          <w:rFonts w:hint="eastAsia" w:ascii="宋体" w:hAnsi="宋体" w:eastAsia="宋体" w:cs="宋体"/>
          <w:b/>
          <w:bCs/>
          <w:color w:val="auto"/>
          <w:sz w:val="28"/>
          <w:szCs w:val="28"/>
          <w:highlight w:val="none"/>
          <w:lang w:val="zh-CN" w:bidi="zh-CN"/>
        </w:rPr>
      </w:pPr>
      <w:r>
        <w:rPr>
          <w:rFonts w:hint="eastAsia" w:ascii="宋体" w:hAnsi="宋体" w:eastAsia="宋体" w:cs="宋体"/>
          <w:b/>
          <w:bCs/>
          <w:color w:val="auto"/>
          <w:sz w:val="28"/>
          <w:szCs w:val="28"/>
          <w:highlight w:val="none"/>
          <w:lang w:val="zh-CN" w:bidi="zh-CN"/>
        </w:rPr>
        <w:br w:type="page"/>
      </w:r>
    </w:p>
    <w:p w14:paraId="2D652C10">
      <w:pPr>
        <w:keepNext w:val="0"/>
        <w:keepLines w:val="0"/>
        <w:pageBreakBefore w:val="0"/>
        <w:widowControl/>
        <w:shd w:val="clear" w:color="auto" w:fill="FFFFFF"/>
        <w:suppressAutoHyphens/>
        <w:kinsoku/>
        <w:wordWrap/>
        <w:overflowPunct/>
        <w:topLinePunct w:val="0"/>
        <w:autoSpaceDE/>
        <w:autoSpaceDN/>
        <w:bidi w:val="0"/>
        <w:adjustRightInd/>
        <w:snapToGrid/>
        <w:spacing w:line="360" w:lineRule="auto"/>
        <w:jc w:val="left"/>
        <w:rPr>
          <w:rFonts w:hint="eastAsia" w:ascii="宋体" w:hAnsi="宋体" w:eastAsia="宋体" w:cs="宋体"/>
          <w:b/>
          <w:bCs/>
          <w:color w:val="auto"/>
          <w:sz w:val="28"/>
          <w:szCs w:val="28"/>
          <w:highlight w:val="none"/>
          <w:lang w:val="zh-CN" w:bidi="zh-CN"/>
        </w:rPr>
      </w:pPr>
      <w:r>
        <w:rPr>
          <w:rFonts w:hint="eastAsia" w:ascii="宋体" w:hAnsi="宋体" w:eastAsia="宋体" w:cs="宋体"/>
          <w:b/>
          <w:bCs/>
          <w:color w:val="auto"/>
          <w:sz w:val="28"/>
          <w:szCs w:val="28"/>
          <w:highlight w:val="none"/>
          <w:lang w:val="zh-CN" w:bidi="zh-CN"/>
        </w:rPr>
        <w:t>附件</w:t>
      </w:r>
      <w:r>
        <w:rPr>
          <w:rFonts w:hint="eastAsia" w:ascii="宋体" w:hAnsi="宋体" w:eastAsia="宋体" w:cs="宋体"/>
          <w:b/>
          <w:bCs/>
          <w:color w:val="auto"/>
          <w:sz w:val="28"/>
          <w:szCs w:val="28"/>
          <w:highlight w:val="none"/>
          <w:lang w:val="en-US" w:bidi="zh-CN"/>
        </w:rPr>
        <w:t>二</w:t>
      </w:r>
      <w:r>
        <w:rPr>
          <w:rFonts w:hint="eastAsia" w:ascii="宋体" w:hAnsi="宋体" w:eastAsia="宋体" w:cs="宋体"/>
          <w:b/>
          <w:bCs/>
          <w:color w:val="auto"/>
          <w:sz w:val="28"/>
          <w:szCs w:val="28"/>
          <w:highlight w:val="none"/>
          <w:lang w:val="zh-CN" w:bidi="zh-CN"/>
        </w:rPr>
        <w:t>：</w:t>
      </w:r>
      <w:r>
        <w:rPr>
          <w:rFonts w:hint="eastAsia" w:ascii="宋体" w:hAnsi="宋体" w:eastAsia="宋体" w:cs="宋体"/>
          <w:b/>
          <w:bCs/>
          <w:color w:val="auto"/>
          <w:sz w:val="28"/>
          <w:szCs w:val="28"/>
          <w:highlight w:val="none"/>
          <w:lang w:val="en-US" w:bidi="zh-CN"/>
        </w:rPr>
        <w:t xml:space="preserve">              </w:t>
      </w:r>
      <w:r>
        <w:rPr>
          <w:rFonts w:hint="eastAsia" w:ascii="宋体" w:hAnsi="宋体" w:eastAsia="宋体" w:cs="宋体"/>
          <w:b/>
          <w:bCs/>
          <w:color w:val="auto"/>
          <w:sz w:val="28"/>
          <w:szCs w:val="28"/>
          <w:highlight w:val="none"/>
          <w:lang w:val="zh-CN" w:bidi="zh-CN"/>
        </w:rPr>
        <w:t>《政府采购合同文本》</w:t>
      </w:r>
    </w:p>
    <w:p w14:paraId="66867C9A">
      <w:pPr>
        <w:keepNext w:val="0"/>
        <w:keepLines w:val="0"/>
        <w:pageBreakBefore w:val="0"/>
        <w:widowControl/>
        <w:suppressAutoHyphens/>
        <w:kinsoku/>
        <w:wordWrap/>
        <w:overflowPunct/>
        <w:topLinePunct w:val="0"/>
        <w:autoSpaceDE/>
        <w:autoSpaceDN/>
        <w:bidi w:val="0"/>
        <w:adjustRightInd/>
        <w:snapToGrid/>
        <w:spacing w:before="100" w:beforeAutospacing="0" w:after="100" w:afterAutospacing="0" w:line="360" w:lineRule="auto"/>
        <w:ind w:firstLine="3654" w:firstLineChars="1300"/>
        <w:jc w:val="both"/>
        <w:rPr>
          <w:rFonts w:hint="eastAsia" w:ascii="宋体" w:hAnsi="宋体" w:eastAsia="宋体" w:cs="宋体"/>
          <w:color w:val="auto"/>
          <w:kern w:val="0"/>
          <w:sz w:val="28"/>
          <w:szCs w:val="28"/>
          <w:highlight w:val="none"/>
          <w:lang w:val="en-US" w:eastAsia="zh-CN" w:bidi="ar-SA"/>
        </w:rPr>
      </w:pPr>
      <w:r>
        <w:rPr>
          <w:rFonts w:hint="eastAsia" w:ascii="宋体" w:hAnsi="宋体" w:eastAsia="宋体" w:cs="宋体"/>
          <w:b/>
          <w:color w:val="auto"/>
          <w:kern w:val="2"/>
          <w:sz w:val="28"/>
          <w:szCs w:val="28"/>
          <w:highlight w:val="none"/>
          <w:lang w:val="en-US" w:eastAsia="zh-CN" w:bidi="ar-SA"/>
        </w:rPr>
        <w:t>政府采购合同</w:t>
      </w:r>
    </w:p>
    <w:p w14:paraId="2A76F74D">
      <w:pPr>
        <w:keepNext w:val="0"/>
        <w:keepLines w:val="0"/>
        <w:pageBreakBefore w:val="0"/>
        <w:widowControl/>
        <w:suppressAutoHyphens/>
        <w:kinsoku/>
        <w:wordWrap/>
        <w:overflowPunct/>
        <w:topLinePunct w:val="0"/>
        <w:autoSpaceDE/>
        <w:autoSpaceDN/>
        <w:bidi w:val="0"/>
        <w:adjustRightInd/>
        <w:snapToGrid/>
        <w:spacing w:before="100" w:beforeAutospacing="0" w:after="100" w:afterAutospacing="0" w:line="360" w:lineRule="auto"/>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8"/>
          <w:szCs w:val="28"/>
          <w:highlight w:val="none"/>
          <w:lang w:val="en-US" w:eastAsia="zh-CN" w:bidi="ar-SA"/>
        </w:rPr>
        <w:t> </w:t>
      </w:r>
    </w:p>
    <w:p w14:paraId="5DA70B9C">
      <w:pPr>
        <w:keepNext w:val="0"/>
        <w:keepLines w:val="0"/>
        <w:pageBreakBefore w:val="0"/>
        <w:suppressAutoHyphens/>
        <w:kinsoku/>
        <w:wordWrap/>
        <w:overflowPunct/>
        <w:topLinePunct w:val="0"/>
        <w:autoSpaceDE/>
        <w:autoSpaceDN/>
        <w:bidi w:val="0"/>
        <w:adjustRightInd/>
        <w:snapToGrid/>
        <w:spacing w:line="360" w:lineRule="auto"/>
        <w:ind w:left="69" w:right="480" w:firstLine="4560" w:firstLineChars="1900"/>
        <w:jc w:val="center"/>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合同编号：</w:t>
      </w:r>
    </w:p>
    <w:p w14:paraId="482738CC">
      <w:pPr>
        <w:suppressAutoHyphens/>
        <w:autoSpaceDE w:val="0"/>
        <w:autoSpaceDN w:val="0"/>
        <w:bidi w:val="0"/>
        <w:adjustRightInd w:val="0"/>
        <w:snapToGrid w:val="0"/>
        <w:spacing w:before="0" w:beforeLines="0" w:line="360" w:lineRule="auto"/>
        <w:jc w:val="left"/>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甲方（</w:t>
      </w:r>
      <w:r>
        <w:rPr>
          <w:rFonts w:hint="eastAsia" w:ascii="宋体" w:hAnsi="宋体" w:eastAsia="宋体" w:cs="宋体"/>
          <w:color w:val="auto"/>
          <w:sz w:val="24"/>
          <w:szCs w:val="24"/>
          <w:highlight w:val="none"/>
          <w:lang w:val="en-GB" w:eastAsia="zh-CN"/>
        </w:rPr>
        <w:t>征集人</w:t>
      </w:r>
      <w:r>
        <w:rPr>
          <w:rFonts w:hint="eastAsia" w:ascii="宋体" w:hAnsi="宋体" w:eastAsia="宋体" w:cs="宋体"/>
          <w:color w:val="auto"/>
          <w:sz w:val="24"/>
          <w:szCs w:val="24"/>
          <w:highlight w:val="none"/>
          <w:lang w:val="en-GB"/>
        </w:rPr>
        <w:t>）</w:t>
      </w:r>
      <w:r>
        <w:rPr>
          <w:rFonts w:hint="eastAsia" w:ascii="宋体" w:hAnsi="宋体" w:eastAsia="宋体" w:cs="宋体"/>
          <w:color w:val="auto"/>
          <w:sz w:val="24"/>
          <w:szCs w:val="24"/>
          <w:highlight w:val="none"/>
          <w:lang w:val="en-GB"/>
        </w:rPr>
        <w:t xml:space="preserve">：厦门万翔网络商务有限公司                </w:t>
      </w:r>
    </w:p>
    <w:p w14:paraId="0D4D8551">
      <w:pPr>
        <w:suppressAutoHyphens/>
        <w:autoSpaceDE w:val="0"/>
        <w:autoSpaceDN w:val="0"/>
        <w:bidi w:val="0"/>
        <w:adjustRightInd w:val="0"/>
        <w:snapToGrid w:val="0"/>
        <w:spacing w:before="0" w:beforeLines="0" w:line="360" w:lineRule="auto"/>
        <w:jc w:val="left"/>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乙方（</w:t>
      </w:r>
      <w:r>
        <w:rPr>
          <w:rFonts w:hint="eastAsia" w:ascii="宋体" w:hAnsi="宋体" w:eastAsia="宋体" w:cs="宋体"/>
          <w:color w:val="auto"/>
          <w:sz w:val="24"/>
          <w:szCs w:val="24"/>
          <w:highlight w:val="none"/>
          <w:lang w:val="en-GB" w:eastAsia="zh-CN"/>
        </w:rPr>
        <w:t>入围供应商或其委托代理商</w:t>
      </w:r>
      <w:r>
        <w:rPr>
          <w:rFonts w:hint="eastAsia" w:ascii="宋体" w:hAnsi="宋体" w:eastAsia="宋体" w:cs="宋体"/>
          <w:color w:val="auto"/>
          <w:sz w:val="24"/>
          <w:szCs w:val="24"/>
          <w:highlight w:val="none"/>
          <w:lang w:val="en-GB"/>
        </w:rPr>
        <w:t>）</w:t>
      </w:r>
      <w:r>
        <w:rPr>
          <w:rFonts w:hint="eastAsia" w:ascii="宋体" w:hAnsi="宋体" w:eastAsia="宋体" w:cs="宋体"/>
          <w:color w:val="auto"/>
          <w:sz w:val="24"/>
          <w:szCs w:val="24"/>
          <w:highlight w:val="none"/>
          <w:lang w:val="en-GB"/>
        </w:rPr>
        <w:t>：</w:t>
      </w:r>
    </w:p>
    <w:p w14:paraId="1191495B">
      <w:pPr>
        <w:widowControl/>
        <w:suppressAutoHyphens/>
        <w:bidi w:val="0"/>
        <w:spacing w:before="100" w:beforeAutospacing="0" w:after="100" w:afterAutospacing="0" w:line="360" w:lineRule="auto"/>
        <w:ind w:firstLine="480" w:firstLineChars="200"/>
        <w:jc w:val="left"/>
        <w:rPr>
          <w:rFonts w:ascii="宋体" w:hAnsi="宋体" w:eastAsia="宋体" w:cs="宋体"/>
          <w:color w:val="auto"/>
          <w:kern w:val="0"/>
          <w:sz w:val="24"/>
          <w:szCs w:val="24"/>
          <w:highlight w:val="none"/>
          <w:lang w:val="en-US" w:eastAsia="zh-CN" w:bidi="ar-SA"/>
        </w:rPr>
      </w:pPr>
      <w:r>
        <w:rPr>
          <w:rFonts w:ascii="宋体" w:hAnsi="宋体" w:eastAsia="宋体" w:cs="宋体"/>
          <w:color w:val="auto"/>
          <w:kern w:val="0"/>
          <w:sz w:val="24"/>
          <w:szCs w:val="24"/>
          <w:highlight w:val="none"/>
          <w:lang w:val="en-US" w:eastAsia="zh-CN" w:bidi="ar-SA"/>
        </w:rPr>
        <w:t>现依照征集文件、</w:t>
      </w:r>
      <w:r>
        <w:rPr>
          <w:rFonts w:ascii="宋体" w:hAnsi="宋体" w:cs="宋体"/>
          <w:color w:val="auto"/>
          <w:kern w:val="0"/>
          <w:sz w:val="24"/>
          <w:szCs w:val="24"/>
          <w:highlight w:val="none"/>
          <w:lang w:eastAsia="zh-CN" w:bidi="ar-SA"/>
        </w:rPr>
        <w:t>响应</w:t>
      </w:r>
      <w:r>
        <w:rPr>
          <w:rFonts w:ascii="宋体" w:hAnsi="宋体" w:eastAsia="宋体" w:cs="宋体"/>
          <w:color w:val="auto"/>
          <w:kern w:val="0"/>
          <w:sz w:val="24"/>
          <w:szCs w:val="24"/>
          <w:highlight w:val="none"/>
          <w:lang w:val="en-US" w:eastAsia="zh-CN" w:bidi="ar-SA"/>
        </w:rPr>
        <w:t>文件</w:t>
      </w:r>
      <w:r>
        <w:rPr>
          <w:rFonts w:ascii="宋体" w:hAnsi="宋体" w:cs="宋体"/>
          <w:color w:val="auto"/>
          <w:kern w:val="0"/>
          <w:sz w:val="24"/>
          <w:szCs w:val="24"/>
          <w:highlight w:val="none"/>
          <w:lang w:eastAsia="zh-CN" w:bidi="ar-SA"/>
        </w:rPr>
        <w:t>、</w:t>
      </w:r>
      <w:r>
        <w:rPr>
          <w:rFonts w:hint="eastAsia" w:ascii="宋体" w:hAnsi="宋体" w:eastAsia="宋体" w:cs="宋体"/>
          <w:color w:val="auto"/>
          <w:kern w:val="0"/>
          <w:sz w:val="24"/>
          <w:szCs w:val="24"/>
          <w:highlight w:val="none"/>
        </w:rPr>
        <w:t>《封闭式框架协议》</w:t>
      </w:r>
      <w:r>
        <w:rPr>
          <w:rFonts w:ascii="宋体" w:hAnsi="宋体" w:eastAsia="宋体" w:cs="宋体"/>
          <w:color w:val="auto"/>
          <w:kern w:val="0"/>
          <w:sz w:val="24"/>
          <w:szCs w:val="24"/>
          <w:highlight w:val="none"/>
          <w:lang w:val="en-US" w:eastAsia="zh-CN" w:bidi="ar-SA"/>
        </w:rPr>
        <w:t>及有关法律、法规、规章规定的内容，双方达成如下协议</w:t>
      </w:r>
      <w:r>
        <w:rPr>
          <w:rFonts w:hint="eastAsia" w:ascii="宋体" w:hAnsi="宋体" w:eastAsia="宋体" w:cs="宋体"/>
          <w:color w:val="auto"/>
          <w:kern w:val="0"/>
          <w:sz w:val="24"/>
          <w:szCs w:val="24"/>
          <w:highlight w:val="none"/>
          <w:lang w:val="en-US" w:eastAsia="zh-CN" w:bidi="ar-SA"/>
        </w:rPr>
        <w:t>现经甲乙双方友好协商，就以下事项达成一致并签订本合同</w:t>
      </w:r>
      <w:r>
        <w:rPr>
          <w:rFonts w:ascii="宋体" w:hAnsi="宋体" w:eastAsia="宋体" w:cs="宋体"/>
          <w:color w:val="auto"/>
          <w:kern w:val="0"/>
          <w:sz w:val="24"/>
          <w:szCs w:val="24"/>
          <w:highlight w:val="none"/>
          <w:lang w:val="en-US" w:eastAsia="zh-CN" w:bidi="ar-SA"/>
        </w:rPr>
        <w:t>：</w:t>
      </w:r>
    </w:p>
    <w:p w14:paraId="35586A4E">
      <w:pPr>
        <w:suppressAutoHyphens/>
        <w:autoSpaceDE w:val="0"/>
        <w:autoSpaceDN w:val="0"/>
        <w:bidi w:val="0"/>
        <w:adjustRightInd w:val="0"/>
        <w:snapToGrid w:val="0"/>
        <w:spacing w:before="0" w:beforeLines="0" w:line="360" w:lineRule="auto"/>
        <w:ind w:firstLine="482" w:firstLineChars="200"/>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1、下列合同文件是构成本合同不可分割的部分：</w:t>
      </w:r>
    </w:p>
    <w:p w14:paraId="64A07184">
      <w:pPr>
        <w:widowControl/>
        <w:suppressAutoHyphens/>
        <w:bidi w:val="0"/>
        <w:spacing w:before="100" w:beforeAutospacing="0" w:after="100" w:afterAutospacing="0" w:line="360" w:lineRule="auto"/>
        <w:ind w:firstLine="480"/>
        <w:jc w:val="left"/>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1.1合同条款。</w:t>
      </w:r>
    </w:p>
    <w:p w14:paraId="7ABD8FA5">
      <w:pPr>
        <w:widowControl/>
        <w:suppressAutoHyphens/>
        <w:bidi w:val="0"/>
        <w:spacing w:before="100" w:beforeAutospacing="0" w:after="100" w:afterAutospacing="0" w:line="360" w:lineRule="auto"/>
        <w:ind w:firstLine="480"/>
        <w:jc w:val="left"/>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1.2征集文件、乙方入围供应商的</w:t>
      </w:r>
      <w:r>
        <w:rPr>
          <w:rFonts w:hint="default" w:ascii="宋体" w:hAnsi="宋体" w:cs="宋体"/>
          <w:color w:val="auto"/>
          <w:kern w:val="0"/>
          <w:sz w:val="24"/>
          <w:szCs w:val="24"/>
          <w:highlight w:val="none"/>
          <w:lang w:eastAsia="zh-CN" w:bidi="ar-SA"/>
        </w:rPr>
        <w:t>响应</w:t>
      </w:r>
      <w:r>
        <w:rPr>
          <w:rFonts w:hint="eastAsia" w:ascii="宋体" w:hAnsi="宋体" w:eastAsia="宋体" w:cs="宋体"/>
          <w:color w:val="auto"/>
          <w:kern w:val="0"/>
          <w:sz w:val="24"/>
          <w:szCs w:val="24"/>
          <w:highlight w:val="none"/>
          <w:lang w:val="en-US" w:eastAsia="zh-CN" w:bidi="ar-SA"/>
        </w:rPr>
        <w:t>文件及</w:t>
      </w:r>
      <w:r>
        <w:rPr>
          <w:rFonts w:hint="default" w:ascii="宋体" w:hAnsi="宋体" w:cs="宋体"/>
          <w:color w:val="auto"/>
          <w:kern w:val="0"/>
          <w:sz w:val="24"/>
          <w:szCs w:val="24"/>
          <w:highlight w:val="none"/>
          <w:lang w:eastAsia="zh-CN" w:bidi="ar-SA"/>
        </w:rPr>
        <w:t>《封闭式</w:t>
      </w:r>
      <w:r>
        <w:rPr>
          <w:rFonts w:hint="eastAsia" w:ascii="宋体" w:hAnsi="宋体" w:eastAsia="宋体" w:cs="宋体"/>
          <w:color w:val="auto"/>
          <w:kern w:val="0"/>
          <w:sz w:val="24"/>
          <w:szCs w:val="24"/>
          <w:highlight w:val="none"/>
          <w:lang w:val="en-US" w:eastAsia="zh-CN" w:bidi="ar-SA"/>
        </w:rPr>
        <w:t>框架协议</w:t>
      </w:r>
      <w:r>
        <w:rPr>
          <w:rFonts w:hint="default" w:ascii="宋体" w:hAnsi="宋体" w:cs="宋体"/>
          <w:color w:val="auto"/>
          <w:kern w:val="0"/>
          <w:sz w:val="24"/>
          <w:szCs w:val="24"/>
          <w:highlight w:val="none"/>
          <w:lang w:eastAsia="zh-CN" w:bidi="ar-SA"/>
        </w:rPr>
        <w:t>》</w:t>
      </w:r>
      <w:r>
        <w:rPr>
          <w:rFonts w:hint="eastAsia" w:ascii="宋体" w:hAnsi="宋体" w:eastAsia="宋体" w:cs="宋体"/>
          <w:color w:val="auto"/>
          <w:kern w:val="0"/>
          <w:sz w:val="24"/>
          <w:szCs w:val="24"/>
          <w:highlight w:val="none"/>
          <w:lang w:val="en-US" w:eastAsia="zh-CN" w:bidi="ar-SA"/>
        </w:rPr>
        <w:t>（</w:t>
      </w:r>
      <w:r>
        <w:rPr>
          <w:rFonts w:hint="default" w:ascii="宋体" w:hAnsi="宋体" w:cs="宋体"/>
          <w:color w:val="auto"/>
          <w:kern w:val="0"/>
          <w:sz w:val="24"/>
          <w:szCs w:val="24"/>
          <w:highlight w:val="none"/>
          <w:lang w:eastAsia="zh-CN" w:bidi="ar-SA"/>
        </w:rPr>
        <w:t>协议</w:t>
      </w:r>
      <w:r>
        <w:rPr>
          <w:rFonts w:hint="eastAsia" w:ascii="宋体" w:hAnsi="宋体" w:eastAsia="宋体" w:cs="宋体"/>
          <w:color w:val="auto"/>
          <w:kern w:val="0"/>
          <w:sz w:val="24"/>
          <w:szCs w:val="24"/>
          <w:highlight w:val="none"/>
          <w:lang w:val="en-US" w:eastAsia="zh-CN" w:bidi="ar-SA"/>
        </w:rPr>
        <w:t>编号：</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w:t>
      </w:r>
    </w:p>
    <w:p w14:paraId="6E47B3AE">
      <w:pPr>
        <w:suppressAutoHyphens/>
        <w:autoSpaceDE w:val="0"/>
        <w:autoSpaceDN w:val="0"/>
        <w:bidi w:val="0"/>
        <w:adjustRightInd w:val="0"/>
        <w:snapToGrid w:val="0"/>
        <w:spacing w:before="0" w:beforeLines="0" w:line="360" w:lineRule="auto"/>
        <w:ind w:firstLine="482" w:firstLineChars="200"/>
        <w:jc w:val="left"/>
        <w:rPr>
          <w:rFonts w:hint="default" w:ascii="宋体" w:hAnsi="宋体" w:eastAsia="宋体" w:cs="宋体"/>
          <w:color w:val="auto"/>
          <w:sz w:val="24"/>
          <w:szCs w:val="24"/>
          <w:highlight w:val="none"/>
          <w:lang w:val="en-US"/>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lang w:val="en-GB"/>
        </w:rPr>
        <w:t>合同标的物和合同价格</w:t>
      </w:r>
    </w:p>
    <w:tbl>
      <w:tblPr>
        <w:tblStyle w:val="1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1"/>
        <w:gridCol w:w="1709"/>
        <w:gridCol w:w="1343"/>
        <w:gridCol w:w="1438"/>
        <w:gridCol w:w="1428"/>
        <w:gridCol w:w="1300"/>
      </w:tblGrid>
      <w:tr w14:paraId="4D364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764" w:type="pct"/>
            <w:noWrap w:val="0"/>
            <w:vAlign w:val="center"/>
          </w:tcPr>
          <w:p w14:paraId="104D2215">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both"/>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产品名称</w:t>
            </w:r>
          </w:p>
        </w:tc>
        <w:tc>
          <w:tcPr>
            <w:tcW w:w="1003" w:type="pct"/>
            <w:noWrap w:val="0"/>
            <w:vAlign w:val="center"/>
          </w:tcPr>
          <w:p w14:paraId="3531D638">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both"/>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规格型号</w:t>
            </w:r>
          </w:p>
        </w:tc>
        <w:tc>
          <w:tcPr>
            <w:tcW w:w="788" w:type="pct"/>
            <w:noWrap w:val="0"/>
            <w:vAlign w:val="center"/>
          </w:tcPr>
          <w:p w14:paraId="17066130">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both"/>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制造商</w:t>
            </w:r>
          </w:p>
        </w:tc>
        <w:tc>
          <w:tcPr>
            <w:tcW w:w="842" w:type="pct"/>
            <w:noWrap w:val="0"/>
            <w:vAlign w:val="center"/>
          </w:tcPr>
          <w:p w14:paraId="2CD4C72A">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both"/>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单价（元/台）</w:t>
            </w:r>
          </w:p>
        </w:tc>
        <w:tc>
          <w:tcPr>
            <w:tcW w:w="838" w:type="pct"/>
            <w:noWrap w:val="0"/>
            <w:vAlign w:val="center"/>
          </w:tcPr>
          <w:p w14:paraId="622087DA">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both"/>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数量（台）</w:t>
            </w:r>
          </w:p>
        </w:tc>
        <w:tc>
          <w:tcPr>
            <w:tcW w:w="762" w:type="pct"/>
            <w:noWrap w:val="0"/>
            <w:vAlign w:val="center"/>
          </w:tcPr>
          <w:p w14:paraId="4945A759">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both"/>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总金额（元）</w:t>
            </w:r>
          </w:p>
        </w:tc>
      </w:tr>
      <w:tr w14:paraId="249F4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764" w:type="pct"/>
            <w:noWrap w:val="0"/>
            <w:vAlign w:val="center"/>
          </w:tcPr>
          <w:p w14:paraId="12A8CAC5">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80" w:firstLineChars="200"/>
              <w:jc w:val="left"/>
              <w:rPr>
                <w:rFonts w:hint="eastAsia" w:ascii="宋体" w:hAnsi="宋体" w:eastAsia="宋体" w:cs="宋体"/>
                <w:color w:val="auto"/>
                <w:sz w:val="24"/>
                <w:szCs w:val="24"/>
                <w:highlight w:val="none"/>
                <w:lang w:val="en-GB"/>
              </w:rPr>
            </w:pPr>
          </w:p>
        </w:tc>
        <w:tc>
          <w:tcPr>
            <w:tcW w:w="1003" w:type="pct"/>
            <w:noWrap w:val="0"/>
            <w:vAlign w:val="center"/>
          </w:tcPr>
          <w:p w14:paraId="2F7E7EB7">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80" w:firstLineChars="200"/>
              <w:jc w:val="left"/>
              <w:rPr>
                <w:rFonts w:hint="eastAsia" w:ascii="宋体" w:hAnsi="宋体" w:eastAsia="宋体" w:cs="宋体"/>
                <w:color w:val="auto"/>
                <w:sz w:val="24"/>
                <w:szCs w:val="24"/>
                <w:highlight w:val="none"/>
                <w:lang w:val="en-GB"/>
              </w:rPr>
            </w:pPr>
          </w:p>
        </w:tc>
        <w:tc>
          <w:tcPr>
            <w:tcW w:w="788" w:type="pct"/>
            <w:noWrap w:val="0"/>
            <w:vAlign w:val="center"/>
          </w:tcPr>
          <w:p w14:paraId="34F3CC78">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80" w:firstLineChars="200"/>
              <w:jc w:val="left"/>
              <w:rPr>
                <w:rFonts w:hint="eastAsia" w:ascii="宋体" w:hAnsi="宋体" w:eastAsia="宋体" w:cs="宋体"/>
                <w:color w:val="auto"/>
                <w:sz w:val="24"/>
                <w:szCs w:val="24"/>
                <w:highlight w:val="none"/>
                <w:lang w:val="en-GB"/>
              </w:rPr>
            </w:pPr>
          </w:p>
        </w:tc>
        <w:tc>
          <w:tcPr>
            <w:tcW w:w="842" w:type="pct"/>
            <w:noWrap w:val="0"/>
            <w:vAlign w:val="center"/>
          </w:tcPr>
          <w:p w14:paraId="32C1FD0F">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80" w:firstLineChars="200"/>
              <w:jc w:val="left"/>
              <w:rPr>
                <w:rFonts w:hint="eastAsia" w:ascii="宋体" w:hAnsi="宋体" w:eastAsia="宋体" w:cs="宋体"/>
                <w:color w:val="auto"/>
                <w:sz w:val="24"/>
                <w:szCs w:val="24"/>
                <w:highlight w:val="none"/>
                <w:lang w:val="en-GB"/>
              </w:rPr>
            </w:pPr>
          </w:p>
        </w:tc>
        <w:tc>
          <w:tcPr>
            <w:tcW w:w="838" w:type="pct"/>
            <w:noWrap w:val="0"/>
            <w:vAlign w:val="center"/>
          </w:tcPr>
          <w:p w14:paraId="7A178EC6">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80" w:firstLineChars="200"/>
              <w:jc w:val="left"/>
              <w:rPr>
                <w:rFonts w:hint="eastAsia" w:ascii="宋体" w:hAnsi="宋体" w:eastAsia="宋体" w:cs="宋体"/>
                <w:color w:val="auto"/>
                <w:sz w:val="24"/>
                <w:szCs w:val="24"/>
                <w:highlight w:val="none"/>
                <w:lang w:val="en-GB"/>
              </w:rPr>
            </w:pPr>
          </w:p>
        </w:tc>
        <w:tc>
          <w:tcPr>
            <w:tcW w:w="762" w:type="pct"/>
            <w:noWrap w:val="0"/>
            <w:vAlign w:val="center"/>
          </w:tcPr>
          <w:p w14:paraId="57F041C8">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80" w:firstLineChars="200"/>
              <w:jc w:val="left"/>
              <w:rPr>
                <w:rFonts w:hint="eastAsia" w:ascii="宋体" w:hAnsi="宋体" w:eastAsia="宋体" w:cs="宋体"/>
                <w:color w:val="auto"/>
                <w:sz w:val="24"/>
                <w:szCs w:val="24"/>
                <w:highlight w:val="none"/>
                <w:lang w:val="en-GB"/>
              </w:rPr>
            </w:pPr>
          </w:p>
        </w:tc>
      </w:tr>
      <w:tr w14:paraId="3AA16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764" w:type="pct"/>
            <w:noWrap w:val="0"/>
            <w:vAlign w:val="center"/>
          </w:tcPr>
          <w:p w14:paraId="64998178">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80" w:firstLineChars="200"/>
              <w:jc w:val="left"/>
              <w:rPr>
                <w:rFonts w:hint="eastAsia" w:ascii="宋体" w:hAnsi="宋体" w:eastAsia="宋体" w:cs="宋体"/>
                <w:color w:val="auto"/>
                <w:sz w:val="24"/>
                <w:szCs w:val="24"/>
                <w:highlight w:val="none"/>
                <w:lang w:val="en-GB"/>
              </w:rPr>
            </w:pPr>
          </w:p>
        </w:tc>
        <w:tc>
          <w:tcPr>
            <w:tcW w:w="1003" w:type="pct"/>
            <w:noWrap w:val="0"/>
            <w:vAlign w:val="center"/>
          </w:tcPr>
          <w:p w14:paraId="7AF5D825">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80" w:firstLineChars="200"/>
              <w:jc w:val="left"/>
              <w:rPr>
                <w:rFonts w:hint="eastAsia" w:ascii="宋体" w:hAnsi="宋体" w:eastAsia="宋体" w:cs="宋体"/>
                <w:color w:val="auto"/>
                <w:sz w:val="24"/>
                <w:szCs w:val="24"/>
                <w:highlight w:val="none"/>
                <w:lang w:val="en-GB"/>
              </w:rPr>
            </w:pPr>
          </w:p>
        </w:tc>
        <w:tc>
          <w:tcPr>
            <w:tcW w:w="788" w:type="pct"/>
            <w:noWrap w:val="0"/>
            <w:vAlign w:val="center"/>
          </w:tcPr>
          <w:p w14:paraId="0FFC8731">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80" w:firstLineChars="200"/>
              <w:jc w:val="left"/>
              <w:rPr>
                <w:rFonts w:hint="eastAsia" w:ascii="宋体" w:hAnsi="宋体" w:eastAsia="宋体" w:cs="宋体"/>
                <w:color w:val="auto"/>
                <w:sz w:val="24"/>
                <w:szCs w:val="24"/>
                <w:highlight w:val="none"/>
                <w:lang w:val="en-GB"/>
              </w:rPr>
            </w:pPr>
          </w:p>
        </w:tc>
        <w:tc>
          <w:tcPr>
            <w:tcW w:w="842" w:type="pct"/>
            <w:noWrap w:val="0"/>
            <w:vAlign w:val="center"/>
          </w:tcPr>
          <w:p w14:paraId="2B11BC3F">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80" w:firstLineChars="200"/>
              <w:jc w:val="left"/>
              <w:rPr>
                <w:rFonts w:hint="eastAsia" w:ascii="宋体" w:hAnsi="宋体" w:eastAsia="宋体" w:cs="宋体"/>
                <w:color w:val="auto"/>
                <w:sz w:val="24"/>
                <w:szCs w:val="24"/>
                <w:highlight w:val="none"/>
                <w:lang w:val="en-GB"/>
              </w:rPr>
            </w:pPr>
          </w:p>
        </w:tc>
        <w:tc>
          <w:tcPr>
            <w:tcW w:w="838" w:type="pct"/>
            <w:noWrap w:val="0"/>
            <w:vAlign w:val="center"/>
          </w:tcPr>
          <w:p w14:paraId="1134B2C1">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80" w:firstLineChars="200"/>
              <w:jc w:val="left"/>
              <w:rPr>
                <w:rFonts w:hint="eastAsia" w:ascii="宋体" w:hAnsi="宋体" w:eastAsia="宋体" w:cs="宋体"/>
                <w:color w:val="auto"/>
                <w:sz w:val="24"/>
                <w:szCs w:val="24"/>
                <w:highlight w:val="none"/>
                <w:lang w:val="en-GB"/>
              </w:rPr>
            </w:pPr>
          </w:p>
        </w:tc>
        <w:tc>
          <w:tcPr>
            <w:tcW w:w="762" w:type="pct"/>
            <w:noWrap w:val="0"/>
            <w:vAlign w:val="center"/>
          </w:tcPr>
          <w:p w14:paraId="2E331FF0">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80" w:firstLineChars="200"/>
              <w:jc w:val="left"/>
              <w:rPr>
                <w:rFonts w:hint="eastAsia" w:ascii="宋体" w:hAnsi="宋体" w:eastAsia="宋体" w:cs="宋体"/>
                <w:color w:val="auto"/>
                <w:sz w:val="24"/>
                <w:szCs w:val="24"/>
                <w:highlight w:val="none"/>
                <w:lang w:val="en-GB"/>
              </w:rPr>
            </w:pPr>
          </w:p>
        </w:tc>
      </w:tr>
      <w:tr w14:paraId="69BD1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3399" w:type="pct"/>
            <w:gridSpan w:val="4"/>
            <w:noWrap w:val="0"/>
            <w:vAlign w:val="center"/>
          </w:tcPr>
          <w:p w14:paraId="46676BE2">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left"/>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合计：</w:t>
            </w:r>
          </w:p>
        </w:tc>
        <w:tc>
          <w:tcPr>
            <w:tcW w:w="838" w:type="pct"/>
            <w:noWrap w:val="0"/>
            <w:vAlign w:val="center"/>
          </w:tcPr>
          <w:p w14:paraId="01B30743">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80" w:firstLineChars="200"/>
              <w:jc w:val="left"/>
              <w:rPr>
                <w:rFonts w:hint="eastAsia" w:ascii="宋体" w:hAnsi="宋体" w:eastAsia="宋体" w:cs="宋体"/>
                <w:color w:val="auto"/>
                <w:sz w:val="24"/>
                <w:szCs w:val="24"/>
                <w:highlight w:val="none"/>
                <w:lang w:val="en-GB"/>
              </w:rPr>
            </w:pPr>
          </w:p>
        </w:tc>
        <w:tc>
          <w:tcPr>
            <w:tcW w:w="762" w:type="pct"/>
            <w:noWrap w:val="0"/>
            <w:vAlign w:val="bottom"/>
          </w:tcPr>
          <w:p w14:paraId="702B60B0">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80" w:firstLineChars="200"/>
              <w:jc w:val="left"/>
              <w:rPr>
                <w:rFonts w:hint="eastAsia" w:ascii="宋体" w:hAnsi="宋体" w:eastAsia="宋体" w:cs="宋体"/>
                <w:color w:val="auto"/>
                <w:sz w:val="24"/>
                <w:szCs w:val="24"/>
                <w:highlight w:val="none"/>
                <w:lang w:val="en-GB"/>
              </w:rPr>
            </w:pPr>
          </w:p>
        </w:tc>
      </w:tr>
      <w:tr w14:paraId="735F0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5000" w:type="pct"/>
            <w:gridSpan w:val="6"/>
            <w:noWrap w:val="0"/>
            <w:vAlign w:val="center"/>
          </w:tcPr>
          <w:p w14:paraId="6AF6C6A0">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left"/>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合同总价： 元整</w:t>
            </w:r>
          </w:p>
        </w:tc>
      </w:tr>
      <w:tr w14:paraId="6413F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5000" w:type="pct"/>
            <w:gridSpan w:val="6"/>
            <w:noWrap w:val="0"/>
            <w:vAlign w:val="center"/>
          </w:tcPr>
          <w:p w14:paraId="25083E0D">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80" w:firstLineChars="200"/>
              <w:jc w:val="left"/>
              <w:rPr>
                <w:rFonts w:hint="eastAsia" w:ascii="宋体" w:hAnsi="宋体" w:eastAsia="宋体" w:cs="宋体"/>
                <w:color w:val="auto"/>
                <w:sz w:val="24"/>
                <w:szCs w:val="24"/>
                <w:highlight w:val="none"/>
                <w:lang w:val="en-GB" w:eastAsia="zh-CN"/>
              </w:rPr>
            </w:pPr>
            <w:r>
              <w:rPr>
                <w:rFonts w:hint="eastAsia" w:ascii="宋体" w:hAnsi="宋体" w:eastAsia="宋体" w:cs="宋体"/>
                <w:color w:val="auto"/>
                <w:sz w:val="24"/>
                <w:szCs w:val="24"/>
                <w:highlight w:val="none"/>
                <w:lang w:val="en-GB"/>
              </w:rPr>
              <w:t>备注：</w:t>
            </w:r>
          </w:p>
          <w:p w14:paraId="5D03F9D1">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80" w:firstLineChars="200"/>
              <w:jc w:val="left"/>
              <w:rPr>
                <w:rFonts w:hint="default" w:eastAsia="宋体" w:cs="Times New Roman"/>
                <w:color w:val="auto"/>
                <w:sz w:val="28"/>
                <w:highlight w:val="none"/>
              </w:rPr>
            </w:pPr>
            <w:r>
              <w:rPr>
                <w:rFonts w:hint="eastAsia" w:ascii="宋体" w:hAnsi="宋体" w:eastAsia="宋体" w:cs="宋体"/>
                <w:color w:val="auto"/>
                <w:sz w:val="24"/>
                <w:szCs w:val="24"/>
                <w:highlight w:val="none"/>
                <w:lang w:val="en-GB"/>
              </w:rPr>
              <w:t>1、合同单价为综合单价，为经最终验收合格并交付使用所有可能发生的费用，包括设备费、运送至</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指定地点的运输费、装卸费、保险费、采购保管、安装调试、产品检验检测、税收以及售后服务等一切费用。</w:t>
            </w:r>
            <w:r>
              <w:rPr>
                <w:rFonts w:hint="eastAsia" w:ascii="宋体" w:hAnsi="宋体" w:eastAsia="宋体" w:cs="宋体"/>
                <w:b w:val="0"/>
                <w:color w:val="auto"/>
                <w:sz w:val="24"/>
                <w:szCs w:val="24"/>
                <w:highlight w:val="none"/>
                <w:lang w:val="en-GB" w:eastAsia="zh-CN"/>
              </w:rPr>
              <w:t>乙</w:t>
            </w:r>
            <w:r>
              <w:rPr>
                <w:rFonts w:hint="eastAsia" w:ascii="宋体" w:hAnsi="宋体" w:eastAsia="宋体" w:cs="宋体"/>
                <w:b w:val="0"/>
                <w:color w:val="auto"/>
                <w:sz w:val="24"/>
                <w:szCs w:val="24"/>
                <w:highlight w:val="none"/>
                <w:lang w:val="en-GB"/>
              </w:rPr>
              <w:t>方不能向最终用户收取任何费用，包含但不限于货物在最终用户侧的二次搬运费等。</w:t>
            </w:r>
            <w:r>
              <w:rPr>
                <w:rFonts w:hint="eastAsia" w:ascii="宋体" w:hAnsi="宋体" w:eastAsia="宋体" w:cs="宋体"/>
                <w:color w:val="auto"/>
                <w:sz w:val="24"/>
                <w:szCs w:val="24"/>
                <w:highlight w:val="none"/>
                <w:lang w:val="en-GB"/>
              </w:rPr>
              <w:t>上表数量为暂定数量，</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可根据实际需求情况对各规格型号的产品数量进行调整，</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将按实际最终验收合格的数量和综合单价进行结算。</w:t>
            </w:r>
          </w:p>
          <w:p w14:paraId="6DE5A069">
            <w:pPr>
              <w:keepNext w:val="0"/>
              <w:keepLines w:val="0"/>
              <w:widowControl w:val="0"/>
              <w:suppressLineNumbers w:val="0"/>
              <w:autoSpaceDE w:val="0"/>
              <w:autoSpaceDN w:val="0"/>
              <w:adjustRightInd w:val="0"/>
              <w:snapToGrid w:val="0"/>
              <w:spacing w:before="0" w:beforeLines="0" w:beforeAutospacing="0" w:after="0" w:afterAutospacing="0" w:line="360" w:lineRule="auto"/>
              <w:ind w:left="0" w:right="0" w:firstLine="480" w:firstLineChars="200"/>
              <w:jc w:val="left"/>
              <w:rPr>
                <w:rFonts w:hint="eastAsia" w:ascii="宋体" w:hAnsi="宋体" w:eastAsia="宋体" w:cs="宋体"/>
                <w:color w:val="auto"/>
                <w:kern w:val="2"/>
                <w:sz w:val="24"/>
                <w:szCs w:val="24"/>
                <w:highlight w:val="none"/>
                <w:lang w:val="en-GB" w:eastAsia="zh-CN" w:bidi="ar-SA"/>
              </w:rPr>
            </w:pPr>
            <w:r>
              <w:rPr>
                <w:rFonts w:hint="default" w:ascii="宋体" w:hAnsi="宋体" w:eastAsia="宋体" w:cs="宋体"/>
                <w:color w:val="auto"/>
                <w:kern w:val="2"/>
                <w:sz w:val="24"/>
                <w:szCs w:val="24"/>
                <w:highlight w:val="none"/>
                <w:lang w:val="en-US" w:eastAsia="zh-CN" w:bidi="ar-SA"/>
              </w:rPr>
              <w:t>2</w:t>
            </w:r>
            <w:r>
              <w:rPr>
                <w:rFonts w:hint="eastAsia" w:ascii="宋体" w:hAnsi="宋体" w:eastAsia="宋体" w:cs="宋体"/>
                <w:color w:val="auto"/>
                <w:kern w:val="2"/>
                <w:sz w:val="24"/>
                <w:szCs w:val="24"/>
                <w:highlight w:val="none"/>
                <w:lang w:val="en-GB" w:eastAsia="zh-CN" w:bidi="ar-SA"/>
              </w:rPr>
              <w:t>、具体技术参数详见附件1。如货物包含选配件的，选配件明细详见附件2《选配件价格》。</w:t>
            </w:r>
          </w:p>
          <w:p w14:paraId="686F6498">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80" w:firstLineChars="200"/>
              <w:jc w:val="left"/>
              <w:rPr>
                <w:rFonts w:hint="eastAsia" w:ascii="宋体" w:hAnsi="宋体" w:eastAsia="宋体" w:cs="宋体"/>
                <w:color w:val="auto"/>
                <w:sz w:val="24"/>
                <w:szCs w:val="24"/>
                <w:highlight w:val="none"/>
                <w:lang w:val="en-GB"/>
              </w:rPr>
            </w:pPr>
            <w:r>
              <w:rPr>
                <w:rFonts w:hint="default"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GB"/>
              </w:rPr>
              <w:t>、合同期内，每三个月，</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可根据市场行情变化，与</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就产品单价进行重新谈判，价格不得高于本合同约定的单价。</w:t>
            </w:r>
          </w:p>
          <w:p w14:paraId="1D34D1B5">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80" w:firstLineChars="200"/>
              <w:jc w:val="left"/>
              <w:rPr>
                <w:rFonts w:hint="eastAsia" w:ascii="宋体" w:hAnsi="宋体" w:eastAsia="宋体" w:cs="宋体"/>
                <w:color w:val="auto"/>
                <w:sz w:val="24"/>
                <w:szCs w:val="24"/>
                <w:highlight w:val="none"/>
                <w:lang w:val="en-GB"/>
              </w:rPr>
            </w:pPr>
            <w:r>
              <w:rPr>
                <w:rFonts w:hint="default"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GB"/>
              </w:rPr>
              <w:t>、合同期内，遇</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下调合同相关型号货物价格，</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应在2个工作日内将新的价格以书面形式告知</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，经</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确认后按最新价格进行供货并结算。一旦</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发现合同结算单价高于其它同类销售渠道或主流网站（京东、苏宁易购、国美、天猫）等的常规销售价格，</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有权要求</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按照主流网站的最低价格再下浮1</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lang w:val="en-GB"/>
              </w:rPr>
              <w:t>%作为合同货物的结算价格，如</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拒绝调整或双方就价格调整无法协商一致的，</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应按逾期天数，每日承担相当于</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GB"/>
              </w:rPr>
              <w:t>.1条约定的履约保证金总金额0.5%的违约金，同时</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有权终止本合同，不视为</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违约。</w:t>
            </w:r>
          </w:p>
          <w:p w14:paraId="0518B1F1">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80" w:firstLineChars="200"/>
              <w:jc w:val="left"/>
              <w:rPr>
                <w:rFonts w:hint="default" w:ascii="宋体" w:hAnsi="宋体" w:eastAsia="宋体" w:cs="宋体"/>
                <w:color w:val="auto"/>
                <w:sz w:val="24"/>
                <w:szCs w:val="24"/>
                <w:highlight w:val="none"/>
                <w:lang w:val="en-GB"/>
              </w:rPr>
            </w:pPr>
            <w:r>
              <w:rPr>
                <w:rFonts w:hint="default" w:ascii="宋体" w:hAnsi="宋体" w:cs="宋体"/>
                <w:color w:val="auto"/>
                <w:sz w:val="24"/>
                <w:szCs w:val="24"/>
                <w:highlight w:val="none"/>
              </w:rPr>
              <w:t xml:space="preserve">    </w:t>
            </w:r>
            <w:r>
              <w:rPr>
                <w:rFonts w:hint="default" w:ascii="宋体" w:hAnsi="宋体" w:eastAsia="宋体" w:cs="宋体"/>
                <w:color w:val="auto"/>
                <w:sz w:val="24"/>
                <w:szCs w:val="24"/>
                <w:highlight w:val="none"/>
              </w:rPr>
              <w:t>5</w:t>
            </w:r>
            <w:r>
              <w:rPr>
                <w:rFonts w:hint="default" w:ascii="宋体" w:hAnsi="宋体" w:eastAsia="宋体" w:cs="宋体"/>
                <w:color w:val="auto"/>
                <w:sz w:val="24"/>
                <w:szCs w:val="24"/>
                <w:highlight w:val="none"/>
                <w:lang w:val="en-GB"/>
              </w:rPr>
              <w:t>、</w:t>
            </w:r>
            <w:r>
              <w:rPr>
                <w:rFonts w:hint="default" w:ascii="宋体" w:hAnsi="宋体" w:cs="宋体"/>
                <w:color w:val="auto"/>
                <w:sz w:val="24"/>
                <w:szCs w:val="24"/>
                <w:highlight w:val="none"/>
                <w:lang w:val="en-GB" w:eastAsia="zh-CN"/>
              </w:rPr>
              <w:t>合同</w:t>
            </w:r>
            <w:r>
              <w:rPr>
                <w:rFonts w:hint="default" w:ascii="宋体" w:hAnsi="宋体" w:eastAsia="宋体" w:cs="宋体"/>
                <w:color w:val="auto"/>
                <w:sz w:val="24"/>
                <w:szCs w:val="24"/>
                <w:highlight w:val="none"/>
                <w:lang w:val="en-GB" w:eastAsia="zh-CN"/>
              </w:rPr>
              <w:t>包</w:t>
            </w:r>
            <w:r>
              <w:rPr>
                <w:rFonts w:hint="default" w:ascii="宋体" w:hAnsi="宋体" w:eastAsia="宋体" w:cs="宋体"/>
                <w:color w:val="auto"/>
                <w:sz w:val="24"/>
                <w:szCs w:val="24"/>
                <w:highlight w:val="none"/>
                <w:lang w:val="en-US" w:eastAsia="zh-CN"/>
              </w:rPr>
              <w:t>1</w:t>
            </w:r>
            <w:r>
              <w:rPr>
                <w:rFonts w:hint="default" w:ascii="宋体" w:hAnsi="宋体" w:eastAsia="宋体" w:cs="宋体"/>
                <w:color w:val="auto"/>
                <w:sz w:val="24"/>
                <w:szCs w:val="24"/>
                <w:highlight w:val="none"/>
                <w:lang w:val="en-GB" w:eastAsia="zh-CN"/>
              </w:rPr>
              <w:t>乙方</w:t>
            </w:r>
            <w:r>
              <w:rPr>
                <w:rFonts w:hint="default" w:ascii="宋体" w:hAnsi="宋体" w:eastAsia="宋体" w:cs="宋体"/>
                <w:color w:val="auto"/>
                <w:sz w:val="24"/>
                <w:szCs w:val="24"/>
                <w:highlight w:val="none"/>
                <w:lang w:val="en-GB"/>
              </w:rPr>
              <w:t>应免费向</w:t>
            </w:r>
            <w:r>
              <w:rPr>
                <w:rFonts w:hint="default" w:ascii="宋体" w:hAnsi="宋体" w:eastAsia="宋体" w:cs="宋体"/>
                <w:color w:val="auto"/>
                <w:sz w:val="24"/>
                <w:szCs w:val="24"/>
                <w:highlight w:val="none"/>
                <w:lang w:val="en-GB" w:eastAsia="zh-CN"/>
              </w:rPr>
              <w:t>甲方</w:t>
            </w:r>
            <w:r>
              <w:rPr>
                <w:rFonts w:hint="default" w:ascii="宋体" w:hAnsi="宋体" w:eastAsia="宋体" w:cs="宋体"/>
                <w:color w:val="auto"/>
                <w:sz w:val="24"/>
                <w:szCs w:val="24"/>
                <w:highlight w:val="none"/>
                <w:lang w:val="en-GB"/>
              </w:rPr>
              <w:t>提供</w:t>
            </w:r>
            <w:r>
              <w:rPr>
                <w:rFonts w:hint="default" w:ascii="宋体" w:hAnsi="宋体" w:eastAsia="宋体" w:cs="宋体"/>
                <w:color w:val="auto"/>
                <w:sz w:val="24"/>
                <w:szCs w:val="24"/>
                <w:highlight w:val="none"/>
                <w:lang w:val="en-US" w:eastAsia="zh-CN"/>
              </w:rPr>
              <w:t>86寸触控一体机备用机1</w:t>
            </w:r>
            <w:r>
              <w:rPr>
                <w:rFonts w:hint="default" w:ascii="宋体" w:hAnsi="宋体" w:eastAsia="宋体" w:cs="宋体"/>
                <w:color w:val="auto"/>
                <w:sz w:val="24"/>
                <w:szCs w:val="24"/>
                <w:highlight w:val="none"/>
                <w:lang w:val="en-GB"/>
              </w:rPr>
              <w:t>台，备用机应与首批《定货单》确定的货物一同交付</w:t>
            </w:r>
            <w:r>
              <w:rPr>
                <w:rFonts w:hint="default" w:ascii="宋体" w:hAnsi="宋体" w:eastAsia="宋体" w:cs="宋体"/>
                <w:color w:val="auto"/>
                <w:sz w:val="24"/>
                <w:szCs w:val="24"/>
                <w:highlight w:val="none"/>
                <w:lang w:val="en-GB" w:eastAsia="zh-CN"/>
              </w:rPr>
              <w:t>；</w:t>
            </w:r>
            <w:r>
              <w:rPr>
                <w:rFonts w:hint="default" w:ascii="宋体" w:hAnsi="宋体" w:eastAsia="宋体" w:cs="宋体"/>
                <w:color w:val="auto"/>
                <w:kern w:val="2"/>
                <w:sz w:val="24"/>
                <w:szCs w:val="24"/>
                <w:highlight w:val="none"/>
                <w:lang w:val="en-GB" w:eastAsia="zh-CN" w:bidi="ar-SA"/>
              </w:rPr>
              <w:t>订单数量累积每大于500台增加一台86寸备用机，乙方</w:t>
            </w:r>
            <w:r>
              <w:rPr>
                <w:rFonts w:hint="default" w:ascii="宋体" w:hAnsi="宋体" w:eastAsia="宋体" w:cs="宋体"/>
                <w:color w:val="auto"/>
                <w:kern w:val="2"/>
                <w:sz w:val="24"/>
                <w:szCs w:val="24"/>
                <w:highlight w:val="none"/>
                <w:lang w:val="en-GB" w:eastAsia="zh-CN" w:bidi="ar-SA"/>
              </w:rPr>
              <w:t>应</w:t>
            </w:r>
            <w:r>
              <w:rPr>
                <w:rFonts w:hint="default" w:ascii="宋体" w:hAnsi="宋体" w:cs="宋体"/>
                <w:color w:val="auto"/>
                <w:kern w:val="2"/>
                <w:sz w:val="24"/>
                <w:szCs w:val="24"/>
                <w:highlight w:val="none"/>
                <w:lang w:eastAsia="zh-CN" w:bidi="ar-SA"/>
              </w:rPr>
              <w:t>在接到甲方</w:t>
            </w:r>
            <w:r>
              <w:rPr>
                <w:rFonts w:hint="default" w:ascii="宋体" w:hAnsi="宋体" w:eastAsia="宋体" w:cs="宋体"/>
                <w:bCs w:val="0"/>
                <w:color w:val="auto"/>
                <w:kern w:val="2"/>
                <w:sz w:val="24"/>
                <w:szCs w:val="24"/>
                <w:highlight w:val="none"/>
              </w:rPr>
              <w:t>通知后10个工作日发货至甲方指定仓库</w:t>
            </w:r>
            <w:r>
              <w:rPr>
                <w:rFonts w:hint="default" w:ascii="宋体" w:hAnsi="宋体" w:eastAsia="宋体" w:cs="宋体"/>
                <w:color w:val="auto"/>
                <w:sz w:val="24"/>
                <w:szCs w:val="24"/>
                <w:highlight w:val="none"/>
                <w:lang w:val="en-GB" w:eastAsia="zh-CN"/>
              </w:rPr>
              <w:t>。</w:t>
            </w:r>
            <w:r>
              <w:rPr>
                <w:rFonts w:hint="default" w:ascii="宋体" w:hAnsi="宋体" w:cs="宋体"/>
                <w:color w:val="auto"/>
                <w:sz w:val="24"/>
                <w:szCs w:val="24"/>
                <w:highlight w:val="none"/>
                <w:lang w:val="en-GB" w:eastAsia="zh-CN"/>
              </w:rPr>
              <w:t>包</w:t>
            </w:r>
            <w:r>
              <w:rPr>
                <w:rFonts w:hint="default" w:ascii="宋体" w:hAnsi="宋体" w:cs="宋体"/>
                <w:color w:val="auto"/>
                <w:sz w:val="24"/>
                <w:szCs w:val="24"/>
                <w:highlight w:val="none"/>
                <w:lang w:val="en-US" w:eastAsia="zh-CN"/>
              </w:rPr>
              <w:t>2</w:t>
            </w:r>
            <w:r>
              <w:rPr>
                <w:rFonts w:hint="default" w:ascii="宋体" w:hAnsi="宋体" w:eastAsia="宋体" w:cs="宋体"/>
                <w:color w:val="auto"/>
                <w:kern w:val="2"/>
                <w:sz w:val="24"/>
                <w:szCs w:val="24"/>
                <w:highlight w:val="none"/>
                <w:lang w:val="en-GB" w:eastAsia="zh-CN" w:bidi="ar-SA"/>
              </w:rPr>
              <w:t>订单数量累积每大于</w:t>
            </w:r>
            <w:r>
              <w:rPr>
                <w:rFonts w:hint="default" w:ascii="宋体" w:hAnsi="宋体" w:cs="宋体"/>
                <w:color w:val="auto"/>
                <w:kern w:val="2"/>
                <w:sz w:val="24"/>
                <w:szCs w:val="24"/>
                <w:highlight w:val="none"/>
                <w:lang w:val="en-US" w:eastAsia="zh-CN" w:bidi="ar-SA"/>
              </w:rPr>
              <w:t>2</w:t>
            </w:r>
            <w:r>
              <w:rPr>
                <w:rFonts w:hint="default" w:ascii="宋体" w:hAnsi="宋体" w:eastAsia="宋体" w:cs="宋体"/>
                <w:color w:val="auto"/>
                <w:kern w:val="2"/>
                <w:sz w:val="24"/>
                <w:szCs w:val="24"/>
                <w:highlight w:val="none"/>
                <w:lang w:val="en-GB" w:eastAsia="zh-CN" w:bidi="ar-SA"/>
              </w:rPr>
              <w:t>00台增加一台</w:t>
            </w:r>
            <w:r>
              <w:rPr>
                <w:rFonts w:hint="default" w:ascii="宋体" w:hAnsi="宋体" w:cs="宋体"/>
                <w:color w:val="auto"/>
                <w:kern w:val="2"/>
                <w:sz w:val="24"/>
                <w:szCs w:val="24"/>
                <w:highlight w:val="none"/>
                <w:lang w:val="en-GB" w:eastAsia="zh-CN" w:bidi="ar-SA"/>
              </w:rPr>
              <w:t>互联智慧黑板</w:t>
            </w:r>
            <w:r>
              <w:rPr>
                <w:rFonts w:hint="default" w:ascii="宋体" w:hAnsi="宋体" w:eastAsia="宋体" w:cs="宋体"/>
                <w:color w:val="auto"/>
                <w:kern w:val="2"/>
                <w:sz w:val="24"/>
                <w:szCs w:val="24"/>
                <w:highlight w:val="none"/>
                <w:lang w:val="en-GB" w:eastAsia="zh-CN" w:bidi="ar-SA"/>
              </w:rPr>
              <w:t>备用机，乙方应</w:t>
            </w:r>
            <w:r>
              <w:rPr>
                <w:rFonts w:hint="default" w:ascii="宋体" w:hAnsi="宋体" w:cs="宋体"/>
                <w:color w:val="auto"/>
                <w:kern w:val="2"/>
                <w:sz w:val="24"/>
                <w:szCs w:val="24"/>
                <w:highlight w:val="none"/>
                <w:lang w:eastAsia="zh-CN" w:bidi="ar-SA"/>
              </w:rPr>
              <w:t>在接到甲方</w:t>
            </w:r>
            <w:r>
              <w:rPr>
                <w:rFonts w:hint="default" w:ascii="宋体" w:hAnsi="宋体" w:eastAsia="宋体" w:cs="宋体"/>
                <w:bCs w:val="0"/>
                <w:color w:val="auto"/>
                <w:kern w:val="2"/>
                <w:sz w:val="24"/>
                <w:szCs w:val="24"/>
                <w:highlight w:val="none"/>
              </w:rPr>
              <w:t>通知后10个工作日发货至甲方指定仓库</w:t>
            </w:r>
            <w:r>
              <w:rPr>
                <w:rFonts w:hint="default" w:ascii="宋体" w:hAnsi="宋体" w:eastAsia="宋体" w:cs="宋体"/>
                <w:color w:val="auto"/>
                <w:sz w:val="24"/>
                <w:szCs w:val="24"/>
                <w:highlight w:val="none"/>
                <w:lang w:val="en-GB" w:eastAsia="zh-CN"/>
              </w:rPr>
              <w:t>。</w:t>
            </w:r>
            <w:r>
              <w:rPr>
                <w:rFonts w:hint="default" w:ascii="宋体" w:hAnsi="宋体" w:eastAsia="宋体" w:cs="宋体"/>
                <w:color w:val="auto"/>
                <w:sz w:val="24"/>
                <w:szCs w:val="24"/>
                <w:highlight w:val="none"/>
                <w:lang w:val="en-GB"/>
              </w:rPr>
              <w:t>逾期交付备用机的，</w:t>
            </w:r>
            <w:r>
              <w:rPr>
                <w:rFonts w:hint="default" w:ascii="宋体" w:hAnsi="宋体" w:eastAsia="宋体" w:cs="宋体"/>
                <w:color w:val="auto"/>
                <w:sz w:val="24"/>
                <w:szCs w:val="24"/>
                <w:highlight w:val="none"/>
                <w:lang w:val="en-GB" w:eastAsia="zh-CN"/>
              </w:rPr>
              <w:t>甲方</w:t>
            </w:r>
            <w:r>
              <w:rPr>
                <w:rFonts w:hint="default" w:ascii="宋体" w:hAnsi="宋体" w:eastAsia="宋体" w:cs="宋体"/>
                <w:color w:val="auto"/>
                <w:sz w:val="24"/>
                <w:szCs w:val="24"/>
                <w:highlight w:val="none"/>
                <w:lang w:val="en-GB"/>
              </w:rPr>
              <w:t>有权直接扣除</w:t>
            </w:r>
            <w:r>
              <w:rPr>
                <w:rFonts w:hint="default" w:ascii="宋体" w:hAnsi="宋体" w:eastAsia="宋体" w:cs="宋体"/>
                <w:color w:val="auto"/>
                <w:sz w:val="24"/>
                <w:szCs w:val="24"/>
                <w:highlight w:val="none"/>
                <w:lang w:val="en-GB" w:eastAsia="zh-CN"/>
              </w:rPr>
              <w:t>乙方</w:t>
            </w:r>
            <w:r>
              <w:rPr>
                <w:rFonts w:hint="default" w:ascii="宋体" w:hAnsi="宋体" w:eastAsia="宋体" w:cs="宋体"/>
                <w:color w:val="auto"/>
                <w:sz w:val="24"/>
                <w:szCs w:val="24"/>
                <w:highlight w:val="none"/>
                <w:lang w:val="en-GB"/>
              </w:rPr>
              <w:t>相应金额的履约保证金，针对合同标的物的各条款同样适用于备用机。保修期满后，备用机归</w:t>
            </w:r>
            <w:r>
              <w:rPr>
                <w:rFonts w:hint="default" w:ascii="宋体" w:hAnsi="宋体" w:eastAsia="宋体" w:cs="宋体"/>
                <w:color w:val="auto"/>
                <w:sz w:val="24"/>
                <w:szCs w:val="24"/>
                <w:highlight w:val="none"/>
                <w:lang w:val="en-GB" w:eastAsia="zh-CN"/>
              </w:rPr>
              <w:t>甲方</w:t>
            </w:r>
            <w:r>
              <w:rPr>
                <w:rFonts w:hint="default" w:ascii="宋体" w:hAnsi="宋体" w:eastAsia="宋体" w:cs="宋体"/>
                <w:color w:val="auto"/>
                <w:sz w:val="24"/>
                <w:szCs w:val="24"/>
                <w:highlight w:val="none"/>
                <w:lang w:val="en-GB"/>
              </w:rPr>
              <w:t>所有。</w:t>
            </w:r>
          </w:p>
          <w:p w14:paraId="66188FDD">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80" w:firstLineChars="200"/>
              <w:jc w:val="left"/>
              <w:rPr>
                <w:rFonts w:hint="default" w:ascii="宋体" w:hAnsi="宋体" w:eastAsia="宋体" w:cs="宋体"/>
                <w:color w:val="auto"/>
                <w:sz w:val="24"/>
                <w:szCs w:val="24"/>
                <w:highlight w:val="none"/>
                <w:lang w:val="en-GB"/>
              </w:rPr>
            </w:pPr>
            <w:r>
              <w:rPr>
                <w:rFonts w:hint="default" w:ascii="宋体" w:hAnsi="宋体" w:cs="宋体"/>
                <w:color w:val="auto"/>
                <w:sz w:val="24"/>
                <w:szCs w:val="24"/>
                <w:highlight w:val="none"/>
                <w:lang w:val="en-US" w:eastAsia="zh-CN"/>
              </w:rPr>
              <w:t>6、</w:t>
            </w:r>
            <w:r>
              <w:rPr>
                <w:rFonts w:hint="default" w:ascii="宋体" w:hAnsi="宋体" w:eastAsia="宋体" w:cs="宋体"/>
                <w:color w:val="auto"/>
                <w:sz w:val="24"/>
                <w:szCs w:val="24"/>
                <w:highlight w:val="none"/>
                <w:lang w:val="en-GB"/>
              </w:rPr>
              <w:t>合同期内</w:t>
            </w:r>
            <w:r>
              <w:rPr>
                <w:rFonts w:hint="default" w:ascii="宋体" w:hAnsi="宋体" w:eastAsia="宋体" w:cs="宋体"/>
                <w:color w:val="auto"/>
                <w:sz w:val="24"/>
                <w:szCs w:val="24"/>
                <w:highlight w:val="none"/>
                <w:lang w:val="en-GB" w:eastAsia="zh-CN"/>
              </w:rPr>
              <w:t>乙方</w:t>
            </w:r>
            <w:r>
              <w:rPr>
                <w:rFonts w:hint="default" w:ascii="宋体" w:hAnsi="宋体" w:eastAsia="宋体" w:cs="宋体"/>
                <w:color w:val="auto"/>
                <w:sz w:val="24"/>
                <w:szCs w:val="24"/>
                <w:highlight w:val="none"/>
                <w:lang w:val="en-GB"/>
              </w:rPr>
              <w:t>所提供的产品，生产日期必须为   年  月  日之后生产的产品。</w:t>
            </w:r>
          </w:p>
          <w:p w14:paraId="7AADDD75">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80" w:firstLineChars="200"/>
              <w:jc w:val="left"/>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lang w:val="en-GB"/>
              </w:rPr>
              <w:t>、本合同有效期：年，自年月日至年月日。若合同到期之日下一期采购合同尚未生效，本合同自动顺延至下一期新的合同生效之日止。</w:t>
            </w:r>
          </w:p>
        </w:tc>
      </w:tr>
    </w:tbl>
    <w:p w14:paraId="30320D76">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p>
    <w:p w14:paraId="4F947302">
      <w:pPr>
        <w:suppressAutoHyphens/>
        <w:autoSpaceDE w:val="0"/>
        <w:autoSpaceDN w:val="0"/>
        <w:bidi w:val="0"/>
        <w:adjustRightInd w:val="0"/>
        <w:snapToGrid w:val="0"/>
        <w:spacing w:before="0" w:beforeLines="0" w:line="360" w:lineRule="auto"/>
        <w:ind w:firstLine="482" w:firstLineChars="200"/>
        <w:jc w:val="left"/>
        <w:rPr>
          <w:rFonts w:hint="eastAsia" w:ascii="宋体" w:hAnsi="宋体" w:eastAsia="宋体" w:cs="宋体"/>
          <w:b/>
          <w:bCs/>
          <w:color w:val="auto"/>
          <w:sz w:val="24"/>
          <w:szCs w:val="24"/>
          <w:highlight w:val="none"/>
          <w:lang w:val="en-GB"/>
        </w:rPr>
      </w:pPr>
      <w:r>
        <w:rPr>
          <w:rFonts w:hint="eastAsia" w:ascii="宋体" w:hAnsi="宋体" w:cs="宋体"/>
          <w:b/>
          <w:bCs/>
          <w:color w:val="auto"/>
          <w:sz w:val="24"/>
          <w:szCs w:val="24"/>
          <w:highlight w:val="none"/>
          <w:lang w:val="en-US" w:eastAsia="zh-CN"/>
        </w:rPr>
        <w:t>3</w:t>
      </w:r>
      <w:r>
        <w:rPr>
          <w:rFonts w:hint="eastAsia" w:ascii="宋体" w:hAnsi="宋体" w:eastAsia="宋体" w:cs="宋体"/>
          <w:b/>
          <w:bCs/>
          <w:color w:val="auto"/>
          <w:sz w:val="24"/>
          <w:szCs w:val="24"/>
          <w:highlight w:val="none"/>
          <w:lang w:val="en-GB"/>
        </w:rPr>
        <w:t>、交货方式</w:t>
      </w:r>
    </w:p>
    <w:p w14:paraId="12915B08">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GB"/>
        </w:rPr>
        <w:t>.1</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按</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要求分批次供货。</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送货至</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指定地点。</w:t>
      </w:r>
    </w:p>
    <w:p w14:paraId="09F662AB">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GB"/>
        </w:rPr>
        <w:t>.1.1</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向</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提交《定货单》</w:t>
      </w:r>
      <w:r>
        <w:rPr>
          <w:rFonts w:hint="eastAsia" w:ascii="宋体" w:hAnsi="宋体" w:eastAsia="宋体" w:cs="宋体"/>
          <w:color w:val="auto"/>
          <w:kern w:val="2"/>
          <w:sz w:val="24"/>
          <w:szCs w:val="24"/>
          <w:highlight w:val="none"/>
        </w:rPr>
        <w:t>（样式见附件6）</w:t>
      </w:r>
      <w:r>
        <w:rPr>
          <w:rFonts w:hint="eastAsia" w:ascii="宋体" w:hAnsi="宋体" w:eastAsia="宋体" w:cs="宋体"/>
          <w:color w:val="auto"/>
          <w:sz w:val="24"/>
          <w:szCs w:val="24"/>
          <w:highlight w:val="none"/>
          <w:lang w:val="en-GB"/>
        </w:rPr>
        <w:t>的方式包括：合同书《定货单》形式、电子数据《定货单》形式等。以上所有《定货单》均适用于本合同。</w:t>
      </w:r>
    </w:p>
    <w:p w14:paraId="4536FF20">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GB"/>
        </w:rPr>
        <w:t>.1.2合同书《定货单》形式，指</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向</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提交加盖</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有效印章的《定货单》。</w:t>
      </w:r>
    </w:p>
    <w:p w14:paraId="5B8E18C6">
      <w:pPr>
        <w:suppressAutoHyphens/>
        <w:autoSpaceDE w:val="0"/>
        <w:autoSpaceDN w:val="0"/>
        <w:bidi w:val="0"/>
        <w:adjustRightInd w:val="0"/>
        <w:snapToGrid w:val="0"/>
        <w:spacing w:before="0" w:beforeLines="0" w:line="360" w:lineRule="auto"/>
        <w:ind w:firstLine="480" w:firstLineChars="200"/>
        <w:jc w:val="left"/>
        <w:rPr>
          <w:rFonts w:hint="default"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GB"/>
        </w:rPr>
        <w:t>.1.3电子数据《定货单》形式：指</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通过指定的邮箱、微信等方式向</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提交加盖</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有效印章的《定货单》扫描件。</w:t>
      </w:r>
    </w:p>
    <w:tbl>
      <w:tblPr>
        <w:tblStyle w:val="14"/>
        <w:tblW w:w="8344" w:type="dxa"/>
        <w:tblInd w:w="299" w:type="dxa"/>
        <w:tblLayout w:type="autofit"/>
        <w:tblCellMar>
          <w:top w:w="0" w:type="dxa"/>
          <w:left w:w="0" w:type="dxa"/>
          <w:bottom w:w="0" w:type="dxa"/>
          <w:right w:w="0" w:type="dxa"/>
        </w:tblCellMar>
      </w:tblPr>
      <w:tblGrid>
        <w:gridCol w:w="2782"/>
        <w:gridCol w:w="2725"/>
        <w:gridCol w:w="2837"/>
      </w:tblGrid>
      <w:tr w14:paraId="64FCAB14">
        <w:tblPrEx>
          <w:tblCellMar>
            <w:top w:w="0" w:type="dxa"/>
            <w:left w:w="0" w:type="dxa"/>
            <w:bottom w:w="0" w:type="dxa"/>
            <w:right w:w="0" w:type="dxa"/>
          </w:tblCellMar>
        </w:tblPrEx>
        <w:trPr>
          <w:trHeight w:val="90" w:hRule="atLeast"/>
        </w:trPr>
        <w:tc>
          <w:tcPr>
            <w:tcW w:w="2782" w:type="dxa"/>
            <w:tcBorders>
              <w:top w:val="single" w:color="auto" w:sz="8" w:space="0"/>
              <w:left w:val="single" w:color="auto" w:sz="8" w:space="0"/>
              <w:bottom w:val="single" w:color="auto" w:sz="8" w:space="0"/>
              <w:right w:val="single" w:color="auto" w:sz="8" w:space="0"/>
            </w:tcBorders>
            <w:noWrap w:val="0"/>
            <w:tcMar>
              <w:top w:w="15" w:type="dxa"/>
              <w:left w:w="15" w:type="dxa"/>
              <w:bottom w:w="0" w:type="dxa"/>
              <w:right w:w="15" w:type="dxa"/>
            </w:tcMar>
            <w:vAlign w:val="top"/>
          </w:tcPr>
          <w:p w14:paraId="397F1546">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center"/>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类型</w:t>
            </w:r>
          </w:p>
        </w:tc>
        <w:tc>
          <w:tcPr>
            <w:tcW w:w="2725" w:type="dxa"/>
            <w:tcBorders>
              <w:top w:val="single" w:color="auto" w:sz="8" w:space="0"/>
              <w:left w:val="nil"/>
              <w:bottom w:val="single" w:color="auto" w:sz="8" w:space="0"/>
              <w:right w:val="single" w:color="auto" w:sz="8" w:space="0"/>
            </w:tcBorders>
            <w:noWrap w:val="0"/>
            <w:tcMar>
              <w:top w:w="15" w:type="dxa"/>
              <w:left w:w="15" w:type="dxa"/>
              <w:bottom w:w="0" w:type="dxa"/>
              <w:right w:w="15" w:type="dxa"/>
            </w:tcMar>
            <w:vAlign w:val="top"/>
          </w:tcPr>
          <w:p w14:paraId="64618863">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center"/>
              <w:rPr>
                <w:rFonts w:hint="eastAsia" w:ascii="宋体" w:hAnsi="宋体" w:eastAsia="宋体" w:cs="宋体"/>
                <w:color w:val="auto"/>
                <w:sz w:val="24"/>
                <w:szCs w:val="24"/>
                <w:highlight w:val="none"/>
                <w:lang w:val="en-GB" w:eastAsia="zh-CN"/>
              </w:rPr>
            </w:pPr>
            <w:r>
              <w:rPr>
                <w:rFonts w:hint="eastAsia" w:ascii="宋体" w:hAnsi="宋体" w:eastAsia="宋体" w:cs="宋体"/>
                <w:color w:val="auto"/>
                <w:sz w:val="24"/>
                <w:szCs w:val="24"/>
                <w:highlight w:val="none"/>
                <w:lang w:val="en-GB" w:eastAsia="zh-CN"/>
              </w:rPr>
              <w:t>乙方</w:t>
            </w:r>
          </w:p>
        </w:tc>
        <w:tc>
          <w:tcPr>
            <w:tcW w:w="2837" w:type="dxa"/>
            <w:tcBorders>
              <w:top w:val="single" w:color="auto" w:sz="8" w:space="0"/>
              <w:left w:val="nil"/>
              <w:bottom w:val="single" w:color="auto" w:sz="8" w:space="0"/>
              <w:right w:val="single" w:color="auto" w:sz="8" w:space="0"/>
            </w:tcBorders>
            <w:noWrap w:val="0"/>
            <w:tcMar>
              <w:top w:w="15" w:type="dxa"/>
              <w:left w:w="15" w:type="dxa"/>
              <w:bottom w:w="0" w:type="dxa"/>
              <w:right w:w="15" w:type="dxa"/>
            </w:tcMar>
            <w:vAlign w:val="top"/>
          </w:tcPr>
          <w:p w14:paraId="285837A8">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center"/>
              <w:rPr>
                <w:rFonts w:hint="eastAsia" w:ascii="宋体" w:hAnsi="宋体" w:eastAsia="宋体" w:cs="宋体"/>
                <w:color w:val="auto"/>
                <w:sz w:val="24"/>
                <w:szCs w:val="24"/>
                <w:highlight w:val="none"/>
                <w:lang w:val="en-GB" w:eastAsia="zh-CN"/>
              </w:rPr>
            </w:pPr>
            <w:r>
              <w:rPr>
                <w:rFonts w:hint="eastAsia" w:ascii="宋体" w:hAnsi="宋体" w:eastAsia="宋体" w:cs="宋体"/>
                <w:color w:val="auto"/>
                <w:sz w:val="24"/>
                <w:szCs w:val="24"/>
                <w:highlight w:val="none"/>
                <w:lang w:val="en-GB" w:eastAsia="zh-CN"/>
              </w:rPr>
              <w:t>甲方</w:t>
            </w:r>
          </w:p>
        </w:tc>
      </w:tr>
      <w:tr w14:paraId="42B0D79F">
        <w:tblPrEx>
          <w:tblCellMar>
            <w:top w:w="0" w:type="dxa"/>
            <w:left w:w="0" w:type="dxa"/>
            <w:bottom w:w="0" w:type="dxa"/>
            <w:right w:w="0" w:type="dxa"/>
          </w:tblCellMar>
        </w:tblPrEx>
        <w:trPr>
          <w:trHeight w:val="325" w:hRule="atLeast"/>
        </w:trPr>
        <w:tc>
          <w:tcPr>
            <w:tcW w:w="2782" w:type="dxa"/>
            <w:tcBorders>
              <w:top w:val="nil"/>
              <w:left w:val="single" w:color="auto" w:sz="8" w:space="0"/>
              <w:bottom w:val="single" w:color="auto" w:sz="8" w:space="0"/>
              <w:right w:val="single" w:color="auto" w:sz="8" w:space="0"/>
            </w:tcBorders>
            <w:noWrap w:val="0"/>
            <w:tcMar>
              <w:top w:w="15" w:type="dxa"/>
              <w:left w:w="15" w:type="dxa"/>
              <w:bottom w:w="0" w:type="dxa"/>
              <w:right w:w="15" w:type="dxa"/>
            </w:tcMar>
            <w:vAlign w:val="top"/>
          </w:tcPr>
          <w:p w14:paraId="528AE685">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center"/>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联系人</w:t>
            </w:r>
          </w:p>
        </w:tc>
        <w:tc>
          <w:tcPr>
            <w:tcW w:w="2725" w:type="dxa"/>
            <w:tcBorders>
              <w:top w:val="nil"/>
              <w:left w:val="nil"/>
              <w:bottom w:val="single" w:color="auto" w:sz="8" w:space="0"/>
              <w:right w:val="single" w:color="auto" w:sz="8" w:space="0"/>
            </w:tcBorders>
            <w:noWrap w:val="0"/>
            <w:tcMar>
              <w:top w:w="15" w:type="dxa"/>
              <w:left w:w="15" w:type="dxa"/>
              <w:bottom w:w="0" w:type="dxa"/>
              <w:right w:w="15" w:type="dxa"/>
            </w:tcMar>
            <w:vAlign w:val="center"/>
          </w:tcPr>
          <w:p w14:paraId="12E7784C">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80" w:firstLineChars="200"/>
              <w:jc w:val="center"/>
              <w:rPr>
                <w:rFonts w:hint="eastAsia" w:ascii="宋体" w:hAnsi="宋体" w:eastAsia="宋体" w:cs="宋体"/>
                <w:color w:val="auto"/>
                <w:sz w:val="24"/>
                <w:szCs w:val="24"/>
                <w:highlight w:val="none"/>
                <w:lang w:val="en-GB"/>
              </w:rPr>
            </w:pPr>
          </w:p>
        </w:tc>
        <w:tc>
          <w:tcPr>
            <w:tcW w:w="2837" w:type="dxa"/>
            <w:tcBorders>
              <w:top w:val="nil"/>
              <w:left w:val="nil"/>
              <w:bottom w:val="single" w:color="auto" w:sz="8" w:space="0"/>
              <w:right w:val="single" w:color="auto" w:sz="8" w:space="0"/>
            </w:tcBorders>
            <w:noWrap w:val="0"/>
            <w:tcMar>
              <w:top w:w="15" w:type="dxa"/>
              <w:left w:w="15" w:type="dxa"/>
              <w:bottom w:w="0" w:type="dxa"/>
              <w:right w:w="15" w:type="dxa"/>
            </w:tcMar>
            <w:vAlign w:val="center"/>
          </w:tcPr>
          <w:p w14:paraId="71EDC37E">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80" w:firstLineChars="200"/>
              <w:jc w:val="center"/>
              <w:rPr>
                <w:rFonts w:hint="eastAsia" w:ascii="宋体" w:hAnsi="宋体" w:eastAsia="宋体" w:cs="宋体"/>
                <w:color w:val="auto"/>
                <w:sz w:val="24"/>
                <w:szCs w:val="24"/>
                <w:highlight w:val="none"/>
                <w:lang w:val="en-GB"/>
              </w:rPr>
            </w:pPr>
          </w:p>
        </w:tc>
      </w:tr>
      <w:tr w14:paraId="7D3DBB4C">
        <w:tblPrEx>
          <w:tblCellMar>
            <w:top w:w="0" w:type="dxa"/>
            <w:left w:w="0" w:type="dxa"/>
            <w:bottom w:w="0" w:type="dxa"/>
            <w:right w:w="0" w:type="dxa"/>
          </w:tblCellMar>
        </w:tblPrEx>
        <w:trPr>
          <w:trHeight w:val="325" w:hRule="atLeast"/>
        </w:trPr>
        <w:tc>
          <w:tcPr>
            <w:tcW w:w="2782" w:type="dxa"/>
            <w:tcBorders>
              <w:top w:val="nil"/>
              <w:left w:val="single" w:color="auto" w:sz="8" w:space="0"/>
              <w:bottom w:val="single" w:color="auto" w:sz="8" w:space="0"/>
              <w:right w:val="single" w:color="auto" w:sz="8" w:space="0"/>
            </w:tcBorders>
            <w:noWrap w:val="0"/>
            <w:tcMar>
              <w:top w:w="15" w:type="dxa"/>
              <w:left w:w="15" w:type="dxa"/>
              <w:bottom w:w="0" w:type="dxa"/>
              <w:right w:w="15" w:type="dxa"/>
            </w:tcMar>
            <w:vAlign w:val="top"/>
          </w:tcPr>
          <w:p w14:paraId="126F402B">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center"/>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电话（同微信）</w:t>
            </w:r>
          </w:p>
        </w:tc>
        <w:tc>
          <w:tcPr>
            <w:tcW w:w="2725" w:type="dxa"/>
            <w:tcBorders>
              <w:top w:val="nil"/>
              <w:left w:val="nil"/>
              <w:bottom w:val="single" w:color="auto" w:sz="8" w:space="0"/>
              <w:right w:val="single" w:color="auto" w:sz="8" w:space="0"/>
            </w:tcBorders>
            <w:noWrap w:val="0"/>
            <w:tcMar>
              <w:top w:w="15" w:type="dxa"/>
              <w:left w:w="15" w:type="dxa"/>
              <w:bottom w:w="0" w:type="dxa"/>
              <w:right w:w="15" w:type="dxa"/>
            </w:tcMar>
            <w:vAlign w:val="center"/>
          </w:tcPr>
          <w:p w14:paraId="489F911A">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80" w:firstLineChars="200"/>
              <w:jc w:val="center"/>
              <w:rPr>
                <w:rFonts w:hint="eastAsia" w:ascii="宋体" w:hAnsi="宋体" w:eastAsia="宋体" w:cs="宋体"/>
                <w:color w:val="auto"/>
                <w:sz w:val="24"/>
                <w:szCs w:val="24"/>
                <w:highlight w:val="none"/>
                <w:lang w:val="en-GB"/>
              </w:rPr>
            </w:pPr>
          </w:p>
        </w:tc>
        <w:tc>
          <w:tcPr>
            <w:tcW w:w="2837" w:type="dxa"/>
            <w:tcBorders>
              <w:top w:val="nil"/>
              <w:left w:val="nil"/>
              <w:bottom w:val="single" w:color="auto" w:sz="8" w:space="0"/>
              <w:right w:val="single" w:color="auto" w:sz="8" w:space="0"/>
            </w:tcBorders>
            <w:noWrap w:val="0"/>
            <w:tcMar>
              <w:top w:w="15" w:type="dxa"/>
              <w:left w:w="15" w:type="dxa"/>
              <w:bottom w:w="0" w:type="dxa"/>
              <w:right w:w="15" w:type="dxa"/>
            </w:tcMar>
            <w:vAlign w:val="top"/>
          </w:tcPr>
          <w:p w14:paraId="557882FF">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80" w:firstLineChars="200"/>
              <w:jc w:val="center"/>
              <w:rPr>
                <w:rFonts w:hint="eastAsia" w:ascii="宋体" w:hAnsi="宋体" w:eastAsia="宋体" w:cs="宋体"/>
                <w:color w:val="auto"/>
                <w:sz w:val="24"/>
                <w:szCs w:val="24"/>
                <w:highlight w:val="none"/>
                <w:lang w:val="en-GB"/>
              </w:rPr>
            </w:pPr>
          </w:p>
        </w:tc>
      </w:tr>
      <w:tr w14:paraId="4F0B6B80">
        <w:tblPrEx>
          <w:tblCellMar>
            <w:top w:w="0" w:type="dxa"/>
            <w:left w:w="0" w:type="dxa"/>
            <w:bottom w:w="0" w:type="dxa"/>
            <w:right w:w="0" w:type="dxa"/>
          </w:tblCellMar>
        </w:tblPrEx>
        <w:trPr>
          <w:trHeight w:val="325" w:hRule="atLeast"/>
        </w:trPr>
        <w:tc>
          <w:tcPr>
            <w:tcW w:w="2782" w:type="dxa"/>
            <w:tcBorders>
              <w:top w:val="nil"/>
              <w:left w:val="single" w:color="auto" w:sz="8" w:space="0"/>
              <w:bottom w:val="single" w:color="auto" w:sz="8" w:space="0"/>
              <w:right w:val="single" w:color="auto" w:sz="8" w:space="0"/>
            </w:tcBorders>
            <w:noWrap w:val="0"/>
            <w:tcMar>
              <w:top w:w="15" w:type="dxa"/>
              <w:left w:w="15" w:type="dxa"/>
              <w:bottom w:w="0" w:type="dxa"/>
              <w:right w:w="15" w:type="dxa"/>
            </w:tcMar>
            <w:vAlign w:val="top"/>
          </w:tcPr>
          <w:p w14:paraId="0756CF29">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center"/>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座机</w:t>
            </w:r>
          </w:p>
        </w:tc>
        <w:tc>
          <w:tcPr>
            <w:tcW w:w="2725" w:type="dxa"/>
            <w:tcBorders>
              <w:top w:val="nil"/>
              <w:left w:val="nil"/>
              <w:bottom w:val="single" w:color="auto" w:sz="8" w:space="0"/>
              <w:right w:val="single" w:color="auto" w:sz="8" w:space="0"/>
            </w:tcBorders>
            <w:noWrap w:val="0"/>
            <w:tcMar>
              <w:top w:w="15" w:type="dxa"/>
              <w:left w:w="15" w:type="dxa"/>
              <w:bottom w:w="0" w:type="dxa"/>
              <w:right w:w="15" w:type="dxa"/>
            </w:tcMar>
            <w:vAlign w:val="center"/>
          </w:tcPr>
          <w:p w14:paraId="5107E7FB">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80" w:firstLineChars="200"/>
              <w:jc w:val="center"/>
              <w:rPr>
                <w:rFonts w:hint="eastAsia" w:ascii="宋体" w:hAnsi="宋体" w:eastAsia="宋体" w:cs="宋体"/>
                <w:color w:val="auto"/>
                <w:sz w:val="24"/>
                <w:szCs w:val="24"/>
                <w:highlight w:val="none"/>
                <w:lang w:val="en-GB"/>
              </w:rPr>
            </w:pPr>
          </w:p>
        </w:tc>
        <w:tc>
          <w:tcPr>
            <w:tcW w:w="2837" w:type="dxa"/>
            <w:tcBorders>
              <w:top w:val="nil"/>
              <w:left w:val="nil"/>
              <w:bottom w:val="single" w:color="auto" w:sz="8" w:space="0"/>
              <w:right w:val="single" w:color="auto" w:sz="8" w:space="0"/>
            </w:tcBorders>
            <w:noWrap w:val="0"/>
            <w:tcMar>
              <w:top w:w="15" w:type="dxa"/>
              <w:left w:w="15" w:type="dxa"/>
              <w:bottom w:w="0" w:type="dxa"/>
              <w:right w:w="15" w:type="dxa"/>
            </w:tcMar>
            <w:vAlign w:val="top"/>
          </w:tcPr>
          <w:p w14:paraId="6F554925">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80" w:firstLineChars="200"/>
              <w:jc w:val="center"/>
              <w:rPr>
                <w:rFonts w:hint="eastAsia" w:ascii="宋体" w:hAnsi="宋体" w:eastAsia="宋体" w:cs="宋体"/>
                <w:color w:val="auto"/>
                <w:sz w:val="24"/>
                <w:szCs w:val="24"/>
                <w:highlight w:val="none"/>
                <w:lang w:val="en-GB"/>
              </w:rPr>
            </w:pPr>
          </w:p>
        </w:tc>
      </w:tr>
      <w:tr w14:paraId="310AB783">
        <w:tblPrEx>
          <w:tblCellMar>
            <w:top w:w="0" w:type="dxa"/>
            <w:left w:w="0" w:type="dxa"/>
            <w:bottom w:w="0" w:type="dxa"/>
            <w:right w:w="0" w:type="dxa"/>
          </w:tblCellMar>
        </w:tblPrEx>
        <w:trPr>
          <w:trHeight w:val="325" w:hRule="atLeast"/>
        </w:trPr>
        <w:tc>
          <w:tcPr>
            <w:tcW w:w="2782" w:type="dxa"/>
            <w:tcBorders>
              <w:top w:val="nil"/>
              <w:left w:val="single" w:color="auto" w:sz="8" w:space="0"/>
              <w:bottom w:val="single" w:color="auto" w:sz="8" w:space="0"/>
              <w:right w:val="single" w:color="auto" w:sz="8" w:space="0"/>
            </w:tcBorders>
            <w:noWrap w:val="0"/>
            <w:tcMar>
              <w:top w:w="15" w:type="dxa"/>
              <w:left w:w="15" w:type="dxa"/>
              <w:bottom w:w="0" w:type="dxa"/>
              <w:right w:w="15" w:type="dxa"/>
            </w:tcMar>
            <w:vAlign w:val="top"/>
          </w:tcPr>
          <w:p w14:paraId="48137262">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center"/>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联系邮箱</w:t>
            </w:r>
          </w:p>
        </w:tc>
        <w:tc>
          <w:tcPr>
            <w:tcW w:w="2725" w:type="dxa"/>
            <w:tcBorders>
              <w:top w:val="nil"/>
              <w:left w:val="nil"/>
              <w:bottom w:val="single" w:color="auto" w:sz="8" w:space="0"/>
              <w:right w:val="single" w:color="auto" w:sz="8" w:space="0"/>
            </w:tcBorders>
            <w:noWrap w:val="0"/>
            <w:tcMar>
              <w:top w:w="15" w:type="dxa"/>
              <w:left w:w="15" w:type="dxa"/>
              <w:bottom w:w="0" w:type="dxa"/>
              <w:right w:w="15" w:type="dxa"/>
            </w:tcMar>
            <w:vAlign w:val="center"/>
          </w:tcPr>
          <w:p w14:paraId="22FF1466">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80" w:firstLineChars="200"/>
              <w:jc w:val="center"/>
              <w:rPr>
                <w:rFonts w:hint="eastAsia" w:ascii="宋体" w:hAnsi="宋体" w:eastAsia="宋体" w:cs="宋体"/>
                <w:color w:val="auto"/>
                <w:sz w:val="24"/>
                <w:szCs w:val="24"/>
                <w:highlight w:val="none"/>
                <w:lang w:val="en-GB"/>
              </w:rPr>
            </w:pPr>
          </w:p>
        </w:tc>
        <w:tc>
          <w:tcPr>
            <w:tcW w:w="2837" w:type="dxa"/>
            <w:tcBorders>
              <w:top w:val="nil"/>
              <w:left w:val="nil"/>
              <w:bottom w:val="single" w:color="auto" w:sz="8" w:space="0"/>
              <w:right w:val="single" w:color="auto" w:sz="8" w:space="0"/>
            </w:tcBorders>
            <w:noWrap w:val="0"/>
            <w:tcMar>
              <w:top w:w="15" w:type="dxa"/>
              <w:left w:w="15" w:type="dxa"/>
              <w:bottom w:w="0" w:type="dxa"/>
              <w:right w:w="15" w:type="dxa"/>
            </w:tcMar>
            <w:vAlign w:val="center"/>
          </w:tcPr>
          <w:p w14:paraId="7C205F67">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80" w:firstLineChars="200"/>
              <w:jc w:val="center"/>
              <w:rPr>
                <w:rFonts w:hint="eastAsia" w:ascii="宋体" w:hAnsi="宋体" w:eastAsia="宋体" w:cs="宋体"/>
                <w:color w:val="auto"/>
                <w:sz w:val="24"/>
                <w:szCs w:val="24"/>
                <w:highlight w:val="none"/>
                <w:lang w:val="en-GB"/>
              </w:rPr>
            </w:pPr>
          </w:p>
        </w:tc>
      </w:tr>
      <w:tr w14:paraId="029436B5">
        <w:tblPrEx>
          <w:tblCellMar>
            <w:top w:w="0" w:type="dxa"/>
            <w:left w:w="0" w:type="dxa"/>
            <w:bottom w:w="0" w:type="dxa"/>
            <w:right w:w="0" w:type="dxa"/>
          </w:tblCellMar>
        </w:tblPrEx>
        <w:trPr>
          <w:trHeight w:val="813" w:hRule="atLeast"/>
        </w:trPr>
        <w:tc>
          <w:tcPr>
            <w:tcW w:w="8344" w:type="dxa"/>
            <w:gridSpan w:val="3"/>
            <w:tcBorders>
              <w:top w:val="nil"/>
              <w:left w:val="single" w:color="auto" w:sz="8" w:space="0"/>
              <w:bottom w:val="single" w:color="auto" w:sz="8" w:space="0"/>
              <w:right w:val="single" w:color="auto" w:sz="8" w:space="0"/>
            </w:tcBorders>
            <w:noWrap w:val="0"/>
            <w:tcMar>
              <w:top w:w="15" w:type="dxa"/>
              <w:left w:w="15" w:type="dxa"/>
              <w:bottom w:w="0" w:type="dxa"/>
              <w:right w:w="15" w:type="dxa"/>
            </w:tcMar>
            <w:vAlign w:val="top"/>
          </w:tcPr>
          <w:p w14:paraId="404F372D">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left"/>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备注：上述信息发生变更，应提前3个工作日通知对方，否则由此产生的责任、损失由违约方承担。</w:t>
            </w:r>
          </w:p>
        </w:tc>
      </w:tr>
    </w:tbl>
    <w:p w14:paraId="7C322C1C">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i w:val="0"/>
          <w:iCs w:val="0"/>
          <w:caps w:val="0"/>
          <w:color w:val="auto"/>
          <w:spacing w:val="0"/>
          <w:kern w:val="2"/>
          <w:sz w:val="24"/>
          <w:szCs w:val="24"/>
          <w:highlight w:val="none"/>
          <w:vertAlign w:val="baseline"/>
          <w:lang w:val="en-US" w:eastAsia="zh-CN" w:bidi="ar"/>
        </w:rPr>
      </w:pPr>
      <w:r>
        <w:rPr>
          <w:rFonts w:hint="eastAsia" w:ascii="宋体" w:hAnsi="宋体" w:cs="宋体"/>
          <w:color w:val="auto"/>
          <w:sz w:val="24"/>
          <w:szCs w:val="24"/>
          <w:highlight w:val="none"/>
          <w:lang w:val="en-US" w:eastAsia="zh-CN"/>
        </w:rPr>
        <w:t>3</w:t>
      </w:r>
      <w:r>
        <w:rPr>
          <w:rFonts w:hint="default"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2</w:t>
      </w:r>
      <w:r>
        <w:rPr>
          <w:rFonts w:hint="eastAsia" w:ascii="宋体" w:hAnsi="宋体" w:eastAsia="宋体" w:cs="宋体"/>
          <w:i w:val="0"/>
          <w:iCs w:val="0"/>
          <w:caps w:val="0"/>
          <w:color w:val="auto"/>
          <w:spacing w:val="0"/>
          <w:kern w:val="2"/>
          <w:sz w:val="24"/>
          <w:szCs w:val="24"/>
          <w:highlight w:val="none"/>
          <w:vertAlign w:val="baseline"/>
          <w:lang w:val="en-US" w:eastAsia="zh-CN" w:bidi="ar"/>
        </w:rPr>
        <w:t>交货期</w:t>
      </w:r>
    </w:p>
    <w:p w14:paraId="3D71B711">
      <w:pPr>
        <w:keepNext w:val="0"/>
        <w:keepLines w:val="0"/>
        <w:pageBreakBefore w:val="0"/>
        <w:widowControl/>
        <w:kinsoku/>
        <w:wordWrap/>
        <w:overflowPunct/>
        <w:topLinePunct w:val="0"/>
        <w:autoSpaceDE w:val="0"/>
        <w:autoSpaceDN w:val="0"/>
        <w:bidi w:val="0"/>
        <w:adjustRightInd w:val="0"/>
        <w:snapToGrid w:val="0"/>
        <w:spacing w:beforeLines="0" w:line="360" w:lineRule="auto"/>
        <w:ind w:firstLine="480" w:firstLineChars="200"/>
        <w:jc w:val="left"/>
        <w:textAlignment w:val="auto"/>
        <w:rPr>
          <w:rFonts w:hint="eastAsia" w:ascii="宋体" w:hAnsi="宋体" w:eastAsia="宋体" w:cs="宋体"/>
          <w:b w:val="0"/>
          <w:color w:val="auto"/>
          <w:sz w:val="24"/>
          <w:szCs w:val="24"/>
          <w:highlight w:val="none"/>
          <w:lang w:val="en-GB" w:eastAsia="zh-CN"/>
        </w:rPr>
      </w:pPr>
      <w:r>
        <w:rPr>
          <w:rFonts w:hint="eastAsia" w:ascii="宋体" w:hAnsi="宋体" w:eastAsia="宋体" w:cs="宋体"/>
          <w:b w:val="0"/>
          <w:color w:val="auto"/>
          <w:sz w:val="24"/>
          <w:szCs w:val="24"/>
          <w:highlight w:val="none"/>
          <w:lang w:val="en-GB" w:eastAsia="zh-CN"/>
        </w:rPr>
        <w:t>3.2.1投标人选择委托采购单位推荐的第三方物流进行集中仓储和二次配送至最终用户的，投标人在接到采购单位《定货单》之日起20个日历日之内货交采购单位推荐的第三方物流仓库，第三方物流在接到采购单位通知后厦门市行政区域内24小时；厦门市行政区域外48小时内运送至最终用户。采购单位推荐的第三方物流的仓储操作费及二次配送费的收费标准如下</w:t>
      </w:r>
      <w:r>
        <w:rPr>
          <w:rFonts w:hint="eastAsia" w:ascii="宋体" w:hAnsi="宋体" w:eastAsia="宋体" w:cs="宋体"/>
          <w:b w:val="0"/>
          <w:color w:val="auto"/>
          <w:sz w:val="24"/>
          <w:szCs w:val="24"/>
          <w:highlight w:val="none"/>
          <w:lang w:val="en-GB"/>
        </w:rPr>
        <w:t>仓储操作费</w:t>
      </w:r>
      <w:r>
        <w:rPr>
          <w:rFonts w:hint="eastAsia" w:ascii="宋体" w:hAnsi="宋体" w:eastAsia="宋体" w:cs="宋体"/>
          <w:b w:val="0"/>
          <w:color w:val="auto"/>
          <w:sz w:val="24"/>
          <w:szCs w:val="24"/>
          <w:highlight w:val="none"/>
          <w:lang w:val="en-GB" w:eastAsia="zh-CN"/>
        </w:rPr>
        <w:t>6</w:t>
      </w:r>
      <w:r>
        <w:rPr>
          <w:rFonts w:hint="eastAsia" w:ascii="宋体" w:hAnsi="宋体" w:eastAsia="宋体" w:cs="宋体"/>
          <w:b w:val="0"/>
          <w:color w:val="auto"/>
          <w:sz w:val="24"/>
          <w:szCs w:val="24"/>
          <w:highlight w:val="none"/>
          <w:lang w:val="en-GB"/>
        </w:rPr>
        <w:t>0元/台，二次配送费15</w:t>
      </w:r>
      <w:r>
        <w:rPr>
          <w:rFonts w:hint="eastAsia" w:ascii="宋体" w:hAnsi="宋体" w:eastAsia="宋体" w:cs="宋体"/>
          <w:b w:val="0"/>
          <w:color w:val="auto"/>
          <w:sz w:val="24"/>
          <w:szCs w:val="24"/>
          <w:highlight w:val="none"/>
          <w:lang w:val="en-GB" w:eastAsia="zh-CN"/>
        </w:rPr>
        <w:t>0</w:t>
      </w:r>
      <w:r>
        <w:rPr>
          <w:rFonts w:hint="eastAsia" w:ascii="宋体" w:hAnsi="宋体" w:eastAsia="宋体" w:cs="宋体"/>
          <w:b w:val="0"/>
          <w:color w:val="auto"/>
          <w:sz w:val="24"/>
          <w:szCs w:val="24"/>
          <w:highlight w:val="none"/>
          <w:lang w:val="en-GB"/>
        </w:rPr>
        <w:t>元/台。</w:t>
      </w:r>
      <w:r>
        <w:rPr>
          <w:rFonts w:hint="eastAsia" w:ascii="宋体" w:hAnsi="宋体" w:eastAsia="宋体" w:cs="宋体"/>
          <w:b w:val="0"/>
          <w:color w:val="auto"/>
          <w:kern w:val="2"/>
          <w:sz w:val="24"/>
          <w:szCs w:val="24"/>
          <w:highlight w:val="none"/>
          <w:lang w:val="en-GB" w:eastAsia="zh-CN" w:bidi="ar"/>
        </w:rPr>
        <w:t>投标人应在采购单位发出《定货单》之日起10个工作日内结算已产生的相关物流费用，若投标人未及时结算物流费用，采购单位有权在履约保证金或应付货款中直接扣除。</w:t>
      </w:r>
    </w:p>
    <w:p w14:paraId="0AEE9C70">
      <w:pPr>
        <w:keepNext w:val="0"/>
        <w:keepLines w:val="0"/>
        <w:pageBreakBefore w:val="0"/>
        <w:widowControl/>
        <w:kinsoku/>
        <w:wordWrap/>
        <w:overflowPunct/>
        <w:topLinePunct w:val="0"/>
        <w:autoSpaceDE w:val="0"/>
        <w:autoSpaceDN w:val="0"/>
        <w:bidi w:val="0"/>
        <w:adjustRightInd w:val="0"/>
        <w:snapToGrid w:val="0"/>
        <w:spacing w:beforeLines="0" w:line="360" w:lineRule="auto"/>
        <w:ind w:firstLine="480" w:firstLineChars="200"/>
        <w:jc w:val="left"/>
        <w:textAlignment w:val="auto"/>
        <w:rPr>
          <w:rFonts w:hint="eastAsia" w:ascii="宋体" w:hAnsi="宋体" w:eastAsia="宋体" w:cs="宋体"/>
          <w:b w:val="0"/>
          <w:color w:val="auto"/>
          <w:sz w:val="24"/>
          <w:szCs w:val="24"/>
          <w:highlight w:val="none"/>
          <w:lang w:val="en-GB" w:eastAsia="zh-CN" w:bidi="ar"/>
        </w:rPr>
      </w:pPr>
      <w:r>
        <w:rPr>
          <w:rFonts w:hint="eastAsia" w:ascii="宋体" w:hAnsi="宋体" w:eastAsia="宋体" w:cs="宋体"/>
          <w:b w:val="0"/>
          <w:color w:val="auto"/>
          <w:sz w:val="24"/>
          <w:szCs w:val="24"/>
          <w:highlight w:val="none"/>
          <w:lang w:val="en-GB" w:eastAsia="zh-CN"/>
        </w:rPr>
        <w:t>3.2.2投标人选择委托采购单位推荐的第三方物流进行集中仓储，投标人接到采购单位指令后从仓库提货后进行二次配送至最终用户的，投标人在接到采购单位《定货单》之日起20个日历日之内货交采购单位推荐的第三方物流仓库，投标人接到采购单位通知后厦门市行政区域内24小时；厦门市行政区域外48小时内从采购单位仓库运送至最终用户，投标人从采购单位仓库中提货后，货物毁损、灭失的风险转移至投标人。采购单位推荐的第三方物流的仓储操作费的收费标准如下：</w:t>
      </w:r>
      <w:r>
        <w:rPr>
          <w:rFonts w:hint="eastAsia" w:ascii="宋体" w:hAnsi="宋体" w:eastAsia="宋体" w:cs="宋体"/>
          <w:b w:val="0"/>
          <w:color w:val="auto"/>
          <w:sz w:val="24"/>
          <w:szCs w:val="24"/>
          <w:highlight w:val="none"/>
          <w:lang w:val="en-GB"/>
        </w:rPr>
        <w:t>仓储操作费</w:t>
      </w:r>
      <w:r>
        <w:rPr>
          <w:rFonts w:hint="eastAsia" w:ascii="宋体" w:hAnsi="宋体" w:eastAsia="宋体" w:cs="宋体"/>
          <w:b w:val="0"/>
          <w:color w:val="auto"/>
          <w:sz w:val="24"/>
          <w:szCs w:val="24"/>
          <w:highlight w:val="none"/>
          <w:lang w:val="en-GB" w:eastAsia="zh-CN"/>
        </w:rPr>
        <w:t>6</w:t>
      </w:r>
      <w:r>
        <w:rPr>
          <w:rFonts w:hint="eastAsia" w:ascii="宋体" w:hAnsi="宋体" w:eastAsia="宋体" w:cs="宋体"/>
          <w:b w:val="0"/>
          <w:color w:val="auto"/>
          <w:sz w:val="24"/>
          <w:szCs w:val="24"/>
          <w:highlight w:val="none"/>
          <w:lang w:val="en-GB"/>
        </w:rPr>
        <w:t>0元/台。</w:t>
      </w:r>
      <w:r>
        <w:rPr>
          <w:rFonts w:hint="eastAsia" w:ascii="宋体" w:hAnsi="宋体" w:eastAsia="宋体" w:cs="宋体"/>
          <w:b w:val="0"/>
          <w:color w:val="auto"/>
          <w:kern w:val="2"/>
          <w:sz w:val="24"/>
          <w:szCs w:val="24"/>
          <w:highlight w:val="none"/>
          <w:lang w:val="en-GB" w:eastAsia="zh-CN" w:bidi="ar"/>
        </w:rPr>
        <w:t>投标人应在采购单位发出《定货单》之日起10个工作日内结算已产生的相关物流费用，若投标人未及时结算物流费用，采购单位有权在履约保证金或应付货款中直接扣除。</w:t>
      </w:r>
      <w:r>
        <w:rPr>
          <w:rFonts w:hint="eastAsia" w:ascii="宋体" w:hAnsi="宋体" w:eastAsia="宋体" w:cs="宋体"/>
          <w:b w:val="0"/>
          <w:color w:val="auto"/>
          <w:sz w:val="24"/>
          <w:szCs w:val="24"/>
          <w:highlight w:val="none"/>
          <w:lang w:val="en-GB" w:eastAsia="zh-CN" w:bidi="ar"/>
        </w:rPr>
        <w:t xml:space="preserve">    </w:t>
      </w:r>
    </w:p>
    <w:p w14:paraId="1816C8EC">
      <w:pPr>
        <w:keepNext w:val="0"/>
        <w:keepLines w:val="0"/>
        <w:pageBreakBefore w:val="0"/>
        <w:widowControl/>
        <w:kinsoku/>
        <w:wordWrap/>
        <w:overflowPunct/>
        <w:topLinePunct w:val="0"/>
        <w:autoSpaceDE w:val="0"/>
        <w:autoSpaceDN w:val="0"/>
        <w:bidi w:val="0"/>
        <w:adjustRightInd w:val="0"/>
        <w:snapToGrid w:val="0"/>
        <w:spacing w:beforeLines="0" w:line="360" w:lineRule="auto"/>
        <w:ind w:firstLine="480" w:firstLineChars="200"/>
        <w:jc w:val="left"/>
        <w:textAlignment w:val="auto"/>
        <w:rPr>
          <w:rFonts w:hint="eastAsia" w:ascii="宋体" w:hAnsi="宋体" w:eastAsia="宋体" w:cs="宋体"/>
          <w:b w:val="0"/>
          <w:color w:val="auto"/>
          <w:kern w:val="2"/>
          <w:sz w:val="24"/>
          <w:szCs w:val="24"/>
          <w:highlight w:val="none"/>
          <w:lang w:val="en-GB"/>
        </w:rPr>
      </w:pPr>
      <w:r>
        <w:rPr>
          <w:rFonts w:hint="eastAsia" w:ascii="宋体" w:hAnsi="宋体" w:eastAsia="宋体" w:cs="宋体"/>
          <w:b w:val="0"/>
          <w:color w:val="auto"/>
          <w:sz w:val="24"/>
          <w:szCs w:val="24"/>
          <w:highlight w:val="none"/>
          <w:lang w:val="en-GB" w:eastAsia="zh-CN"/>
        </w:rPr>
        <w:t>3.2.3</w:t>
      </w:r>
      <w:r>
        <w:rPr>
          <w:rFonts w:hint="eastAsia" w:ascii="宋体" w:hAnsi="宋体" w:eastAsia="宋体" w:cs="宋体"/>
          <w:b w:val="0"/>
          <w:color w:val="auto"/>
          <w:kern w:val="2"/>
          <w:sz w:val="24"/>
          <w:szCs w:val="24"/>
          <w:highlight w:val="none"/>
          <w:lang w:val="en-GB" w:eastAsia="zh-CN" w:bidi="ar"/>
        </w:rPr>
        <w:t>投标人选择经采购单位评估认可的、符合本项目运作要求的合格第三方物流公司进行集中仓储和二次配送。合同签订后10个日历日内，投标人或第三方物流公司的仓储管理系统（WMS）、配送管理系统（TMS），需要实现与采购单位企业资源计划（ERP）系统的全流程技术对接，以确保系统间数据实时互通、同步一致，相关技术实施、系统对接工作及采购单位ERP系统接口改造相关工作，均由投标人全权负责。所有相关费用（含接口开发、调试、联调、ERP接口改造及后期维护等全部费用）均由投标人承担，采购单位不额外支付任何费用。投标人在接到采购单位通知后厦门市行政区域内24小时、厦门市行政区域外48小时内运送至最终用户。</w:t>
      </w:r>
      <w:r>
        <w:rPr>
          <w:rFonts w:hint="eastAsia" w:ascii="宋体" w:hAnsi="宋体" w:eastAsia="宋体" w:cs="宋体"/>
          <w:b w:val="0"/>
          <w:color w:val="auto"/>
          <w:sz w:val="24"/>
          <w:szCs w:val="24"/>
          <w:highlight w:val="none"/>
          <w:lang w:val="en-GB" w:eastAsia="zh-CN"/>
        </w:rPr>
        <w:t xml:space="preserve"> </w:t>
      </w:r>
    </w:p>
    <w:p w14:paraId="7ACE34EB">
      <w:pPr>
        <w:keepNext w:val="0"/>
        <w:keepLines w:val="0"/>
        <w:widowControl/>
        <w:suppressLineNumbers w:val="0"/>
        <w:autoSpaceDE w:val="0"/>
        <w:autoSpaceDN w:val="0"/>
        <w:adjustRightInd w:val="0"/>
        <w:snapToGrid w:val="0"/>
        <w:spacing w:before="0" w:beforeLines="0" w:beforeAutospacing="0" w:after="0" w:afterAutospacing="0" w:line="360" w:lineRule="auto"/>
        <w:ind w:left="0" w:right="0" w:firstLine="480" w:firstLineChars="200"/>
        <w:jc w:val="left"/>
        <w:rPr>
          <w:rFonts w:hint="eastAsia" w:ascii="宋体" w:hAnsi="宋体" w:eastAsia="宋体" w:cs="宋体"/>
          <w:b w:val="0"/>
          <w:color w:val="auto"/>
          <w:kern w:val="2"/>
          <w:sz w:val="24"/>
          <w:szCs w:val="24"/>
          <w:highlight w:val="none"/>
          <w:lang w:val="en-GB"/>
        </w:rPr>
      </w:pPr>
      <w:r>
        <w:rPr>
          <w:rFonts w:hint="eastAsia" w:ascii="宋体" w:hAnsi="宋体" w:eastAsia="宋体" w:cs="宋体"/>
          <w:b w:val="0"/>
          <w:color w:val="auto"/>
          <w:kern w:val="2"/>
          <w:sz w:val="24"/>
          <w:szCs w:val="24"/>
          <w:highlight w:val="none"/>
          <w:lang w:val="en-GB" w:eastAsia="zh-CN" w:bidi="ar"/>
        </w:rPr>
        <w:t>3.2.3.1采购单位对第三方物流公司的评估标准包括但不限于：</w:t>
      </w:r>
    </w:p>
    <w:p w14:paraId="52B1FD36">
      <w:pPr>
        <w:keepNext w:val="0"/>
        <w:keepLines w:val="0"/>
        <w:widowControl/>
        <w:suppressLineNumbers w:val="0"/>
        <w:autoSpaceDE w:val="0"/>
        <w:autoSpaceDN w:val="0"/>
        <w:adjustRightInd w:val="0"/>
        <w:snapToGrid w:val="0"/>
        <w:spacing w:before="0" w:beforeLines="0" w:beforeAutospacing="0" w:after="0" w:afterAutospacing="0" w:line="360" w:lineRule="auto"/>
        <w:ind w:left="0" w:right="0" w:firstLine="480" w:firstLineChars="200"/>
        <w:jc w:val="left"/>
        <w:rPr>
          <w:rFonts w:hint="eastAsia" w:ascii="宋体" w:hAnsi="宋体" w:eastAsia="宋体" w:cs="宋体"/>
          <w:b w:val="0"/>
          <w:color w:val="auto"/>
          <w:kern w:val="2"/>
          <w:sz w:val="24"/>
          <w:szCs w:val="24"/>
          <w:highlight w:val="none"/>
          <w:lang w:val="en-GB"/>
        </w:rPr>
      </w:pPr>
      <w:r>
        <w:rPr>
          <w:rFonts w:hint="eastAsia" w:ascii="宋体" w:hAnsi="宋体" w:eastAsia="宋体" w:cs="宋体"/>
          <w:b w:val="0"/>
          <w:color w:val="auto"/>
          <w:kern w:val="2"/>
          <w:sz w:val="24"/>
          <w:szCs w:val="24"/>
          <w:highlight w:val="none"/>
          <w:lang w:val="en-GB" w:eastAsia="zh-CN" w:bidi="ar"/>
        </w:rPr>
        <w:t>（1）经营主体需具备合法经营资格及开展仓配业务的相关资质，提供完整、有效、清晰的扫描文件，包括不限于营业执照、道路运输经营运营许可等，确保资质合规且在有效期内。</w:t>
      </w:r>
    </w:p>
    <w:p w14:paraId="7571F749">
      <w:pPr>
        <w:keepNext w:val="0"/>
        <w:keepLines w:val="0"/>
        <w:widowControl/>
        <w:suppressLineNumbers w:val="0"/>
        <w:autoSpaceDE w:val="0"/>
        <w:autoSpaceDN w:val="0"/>
        <w:adjustRightInd w:val="0"/>
        <w:snapToGrid w:val="0"/>
        <w:spacing w:before="0" w:beforeLines="0" w:beforeAutospacing="0" w:after="0" w:afterAutospacing="0" w:line="360" w:lineRule="auto"/>
        <w:ind w:left="0" w:right="0" w:firstLine="480" w:firstLineChars="200"/>
        <w:jc w:val="left"/>
        <w:rPr>
          <w:rFonts w:hint="eastAsia" w:ascii="宋体" w:hAnsi="宋体" w:eastAsia="宋体" w:cs="宋体"/>
          <w:b w:val="0"/>
          <w:color w:val="auto"/>
          <w:kern w:val="2"/>
          <w:sz w:val="24"/>
          <w:szCs w:val="24"/>
          <w:highlight w:val="none"/>
          <w:lang w:val="en-GB"/>
        </w:rPr>
      </w:pPr>
      <w:r>
        <w:rPr>
          <w:rFonts w:hint="eastAsia" w:ascii="宋体" w:hAnsi="宋体" w:eastAsia="宋体" w:cs="宋体"/>
          <w:b w:val="0"/>
          <w:color w:val="auto"/>
          <w:kern w:val="2"/>
          <w:sz w:val="24"/>
          <w:szCs w:val="24"/>
          <w:highlight w:val="none"/>
          <w:lang w:val="en-GB" w:eastAsia="zh-CN" w:bidi="ar"/>
        </w:rPr>
        <w:t>（2）自有或者租赁的经营场所权属清晰，需提供相应证明材料如产权证、租赁合同等扫描件，运营场所需能满足常规商品存储需求（防潮、防污、防破损、防霉变）、功能区划分布局合理，需提供仓储规划方案和照片。</w:t>
      </w:r>
    </w:p>
    <w:p w14:paraId="191D6B11">
      <w:pPr>
        <w:keepNext w:val="0"/>
        <w:keepLines w:val="0"/>
        <w:widowControl/>
        <w:suppressLineNumbers w:val="0"/>
        <w:autoSpaceDE w:val="0"/>
        <w:autoSpaceDN w:val="0"/>
        <w:adjustRightInd w:val="0"/>
        <w:snapToGrid w:val="0"/>
        <w:spacing w:before="0" w:beforeLines="0" w:beforeAutospacing="0" w:after="0" w:afterAutospacing="0" w:line="360" w:lineRule="auto"/>
        <w:ind w:left="0" w:right="0" w:firstLine="480" w:firstLineChars="200"/>
        <w:jc w:val="left"/>
        <w:rPr>
          <w:rFonts w:hint="eastAsia" w:ascii="宋体" w:hAnsi="宋体" w:eastAsia="宋体" w:cs="宋体"/>
          <w:b w:val="0"/>
          <w:color w:val="auto"/>
          <w:kern w:val="2"/>
          <w:sz w:val="24"/>
          <w:szCs w:val="24"/>
          <w:highlight w:val="none"/>
          <w:lang w:val="en-GB"/>
        </w:rPr>
      </w:pPr>
      <w:r>
        <w:rPr>
          <w:rFonts w:hint="eastAsia" w:ascii="宋体" w:hAnsi="宋体" w:eastAsia="宋体" w:cs="宋体"/>
          <w:b w:val="0"/>
          <w:color w:val="auto"/>
          <w:kern w:val="2"/>
          <w:sz w:val="24"/>
          <w:szCs w:val="24"/>
          <w:highlight w:val="none"/>
          <w:lang w:val="en-GB" w:eastAsia="zh-CN" w:bidi="ar"/>
        </w:rPr>
        <w:t>（3）仓库建筑消防等级不低于二级，符合《建筑设计防火规范》（GB 50016）相关要求，并经消防部门验收合格，需提供有效的消防验收意见书，消防设施设备配置齐全、完好有效。</w:t>
      </w:r>
    </w:p>
    <w:p w14:paraId="6DEEA75E">
      <w:pPr>
        <w:keepNext w:val="0"/>
        <w:keepLines w:val="0"/>
        <w:widowControl/>
        <w:suppressLineNumbers w:val="0"/>
        <w:autoSpaceDE w:val="0"/>
        <w:autoSpaceDN w:val="0"/>
        <w:adjustRightInd w:val="0"/>
        <w:snapToGrid w:val="0"/>
        <w:spacing w:before="0" w:beforeLines="0" w:beforeAutospacing="0" w:after="0" w:afterAutospacing="0" w:line="360" w:lineRule="auto"/>
        <w:ind w:left="0" w:right="0" w:firstLine="480" w:firstLineChars="200"/>
        <w:jc w:val="left"/>
        <w:rPr>
          <w:rFonts w:hint="eastAsia" w:ascii="宋体" w:hAnsi="宋体" w:eastAsia="宋体" w:cs="宋体"/>
          <w:b w:val="0"/>
          <w:color w:val="auto"/>
          <w:kern w:val="2"/>
          <w:sz w:val="24"/>
          <w:szCs w:val="24"/>
          <w:highlight w:val="none"/>
          <w:lang w:val="en-GB"/>
        </w:rPr>
      </w:pPr>
      <w:r>
        <w:rPr>
          <w:rFonts w:hint="eastAsia" w:ascii="宋体" w:hAnsi="宋体" w:eastAsia="宋体" w:cs="宋体"/>
          <w:b w:val="0"/>
          <w:color w:val="auto"/>
          <w:kern w:val="2"/>
          <w:sz w:val="24"/>
          <w:szCs w:val="24"/>
          <w:highlight w:val="none"/>
          <w:lang w:val="en-GB" w:eastAsia="zh-CN" w:bidi="ar"/>
        </w:rPr>
        <w:t>（4）日常消防维保和电气检测，需要建立消防设施设备日常维护保养制度，每半年委托具备资质的第三方机构进行一次全面检测，确保消防设施设备始终处于良好运行状态，每一年委托具备资质的第三方机构进行一次电气消防安全检测，需提供消防维保计划和电气消防安全检测报告。</w:t>
      </w:r>
    </w:p>
    <w:p w14:paraId="77F2D0CA">
      <w:pPr>
        <w:keepNext w:val="0"/>
        <w:keepLines w:val="0"/>
        <w:widowControl/>
        <w:suppressLineNumbers w:val="0"/>
        <w:autoSpaceDE w:val="0"/>
        <w:autoSpaceDN w:val="0"/>
        <w:adjustRightInd w:val="0"/>
        <w:snapToGrid w:val="0"/>
        <w:spacing w:before="0" w:beforeLines="0" w:beforeAutospacing="0" w:after="0" w:afterAutospacing="0" w:line="360" w:lineRule="auto"/>
        <w:ind w:left="0" w:right="0" w:firstLine="480" w:firstLineChars="200"/>
        <w:jc w:val="left"/>
        <w:rPr>
          <w:rFonts w:hint="eastAsia" w:ascii="宋体" w:hAnsi="宋体" w:eastAsia="宋体" w:cs="宋体"/>
          <w:b w:val="0"/>
          <w:color w:val="auto"/>
          <w:kern w:val="2"/>
          <w:sz w:val="24"/>
          <w:szCs w:val="24"/>
          <w:highlight w:val="none"/>
          <w:lang w:val="en-GB"/>
        </w:rPr>
      </w:pPr>
      <w:r>
        <w:rPr>
          <w:rFonts w:hint="eastAsia" w:ascii="宋体" w:hAnsi="宋体" w:eastAsia="宋体" w:cs="宋体"/>
          <w:b w:val="0"/>
          <w:color w:val="auto"/>
          <w:kern w:val="2"/>
          <w:sz w:val="24"/>
          <w:szCs w:val="24"/>
          <w:highlight w:val="none"/>
          <w:lang w:val="en-GB" w:eastAsia="zh-CN" w:bidi="ar"/>
        </w:rPr>
        <w:t>（5）经营主体配备有充足、完善的仓储装卸、配送车辆等硬件设备，满足仓配业务的高效运营需求，包括不限于叉车、托盘车、夹包机、液压车、托盘、各规格的配送车辆、推车等物流设备；设备日常维护到位，确保作业顺畅，需提供详细的货物装卸和货物配送方案。</w:t>
      </w:r>
    </w:p>
    <w:p w14:paraId="1D1000F6">
      <w:pPr>
        <w:keepNext w:val="0"/>
        <w:keepLines w:val="0"/>
        <w:widowControl/>
        <w:suppressLineNumbers w:val="0"/>
        <w:autoSpaceDE w:val="0"/>
        <w:autoSpaceDN w:val="0"/>
        <w:adjustRightInd w:val="0"/>
        <w:snapToGrid w:val="0"/>
        <w:spacing w:before="0" w:beforeLines="0" w:beforeAutospacing="0" w:after="0" w:afterAutospacing="0" w:line="360" w:lineRule="auto"/>
        <w:ind w:left="0" w:right="0" w:firstLine="480" w:firstLineChars="200"/>
        <w:jc w:val="left"/>
        <w:rPr>
          <w:rFonts w:hint="eastAsia" w:ascii="宋体" w:hAnsi="宋体" w:eastAsia="宋体" w:cs="宋体"/>
          <w:b w:val="0"/>
          <w:color w:val="auto"/>
          <w:kern w:val="2"/>
          <w:sz w:val="24"/>
          <w:szCs w:val="24"/>
          <w:highlight w:val="none"/>
          <w:lang w:val="en-GB"/>
        </w:rPr>
      </w:pPr>
      <w:r>
        <w:rPr>
          <w:rFonts w:hint="eastAsia" w:ascii="宋体" w:hAnsi="宋体" w:eastAsia="宋体" w:cs="宋体"/>
          <w:b w:val="0"/>
          <w:color w:val="auto"/>
          <w:kern w:val="2"/>
          <w:sz w:val="24"/>
          <w:szCs w:val="24"/>
          <w:highlight w:val="none"/>
          <w:lang w:val="en-GB" w:eastAsia="zh-CN" w:bidi="ar"/>
        </w:rPr>
        <w:t>（6）经营主体需具备完善的物流信息管理系统，实现仓配业务全流程信息化、智能化管理，确保货物入库、存储、分拣、出库、配送等环节可追溯、高效协同。仓储管理系统除正常的商品管理和分拣功能外，需可实现先进先出管理、质保期管控等模块；物流配送管理系统需可实时反馈订单状态并上传订单签收信息。需提供物流信息管理系统各功能模块照片。</w:t>
      </w:r>
    </w:p>
    <w:p w14:paraId="4B48D6B9">
      <w:pPr>
        <w:keepNext w:val="0"/>
        <w:keepLines w:val="0"/>
        <w:widowControl/>
        <w:suppressLineNumbers w:val="0"/>
        <w:autoSpaceDE w:val="0"/>
        <w:autoSpaceDN w:val="0"/>
        <w:adjustRightInd w:val="0"/>
        <w:snapToGrid w:val="0"/>
        <w:spacing w:before="0" w:beforeLines="0" w:beforeAutospacing="0" w:after="0" w:afterAutospacing="0" w:line="360" w:lineRule="auto"/>
        <w:ind w:left="0" w:right="0" w:firstLine="480" w:firstLineChars="200"/>
        <w:jc w:val="left"/>
        <w:rPr>
          <w:rFonts w:hint="eastAsia" w:ascii="宋体" w:hAnsi="宋体" w:eastAsia="宋体" w:cs="宋体"/>
          <w:b w:val="0"/>
          <w:color w:val="auto"/>
          <w:kern w:val="2"/>
          <w:sz w:val="24"/>
          <w:szCs w:val="24"/>
          <w:highlight w:val="none"/>
          <w:lang w:val="en-GB"/>
        </w:rPr>
      </w:pPr>
      <w:r>
        <w:rPr>
          <w:rFonts w:hint="eastAsia" w:ascii="宋体" w:hAnsi="宋体" w:eastAsia="宋体" w:cs="宋体"/>
          <w:b w:val="0"/>
          <w:color w:val="auto"/>
          <w:kern w:val="2"/>
          <w:sz w:val="24"/>
          <w:szCs w:val="24"/>
          <w:highlight w:val="none"/>
          <w:lang w:val="en-GB" w:eastAsia="zh-CN" w:bidi="ar"/>
        </w:rPr>
        <w:t>（7）经营主体需购买足额的货物仓储一切险、货物运输险，保额和保险期限覆盖最高库存峰值以及整个合作周期，能够有效应对货物损坏、丢失、意外事故等风险，需要提供完整的保险保单及投保证明。</w:t>
      </w:r>
    </w:p>
    <w:p w14:paraId="23569881">
      <w:pPr>
        <w:keepNext w:val="0"/>
        <w:keepLines w:val="0"/>
        <w:widowControl/>
        <w:suppressLineNumbers w:val="0"/>
        <w:autoSpaceDE w:val="0"/>
        <w:autoSpaceDN w:val="0"/>
        <w:adjustRightInd w:val="0"/>
        <w:snapToGrid w:val="0"/>
        <w:spacing w:before="0" w:beforeLines="0" w:beforeAutospacing="0" w:after="0" w:afterAutospacing="0" w:line="360" w:lineRule="auto"/>
        <w:ind w:left="0" w:right="0" w:firstLine="480" w:firstLineChars="200"/>
        <w:jc w:val="left"/>
        <w:rPr>
          <w:rFonts w:hint="eastAsia" w:ascii="宋体" w:hAnsi="宋体" w:eastAsia="宋体" w:cs="宋体"/>
          <w:b w:val="0"/>
          <w:color w:val="auto"/>
          <w:kern w:val="2"/>
          <w:sz w:val="24"/>
          <w:szCs w:val="24"/>
          <w:highlight w:val="none"/>
          <w:lang w:val="en-GB"/>
        </w:rPr>
      </w:pPr>
      <w:r>
        <w:rPr>
          <w:rFonts w:hint="eastAsia" w:ascii="宋体" w:hAnsi="宋体" w:eastAsia="宋体" w:cs="宋体"/>
          <w:b w:val="0"/>
          <w:color w:val="auto"/>
          <w:kern w:val="2"/>
          <w:sz w:val="24"/>
          <w:szCs w:val="24"/>
          <w:highlight w:val="none"/>
          <w:lang w:val="en-GB" w:eastAsia="zh-CN" w:bidi="ar"/>
        </w:rPr>
        <w:t>（8）需提供完善的应急处置方案，针对自然灾害、人为事故、特殊客诉等突发事件，提前制定应急预案，配备相应应急物资（如灭火器、急救箱、应急车辆等），定期组织应急演练，优化应急方案，确保突发事件发生时能够及时响应、有效处置，最大限度减少损失。</w:t>
      </w:r>
    </w:p>
    <w:p w14:paraId="56A3A379">
      <w:pPr>
        <w:keepNext w:val="0"/>
        <w:keepLines w:val="0"/>
        <w:widowControl/>
        <w:suppressLineNumbers w:val="0"/>
        <w:autoSpaceDE w:val="0"/>
        <w:autoSpaceDN w:val="0"/>
        <w:adjustRightInd w:val="0"/>
        <w:snapToGrid w:val="0"/>
        <w:spacing w:before="0" w:beforeLines="0" w:beforeAutospacing="0" w:after="0" w:afterAutospacing="0" w:line="360" w:lineRule="auto"/>
        <w:ind w:left="0" w:right="0" w:firstLine="480" w:firstLineChars="200"/>
        <w:jc w:val="left"/>
        <w:rPr>
          <w:rFonts w:hint="eastAsia" w:ascii="宋体" w:hAnsi="宋体" w:eastAsia="宋体" w:cs="宋体"/>
          <w:b w:val="0"/>
          <w:color w:val="auto"/>
          <w:kern w:val="2"/>
          <w:sz w:val="24"/>
          <w:szCs w:val="24"/>
          <w:highlight w:val="none"/>
          <w:lang w:val="en-GB"/>
        </w:rPr>
      </w:pPr>
      <w:r>
        <w:rPr>
          <w:rFonts w:hint="eastAsia" w:ascii="宋体" w:hAnsi="宋体" w:eastAsia="宋体" w:cs="宋体"/>
          <w:b w:val="0"/>
          <w:color w:val="auto"/>
          <w:kern w:val="2"/>
          <w:sz w:val="24"/>
          <w:szCs w:val="24"/>
          <w:highlight w:val="none"/>
          <w:lang w:val="en-GB" w:eastAsia="zh-CN" w:bidi="ar"/>
        </w:rPr>
        <w:t>3.2.3.2系统对接的标准规范和内容要求如下：</w:t>
      </w:r>
    </w:p>
    <w:p w14:paraId="651F0B30">
      <w:pPr>
        <w:keepNext w:val="0"/>
        <w:keepLines w:val="0"/>
        <w:widowControl/>
        <w:suppressLineNumbers w:val="0"/>
        <w:autoSpaceDE w:val="0"/>
        <w:autoSpaceDN w:val="0"/>
        <w:adjustRightInd w:val="0"/>
        <w:snapToGrid w:val="0"/>
        <w:spacing w:before="0" w:beforeLines="0" w:beforeAutospacing="0" w:after="0" w:afterAutospacing="0" w:line="360" w:lineRule="auto"/>
        <w:ind w:left="0" w:right="0" w:firstLine="480" w:firstLineChars="200"/>
        <w:jc w:val="left"/>
        <w:rPr>
          <w:rFonts w:hint="eastAsia" w:ascii="宋体" w:hAnsi="宋体" w:eastAsia="宋体" w:cs="宋体"/>
          <w:b w:val="0"/>
          <w:color w:val="auto"/>
          <w:kern w:val="2"/>
          <w:sz w:val="24"/>
          <w:szCs w:val="24"/>
          <w:highlight w:val="none"/>
          <w:lang w:val="en-GB"/>
        </w:rPr>
      </w:pPr>
      <w:r>
        <w:rPr>
          <w:rFonts w:hint="eastAsia" w:ascii="宋体" w:hAnsi="宋体" w:eastAsia="宋体" w:cs="宋体"/>
          <w:b w:val="0"/>
          <w:color w:val="auto"/>
          <w:kern w:val="2"/>
          <w:sz w:val="24"/>
          <w:szCs w:val="24"/>
          <w:highlight w:val="none"/>
          <w:lang w:val="en-GB" w:eastAsia="zh-CN" w:bidi="ar"/>
        </w:rPr>
        <w:t>（1）系统对接须遵循采购单位ERP系统既定的技术标准及接口规范，采用标准化接口协议（优先支持RESTful API或WebService协议），实现接口双向通信及数据实时交互，对接过程需严格遵守采购单位数据安全管理规定，采取加密传输（如HTTPS协议）、身份认证（如Token令牌验证）、数据脱敏等安全措施，严防数据泄露、篡改、丢失，确保数据传输及存储的安全性、完整性和保密性。</w:t>
      </w:r>
    </w:p>
    <w:p w14:paraId="43C097C1">
      <w:pPr>
        <w:keepNext w:val="0"/>
        <w:keepLines w:val="0"/>
        <w:widowControl/>
        <w:suppressLineNumbers w:val="0"/>
        <w:autoSpaceDE w:val="0"/>
        <w:autoSpaceDN w:val="0"/>
        <w:adjustRightInd w:val="0"/>
        <w:snapToGrid w:val="0"/>
        <w:spacing w:before="0" w:beforeLines="0" w:beforeAutospacing="0" w:after="0" w:afterAutospacing="0" w:line="360" w:lineRule="auto"/>
        <w:ind w:left="0" w:right="0" w:firstLine="480" w:firstLineChars="200"/>
        <w:jc w:val="left"/>
        <w:rPr>
          <w:rFonts w:hint="eastAsia" w:ascii="宋体" w:hAnsi="宋体" w:eastAsia="宋体" w:cs="宋体"/>
          <w:b w:val="0"/>
          <w:color w:val="auto"/>
          <w:kern w:val="2"/>
          <w:sz w:val="24"/>
          <w:szCs w:val="24"/>
          <w:highlight w:val="none"/>
          <w:lang w:val="en-GB"/>
        </w:rPr>
      </w:pPr>
      <w:r>
        <w:rPr>
          <w:rFonts w:hint="eastAsia" w:ascii="宋体" w:hAnsi="宋体" w:eastAsia="宋体" w:cs="宋体"/>
          <w:b w:val="0"/>
          <w:color w:val="auto"/>
          <w:kern w:val="2"/>
          <w:sz w:val="24"/>
          <w:szCs w:val="24"/>
          <w:highlight w:val="none"/>
          <w:lang w:val="en-GB" w:eastAsia="zh-CN" w:bidi="ar"/>
        </w:rPr>
        <w:t>（2）对接内容须全面覆盖本项目全流程业务数据，确保无遗漏、无延迟，具体包括但不限于：库存数据（实时库存数量、库存位置、库存状态、滞销/临期库存预警）、采购到货数据（预计到货时间、到货批次、到货数量、供应商信息）、出库发货数据（已发货数量、发货批次、发货时间、收货方信息）、待发运数据（即将发货数量、待发运清单、发运优先级）、物流跟踪数据（发货单编号、承运司机姓名及联系方式、车牌号码、车辆定位、实时运输状态、司机实时在线状态、司机实时位置更新、司机行程轨迹回溯）、时效管理数据（预计到货时间、实际到货时间、时效偏差预警）、退换货数据（退换货申请信息、退换货原因、退换货数量、退换货入库状态、理赔进度）等核心业务信息，同时须支持司机实时相关功能，包括但不限于司机实时在线状态监测、司机实时位置动态更新、司机行程轨迹实时回溯及异常情况（如偏离路线、停留超时）实时预警，确保采购单位可通过ERP系统实时监控、查询本项目仓储配送全流程及司机作业状态，保障配送及时性、准确性及安全性。</w:t>
      </w:r>
    </w:p>
    <w:p w14:paraId="6E5D0BBB">
      <w:pPr>
        <w:keepNext w:val="0"/>
        <w:keepLines w:val="0"/>
        <w:widowControl/>
        <w:suppressLineNumbers w:val="0"/>
        <w:autoSpaceDE w:val="0"/>
        <w:autoSpaceDN w:val="0"/>
        <w:adjustRightInd w:val="0"/>
        <w:snapToGrid w:val="0"/>
        <w:spacing w:before="0" w:beforeLines="0" w:beforeAutospacing="0" w:after="0" w:afterAutospacing="0" w:line="360" w:lineRule="auto"/>
        <w:ind w:left="0" w:right="0" w:firstLine="480" w:firstLineChars="200"/>
        <w:jc w:val="left"/>
        <w:rPr>
          <w:rFonts w:hint="eastAsia" w:ascii="宋体" w:hAnsi="宋体" w:eastAsia="宋体" w:cs="宋体"/>
          <w:b w:val="0"/>
          <w:color w:val="auto"/>
          <w:kern w:val="2"/>
          <w:sz w:val="24"/>
          <w:szCs w:val="24"/>
          <w:highlight w:val="none"/>
          <w:lang w:val="en-GB"/>
        </w:rPr>
      </w:pPr>
      <w:r>
        <w:rPr>
          <w:rFonts w:hint="eastAsia" w:ascii="宋体" w:hAnsi="宋体" w:eastAsia="宋体" w:cs="宋体"/>
          <w:b w:val="0"/>
          <w:color w:val="auto"/>
          <w:kern w:val="2"/>
          <w:sz w:val="24"/>
          <w:szCs w:val="24"/>
          <w:highlight w:val="none"/>
          <w:lang w:val="en-GB" w:eastAsia="zh-CN" w:bidi="ar"/>
        </w:rPr>
        <w:t>（3）仓储管理系统和配送管理系统可支撑本项目业务量峰值及未来业务拓展需求，接口响应时间≤300ms，数据同步延迟≤3分钟，系统全年可用率≥99.9%，无重大系统故障（单次故障持续时间≤1小时）。</w:t>
      </w:r>
    </w:p>
    <w:p w14:paraId="08BB270C">
      <w:pPr>
        <w:keepNext w:val="0"/>
        <w:keepLines w:val="0"/>
        <w:widowControl/>
        <w:suppressLineNumbers w:val="0"/>
        <w:autoSpaceDE w:val="0"/>
        <w:autoSpaceDN w:val="0"/>
        <w:adjustRightInd w:val="0"/>
        <w:snapToGrid w:val="0"/>
        <w:spacing w:before="0" w:beforeLines="0" w:beforeAutospacing="0" w:after="0" w:afterAutospacing="0" w:line="360" w:lineRule="auto"/>
        <w:ind w:left="0" w:right="0" w:firstLine="480" w:firstLineChars="200"/>
        <w:jc w:val="left"/>
        <w:rPr>
          <w:rFonts w:hint="eastAsia" w:ascii="宋体" w:hAnsi="宋体" w:eastAsia="宋体" w:cs="宋体"/>
          <w:b w:val="0"/>
          <w:color w:val="auto"/>
          <w:kern w:val="2"/>
          <w:sz w:val="24"/>
          <w:szCs w:val="24"/>
          <w:highlight w:val="none"/>
          <w:lang w:val="en-GB"/>
        </w:rPr>
      </w:pPr>
      <w:r>
        <w:rPr>
          <w:rFonts w:hint="eastAsia" w:ascii="宋体" w:hAnsi="宋体" w:eastAsia="宋体" w:cs="宋体"/>
          <w:b w:val="0"/>
          <w:color w:val="auto"/>
          <w:kern w:val="2"/>
          <w:sz w:val="24"/>
          <w:szCs w:val="24"/>
          <w:highlight w:val="none"/>
          <w:lang w:val="en-GB" w:eastAsia="zh-CN" w:bidi="ar"/>
        </w:rPr>
        <w:t>（4）系统对接完成后，投标人须提交完整的接口开发文档、测试报告（含功能测试、性能测试、安全测试、兼容性测试）、系统部署文档、操作手册及维护方案，由采购单位组织专项验收，验收合格并出具验收报告后，系统方可正式投入使用；</w:t>
      </w:r>
      <w:r>
        <w:rPr>
          <w:rFonts w:hint="eastAsia" w:ascii="宋体" w:hAnsi="宋体" w:eastAsia="宋体" w:cs="宋体"/>
          <w:b w:val="0"/>
          <w:bCs w:val="0"/>
          <w:color w:val="auto"/>
          <w:kern w:val="2"/>
          <w:sz w:val="24"/>
          <w:szCs w:val="24"/>
          <w:highlight w:val="none"/>
          <w:lang w:val="en-GB" w:eastAsia="zh-CN" w:bidi="ar"/>
        </w:rPr>
        <w:t>若验收不合格，投标人须在采购单位指定期限内完成整改，整改费用由投标人自行承担，若逾期未完成整改或整改后仍不合格，为了保障本项目顺利运行，采购单位有权要求投标人使用采购单位推荐的第三方物流公司</w:t>
      </w:r>
      <w:r>
        <w:rPr>
          <w:rFonts w:hint="eastAsia" w:ascii="宋体" w:hAnsi="宋体" w:eastAsia="宋体" w:cs="宋体"/>
          <w:b w:val="0"/>
          <w:color w:val="auto"/>
          <w:kern w:val="2"/>
          <w:sz w:val="24"/>
          <w:szCs w:val="24"/>
          <w:highlight w:val="none"/>
          <w:lang w:val="en-GB" w:eastAsia="zh-CN" w:bidi="ar"/>
        </w:rPr>
        <w:t>，投标人除承担运送至第三方物流仓库的费用，还应同时承担货物入第三方物流仓库的仓储操作费、从第三方物流仓库运送至最终用户的二次配送费等相应费用，采购单位推荐的第三方物流的仓储操作费及二次配送费的收费标准如下：仓储操作费</w:t>
      </w:r>
      <w:r>
        <w:rPr>
          <w:rFonts w:hint="default" w:ascii="宋体" w:hAnsi="宋体" w:cs="宋体"/>
          <w:b w:val="0"/>
          <w:color w:val="auto"/>
          <w:kern w:val="2"/>
          <w:sz w:val="24"/>
          <w:szCs w:val="24"/>
          <w:highlight w:val="none"/>
          <w:lang w:eastAsia="zh-CN" w:bidi="ar"/>
        </w:rPr>
        <w:t>6</w:t>
      </w:r>
      <w:r>
        <w:rPr>
          <w:rFonts w:hint="eastAsia" w:ascii="宋体" w:hAnsi="宋体" w:eastAsia="宋体" w:cs="宋体"/>
          <w:b w:val="0"/>
          <w:color w:val="auto"/>
          <w:kern w:val="2"/>
          <w:sz w:val="24"/>
          <w:szCs w:val="24"/>
          <w:highlight w:val="none"/>
          <w:lang w:val="en-GB" w:eastAsia="zh-CN" w:bidi="ar"/>
        </w:rPr>
        <w:t>0元/台，二次配送费用为15</w:t>
      </w:r>
      <w:r>
        <w:rPr>
          <w:rFonts w:hint="default" w:ascii="宋体" w:hAnsi="宋体" w:cs="宋体"/>
          <w:b w:val="0"/>
          <w:color w:val="auto"/>
          <w:kern w:val="2"/>
          <w:sz w:val="24"/>
          <w:szCs w:val="24"/>
          <w:highlight w:val="none"/>
          <w:lang w:eastAsia="zh-CN" w:bidi="ar"/>
        </w:rPr>
        <w:t>0</w:t>
      </w:r>
      <w:r>
        <w:rPr>
          <w:rFonts w:hint="eastAsia" w:ascii="宋体" w:hAnsi="宋体" w:eastAsia="宋体" w:cs="宋体"/>
          <w:b w:val="0"/>
          <w:color w:val="auto"/>
          <w:kern w:val="2"/>
          <w:sz w:val="24"/>
          <w:szCs w:val="24"/>
          <w:highlight w:val="none"/>
          <w:lang w:val="en-GB" w:eastAsia="zh-CN" w:bidi="ar"/>
        </w:rPr>
        <w:t>元/台。投标人应在采购单位发出《定货单》之日起10个工作日内结算已产生的相关物流费用，若投标人未及时结算物流费用，采购单位有权在履约保证金或应付货款中直接扣除。</w:t>
      </w:r>
    </w:p>
    <w:p w14:paraId="005E580A">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GB"/>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GB"/>
        </w:rPr>
        <w:t>交货时间的特别约定</w:t>
      </w:r>
    </w:p>
    <w:p w14:paraId="19F63C0C">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GB"/>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GB"/>
        </w:rPr>
        <w:t>.1供货过程中，若出现暂时的配件型号变更或短缺等情况的，</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须在</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发出《定货单》之日起5个工作日内向</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和最终用户提供相应证明文件，并提供解决方案（但其价格不得高于成交价且配置配件的参数指标不得低于原来的要求）和</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、最终用户进行协商。经</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和最终用户认可后，</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按最终确定的方案供货，货款按最终协商一致的价格结算，交货时间满足最终用户的要求。否则，按逾期交货处理。</w:t>
      </w:r>
    </w:p>
    <w:p w14:paraId="12F17114">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GB"/>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GB"/>
        </w:rPr>
        <w:t>.2若在合同期内有任何产品型号或配件升级变更，</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应至少提前一个月书面通知</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相关信息（包括其升级产品型号、部件及详细配置方案），经</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书面同意后方可按升级后的产品（或配件）供货，价格按合同单价执行，交货时间按采购合同条款执行。同时，在</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同意之前，</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仍应按原《定货单》的要求供货。否则，按逾期交货处理。经最终用户认可后，</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可按升级后的产品（或配件）供货。若在合同期内</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有任何产品型号或配件停产且无法提供符合</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要求的升级型号或配件则视为严重违约，</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应按每款机型20000元向</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缴纳违约金，</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有权单方面解除中标合同并没收</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GB"/>
        </w:rPr>
        <w:t>.1条约定的全部履约保证金。</w:t>
      </w:r>
    </w:p>
    <w:p w14:paraId="605F3DF0">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GB"/>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GB"/>
        </w:rPr>
        <w:t>.3但凡要求</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更换整机的，重新交货时间按</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GB"/>
        </w:rPr>
        <w:t>.</w:t>
      </w:r>
      <w:r>
        <w:rPr>
          <w:rFonts w:hint="default"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GB"/>
        </w:rPr>
        <w:t>条执行。</w:t>
      </w:r>
    </w:p>
    <w:p w14:paraId="18C984DE">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GB"/>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GB"/>
        </w:rPr>
        <w:t>.4</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在收到《定货单》后应按</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要求加盖公章并以扫描件及时回复确认，但最迟不超过</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GB"/>
        </w:rPr>
        <w:t>个日历日。若《定货单》发出之日起</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GB"/>
        </w:rPr>
        <w:t>个日历日内</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未按</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要求予以确认的，则</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同意自第</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GB"/>
        </w:rPr>
        <w:t>个日历日起计算交货期。</w:t>
      </w:r>
    </w:p>
    <w:p w14:paraId="23896492">
      <w:pPr>
        <w:suppressAutoHyphens/>
        <w:autoSpaceDE/>
        <w:autoSpaceDN/>
        <w:bidi w:val="0"/>
        <w:adjustRightInd/>
        <w:snapToGrid/>
        <w:spacing w:before="0" w:beforeLines="0" w:line="360" w:lineRule="auto"/>
        <w:ind w:firstLine="480" w:firstLineChars="0"/>
        <w:jc w:val="left"/>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.5</w:t>
      </w:r>
      <w:r>
        <w:rPr>
          <w:rFonts w:hint="eastAsia" w:ascii="宋体" w:hAnsi="宋体" w:eastAsia="宋体" w:cs="宋体"/>
          <w:b w:val="0"/>
          <w:color w:val="auto"/>
          <w:sz w:val="24"/>
          <w:szCs w:val="24"/>
          <w:highlight w:val="none"/>
          <w:lang w:val="en-GB" w:eastAsia="zh-CN"/>
        </w:rPr>
        <w:t>乙</w:t>
      </w:r>
      <w:r>
        <w:rPr>
          <w:rFonts w:hint="eastAsia" w:ascii="宋体" w:hAnsi="宋体" w:eastAsia="宋体" w:cs="宋体"/>
          <w:b w:val="0"/>
          <w:color w:val="auto"/>
          <w:sz w:val="24"/>
          <w:szCs w:val="24"/>
          <w:highlight w:val="none"/>
          <w:lang w:val="en-GB"/>
        </w:rPr>
        <w:t>方在供货时，触控一体机和插拔式模块化电脑须一起交货，否则，按逾期交货处理。</w:t>
      </w:r>
    </w:p>
    <w:p w14:paraId="35B1BD1C">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kern w:val="2"/>
          <w:sz w:val="24"/>
          <w:szCs w:val="24"/>
          <w:highlight w:val="none"/>
          <w:lang w:val="en-GB" w:eastAsia="zh-CN" w:bidi="ar-SA"/>
        </w:rPr>
      </w:pP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4</w:t>
      </w:r>
      <w:r>
        <w:rPr>
          <w:rFonts w:hint="eastAsia" w:ascii="宋体" w:hAnsi="宋体" w:eastAsia="宋体" w:cs="宋体"/>
          <w:color w:val="auto"/>
          <w:kern w:val="2"/>
          <w:sz w:val="24"/>
          <w:szCs w:val="24"/>
          <w:highlight w:val="none"/>
          <w:lang w:val="en-GB" w:eastAsia="zh-CN" w:bidi="ar-SA"/>
        </w:rPr>
        <w:t>乙方承诺，待合同终止后的30天内根据甲方要求按合同原入围价回购甲方剩余的库存产品且回购总金额不高于框架协议有效期内总采购金额的5%，乙方回购的付款方式为先款后货，回购的产品由甲方发货，回购产品已缴纳的仓储操作配送费不予退还。若乙方未在规定的期限内完成上述回购的，甲方有权从乙方的货款或履约保证金中扣除相应的回购款项。</w:t>
      </w:r>
    </w:p>
    <w:p w14:paraId="62635A77">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kern w:val="2"/>
          <w:sz w:val="24"/>
          <w:szCs w:val="24"/>
          <w:highlight w:val="none"/>
          <w:lang w:val="en-GB" w:eastAsia="zh-CN" w:bidi="ar-SA"/>
        </w:rPr>
      </w:pPr>
      <w:r>
        <w:rPr>
          <w:rFonts w:hint="eastAsia" w:ascii="宋体" w:hAnsi="宋体"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en-GB" w:eastAsia="zh-CN" w:bidi="ar-SA"/>
        </w:rPr>
        <w:t>.</w:t>
      </w:r>
      <w:r>
        <w:rPr>
          <w:rFonts w:hint="eastAsia" w:ascii="宋体" w:hAnsi="宋体" w:cs="宋体"/>
          <w:color w:val="auto"/>
          <w:kern w:val="2"/>
          <w:sz w:val="24"/>
          <w:szCs w:val="24"/>
          <w:highlight w:val="none"/>
          <w:lang w:val="en-US" w:eastAsia="zh-CN" w:bidi="ar-SA"/>
        </w:rPr>
        <w:t>5</w:t>
      </w:r>
      <w:r>
        <w:rPr>
          <w:rFonts w:hint="eastAsia" w:ascii="宋体" w:hAnsi="宋体" w:eastAsia="宋体" w:cs="宋体"/>
          <w:color w:val="auto"/>
          <w:kern w:val="2"/>
          <w:sz w:val="24"/>
          <w:szCs w:val="24"/>
          <w:highlight w:val="none"/>
          <w:lang w:val="en-GB" w:eastAsia="zh-CN" w:bidi="ar-SA"/>
        </w:rPr>
        <w:t>合同标的应符合征集文件、乙方入围供应商的投标文件及框架协议的规定或约定。</w:t>
      </w:r>
    </w:p>
    <w:p w14:paraId="4AA59948">
      <w:pPr>
        <w:suppressAutoHyphens/>
        <w:autoSpaceDE w:val="0"/>
        <w:autoSpaceDN w:val="0"/>
        <w:bidi w:val="0"/>
        <w:adjustRightInd w:val="0"/>
        <w:snapToGrid w:val="0"/>
        <w:spacing w:before="0" w:beforeLines="0" w:line="360" w:lineRule="auto"/>
        <w:ind w:firstLine="482" w:firstLineChars="200"/>
        <w:jc w:val="left"/>
        <w:rPr>
          <w:rFonts w:hint="eastAsia" w:ascii="宋体" w:hAnsi="宋体" w:eastAsia="宋体" w:cs="宋体"/>
          <w:b/>
          <w:bCs/>
          <w:color w:val="auto"/>
          <w:sz w:val="24"/>
          <w:szCs w:val="24"/>
          <w:highlight w:val="none"/>
          <w:lang w:val="en-GB"/>
        </w:rPr>
      </w:pPr>
      <w:r>
        <w:rPr>
          <w:rFonts w:hint="eastAsia" w:ascii="宋体" w:hAnsi="宋体" w:cs="宋体"/>
          <w:b/>
          <w:bCs/>
          <w:color w:val="auto"/>
          <w:sz w:val="24"/>
          <w:szCs w:val="24"/>
          <w:highlight w:val="none"/>
          <w:lang w:val="en-US" w:eastAsia="zh-CN"/>
        </w:rPr>
        <w:t>4</w:t>
      </w:r>
      <w:r>
        <w:rPr>
          <w:rFonts w:hint="eastAsia" w:ascii="宋体" w:hAnsi="宋体" w:eastAsia="宋体" w:cs="宋体"/>
          <w:b/>
          <w:bCs/>
          <w:color w:val="auto"/>
          <w:sz w:val="24"/>
          <w:szCs w:val="24"/>
          <w:highlight w:val="none"/>
          <w:lang w:val="en-GB"/>
        </w:rPr>
        <w:t>、付款方式与条件</w:t>
      </w:r>
    </w:p>
    <w:p w14:paraId="6158A957">
      <w:pPr>
        <w:suppressAutoHyphens/>
        <w:autoSpaceDE w:val="0"/>
        <w:autoSpaceDN w:val="0"/>
        <w:bidi w:val="0"/>
        <w:adjustRightInd w:val="0"/>
        <w:snapToGrid w:val="0"/>
        <w:spacing w:before="0" w:beforeLines="0" w:line="360" w:lineRule="auto"/>
        <w:ind w:firstLine="480" w:firstLineChars="200"/>
        <w:jc w:val="left"/>
        <w:rPr>
          <w:rFonts w:hint="default"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GB"/>
        </w:rPr>
        <w:t>.1履约保证金</w:t>
      </w:r>
      <w:r>
        <w:rPr>
          <w:rFonts w:hint="default" w:ascii="宋体" w:hAnsi="宋体" w:cs="宋体"/>
          <w:color w:val="auto"/>
          <w:sz w:val="24"/>
          <w:szCs w:val="24"/>
          <w:highlight w:val="none"/>
        </w:rPr>
        <w:t>：本合同生效后，乙方应另行向甲方缴纳履约保证金，该履约保证金包括供货履约保证金、服务履约保证金。</w:t>
      </w:r>
    </w:p>
    <w:p w14:paraId="6CC118F2">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GB"/>
        </w:rPr>
        <w:t>.1.1</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应在合同签订之日起7个日历日内向</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缴交</w:t>
      </w:r>
      <w:r>
        <w:rPr>
          <w:rFonts w:hint="eastAsia" w:ascii="宋体" w:hAnsi="宋体" w:eastAsia="宋体" w:cs="宋体"/>
          <w:color w:val="auto"/>
          <w:kern w:val="2"/>
          <w:sz w:val="24"/>
          <w:szCs w:val="24"/>
          <w:highlight w:val="none"/>
          <w:lang w:val="en-GB" w:eastAsia="zh-CN" w:bidi="ar-SA"/>
        </w:rPr>
        <w:t>每个合同包人民币</w:t>
      </w:r>
      <w:r>
        <w:rPr>
          <w:rFonts w:hint="default" w:ascii="宋体" w:hAnsi="宋体" w:cs="宋体"/>
          <w:color w:val="auto"/>
          <w:kern w:val="2"/>
          <w:sz w:val="24"/>
          <w:szCs w:val="24"/>
          <w:highlight w:val="none"/>
          <w:u w:val="single"/>
          <w:lang w:eastAsia="zh-CN" w:bidi="ar-SA"/>
        </w:rPr>
        <w:t>XX</w:t>
      </w:r>
      <w:r>
        <w:rPr>
          <w:rFonts w:hint="eastAsia" w:ascii="宋体" w:hAnsi="宋体" w:eastAsia="宋体" w:cs="宋体"/>
          <w:color w:val="auto"/>
          <w:kern w:val="2"/>
          <w:sz w:val="24"/>
          <w:szCs w:val="24"/>
          <w:highlight w:val="none"/>
          <w:u w:val="none"/>
          <w:lang w:val="en-GB" w:eastAsia="zh-CN" w:bidi="ar-SA"/>
        </w:rPr>
        <w:t>万元</w:t>
      </w:r>
      <w:r>
        <w:rPr>
          <w:rFonts w:hint="eastAsia" w:ascii="宋体" w:hAnsi="宋体" w:eastAsia="宋体" w:cs="宋体"/>
          <w:color w:val="auto"/>
          <w:sz w:val="24"/>
          <w:szCs w:val="24"/>
          <w:highlight w:val="none"/>
          <w:lang w:val="en-GB"/>
        </w:rPr>
        <w:t>的供货履约保证金。供货履约保证金，</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于本合同有效期满且最后一批次货物供货完成后30个工作日内一次性无息支付给</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（扣除相应的违约金、赔偿金）。</w:t>
      </w:r>
      <w:r>
        <w:rPr>
          <w:rFonts w:hint="eastAsia" w:ascii="宋体" w:hAnsi="宋体" w:eastAsia="宋体" w:cs="宋体"/>
          <w:color w:val="auto"/>
          <w:kern w:val="2"/>
          <w:sz w:val="24"/>
          <w:szCs w:val="24"/>
          <w:highlight w:val="none"/>
          <w:lang w:val="en-GB" w:eastAsia="zh-CN" w:bidi="ar-SA"/>
        </w:rPr>
        <w:t>在甲方支付每批次货款之前，乙方向甲方支付该批次货款金额的3%作为</w:t>
      </w:r>
      <w:r>
        <w:rPr>
          <w:rFonts w:hint="eastAsia" w:ascii="宋体" w:hAnsi="宋体" w:eastAsia="宋体" w:cs="宋体"/>
          <w:color w:val="auto"/>
          <w:sz w:val="24"/>
          <w:szCs w:val="24"/>
          <w:highlight w:val="none"/>
          <w:lang w:val="en-GB"/>
        </w:rPr>
        <w:t>服务履约保证金</w:t>
      </w:r>
      <w:r>
        <w:rPr>
          <w:rFonts w:hint="eastAsia" w:ascii="宋体" w:hAnsi="宋体" w:eastAsia="宋体" w:cs="宋体"/>
          <w:color w:val="auto"/>
          <w:sz w:val="24"/>
          <w:szCs w:val="24"/>
          <w:highlight w:val="none"/>
          <w:lang w:val="en-GB" w:eastAsia="zh-CN"/>
        </w:rPr>
        <w:t>。</w:t>
      </w:r>
      <w:r>
        <w:rPr>
          <w:rFonts w:hint="eastAsia" w:ascii="宋体" w:hAnsi="宋体" w:eastAsia="宋体" w:cs="宋体"/>
          <w:color w:val="auto"/>
          <w:sz w:val="24"/>
          <w:szCs w:val="24"/>
          <w:highlight w:val="none"/>
          <w:lang w:val="en-GB"/>
        </w:rPr>
        <w:t>服务履约保证金，</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于本合同有效期内最后一批次货物保修期届满后30个工作日内一次性无息支付给</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（扣除相应的违约金、赔偿金）。</w:t>
      </w:r>
    </w:p>
    <w:p w14:paraId="7D886544">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GB"/>
        </w:rPr>
        <w:t>.1.2</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因违约行为导致履约保证金被</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扣除的，</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应于被扣除之日起7个日历日内补足，使履约保证金金额满足</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GB"/>
        </w:rPr>
        <w:t>.1.1约定的要求。</w:t>
      </w:r>
    </w:p>
    <w:p w14:paraId="273E6CA7">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GB"/>
        </w:rPr>
        <w:t>.2</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按批次支付货款。</w:t>
      </w:r>
    </w:p>
    <w:p w14:paraId="5023D3FB">
      <w:pPr>
        <w:keepNext w:val="0"/>
        <w:keepLines w:val="0"/>
        <w:widowControl w:val="0"/>
        <w:suppressLineNumbers w:val="0"/>
        <w:suppressAutoHyphens/>
        <w:autoSpaceDE w:val="0"/>
        <w:autoSpaceDN w:val="0"/>
        <w:bidi w:val="0"/>
        <w:adjustRightInd w:val="0"/>
        <w:snapToGrid w:val="0"/>
        <w:spacing w:before="0" w:beforeLines="0" w:beforeAutospacing="0" w:after="0" w:afterAutospacing="0" w:line="360" w:lineRule="auto"/>
        <w:ind w:left="0" w:right="0" w:firstLine="480" w:firstLineChars="200"/>
        <w:jc w:val="both"/>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GB"/>
        </w:rPr>
        <w:t>.2.1</w:t>
      </w:r>
      <w:r>
        <w:rPr>
          <w:rFonts w:hint="eastAsia" w:ascii="宋体" w:hAnsi="宋体" w:eastAsia="宋体" w:cs="宋体"/>
          <w:color w:val="auto"/>
          <w:kern w:val="2"/>
          <w:sz w:val="24"/>
          <w:szCs w:val="24"/>
          <w:highlight w:val="none"/>
          <w:lang w:val="en-US" w:eastAsia="zh-CN" w:bidi="ar"/>
        </w:rPr>
        <w:t>乙方选择委托甲方推荐的第三方物流进行集中仓储的，</w:t>
      </w:r>
      <w:r>
        <w:rPr>
          <w:rFonts w:hint="eastAsia" w:ascii="宋体" w:hAnsi="宋体" w:eastAsia="宋体" w:cs="宋体"/>
          <w:color w:val="auto"/>
          <w:sz w:val="24"/>
          <w:szCs w:val="24"/>
          <w:highlight w:val="none"/>
          <w:lang w:val="en-GB"/>
        </w:rPr>
        <w:t>货交</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kern w:val="2"/>
          <w:sz w:val="24"/>
          <w:szCs w:val="24"/>
          <w:highlight w:val="none"/>
          <w:lang w:val="en-US" w:eastAsia="zh-CN" w:bidi="ar"/>
        </w:rPr>
        <w:t>推荐的第三方物流</w:t>
      </w:r>
      <w:r>
        <w:rPr>
          <w:rFonts w:hint="eastAsia" w:ascii="宋体" w:hAnsi="宋体" w:eastAsia="宋体" w:cs="宋体"/>
          <w:color w:val="auto"/>
          <w:sz w:val="24"/>
          <w:szCs w:val="24"/>
          <w:highlight w:val="none"/>
          <w:lang w:val="en-GB"/>
        </w:rPr>
        <w:t>仓库</w:t>
      </w:r>
      <w:r>
        <w:rPr>
          <w:rFonts w:hint="default" w:ascii="宋体" w:hAnsi="宋体" w:eastAsia="宋体" w:cs="宋体"/>
          <w:color w:val="auto"/>
          <w:sz w:val="24"/>
          <w:szCs w:val="24"/>
          <w:highlight w:val="none"/>
        </w:rPr>
        <w:t>且经甲方签收合格后</w:t>
      </w:r>
      <w:r>
        <w:rPr>
          <w:rFonts w:hint="eastAsia" w:ascii="宋体" w:hAnsi="宋体" w:eastAsia="宋体" w:cs="宋体"/>
          <w:color w:val="auto"/>
          <w:sz w:val="24"/>
          <w:szCs w:val="24"/>
          <w:highlight w:val="none"/>
          <w:lang w:val="en-GB"/>
        </w:rPr>
        <w:t>，</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凭如下单证和文件在</w:t>
      </w:r>
      <w:r>
        <w:rPr>
          <w:rFonts w:hint="eastAsia" w:ascii="宋体" w:hAnsi="宋体" w:eastAsia="宋体" w:cs="宋体"/>
          <w:color w:val="auto"/>
          <w:sz w:val="24"/>
          <w:szCs w:val="24"/>
          <w:highlight w:val="none"/>
          <w:lang w:val="en-US" w:eastAsia="zh-CN"/>
        </w:rPr>
        <w:t>180</w:t>
      </w:r>
      <w:r>
        <w:rPr>
          <w:rFonts w:hint="eastAsia" w:ascii="宋体" w:hAnsi="宋体" w:eastAsia="宋体" w:cs="宋体"/>
          <w:color w:val="auto"/>
          <w:sz w:val="24"/>
          <w:szCs w:val="24"/>
          <w:highlight w:val="none"/>
          <w:lang w:val="en-GB"/>
        </w:rPr>
        <w:t>个日历日内</w:t>
      </w:r>
      <w:r>
        <w:rPr>
          <w:rFonts w:hint="eastAsia" w:ascii="宋体" w:hAnsi="宋体" w:eastAsia="宋体" w:cs="Times New Roman"/>
          <w:color w:val="auto"/>
          <w:sz w:val="24"/>
          <w:szCs w:val="24"/>
          <w:highlight w:val="none"/>
        </w:rPr>
        <w:t>（</w:t>
      </w:r>
      <w:r>
        <w:rPr>
          <w:rFonts w:hint="eastAsia" w:ascii="宋体" w:hAnsi="宋体" w:eastAsia="宋体" w:cs="宋体"/>
          <w:color w:val="auto"/>
          <w:sz w:val="24"/>
          <w:szCs w:val="24"/>
          <w:highlight w:val="none"/>
          <w:lang w:val="en-GB"/>
        </w:rPr>
        <w:t>从</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收货之日算起</w:t>
      </w:r>
      <w:r>
        <w:rPr>
          <w:rFonts w:hint="eastAsia" w:ascii="宋体" w:hAnsi="宋体" w:eastAsia="宋体" w:cs="Times New Roman"/>
          <w:color w:val="auto"/>
          <w:sz w:val="24"/>
          <w:szCs w:val="24"/>
          <w:highlight w:val="none"/>
        </w:rPr>
        <w:t>）</w:t>
      </w:r>
      <w:r>
        <w:rPr>
          <w:rFonts w:hint="eastAsia" w:ascii="宋体" w:hAnsi="宋体" w:eastAsia="宋体" w:cs="宋体"/>
          <w:color w:val="auto"/>
          <w:sz w:val="24"/>
          <w:szCs w:val="24"/>
          <w:highlight w:val="none"/>
          <w:lang w:val="en-GB"/>
        </w:rPr>
        <w:t>向</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一次性支付至该批次货款的100%：</w:t>
      </w:r>
    </w:p>
    <w:p w14:paraId="1BF5927B">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a.金额为100%的该批次货款的一般纳税人增值税专用发票；</w:t>
      </w:r>
    </w:p>
    <w:p w14:paraId="574455BB">
      <w:pPr>
        <w:keepNext w:val="0"/>
        <w:keepLines w:val="0"/>
        <w:widowControl w:val="0"/>
        <w:suppressLineNumbers w:val="0"/>
        <w:suppressAutoHyphens/>
        <w:autoSpaceDE w:val="0"/>
        <w:autoSpaceDN w:val="0"/>
        <w:bidi w:val="0"/>
        <w:adjustRightInd w:val="0"/>
        <w:snapToGrid w:val="0"/>
        <w:spacing w:before="0" w:beforeLines="0" w:beforeAutospacing="0" w:after="0" w:afterAutospacing="0" w:line="360" w:lineRule="auto"/>
        <w:ind w:left="0" w:right="0" w:firstLine="480" w:firstLineChars="200"/>
        <w:jc w:val="both"/>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b.</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已缴纳该批货物的</w:t>
      </w:r>
      <w:r>
        <w:rPr>
          <w:rFonts w:hint="eastAsia" w:ascii="宋体" w:hAnsi="宋体" w:eastAsia="宋体" w:cs="宋体"/>
          <w:color w:val="auto"/>
          <w:sz w:val="24"/>
          <w:szCs w:val="24"/>
          <w:highlight w:val="none"/>
          <w:lang w:val="en-GB" w:eastAsia="zh-CN"/>
        </w:rPr>
        <w:t>入围</w:t>
      </w:r>
      <w:r>
        <w:rPr>
          <w:rFonts w:hint="eastAsia" w:ascii="宋体" w:hAnsi="宋体" w:eastAsia="宋体" w:cs="宋体"/>
          <w:color w:val="auto"/>
          <w:sz w:val="24"/>
          <w:szCs w:val="24"/>
          <w:highlight w:val="none"/>
          <w:lang w:val="en-GB"/>
        </w:rPr>
        <w:t>服务费</w:t>
      </w:r>
      <w:r>
        <w:rPr>
          <w:rFonts w:hint="eastAsia" w:ascii="宋体" w:hAnsi="宋体" w:eastAsia="宋体" w:cs="宋体"/>
          <w:color w:val="auto"/>
          <w:sz w:val="24"/>
          <w:szCs w:val="24"/>
          <w:highlight w:val="none"/>
          <w:lang w:val="en-GB" w:eastAsia="zh-CN"/>
        </w:rPr>
        <w:t>、</w:t>
      </w:r>
      <w:r>
        <w:rPr>
          <w:rFonts w:hint="eastAsia" w:ascii="宋体" w:hAnsi="宋体" w:eastAsia="宋体" w:cs="宋体"/>
          <w:color w:val="auto"/>
          <w:sz w:val="24"/>
          <w:szCs w:val="24"/>
          <w:highlight w:val="none"/>
          <w:lang w:val="en-GB"/>
        </w:rPr>
        <w:t>服务履约保证金和</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GB"/>
        </w:rPr>
        <w:t>.3的二次配送费用</w:t>
      </w:r>
      <w:r>
        <w:rPr>
          <w:rFonts w:hint="eastAsia" w:ascii="宋体" w:hAnsi="宋体" w:eastAsia="宋体" w:cs="宋体"/>
          <w:color w:val="auto"/>
          <w:kern w:val="2"/>
          <w:sz w:val="24"/>
          <w:szCs w:val="24"/>
          <w:highlight w:val="none"/>
          <w:lang w:val="en-US" w:eastAsia="zh-CN" w:bidi="ar"/>
        </w:rPr>
        <w:t>（若有）</w:t>
      </w:r>
      <w:r>
        <w:rPr>
          <w:rFonts w:hint="eastAsia" w:ascii="宋体" w:hAnsi="宋体" w:eastAsia="宋体" w:cs="宋体"/>
          <w:color w:val="auto"/>
          <w:sz w:val="24"/>
          <w:szCs w:val="24"/>
          <w:highlight w:val="none"/>
          <w:lang w:val="en-GB"/>
        </w:rPr>
        <w:t>、仓储操作费的证明材料；</w:t>
      </w:r>
    </w:p>
    <w:p w14:paraId="3A2E54EF">
      <w:pPr>
        <w:suppressAutoHyphens/>
        <w:autoSpaceDE w:val="0"/>
        <w:autoSpaceDN w:val="0"/>
        <w:bidi w:val="0"/>
        <w:adjustRightInd w:val="0"/>
        <w:snapToGrid w:val="0"/>
        <w:spacing w:before="0" w:beforeLines="0" w:line="360" w:lineRule="auto"/>
        <w:ind w:firstLine="480" w:firstLineChars="200"/>
        <w:jc w:val="left"/>
        <w:rPr>
          <w:rFonts w:eastAsia="宋体" w:cs="Times New Roman"/>
          <w:color w:val="auto"/>
          <w:sz w:val="24"/>
          <w:highlight w:val="none"/>
        </w:rPr>
      </w:pPr>
      <w:r>
        <w:rPr>
          <w:rFonts w:hint="eastAsia" w:ascii="宋体" w:hAnsi="宋体" w:eastAsia="宋体" w:cs="宋体"/>
          <w:color w:val="auto"/>
          <w:sz w:val="24"/>
          <w:szCs w:val="24"/>
          <w:highlight w:val="none"/>
          <w:lang w:val="en-GB"/>
        </w:rPr>
        <w:t>c.</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已收讫的该批次货物的《签收单》。</w:t>
      </w:r>
    </w:p>
    <w:p w14:paraId="70F0B866">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但是，</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向</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支付货款并不表示送入仓库的货物通过最终验收。</w:t>
      </w:r>
    </w:p>
    <w:p w14:paraId="45A82E35">
      <w:pPr>
        <w:keepNext w:val="0"/>
        <w:keepLines w:val="0"/>
        <w:widowControl w:val="0"/>
        <w:suppressLineNumbers w:val="0"/>
        <w:suppressAutoHyphens/>
        <w:autoSpaceDE w:val="0"/>
        <w:autoSpaceDN w:val="0"/>
        <w:bidi w:val="0"/>
        <w:adjustRightInd w:val="0"/>
        <w:snapToGrid w:val="0"/>
        <w:spacing w:before="0" w:beforeLines="0" w:beforeAutospacing="0" w:after="0" w:afterAutospacing="0" w:line="360" w:lineRule="auto"/>
        <w:ind w:left="0" w:right="0" w:firstLine="480" w:firstLineChars="200"/>
        <w:jc w:val="both"/>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GB"/>
        </w:rPr>
        <w:t>.2.2</w:t>
      </w:r>
      <w:r>
        <w:rPr>
          <w:rFonts w:hint="eastAsia" w:ascii="宋体" w:hAnsi="宋体" w:eastAsia="宋体" w:cs="宋体"/>
          <w:color w:val="auto"/>
          <w:kern w:val="2"/>
          <w:sz w:val="24"/>
          <w:szCs w:val="24"/>
          <w:highlight w:val="none"/>
          <w:lang w:val="en-US" w:eastAsia="zh-CN" w:bidi="ar"/>
        </w:rPr>
        <w:t>乙方选择自行完成仓储配送的，</w:t>
      </w:r>
      <w:r>
        <w:rPr>
          <w:rFonts w:hint="eastAsia" w:ascii="宋体" w:hAnsi="宋体" w:eastAsia="宋体" w:cs="宋体"/>
          <w:color w:val="auto"/>
          <w:sz w:val="24"/>
          <w:szCs w:val="24"/>
          <w:highlight w:val="none"/>
          <w:lang w:val="en-GB"/>
        </w:rPr>
        <w:t>该批次货物经安装调试完毕并经最终验收合格后，</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凭如下单证和文件在</w:t>
      </w:r>
      <w:r>
        <w:rPr>
          <w:rFonts w:hint="eastAsia" w:ascii="宋体" w:hAnsi="宋体" w:eastAsia="宋体" w:cs="宋体"/>
          <w:color w:val="auto"/>
          <w:sz w:val="24"/>
          <w:szCs w:val="24"/>
          <w:highlight w:val="none"/>
          <w:lang w:val="en-US" w:eastAsia="zh-CN"/>
        </w:rPr>
        <w:t>180</w:t>
      </w:r>
      <w:r>
        <w:rPr>
          <w:rFonts w:hint="eastAsia" w:ascii="宋体" w:hAnsi="宋体" w:eastAsia="宋体" w:cs="宋体"/>
          <w:color w:val="auto"/>
          <w:sz w:val="24"/>
          <w:szCs w:val="24"/>
          <w:highlight w:val="none"/>
          <w:lang w:val="en-GB"/>
        </w:rPr>
        <w:t>个日历日内</w:t>
      </w:r>
      <w:r>
        <w:rPr>
          <w:rFonts w:hint="eastAsia" w:ascii="宋体" w:hAnsi="宋体" w:eastAsia="宋体" w:cs="宋体"/>
          <w:color w:val="auto"/>
          <w:sz w:val="24"/>
          <w:szCs w:val="24"/>
          <w:highlight w:val="none"/>
          <w:lang w:val="en-GB" w:eastAsia="zh-CN"/>
        </w:rPr>
        <w:t>（</w:t>
      </w:r>
      <w:r>
        <w:rPr>
          <w:rFonts w:hint="eastAsia" w:ascii="宋体" w:hAnsi="宋体" w:eastAsia="宋体" w:cs="宋体"/>
          <w:color w:val="auto"/>
          <w:sz w:val="24"/>
          <w:szCs w:val="24"/>
          <w:highlight w:val="none"/>
          <w:lang w:val="en-GB" w:eastAsia="zh-CN"/>
        </w:rPr>
        <w:t>账期核算时间从该批次货物经安装调试完毕且最终用户签署验收单之日开始</w:t>
      </w:r>
      <w:r>
        <w:rPr>
          <w:rFonts w:hint="eastAsia" w:ascii="宋体" w:hAnsi="宋体" w:eastAsia="宋体" w:cs="宋体"/>
          <w:color w:val="auto"/>
          <w:sz w:val="24"/>
          <w:szCs w:val="24"/>
          <w:highlight w:val="none"/>
          <w:lang w:val="en-GB" w:eastAsia="zh-CN"/>
        </w:rPr>
        <w:t>）</w:t>
      </w:r>
      <w:r>
        <w:rPr>
          <w:rFonts w:hint="eastAsia" w:ascii="宋体" w:hAnsi="宋体" w:eastAsia="宋体" w:cs="宋体"/>
          <w:color w:val="auto"/>
          <w:sz w:val="24"/>
          <w:szCs w:val="24"/>
          <w:highlight w:val="none"/>
          <w:lang w:val="en-GB"/>
        </w:rPr>
        <w:t>向</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一次性付清该批次货款的全款。</w:t>
      </w:r>
    </w:p>
    <w:p w14:paraId="11F99E2F">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a.金额为100%的该批次货款的一般纳税人增值税专用发票；</w:t>
      </w:r>
    </w:p>
    <w:p w14:paraId="4EB1E0FE">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b.</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已缴纳该批货物的</w:t>
      </w:r>
      <w:r>
        <w:rPr>
          <w:rFonts w:hint="eastAsia" w:ascii="宋体" w:hAnsi="宋体" w:eastAsia="宋体" w:cs="宋体"/>
          <w:color w:val="auto"/>
          <w:sz w:val="24"/>
          <w:szCs w:val="24"/>
          <w:highlight w:val="none"/>
          <w:lang w:val="en-GB" w:eastAsia="zh-CN"/>
        </w:rPr>
        <w:t>入围</w:t>
      </w:r>
      <w:r>
        <w:rPr>
          <w:rFonts w:hint="eastAsia" w:ascii="宋体" w:hAnsi="宋体" w:eastAsia="宋体" w:cs="宋体"/>
          <w:color w:val="auto"/>
          <w:sz w:val="24"/>
          <w:szCs w:val="24"/>
          <w:highlight w:val="none"/>
          <w:lang w:val="en-GB"/>
        </w:rPr>
        <w:t>服务费</w:t>
      </w:r>
      <w:r>
        <w:rPr>
          <w:rFonts w:hint="eastAsia" w:ascii="宋体" w:hAnsi="宋体" w:eastAsia="宋体" w:cs="宋体"/>
          <w:color w:val="auto"/>
          <w:sz w:val="24"/>
          <w:szCs w:val="24"/>
          <w:highlight w:val="none"/>
          <w:lang w:val="en-GB" w:eastAsia="zh-CN"/>
        </w:rPr>
        <w:t>和</w:t>
      </w:r>
      <w:r>
        <w:rPr>
          <w:rFonts w:hint="eastAsia" w:ascii="宋体" w:hAnsi="宋体" w:eastAsia="宋体" w:cs="宋体"/>
          <w:color w:val="auto"/>
          <w:sz w:val="24"/>
          <w:szCs w:val="24"/>
          <w:highlight w:val="none"/>
          <w:lang w:val="en-GB"/>
        </w:rPr>
        <w:t>服务履约保证金的证明材料；</w:t>
      </w:r>
    </w:p>
    <w:p w14:paraId="4BF596E4">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c.该批次货物的《验收报告》(经最终用户签署)。</w:t>
      </w:r>
    </w:p>
    <w:p w14:paraId="04D645BC">
      <w:pPr>
        <w:suppressAutoHyphens/>
        <w:autoSpaceDE w:val="0"/>
        <w:autoSpaceDN w:val="0"/>
        <w:bidi w:val="0"/>
        <w:adjustRightInd w:val="0"/>
        <w:snapToGrid w:val="0"/>
        <w:spacing w:beforeLines="0" w:line="360" w:lineRule="auto"/>
        <w:ind w:firstLine="482" w:firstLineChars="200"/>
        <w:jc w:val="left"/>
        <w:outlineLvl w:val="9"/>
        <w:rPr>
          <w:rFonts w:hint="eastAsia" w:ascii="宋体" w:hAnsi="宋体" w:eastAsia="宋体" w:cs="宋体"/>
          <w:b/>
          <w:bCs/>
          <w:color w:val="auto"/>
          <w:sz w:val="24"/>
          <w:szCs w:val="24"/>
          <w:highlight w:val="none"/>
          <w:lang w:val="en-GB"/>
        </w:rPr>
      </w:pPr>
      <w:r>
        <w:rPr>
          <w:rFonts w:hint="eastAsia" w:ascii="宋体" w:hAnsi="宋体" w:cs="宋体"/>
          <w:b/>
          <w:bCs/>
          <w:color w:val="auto"/>
          <w:sz w:val="24"/>
          <w:szCs w:val="24"/>
          <w:highlight w:val="none"/>
          <w:lang w:val="en-US" w:eastAsia="zh-CN"/>
        </w:rPr>
        <w:t>5</w:t>
      </w:r>
      <w:r>
        <w:rPr>
          <w:rFonts w:hint="eastAsia" w:ascii="宋体" w:hAnsi="宋体" w:eastAsia="宋体" w:cs="宋体"/>
          <w:b/>
          <w:bCs/>
          <w:color w:val="auto"/>
          <w:sz w:val="24"/>
          <w:szCs w:val="24"/>
          <w:highlight w:val="none"/>
          <w:lang w:val="en-GB"/>
        </w:rPr>
        <w:t>、质量要求和技术标准</w:t>
      </w:r>
    </w:p>
    <w:p w14:paraId="72CC56A7">
      <w:pPr>
        <w:suppressAutoHyphens/>
        <w:autoSpaceDE w:val="0"/>
        <w:autoSpaceDN w:val="0"/>
        <w:bidi w:val="0"/>
        <w:adjustRightInd w:val="0"/>
        <w:snapToGrid w:val="0"/>
        <w:spacing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GB"/>
        </w:rPr>
        <w:t>.1卖方保证提供的所有产品的技术参数指标与合同附件</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GB"/>
        </w:rPr>
        <w:t xml:space="preserve">（技术参数）中对应产品的技术参数指标相一致。 </w:t>
      </w:r>
    </w:p>
    <w:p w14:paraId="7F6BAC57">
      <w:pPr>
        <w:suppressAutoHyphens/>
        <w:autoSpaceDE w:val="0"/>
        <w:autoSpaceDN w:val="0"/>
        <w:bidi w:val="0"/>
        <w:adjustRightInd w:val="0"/>
        <w:snapToGrid w:val="0"/>
        <w:spacing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GB"/>
        </w:rPr>
        <w:t xml:space="preserve">.2卖方保证提供的所有产品（包括所有配件、备件等）均是符合国家标准的、全新的、原厂制造并经检验合格的、未使用过的、正宗品牌产品，否则买方有权退货 </w:t>
      </w:r>
    </w:p>
    <w:p w14:paraId="0B77B833">
      <w:pPr>
        <w:suppressAutoHyphens/>
        <w:autoSpaceDE w:val="0"/>
        <w:autoSpaceDN w:val="0"/>
        <w:bidi w:val="0"/>
        <w:adjustRightInd w:val="0"/>
        <w:snapToGrid w:val="0"/>
        <w:spacing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GB"/>
        </w:rPr>
        <w:t xml:space="preserve">.3卖方承诺不拆换、不调换、不截留产品零部件；不以少充多、不以旧充新，不以劣充优，不以假充真；不提供降低产品等级标准的产品。否则买方有权退货。 </w:t>
      </w:r>
    </w:p>
    <w:p w14:paraId="68C13DC6">
      <w:pPr>
        <w:suppressAutoHyphens/>
        <w:autoSpaceDE w:val="0"/>
        <w:autoSpaceDN w:val="0"/>
        <w:bidi w:val="0"/>
        <w:adjustRightInd w:val="0"/>
        <w:snapToGrid w:val="0"/>
        <w:spacing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GB"/>
        </w:rPr>
        <w:t xml:space="preserve">.4包装要求：卖方保证提供的所有报价产品均是厂家出厂的原包装；且必须采用相应标准及保护措施进行包装，这种包装应适应于相应的运输方式，并有良好的防潮、防震、防锈和防野蛮装卸等保护措施，以便保证货物安全运抵现场。货物在运输途中所发生锈、损坏和丢失的损失由卖方承担责任和费用。每件包装应附有详细装箱清单和质量合格证书。最终用户对包装破损的货物有权拒收，卖方承诺予以更换。 </w:t>
      </w:r>
    </w:p>
    <w:p w14:paraId="616DE8CC">
      <w:pPr>
        <w:suppressAutoHyphens/>
        <w:autoSpaceDE w:val="0"/>
        <w:autoSpaceDN w:val="0"/>
        <w:bidi w:val="0"/>
        <w:adjustRightInd w:val="0"/>
        <w:snapToGrid w:val="0"/>
        <w:spacing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GB"/>
        </w:rPr>
        <w:t xml:space="preserve">.5卖方保证厂家出厂随机所安装的相关软件为正版软件。 </w:t>
      </w:r>
    </w:p>
    <w:p w14:paraId="5699FE5A">
      <w:pPr>
        <w:suppressAutoHyphens/>
        <w:autoSpaceDE w:val="0"/>
        <w:autoSpaceDN w:val="0"/>
        <w:bidi w:val="0"/>
        <w:adjustRightInd w:val="0"/>
        <w:snapToGrid w:val="0"/>
        <w:spacing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GB"/>
        </w:rPr>
        <w:t xml:space="preserve">.6卖方保证提供的产品的技术性能、综合质量的稳定性和可靠性；保证提供的产品符合国家质量、技术、环保、安全、节能、保密等相关法律、法规和政策要求及商检标准和电工标准。 </w:t>
      </w:r>
    </w:p>
    <w:p w14:paraId="69A267F7">
      <w:pPr>
        <w:suppressAutoHyphens/>
        <w:autoSpaceDE w:val="0"/>
        <w:autoSpaceDN w:val="0"/>
        <w:bidi w:val="0"/>
        <w:adjustRightInd w:val="0"/>
        <w:snapToGrid w:val="0"/>
        <w:spacing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GB"/>
        </w:rPr>
        <w:t>.7卖方承诺提供货物制造厂商的合格证书。</w:t>
      </w:r>
    </w:p>
    <w:p w14:paraId="3614E717">
      <w:pPr>
        <w:suppressAutoHyphens/>
        <w:autoSpaceDE w:val="0"/>
        <w:autoSpaceDN w:val="0"/>
        <w:bidi w:val="0"/>
        <w:adjustRightInd w:val="0"/>
        <w:snapToGrid w:val="0"/>
        <w:spacing w:before="0" w:beforeLines="0" w:line="360" w:lineRule="auto"/>
        <w:ind w:firstLine="482" w:firstLineChars="200"/>
        <w:jc w:val="left"/>
        <w:rPr>
          <w:rFonts w:hint="eastAsia" w:ascii="宋体" w:hAnsi="宋体" w:eastAsia="宋体" w:cs="宋体"/>
          <w:b/>
          <w:bCs/>
          <w:color w:val="auto"/>
          <w:sz w:val="24"/>
          <w:szCs w:val="24"/>
          <w:highlight w:val="none"/>
          <w:lang w:val="en-GB"/>
        </w:rPr>
      </w:pPr>
      <w:r>
        <w:rPr>
          <w:rFonts w:hint="eastAsia" w:ascii="宋体" w:hAnsi="宋体" w:cs="宋体"/>
          <w:b/>
          <w:bCs/>
          <w:color w:val="auto"/>
          <w:sz w:val="24"/>
          <w:szCs w:val="24"/>
          <w:highlight w:val="none"/>
          <w:lang w:val="en-US" w:eastAsia="zh-CN"/>
        </w:rPr>
        <w:t>6</w:t>
      </w:r>
      <w:r>
        <w:rPr>
          <w:rFonts w:hint="eastAsia" w:ascii="宋体" w:hAnsi="宋体" w:eastAsia="宋体" w:cs="宋体"/>
          <w:b/>
          <w:bCs/>
          <w:color w:val="auto"/>
          <w:sz w:val="24"/>
          <w:szCs w:val="24"/>
          <w:highlight w:val="none"/>
          <w:lang w:val="en-GB"/>
        </w:rPr>
        <w:t>、安装要求</w:t>
      </w:r>
    </w:p>
    <w:p w14:paraId="06174A2D">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GB"/>
        </w:rPr>
        <w:t>.1</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负责货物（设备）的安装，</w:t>
      </w:r>
      <w:r>
        <w:rPr>
          <w:rFonts w:hint="eastAsia" w:ascii="宋体" w:hAnsi="宋体" w:eastAsia="宋体" w:cs="宋体"/>
          <w:color w:val="auto"/>
          <w:sz w:val="24"/>
          <w:szCs w:val="24"/>
          <w:highlight w:val="none"/>
          <w:lang w:val="en-GB" w:eastAsia="zh-CN"/>
        </w:rPr>
        <w:t>乙方应在货物到最终用户之日起8个工作小时内联系最终用户确认上门安装时间；</w:t>
      </w:r>
      <w:r>
        <w:rPr>
          <w:rFonts w:hint="eastAsia" w:ascii="宋体" w:hAnsi="宋体" w:eastAsia="宋体" w:cs="宋体"/>
          <w:color w:val="auto"/>
          <w:sz w:val="24"/>
          <w:szCs w:val="24"/>
          <w:highlight w:val="none"/>
          <w:lang w:val="en-GB"/>
        </w:rPr>
        <w:t>在接到</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或最终用户的安装要求后4个小时内安排安装服务人员到达指定地点进行安装调试，安装调试完成后三日内将最终用户确认的最终验收合格交付单及时反馈给</w:t>
      </w:r>
      <w:r>
        <w:rPr>
          <w:rFonts w:hint="eastAsia" w:ascii="宋体" w:hAnsi="宋体" w:eastAsia="宋体" w:cs="宋体"/>
          <w:color w:val="auto"/>
          <w:sz w:val="24"/>
          <w:szCs w:val="24"/>
          <w:highlight w:val="none"/>
          <w:lang w:val="en-GB" w:eastAsia="zh-CN"/>
        </w:rPr>
        <w:t>甲方，安装标准详见</w:t>
      </w:r>
      <w:r>
        <w:rPr>
          <w:rFonts w:hint="eastAsia" w:ascii="宋体" w:hAnsi="宋体" w:eastAsia="宋体" w:cs="宋体"/>
          <w:b w:val="0"/>
          <w:bCs w:val="0"/>
          <w:color w:val="auto"/>
          <w:sz w:val="24"/>
          <w:szCs w:val="24"/>
          <w:highlight w:val="none"/>
          <w:lang w:val="en-GB"/>
        </w:rPr>
        <w:t>附件</w:t>
      </w: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GB"/>
        </w:rPr>
        <w:t>《</w:t>
      </w:r>
      <w:r>
        <w:rPr>
          <w:rFonts w:hint="eastAsia" w:ascii="宋体" w:hAnsi="宋体" w:eastAsia="宋体" w:cs="宋体"/>
          <w:b w:val="0"/>
          <w:bCs w:val="0"/>
          <w:color w:val="auto"/>
          <w:sz w:val="24"/>
          <w:szCs w:val="24"/>
          <w:highlight w:val="none"/>
        </w:rPr>
        <w:t>安装标准》</w:t>
      </w:r>
      <w:r>
        <w:rPr>
          <w:rFonts w:hint="eastAsia" w:ascii="宋体" w:hAnsi="宋体" w:eastAsia="宋体" w:cs="宋体"/>
          <w:b w:val="0"/>
          <w:bCs w:val="0"/>
          <w:color w:val="auto"/>
          <w:sz w:val="24"/>
          <w:szCs w:val="24"/>
          <w:highlight w:val="none"/>
          <w:lang w:eastAsia="zh-CN"/>
        </w:rPr>
        <w:t>。</w:t>
      </w:r>
    </w:p>
    <w:p w14:paraId="57761808">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GB"/>
        </w:rPr>
        <w:t>.2安装前应做到：</w:t>
      </w:r>
    </w:p>
    <w:p w14:paraId="4816981B">
      <w:pPr>
        <w:suppressAutoHyphens/>
        <w:autoSpaceDE/>
        <w:autoSpaceDN/>
        <w:bidi w:val="0"/>
        <w:adjustRightInd/>
        <w:snapToGrid/>
        <w:spacing w:before="0" w:beforeLines="0" w:line="360" w:lineRule="auto"/>
        <w:ind w:firstLine="480" w:firstLineChars="0"/>
        <w:jc w:val="left"/>
        <w:outlineLvl w:val="9"/>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6</w:t>
      </w:r>
      <w:r>
        <w:rPr>
          <w:rFonts w:hint="default" w:ascii="宋体" w:hAnsi="宋体" w:eastAsia="宋体" w:cs="宋体"/>
          <w:color w:val="auto"/>
          <w:sz w:val="24"/>
          <w:szCs w:val="24"/>
          <w:highlight w:val="none"/>
        </w:rPr>
        <w:t>.2.1</w:t>
      </w:r>
      <w:r>
        <w:rPr>
          <w:rFonts w:hint="eastAsia" w:ascii="宋体" w:hAnsi="宋体" w:eastAsia="宋体" w:cs="宋体"/>
          <w:color w:val="auto"/>
          <w:sz w:val="24"/>
          <w:szCs w:val="24"/>
          <w:highlight w:val="none"/>
          <w:lang w:val="en-GB"/>
        </w:rPr>
        <w:t>在安装前</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应确认安装环境，教室若有旧投影机或旧触控一体机</w:t>
      </w:r>
      <w:r>
        <w:rPr>
          <w:rFonts w:hint="default" w:ascii="宋体" w:hAnsi="宋体" w:cs="宋体"/>
          <w:color w:val="auto"/>
          <w:sz w:val="24"/>
          <w:szCs w:val="24"/>
          <w:highlight w:val="none"/>
        </w:rPr>
        <w:t>或旧智慧黑板</w:t>
      </w:r>
      <w:r>
        <w:rPr>
          <w:rFonts w:hint="eastAsia" w:ascii="宋体" w:hAnsi="宋体" w:eastAsia="宋体" w:cs="宋体"/>
          <w:color w:val="auto"/>
          <w:sz w:val="24"/>
          <w:szCs w:val="24"/>
          <w:highlight w:val="none"/>
          <w:lang w:val="en-GB"/>
        </w:rPr>
        <w:t>以及配套的旧投影幕布、旧黑板、旧讲台、旧音响设备、旧功放设备、旧电脑主机及显示器、旧话筒及话筒主机设备、旧中控设备、旧实物展台等设备，经最终</w:t>
      </w:r>
      <w:r>
        <w:rPr>
          <w:rFonts w:hint="eastAsia" w:ascii="宋体" w:hAnsi="宋体" w:eastAsia="宋体" w:cs="宋体"/>
          <w:color w:val="auto"/>
          <w:sz w:val="24"/>
          <w:szCs w:val="24"/>
          <w:highlight w:val="none"/>
          <w:lang w:val="en-GB" w:eastAsia="zh-CN"/>
        </w:rPr>
        <w:t>用户</w:t>
      </w:r>
      <w:r>
        <w:rPr>
          <w:rFonts w:hint="eastAsia" w:ascii="宋体" w:hAnsi="宋体" w:eastAsia="宋体" w:cs="宋体"/>
          <w:color w:val="auto"/>
          <w:sz w:val="24"/>
          <w:szCs w:val="24"/>
          <w:highlight w:val="none"/>
          <w:lang w:val="en-GB"/>
        </w:rPr>
        <w:t>确认需要拆除，</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需免费协助最终</w:t>
      </w:r>
      <w:r>
        <w:rPr>
          <w:rFonts w:hint="eastAsia" w:ascii="宋体" w:hAnsi="宋体" w:eastAsia="宋体" w:cs="宋体"/>
          <w:color w:val="auto"/>
          <w:sz w:val="24"/>
          <w:szCs w:val="24"/>
          <w:highlight w:val="none"/>
          <w:lang w:val="en-GB" w:eastAsia="zh-CN"/>
        </w:rPr>
        <w:t>用户</w:t>
      </w:r>
      <w:r>
        <w:rPr>
          <w:rFonts w:hint="eastAsia" w:ascii="宋体" w:hAnsi="宋体" w:eastAsia="宋体" w:cs="宋体"/>
          <w:color w:val="auto"/>
          <w:sz w:val="24"/>
          <w:szCs w:val="24"/>
          <w:highlight w:val="none"/>
          <w:lang w:val="en-GB"/>
        </w:rPr>
        <w:t>拆除并运输至最终</w:t>
      </w:r>
      <w:r>
        <w:rPr>
          <w:rFonts w:hint="eastAsia" w:ascii="宋体" w:hAnsi="宋体" w:eastAsia="宋体" w:cs="宋体"/>
          <w:color w:val="auto"/>
          <w:sz w:val="24"/>
          <w:szCs w:val="24"/>
          <w:highlight w:val="none"/>
          <w:lang w:val="en-GB" w:eastAsia="zh-CN"/>
        </w:rPr>
        <w:t>用户</w:t>
      </w:r>
      <w:r>
        <w:rPr>
          <w:rFonts w:hint="eastAsia" w:ascii="宋体" w:hAnsi="宋体" w:eastAsia="宋体" w:cs="宋体"/>
          <w:color w:val="auto"/>
          <w:sz w:val="24"/>
          <w:szCs w:val="24"/>
          <w:highlight w:val="none"/>
          <w:lang w:val="en-GB"/>
        </w:rPr>
        <w:t>指定的位置。拆除的旧设备最终</w:t>
      </w:r>
      <w:r>
        <w:rPr>
          <w:rFonts w:hint="eastAsia" w:ascii="宋体" w:hAnsi="宋体" w:eastAsia="宋体" w:cs="宋体"/>
          <w:color w:val="auto"/>
          <w:sz w:val="24"/>
          <w:szCs w:val="24"/>
          <w:highlight w:val="none"/>
          <w:lang w:val="en-GB" w:eastAsia="zh-CN"/>
        </w:rPr>
        <w:t>用户</w:t>
      </w:r>
      <w:r>
        <w:rPr>
          <w:rFonts w:hint="eastAsia" w:ascii="宋体" w:hAnsi="宋体" w:eastAsia="宋体" w:cs="宋体"/>
          <w:color w:val="auto"/>
          <w:sz w:val="24"/>
          <w:szCs w:val="24"/>
          <w:highlight w:val="none"/>
          <w:lang w:val="en-GB"/>
        </w:rPr>
        <w:t>需要利旧并在新的位置安装，</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需免费协助最终</w:t>
      </w:r>
      <w:r>
        <w:rPr>
          <w:rFonts w:hint="eastAsia" w:ascii="宋体" w:hAnsi="宋体" w:eastAsia="宋体" w:cs="宋体"/>
          <w:color w:val="auto"/>
          <w:sz w:val="24"/>
          <w:szCs w:val="24"/>
          <w:highlight w:val="none"/>
          <w:lang w:val="en-GB" w:eastAsia="zh-CN"/>
        </w:rPr>
        <w:t>用户</w:t>
      </w:r>
      <w:r>
        <w:rPr>
          <w:rFonts w:hint="eastAsia" w:ascii="宋体" w:hAnsi="宋体" w:eastAsia="宋体" w:cs="宋体"/>
          <w:color w:val="auto"/>
          <w:sz w:val="24"/>
          <w:szCs w:val="24"/>
          <w:highlight w:val="none"/>
          <w:lang w:val="en-GB"/>
        </w:rPr>
        <w:t>在新的位置安装需要利旧的设备，并提供安装所需的所有辅材。</w:t>
      </w:r>
    </w:p>
    <w:p w14:paraId="119A97BD">
      <w:pPr>
        <w:suppressAutoHyphens/>
        <w:autoSpaceDE/>
        <w:autoSpaceDN/>
        <w:bidi w:val="0"/>
        <w:adjustRightInd/>
        <w:snapToGrid/>
        <w:spacing w:before="0" w:beforeLines="0" w:line="360" w:lineRule="auto"/>
        <w:ind w:firstLine="480" w:firstLineChars="0"/>
        <w:jc w:val="left"/>
        <w:outlineLvl w:val="9"/>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GB" w:eastAsia="zh-CN"/>
        </w:rPr>
        <w:t>.2.2安装前需携带动态二维码标签（一物一码）、《厦门市政府采购验收报告》。  标签制作规范：使用热敏式打印机、PP合成纸，尺寸不小于：60mm*40mm；并确保二维码清晰可读，信息完善有效。</w:t>
      </w:r>
    </w:p>
    <w:p w14:paraId="4C2FD376">
      <w:pPr>
        <w:suppressAutoHyphens/>
        <w:autoSpaceDE/>
        <w:autoSpaceDN/>
        <w:bidi w:val="0"/>
        <w:adjustRightInd/>
        <w:snapToGrid/>
        <w:spacing w:before="0" w:beforeLines="0" w:line="360" w:lineRule="auto"/>
        <w:ind w:firstLine="480" w:firstLineChars="0"/>
        <w:jc w:val="left"/>
        <w:outlineLvl w:val="9"/>
        <w:rPr>
          <w:rFonts w:hint="eastAsia" w:ascii="宋体" w:hAnsi="宋体" w:eastAsia="宋体" w:cs="宋体"/>
          <w:color w:val="auto"/>
          <w:sz w:val="24"/>
          <w:szCs w:val="24"/>
          <w:highlight w:val="none"/>
          <w:lang w:val="en-GB" w:eastAsia="zh-CN"/>
        </w:rPr>
      </w:pPr>
      <w:r>
        <w:rPr>
          <w:rFonts w:hint="eastAsia" w:ascii="宋体" w:hAnsi="宋体" w:cs="宋体"/>
          <w:color w:val="auto"/>
          <w:sz w:val="24"/>
          <w:szCs w:val="24"/>
          <w:highlight w:val="none"/>
          <w:lang w:val="en-US" w:eastAsia="zh-CN"/>
        </w:rPr>
        <w:t>6</w:t>
      </w:r>
      <w:r>
        <w:rPr>
          <w:rFonts w:hint="default" w:ascii="宋体" w:hAnsi="宋体" w:eastAsia="宋体" w:cs="宋体"/>
          <w:color w:val="auto"/>
          <w:sz w:val="24"/>
          <w:szCs w:val="24"/>
          <w:highlight w:val="none"/>
          <w:lang w:eastAsia="zh-CN"/>
        </w:rPr>
        <w:t>.2.3</w:t>
      </w:r>
      <w:r>
        <w:rPr>
          <w:rFonts w:hint="eastAsia" w:ascii="宋体" w:hAnsi="宋体" w:eastAsia="宋体" w:cs="宋体"/>
          <w:color w:val="auto"/>
          <w:sz w:val="24"/>
          <w:szCs w:val="24"/>
          <w:highlight w:val="none"/>
          <w:lang w:val="en-GB"/>
        </w:rPr>
        <w:t>安装前应与最终用户核对机器型号和台数，确认无误后再安装</w:t>
      </w:r>
      <w:r>
        <w:rPr>
          <w:rFonts w:hint="eastAsia" w:ascii="宋体" w:hAnsi="宋体" w:eastAsia="宋体" w:cs="宋体"/>
          <w:color w:val="auto"/>
          <w:sz w:val="24"/>
          <w:szCs w:val="24"/>
          <w:highlight w:val="none"/>
          <w:lang w:val="en-GB" w:eastAsia="zh-CN"/>
        </w:rPr>
        <w:t>。</w:t>
      </w:r>
    </w:p>
    <w:p w14:paraId="712A64B0">
      <w:pPr>
        <w:suppressAutoHyphens/>
        <w:autoSpaceDE/>
        <w:autoSpaceDN/>
        <w:bidi w:val="0"/>
        <w:adjustRightInd/>
        <w:snapToGrid/>
        <w:spacing w:before="0" w:beforeLines="0" w:line="360" w:lineRule="auto"/>
        <w:ind w:firstLine="480" w:firstLineChars="0"/>
        <w:jc w:val="left"/>
        <w:outlineLvl w:val="9"/>
        <w:rPr>
          <w:rFonts w:hint="eastAsia" w:ascii="宋体" w:hAnsi="宋体" w:eastAsia="宋体" w:cs="宋体"/>
          <w:color w:val="auto"/>
          <w:sz w:val="24"/>
          <w:szCs w:val="24"/>
          <w:highlight w:val="none"/>
          <w:lang w:val="en-GB" w:eastAsia="zh-CN"/>
        </w:rPr>
      </w:pPr>
      <w:r>
        <w:rPr>
          <w:rFonts w:hint="eastAsia" w:ascii="宋体" w:hAnsi="宋体" w:cs="宋体"/>
          <w:color w:val="auto"/>
          <w:sz w:val="24"/>
          <w:szCs w:val="24"/>
          <w:highlight w:val="none"/>
          <w:lang w:val="en-US" w:eastAsia="zh-CN"/>
        </w:rPr>
        <w:t>6</w:t>
      </w:r>
      <w:r>
        <w:rPr>
          <w:rFonts w:hint="default" w:ascii="宋体" w:hAnsi="宋体" w:eastAsia="宋体" w:cs="宋体"/>
          <w:color w:val="auto"/>
          <w:sz w:val="24"/>
          <w:szCs w:val="24"/>
          <w:highlight w:val="none"/>
          <w:lang w:eastAsia="zh-CN"/>
        </w:rPr>
        <w:t>.2.4</w:t>
      </w:r>
      <w:r>
        <w:rPr>
          <w:rFonts w:hint="eastAsia" w:ascii="宋体" w:hAnsi="宋体" w:eastAsia="宋体" w:cs="宋体"/>
          <w:color w:val="auto"/>
          <w:sz w:val="24"/>
          <w:szCs w:val="24"/>
          <w:highlight w:val="none"/>
          <w:lang w:val="en-GB"/>
        </w:rPr>
        <w:t>上门服务人员应着售后服务供应商工作牌</w:t>
      </w:r>
      <w:r>
        <w:rPr>
          <w:rFonts w:hint="eastAsia" w:ascii="宋体" w:hAnsi="宋体" w:eastAsia="宋体" w:cs="宋体"/>
          <w:color w:val="auto"/>
          <w:sz w:val="24"/>
          <w:szCs w:val="24"/>
          <w:highlight w:val="none"/>
          <w:lang w:val="en-GB" w:eastAsia="zh-CN"/>
        </w:rPr>
        <w:t>。</w:t>
      </w:r>
    </w:p>
    <w:p w14:paraId="2B7A5BE9">
      <w:pPr>
        <w:suppressAutoHyphens/>
        <w:autoSpaceDE/>
        <w:autoSpaceDN/>
        <w:bidi w:val="0"/>
        <w:adjustRightInd/>
        <w:snapToGrid/>
        <w:spacing w:before="0" w:beforeLines="0" w:line="360" w:lineRule="auto"/>
        <w:ind w:firstLine="480" w:firstLineChars="0"/>
        <w:jc w:val="left"/>
        <w:outlineLvl w:val="9"/>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6</w:t>
      </w:r>
      <w:r>
        <w:rPr>
          <w:rFonts w:hint="default" w:ascii="宋体" w:hAnsi="宋体" w:eastAsia="宋体" w:cs="宋体"/>
          <w:color w:val="auto"/>
          <w:sz w:val="24"/>
          <w:szCs w:val="24"/>
          <w:highlight w:val="none"/>
          <w:lang w:eastAsia="zh-CN"/>
        </w:rPr>
        <w:t>.2.5</w:t>
      </w:r>
      <w:r>
        <w:rPr>
          <w:rFonts w:hint="eastAsia" w:ascii="宋体" w:hAnsi="宋体" w:eastAsia="宋体" w:cs="宋体"/>
          <w:color w:val="auto"/>
          <w:sz w:val="24"/>
          <w:szCs w:val="24"/>
          <w:highlight w:val="none"/>
          <w:lang w:val="en-GB"/>
        </w:rPr>
        <w:t>安装前应检查最终用户的电源电压是否安全稳定，如有问题，应及时告知最终用户，协商整改。</w:t>
      </w:r>
    </w:p>
    <w:p w14:paraId="68F1820E">
      <w:pPr>
        <w:suppressAutoHyphens/>
        <w:autoSpaceDE/>
        <w:autoSpaceDN/>
        <w:bidi w:val="0"/>
        <w:adjustRightInd/>
        <w:snapToGrid/>
        <w:spacing w:before="0" w:beforeLines="0" w:line="360" w:lineRule="auto"/>
        <w:ind w:firstLine="480" w:firstLineChars="0"/>
        <w:jc w:val="left"/>
        <w:outlineLvl w:val="9"/>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6</w:t>
      </w:r>
      <w:r>
        <w:rPr>
          <w:rFonts w:hint="default" w:ascii="宋体" w:hAnsi="宋体" w:eastAsia="宋体" w:cs="宋体"/>
          <w:color w:val="auto"/>
          <w:sz w:val="24"/>
          <w:szCs w:val="24"/>
          <w:highlight w:val="none"/>
          <w:lang w:eastAsia="zh-CN"/>
        </w:rPr>
        <w:t>.2.6</w:t>
      </w:r>
      <w:r>
        <w:rPr>
          <w:rFonts w:hint="eastAsia" w:ascii="宋体" w:hAnsi="宋体" w:eastAsia="宋体" w:cs="宋体"/>
          <w:color w:val="auto"/>
          <w:sz w:val="24"/>
          <w:szCs w:val="24"/>
          <w:highlight w:val="none"/>
          <w:lang w:val="en-GB"/>
        </w:rPr>
        <w:t>在安装前，所有需要取孔或者需要调整楼房结构的工程，要求在得到最终用户纸质确认书后才可以动工。</w:t>
      </w:r>
    </w:p>
    <w:p w14:paraId="7D9AA8E9">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GB"/>
        </w:rPr>
        <w:t>.3安装过程中应做到：</w:t>
      </w:r>
    </w:p>
    <w:p w14:paraId="1949082C">
      <w:pPr>
        <w:suppressAutoHyphens/>
        <w:autoSpaceDE/>
        <w:autoSpaceDN/>
        <w:bidi w:val="0"/>
        <w:adjustRightInd/>
        <w:snapToGrid/>
        <w:spacing w:before="0" w:beforeLines="0" w:line="360" w:lineRule="auto"/>
        <w:ind w:firstLine="480" w:firstLineChars="0"/>
        <w:jc w:val="left"/>
        <w:outlineLvl w:val="9"/>
        <w:rPr>
          <w:rFonts w:hint="eastAsia" w:ascii="宋体" w:hAnsi="宋体" w:eastAsia="宋体" w:cs="宋体"/>
          <w:color w:val="auto"/>
          <w:sz w:val="24"/>
          <w:szCs w:val="24"/>
          <w:highlight w:val="none"/>
          <w:lang w:val="en-GB" w:eastAsia="zh-CN"/>
        </w:rPr>
      </w:pPr>
      <w:r>
        <w:rPr>
          <w:rFonts w:hint="eastAsia" w:ascii="宋体" w:hAnsi="宋体" w:eastAsia="宋体" w:cs="宋体"/>
          <w:color w:val="auto"/>
          <w:sz w:val="24"/>
          <w:szCs w:val="24"/>
          <w:highlight w:val="none"/>
          <w:lang w:val="en-US" w:eastAsia="zh-CN"/>
        </w:rPr>
        <w:t>6</w:t>
      </w:r>
      <w:r>
        <w:rPr>
          <w:rFonts w:hint="default" w:ascii="宋体" w:hAnsi="宋体" w:eastAsia="宋体" w:cs="宋体"/>
          <w:color w:val="auto"/>
          <w:sz w:val="24"/>
          <w:szCs w:val="24"/>
          <w:highlight w:val="none"/>
          <w:lang w:eastAsia="zh-CN"/>
        </w:rPr>
        <w:t>.3.1</w:t>
      </w:r>
      <w:r>
        <w:rPr>
          <w:rFonts w:hint="eastAsia" w:ascii="宋体" w:hAnsi="宋体" w:eastAsia="宋体" w:cs="宋体"/>
          <w:color w:val="auto"/>
          <w:sz w:val="24"/>
          <w:szCs w:val="24"/>
          <w:highlight w:val="none"/>
          <w:lang w:val="en-US" w:eastAsia="zh-CN"/>
        </w:rPr>
        <w:t>到达指定安装地点后，登录小程序“</w:t>
      </w:r>
      <w:r>
        <w:rPr>
          <w:rFonts w:hint="eastAsia" w:ascii="宋体" w:hAnsi="宋体" w:cs="宋体"/>
          <w:color w:val="auto"/>
          <w:sz w:val="24"/>
          <w:szCs w:val="24"/>
          <w:highlight w:val="none"/>
          <w:lang w:val="en-US" w:eastAsia="zh-CN"/>
        </w:rPr>
        <w:t>大宗售后保障运维平台</w:t>
      </w:r>
      <w:r>
        <w:rPr>
          <w:rFonts w:hint="eastAsia" w:ascii="宋体" w:hAnsi="宋体" w:eastAsia="宋体" w:cs="宋体"/>
          <w:color w:val="auto"/>
          <w:sz w:val="24"/>
          <w:szCs w:val="24"/>
          <w:highlight w:val="none"/>
          <w:lang w:val="en-US" w:eastAsia="zh-CN"/>
        </w:rPr>
        <w:t>”，确认上门；</w:t>
      </w:r>
    </w:p>
    <w:p w14:paraId="5D9AF42B">
      <w:pPr>
        <w:suppressAutoHyphens/>
        <w:autoSpaceDE/>
        <w:autoSpaceDN/>
        <w:bidi w:val="0"/>
        <w:adjustRightInd/>
        <w:snapToGrid/>
        <w:spacing w:before="0" w:beforeLines="0" w:line="360" w:lineRule="auto"/>
        <w:ind w:firstLine="480" w:firstLineChars="0"/>
        <w:jc w:val="left"/>
        <w:outlineLvl w:val="9"/>
        <w:rPr>
          <w:rFonts w:hint="eastAsia" w:ascii="宋体" w:hAnsi="宋体" w:eastAsia="宋体" w:cs="宋体"/>
          <w:color w:val="auto"/>
          <w:sz w:val="24"/>
          <w:szCs w:val="24"/>
          <w:highlight w:val="none"/>
          <w:lang w:val="en-GB" w:eastAsia="zh-CN"/>
        </w:rPr>
      </w:pPr>
      <w:r>
        <w:rPr>
          <w:rFonts w:hint="eastAsia" w:ascii="宋体" w:hAnsi="宋体" w:eastAsia="宋体" w:cs="宋体"/>
          <w:color w:val="auto"/>
          <w:sz w:val="24"/>
          <w:szCs w:val="24"/>
          <w:highlight w:val="none"/>
          <w:lang w:val="en-US" w:eastAsia="zh-CN"/>
        </w:rPr>
        <w:t>6</w:t>
      </w:r>
      <w:r>
        <w:rPr>
          <w:rFonts w:hint="default" w:ascii="宋体" w:hAnsi="宋体" w:eastAsia="宋体" w:cs="宋体"/>
          <w:color w:val="auto"/>
          <w:sz w:val="24"/>
          <w:szCs w:val="24"/>
          <w:highlight w:val="none"/>
          <w:lang w:eastAsia="zh-CN"/>
        </w:rPr>
        <w:t>.3.2</w:t>
      </w:r>
      <w:r>
        <w:rPr>
          <w:rFonts w:hint="eastAsia" w:ascii="宋体" w:hAnsi="宋体" w:eastAsia="宋体" w:cs="宋体"/>
          <w:color w:val="auto"/>
          <w:sz w:val="24"/>
          <w:szCs w:val="24"/>
          <w:highlight w:val="none"/>
          <w:lang w:val="en-GB" w:eastAsia="zh-CN"/>
        </w:rPr>
        <w:t xml:space="preserve">开箱验机，检查设备外观完好； </w:t>
      </w:r>
    </w:p>
    <w:p w14:paraId="3F5299BB">
      <w:pPr>
        <w:suppressAutoHyphens/>
        <w:autoSpaceDE/>
        <w:autoSpaceDN/>
        <w:bidi w:val="0"/>
        <w:adjustRightInd/>
        <w:snapToGrid/>
        <w:spacing w:before="0" w:beforeLines="0" w:line="360" w:lineRule="auto"/>
        <w:ind w:firstLine="480" w:firstLineChars="0"/>
        <w:jc w:val="left"/>
        <w:outlineLvl w:val="9"/>
        <w:rPr>
          <w:rFonts w:hint="eastAsia" w:ascii="宋体" w:hAnsi="宋体" w:eastAsia="宋体" w:cs="宋体"/>
          <w:color w:val="auto"/>
          <w:sz w:val="24"/>
          <w:szCs w:val="24"/>
          <w:highlight w:val="none"/>
          <w:lang w:val="en-GB" w:eastAsia="zh-CN"/>
        </w:rPr>
      </w:pPr>
      <w:r>
        <w:rPr>
          <w:rFonts w:hint="eastAsia" w:ascii="宋体" w:hAnsi="宋体" w:eastAsia="宋体" w:cs="宋体"/>
          <w:color w:val="auto"/>
          <w:sz w:val="24"/>
          <w:szCs w:val="24"/>
          <w:highlight w:val="none"/>
          <w:lang w:val="en-US" w:eastAsia="zh-CN"/>
        </w:rPr>
        <w:t>6</w:t>
      </w:r>
      <w:r>
        <w:rPr>
          <w:rFonts w:hint="default" w:ascii="宋体" w:hAnsi="宋体" w:eastAsia="宋体" w:cs="宋体"/>
          <w:color w:val="auto"/>
          <w:sz w:val="24"/>
          <w:szCs w:val="24"/>
          <w:highlight w:val="none"/>
          <w:lang w:eastAsia="zh-CN"/>
        </w:rPr>
        <w:t>.3.3</w:t>
      </w:r>
      <w:r>
        <w:rPr>
          <w:rFonts w:hint="eastAsia" w:ascii="宋体" w:hAnsi="宋体" w:eastAsia="宋体" w:cs="宋体"/>
          <w:color w:val="auto"/>
          <w:sz w:val="24"/>
          <w:szCs w:val="24"/>
          <w:highlight w:val="none"/>
          <w:lang w:val="en-GB" w:eastAsia="zh-CN"/>
        </w:rPr>
        <w:t xml:space="preserve"> 检查每台机器的服务编号；</w:t>
      </w:r>
    </w:p>
    <w:p w14:paraId="3C4205B3">
      <w:pPr>
        <w:suppressAutoHyphens/>
        <w:autoSpaceDE/>
        <w:autoSpaceDN/>
        <w:bidi w:val="0"/>
        <w:adjustRightInd/>
        <w:snapToGrid/>
        <w:spacing w:before="0" w:beforeLines="0" w:line="360" w:lineRule="auto"/>
        <w:ind w:firstLine="480" w:firstLineChars="0"/>
        <w:jc w:val="left"/>
        <w:outlineLvl w:val="9"/>
        <w:rPr>
          <w:rFonts w:hint="eastAsia" w:ascii="宋体" w:hAnsi="宋体" w:eastAsia="宋体" w:cs="宋体"/>
          <w:color w:val="auto"/>
          <w:sz w:val="24"/>
          <w:szCs w:val="24"/>
          <w:highlight w:val="none"/>
          <w:lang w:val="en-GB" w:eastAsia="zh-CN"/>
        </w:rPr>
      </w:pPr>
      <w:r>
        <w:rPr>
          <w:rFonts w:hint="eastAsia" w:ascii="宋体" w:hAnsi="宋体" w:eastAsia="宋体" w:cs="宋体"/>
          <w:color w:val="auto"/>
          <w:sz w:val="24"/>
          <w:szCs w:val="24"/>
          <w:highlight w:val="none"/>
          <w:lang w:val="en-US" w:eastAsia="zh-CN"/>
        </w:rPr>
        <w:t>6</w:t>
      </w:r>
      <w:r>
        <w:rPr>
          <w:rFonts w:hint="default" w:ascii="宋体" w:hAnsi="宋体" w:eastAsia="宋体" w:cs="宋体"/>
          <w:color w:val="auto"/>
          <w:sz w:val="24"/>
          <w:szCs w:val="24"/>
          <w:highlight w:val="none"/>
          <w:lang w:eastAsia="zh-CN"/>
        </w:rPr>
        <w:t>.3.4</w:t>
      </w:r>
      <w:r>
        <w:rPr>
          <w:rFonts w:hint="eastAsia" w:ascii="宋体" w:hAnsi="宋体" w:eastAsia="宋体" w:cs="宋体"/>
          <w:color w:val="auto"/>
          <w:sz w:val="24"/>
          <w:szCs w:val="24"/>
          <w:highlight w:val="none"/>
          <w:lang w:val="en-GB" w:eastAsia="zh-CN"/>
        </w:rPr>
        <w:t xml:space="preserve">如果设备在运输过程中出现损伤，乙方应负责免费给最终用户更换同型号新设备；  </w:t>
      </w:r>
    </w:p>
    <w:p w14:paraId="105E2804">
      <w:pPr>
        <w:suppressAutoHyphens/>
        <w:autoSpaceDE/>
        <w:autoSpaceDN/>
        <w:bidi w:val="0"/>
        <w:adjustRightInd/>
        <w:snapToGrid/>
        <w:spacing w:before="0" w:beforeLines="0" w:line="360" w:lineRule="auto"/>
        <w:ind w:firstLine="480" w:firstLineChars="0"/>
        <w:jc w:val="left"/>
        <w:outlineLvl w:val="9"/>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US" w:eastAsia="zh-CN"/>
        </w:rPr>
        <w:t>6</w:t>
      </w:r>
      <w:r>
        <w:rPr>
          <w:rFonts w:hint="default" w:ascii="宋体" w:hAnsi="宋体" w:eastAsia="宋体" w:cs="宋体"/>
          <w:color w:val="auto"/>
          <w:sz w:val="24"/>
          <w:szCs w:val="24"/>
          <w:highlight w:val="none"/>
          <w:lang w:eastAsia="zh-CN"/>
        </w:rPr>
        <w:t>.3.5</w:t>
      </w:r>
      <w:r>
        <w:rPr>
          <w:rFonts w:hint="eastAsia" w:ascii="宋体" w:hAnsi="宋体" w:eastAsia="宋体" w:cs="宋体"/>
          <w:color w:val="auto"/>
          <w:sz w:val="24"/>
          <w:szCs w:val="24"/>
          <w:highlight w:val="none"/>
          <w:lang w:val="en-GB" w:eastAsia="zh-CN"/>
        </w:rPr>
        <w:t>设备安装到最终用户所指定的位置上，如位置无法正常安装，应与最终</w:t>
      </w:r>
      <w:r>
        <w:rPr>
          <w:rFonts w:hint="eastAsia" w:ascii="宋体" w:hAnsi="宋体" w:eastAsia="宋体" w:cs="宋体"/>
          <w:color w:val="auto"/>
          <w:sz w:val="24"/>
          <w:szCs w:val="24"/>
          <w:highlight w:val="none"/>
          <w:lang w:val="en-GB"/>
        </w:rPr>
        <w:t xml:space="preserve">用户协商，提出解决方案； </w:t>
      </w:r>
    </w:p>
    <w:p w14:paraId="36F3658A">
      <w:pPr>
        <w:suppressAutoHyphens/>
        <w:autoSpaceDE/>
        <w:autoSpaceDN/>
        <w:bidi w:val="0"/>
        <w:adjustRightInd/>
        <w:snapToGrid/>
        <w:spacing w:before="0" w:beforeLines="0" w:line="360" w:lineRule="auto"/>
        <w:ind w:firstLine="480" w:firstLineChars="0"/>
        <w:jc w:val="left"/>
        <w:outlineLvl w:val="9"/>
        <w:rPr>
          <w:rFonts w:hint="eastAsia" w:ascii="宋体" w:hAnsi="宋体" w:eastAsia="宋体" w:cs="宋体"/>
          <w:color w:val="auto"/>
          <w:sz w:val="24"/>
          <w:szCs w:val="24"/>
          <w:highlight w:val="none"/>
          <w:lang w:val="en-GB" w:eastAsia="zh-CN"/>
        </w:rPr>
      </w:pPr>
      <w:r>
        <w:rPr>
          <w:rFonts w:hint="eastAsia" w:ascii="宋体" w:hAnsi="宋体" w:eastAsia="宋体" w:cs="宋体"/>
          <w:color w:val="auto"/>
          <w:sz w:val="24"/>
          <w:szCs w:val="24"/>
          <w:highlight w:val="none"/>
          <w:lang w:val="en-US" w:eastAsia="zh-CN"/>
        </w:rPr>
        <w:t>6</w:t>
      </w:r>
      <w:r>
        <w:rPr>
          <w:rFonts w:hint="default" w:ascii="宋体" w:hAnsi="宋体" w:eastAsia="宋体" w:cs="宋体"/>
          <w:color w:val="auto"/>
          <w:sz w:val="24"/>
          <w:szCs w:val="24"/>
          <w:highlight w:val="none"/>
          <w:lang w:val="en-US" w:eastAsia="zh-CN"/>
        </w:rPr>
        <w:t>.3.6</w:t>
      </w:r>
      <w:r>
        <w:rPr>
          <w:rFonts w:hint="eastAsia" w:ascii="宋体" w:hAnsi="宋体" w:eastAsia="宋体" w:cs="宋体"/>
          <w:color w:val="auto"/>
          <w:sz w:val="24"/>
          <w:szCs w:val="24"/>
          <w:highlight w:val="none"/>
          <w:lang w:val="en-GB" w:eastAsia="zh-CN"/>
        </w:rPr>
        <w:t xml:space="preserve">给新机器连接线缆； </w:t>
      </w:r>
    </w:p>
    <w:p w14:paraId="5F59CFE1">
      <w:pPr>
        <w:suppressAutoHyphens/>
        <w:autoSpaceDE/>
        <w:autoSpaceDN/>
        <w:bidi w:val="0"/>
        <w:adjustRightInd/>
        <w:snapToGrid/>
        <w:spacing w:before="0" w:beforeLines="0" w:line="360" w:lineRule="auto"/>
        <w:ind w:firstLine="480" w:firstLineChars="0"/>
        <w:jc w:val="left"/>
        <w:outlineLvl w:val="9"/>
        <w:rPr>
          <w:rFonts w:hint="eastAsia" w:ascii="宋体" w:hAnsi="宋体" w:eastAsia="宋体" w:cs="宋体"/>
          <w:color w:val="auto"/>
          <w:sz w:val="24"/>
          <w:szCs w:val="24"/>
          <w:highlight w:val="none"/>
          <w:lang w:val="en-GB" w:eastAsia="zh-CN"/>
        </w:rPr>
      </w:pPr>
      <w:r>
        <w:rPr>
          <w:rFonts w:hint="eastAsia" w:ascii="宋体" w:hAnsi="宋体" w:eastAsia="宋体" w:cs="宋体"/>
          <w:color w:val="auto"/>
          <w:sz w:val="24"/>
          <w:szCs w:val="24"/>
          <w:highlight w:val="none"/>
          <w:lang w:val="en-US" w:eastAsia="zh-CN"/>
        </w:rPr>
        <w:t>6</w:t>
      </w:r>
      <w:r>
        <w:rPr>
          <w:rFonts w:hint="default" w:ascii="宋体" w:hAnsi="宋体" w:eastAsia="宋体" w:cs="宋体"/>
          <w:color w:val="auto"/>
          <w:sz w:val="24"/>
          <w:szCs w:val="24"/>
          <w:highlight w:val="none"/>
          <w:lang w:val="en-US" w:eastAsia="zh-CN"/>
        </w:rPr>
        <w:t>.3.7</w:t>
      </w:r>
      <w:r>
        <w:rPr>
          <w:rFonts w:hint="eastAsia" w:ascii="宋体" w:hAnsi="宋体" w:eastAsia="宋体" w:cs="宋体"/>
          <w:color w:val="auto"/>
          <w:sz w:val="24"/>
          <w:szCs w:val="24"/>
          <w:highlight w:val="none"/>
          <w:lang w:val="en-US" w:eastAsia="zh-CN"/>
        </w:rPr>
        <w:t>乙方应免费提供所有设备的安装、调试及激活服务，包括配套应用软件。安装完成后，乙方须在设备上粘贴二维码标签，并登录登录小程序“售后中台”，扫描动态二维码绑定订单，同时录入机身序列号。如现场无法完成扫码录入，乙方应在安装完成后2个工作日内，登录甲方平台或小程序进行补入。</w:t>
      </w:r>
    </w:p>
    <w:p w14:paraId="6C11B5BA">
      <w:pPr>
        <w:suppressAutoHyphens/>
        <w:autoSpaceDE/>
        <w:autoSpaceDN/>
        <w:bidi w:val="0"/>
        <w:adjustRightInd/>
        <w:snapToGrid/>
        <w:spacing w:before="0" w:beforeLines="0" w:line="360" w:lineRule="auto"/>
        <w:ind w:firstLine="480" w:firstLineChars="0"/>
        <w:jc w:val="left"/>
        <w:outlineLvl w:val="9"/>
        <w:rPr>
          <w:rFonts w:hint="eastAsia" w:ascii="宋体" w:hAnsi="宋体" w:eastAsia="宋体" w:cs="宋体"/>
          <w:color w:val="auto"/>
          <w:sz w:val="24"/>
          <w:szCs w:val="24"/>
          <w:highlight w:val="none"/>
          <w:lang w:val="en-GB" w:eastAsia="zh-CN"/>
        </w:rPr>
      </w:pPr>
      <w:r>
        <w:rPr>
          <w:rFonts w:hint="eastAsia" w:ascii="宋体" w:hAnsi="宋体" w:cs="宋体"/>
          <w:color w:val="auto"/>
          <w:sz w:val="24"/>
          <w:szCs w:val="24"/>
          <w:highlight w:val="none"/>
          <w:lang w:val="en-US" w:eastAsia="zh-CN"/>
        </w:rPr>
        <w:t>6</w:t>
      </w:r>
      <w:r>
        <w:rPr>
          <w:rFonts w:hint="default" w:ascii="宋体" w:hAnsi="宋体" w:eastAsia="宋体" w:cs="宋体"/>
          <w:color w:val="auto"/>
          <w:sz w:val="24"/>
          <w:szCs w:val="24"/>
          <w:highlight w:val="none"/>
          <w:lang w:val="en-US" w:eastAsia="zh-CN"/>
        </w:rPr>
        <w:t>.3.8</w:t>
      </w:r>
      <w:r>
        <w:rPr>
          <w:rFonts w:hint="eastAsia" w:ascii="宋体" w:hAnsi="宋体" w:eastAsia="宋体" w:cs="宋体"/>
          <w:color w:val="auto"/>
          <w:sz w:val="24"/>
          <w:szCs w:val="24"/>
          <w:highlight w:val="none"/>
          <w:lang w:val="en-GB" w:eastAsia="zh-CN"/>
        </w:rPr>
        <w:t>安装完成之后开机测试，并根据最终用户的需求进行设置。</w:t>
      </w:r>
    </w:p>
    <w:p w14:paraId="3338D466">
      <w:pPr>
        <w:suppressAutoHyphens/>
        <w:autoSpaceDE/>
        <w:autoSpaceDN/>
        <w:bidi w:val="0"/>
        <w:adjustRightInd/>
        <w:snapToGrid/>
        <w:spacing w:before="0" w:beforeLines="0" w:line="360" w:lineRule="auto"/>
        <w:ind w:firstLine="480" w:firstLineChars="0"/>
        <w:jc w:val="left"/>
        <w:outlineLvl w:val="9"/>
        <w:rPr>
          <w:rFonts w:hint="eastAsia" w:ascii="宋体" w:hAnsi="宋体" w:eastAsia="宋体" w:cs="宋体"/>
          <w:color w:val="auto"/>
          <w:sz w:val="24"/>
          <w:szCs w:val="24"/>
          <w:highlight w:val="none"/>
          <w:lang w:val="en-GB" w:eastAsia="zh-CN"/>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GB" w:eastAsia="zh-CN"/>
        </w:rPr>
        <w:t>.4安装完成后应做到：</w:t>
      </w:r>
    </w:p>
    <w:p w14:paraId="1DD90D3E">
      <w:pPr>
        <w:suppressAutoHyphens/>
        <w:autoSpaceDE/>
        <w:autoSpaceDN/>
        <w:bidi w:val="0"/>
        <w:adjustRightInd/>
        <w:snapToGrid/>
        <w:spacing w:before="0" w:beforeLines="0" w:line="360" w:lineRule="auto"/>
        <w:ind w:firstLine="480" w:firstLineChars="0"/>
        <w:jc w:val="left"/>
        <w:outlineLvl w:val="9"/>
        <w:rPr>
          <w:rFonts w:hint="eastAsia" w:ascii="宋体" w:hAnsi="宋体" w:eastAsia="宋体" w:cs="宋体"/>
          <w:color w:val="auto"/>
          <w:sz w:val="24"/>
          <w:szCs w:val="24"/>
          <w:highlight w:val="none"/>
          <w:lang w:val="en-GB" w:eastAsia="zh-CN"/>
        </w:rPr>
      </w:pPr>
      <w:r>
        <w:rPr>
          <w:rFonts w:hint="eastAsia" w:ascii="宋体" w:hAnsi="宋体" w:cs="宋体"/>
          <w:color w:val="auto"/>
          <w:sz w:val="24"/>
          <w:szCs w:val="24"/>
          <w:highlight w:val="none"/>
          <w:lang w:val="en-US" w:eastAsia="zh-CN"/>
        </w:rPr>
        <w:t>6</w:t>
      </w:r>
      <w:r>
        <w:rPr>
          <w:rFonts w:hint="default" w:ascii="宋体" w:hAnsi="宋体" w:eastAsia="宋体" w:cs="宋体"/>
          <w:color w:val="auto"/>
          <w:sz w:val="24"/>
          <w:szCs w:val="24"/>
          <w:highlight w:val="none"/>
          <w:lang w:val="en-US" w:eastAsia="zh-CN"/>
        </w:rPr>
        <w:t>.4.1</w:t>
      </w:r>
      <w:r>
        <w:rPr>
          <w:rFonts w:hint="eastAsia" w:ascii="宋体" w:hAnsi="宋体" w:eastAsia="宋体" w:cs="宋体"/>
          <w:color w:val="auto"/>
          <w:sz w:val="24"/>
          <w:szCs w:val="24"/>
          <w:highlight w:val="none"/>
          <w:lang w:val="en-GB" w:eastAsia="zh-CN"/>
        </w:rPr>
        <w:t>安装完毕，确认产品的正常运行；</w:t>
      </w:r>
    </w:p>
    <w:p w14:paraId="2C689CD7">
      <w:pPr>
        <w:suppressAutoHyphens/>
        <w:autoSpaceDE/>
        <w:autoSpaceDN/>
        <w:bidi w:val="0"/>
        <w:adjustRightInd/>
        <w:snapToGrid/>
        <w:spacing w:before="0" w:beforeLines="0" w:line="360" w:lineRule="auto"/>
        <w:ind w:firstLine="480" w:firstLineChars="0"/>
        <w:jc w:val="left"/>
        <w:outlineLvl w:val="9"/>
        <w:rPr>
          <w:rFonts w:hint="eastAsia" w:ascii="宋体" w:hAnsi="宋体" w:eastAsia="宋体" w:cs="宋体"/>
          <w:color w:val="auto"/>
          <w:sz w:val="24"/>
          <w:szCs w:val="24"/>
          <w:highlight w:val="none"/>
          <w:lang w:val="en-GB" w:eastAsia="zh-CN"/>
        </w:rPr>
      </w:pPr>
      <w:r>
        <w:rPr>
          <w:rFonts w:hint="eastAsia" w:ascii="宋体" w:hAnsi="宋体" w:cs="宋体"/>
          <w:color w:val="auto"/>
          <w:sz w:val="24"/>
          <w:szCs w:val="24"/>
          <w:highlight w:val="none"/>
          <w:lang w:val="en-US" w:eastAsia="zh-CN"/>
        </w:rPr>
        <w:t>6</w:t>
      </w:r>
      <w:r>
        <w:rPr>
          <w:rFonts w:hint="default" w:ascii="宋体" w:hAnsi="宋体" w:eastAsia="宋体" w:cs="宋体"/>
          <w:color w:val="auto"/>
          <w:sz w:val="24"/>
          <w:szCs w:val="24"/>
          <w:highlight w:val="none"/>
          <w:lang w:val="en-US" w:eastAsia="zh-CN"/>
        </w:rPr>
        <w:t>.4.2</w:t>
      </w:r>
      <w:r>
        <w:rPr>
          <w:rFonts w:hint="eastAsia" w:ascii="宋体" w:hAnsi="宋体" w:eastAsia="宋体" w:cs="宋体"/>
          <w:color w:val="auto"/>
          <w:sz w:val="24"/>
          <w:szCs w:val="24"/>
          <w:highlight w:val="none"/>
          <w:lang w:val="en-GB" w:eastAsia="zh-CN"/>
        </w:rPr>
        <w:t>安装完毕，应为每台机器注册信息, 并向最终用户详细讲解保修条例；如没有注册信息而导致机器在保修期内无法免费保修的情况，乙方应负责相关维修费用；</w:t>
      </w:r>
    </w:p>
    <w:p w14:paraId="5972658F">
      <w:pPr>
        <w:suppressAutoHyphens/>
        <w:autoSpaceDE/>
        <w:autoSpaceDN/>
        <w:bidi w:val="0"/>
        <w:adjustRightInd/>
        <w:snapToGrid/>
        <w:spacing w:before="0" w:beforeLines="0" w:line="360" w:lineRule="auto"/>
        <w:ind w:firstLine="480" w:firstLineChars="0"/>
        <w:jc w:val="left"/>
        <w:outlineLvl w:val="9"/>
        <w:rPr>
          <w:rFonts w:hint="eastAsia" w:ascii="宋体" w:hAnsi="宋体" w:eastAsia="宋体" w:cs="宋体"/>
          <w:color w:val="auto"/>
          <w:sz w:val="24"/>
          <w:szCs w:val="24"/>
          <w:highlight w:val="none"/>
          <w:lang w:val="en-GB" w:eastAsia="zh-CN"/>
        </w:rPr>
      </w:pPr>
      <w:r>
        <w:rPr>
          <w:rFonts w:hint="eastAsia" w:ascii="宋体" w:hAnsi="宋体" w:cs="宋体"/>
          <w:color w:val="auto"/>
          <w:sz w:val="24"/>
          <w:szCs w:val="24"/>
          <w:highlight w:val="none"/>
          <w:lang w:val="en-US" w:eastAsia="zh-CN"/>
        </w:rPr>
        <w:t>6</w:t>
      </w:r>
      <w:r>
        <w:rPr>
          <w:rFonts w:hint="default" w:ascii="宋体" w:hAnsi="宋体" w:eastAsia="宋体" w:cs="宋体"/>
          <w:color w:val="auto"/>
          <w:sz w:val="24"/>
          <w:szCs w:val="24"/>
          <w:highlight w:val="none"/>
          <w:lang w:val="en-US" w:eastAsia="zh-CN"/>
        </w:rPr>
        <w:t>.4.3</w:t>
      </w:r>
      <w:r>
        <w:rPr>
          <w:rFonts w:hint="eastAsia" w:ascii="宋体" w:hAnsi="宋体" w:eastAsia="宋体" w:cs="宋体"/>
          <w:color w:val="auto"/>
          <w:sz w:val="24"/>
          <w:szCs w:val="24"/>
          <w:highlight w:val="none"/>
          <w:lang w:val="en-GB" w:eastAsia="zh-CN"/>
        </w:rPr>
        <w:t>安装完毕，应向最终用户详细讲解使用操作方法和日常维护保养措施，耐心解答最终用户提出的问题，留下服务电话；并在设备合适的地方</w:t>
      </w:r>
      <w:r>
        <w:rPr>
          <w:rFonts w:hint="default" w:ascii="宋体" w:hAnsi="宋体" w:eastAsia="宋体" w:cs="宋体"/>
          <w:color w:val="auto"/>
          <w:sz w:val="24"/>
          <w:szCs w:val="24"/>
          <w:highlight w:val="none"/>
          <w:lang w:val="en-US" w:eastAsia="zh-CN"/>
        </w:rPr>
        <w:t>黏贴二维码标签</w:t>
      </w:r>
      <w:r>
        <w:rPr>
          <w:rFonts w:hint="eastAsia" w:ascii="宋体" w:hAnsi="宋体" w:eastAsia="宋体" w:cs="宋体"/>
          <w:color w:val="auto"/>
          <w:sz w:val="24"/>
          <w:szCs w:val="24"/>
          <w:highlight w:val="none"/>
          <w:lang w:val="en-GB" w:eastAsia="zh-CN"/>
        </w:rPr>
        <w:t>，</w:t>
      </w:r>
      <w:r>
        <w:rPr>
          <w:rFonts w:hint="default" w:ascii="宋体" w:hAnsi="宋体" w:eastAsia="宋体" w:cs="宋体"/>
          <w:color w:val="auto"/>
          <w:sz w:val="24"/>
          <w:szCs w:val="24"/>
          <w:highlight w:val="none"/>
          <w:lang w:val="en-US" w:eastAsia="zh-CN"/>
        </w:rPr>
        <w:t>以</w:t>
      </w:r>
      <w:r>
        <w:rPr>
          <w:rFonts w:hint="eastAsia" w:ascii="宋体" w:hAnsi="宋体" w:eastAsia="宋体" w:cs="宋体"/>
          <w:color w:val="auto"/>
          <w:sz w:val="24"/>
          <w:szCs w:val="24"/>
          <w:highlight w:val="none"/>
          <w:lang w:val="en-GB" w:eastAsia="zh-CN"/>
        </w:rPr>
        <w:t>方便最终用户报修；</w:t>
      </w:r>
    </w:p>
    <w:p w14:paraId="558E2514">
      <w:pPr>
        <w:suppressAutoHyphens/>
        <w:autoSpaceDE/>
        <w:autoSpaceDN/>
        <w:bidi w:val="0"/>
        <w:adjustRightInd/>
        <w:snapToGrid/>
        <w:spacing w:before="0" w:beforeLines="0" w:line="360" w:lineRule="auto"/>
        <w:ind w:firstLine="480" w:firstLineChars="0"/>
        <w:jc w:val="left"/>
        <w:outlineLvl w:val="9"/>
        <w:rPr>
          <w:rFonts w:hint="eastAsia" w:ascii="宋体" w:hAnsi="宋体" w:eastAsia="宋体" w:cs="宋体"/>
          <w:color w:val="auto"/>
          <w:sz w:val="24"/>
          <w:szCs w:val="24"/>
          <w:highlight w:val="none"/>
          <w:lang w:val="en-GB" w:eastAsia="zh-CN"/>
        </w:rPr>
      </w:pPr>
      <w:r>
        <w:rPr>
          <w:rFonts w:hint="eastAsia" w:ascii="宋体" w:hAnsi="宋体" w:cs="宋体"/>
          <w:color w:val="auto"/>
          <w:sz w:val="24"/>
          <w:szCs w:val="24"/>
          <w:highlight w:val="none"/>
          <w:lang w:val="en-US" w:eastAsia="zh-CN"/>
        </w:rPr>
        <w:t>6</w:t>
      </w:r>
      <w:r>
        <w:rPr>
          <w:rFonts w:hint="default" w:ascii="宋体" w:hAnsi="宋体" w:eastAsia="宋体" w:cs="宋体"/>
          <w:color w:val="auto"/>
          <w:sz w:val="24"/>
          <w:szCs w:val="24"/>
          <w:highlight w:val="none"/>
          <w:lang w:val="en-US" w:eastAsia="zh-CN"/>
        </w:rPr>
        <w:t>.4.4</w:t>
      </w:r>
      <w:r>
        <w:rPr>
          <w:rFonts w:hint="eastAsia" w:ascii="宋体" w:hAnsi="宋体" w:eastAsia="宋体" w:cs="宋体"/>
          <w:color w:val="auto"/>
          <w:sz w:val="24"/>
          <w:szCs w:val="24"/>
          <w:highlight w:val="none"/>
          <w:lang w:val="en-GB" w:eastAsia="zh-CN"/>
        </w:rPr>
        <w:t>安装完毕，应把工作现场打扫干净，将工具等物品复位；</w:t>
      </w:r>
    </w:p>
    <w:p w14:paraId="5D45EBD0">
      <w:pPr>
        <w:suppressAutoHyphens/>
        <w:autoSpaceDE/>
        <w:autoSpaceDN/>
        <w:bidi w:val="0"/>
        <w:adjustRightInd/>
        <w:snapToGrid/>
        <w:spacing w:before="0" w:beforeLines="0" w:line="360" w:lineRule="auto"/>
        <w:ind w:firstLine="480" w:firstLineChars="0"/>
        <w:jc w:val="left"/>
        <w:outlineLvl w:val="9"/>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6</w:t>
      </w:r>
      <w:r>
        <w:rPr>
          <w:rFonts w:hint="default" w:ascii="宋体" w:hAnsi="宋体" w:eastAsia="宋体" w:cs="宋体"/>
          <w:color w:val="auto"/>
          <w:sz w:val="24"/>
          <w:szCs w:val="24"/>
          <w:highlight w:val="none"/>
          <w:lang w:val="en-US" w:eastAsia="zh-CN"/>
        </w:rPr>
        <w:t>.4.5</w:t>
      </w:r>
      <w:r>
        <w:rPr>
          <w:rFonts w:hint="eastAsia" w:ascii="宋体" w:hAnsi="宋体" w:eastAsia="宋体" w:cs="宋体"/>
          <w:color w:val="auto"/>
          <w:sz w:val="24"/>
          <w:szCs w:val="24"/>
          <w:highlight w:val="none"/>
          <w:lang w:val="en-GB" w:eastAsia="zh-CN"/>
        </w:rPr>
        <w:t>安装完毕，应按照甲方要求填写验收报告，</w:t>
      </w:r>
      <w:r>
        <w:rPr>
          <w:rFonts w:hint="default" w:ascii="宋体" w:hAnsi="宋体" w:eastAsia="宋体" w:cs="宋体"/>
          <w:color w:val="auto"/>
          <w:sz w:val="24"/>
          <w:szCs w:val="24"/>
          <w:highlight w:val="none"/>
          <w:lang w:val="en-US" w:eastAsia="zh-CN"/>
        </w:rPr>
        <w:t>并于5个工作日内完成以下工作：登录甲方平台（供应商服务系统），或小程序“售后中台”，上传电子版《厦门市政府采购验收报告》;将纸质版验收报告移交甲方归档。</w:t>
      </w:r>
    </w:p>
    <w:p w14:paraId="2394929C">
      <w:pPr>
        <w:suppressAutoHyphens/>
        <w:autoSpaceDE/>
        <w:autoSpaceDN/>
        <w:bidi w:val="0"/>
        <w:adjustRightInd/>
        <w:snapToGrid/>
        <w:spacing w:before="0" w:beforeLines="0" w:line="360" w:lineRule="auto"/>
        <w:ind w:firstLine="480" w:firstLineChars="0"/>
        <w:jc w:val="left"/>
        <w:outlineLvl w:val="9"/>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6</w:t>
      </w:r>
      <w:r>
        <w:rPr>
          <w:rFonts w:hint="default" w:ascii="宋体" w:hAnsi="宋体" w:eastAsia="宋体" w:cs="宋体"/>
          <w:color w:val="auto"/>
          <w:sz w:val="24"/>
          <w:szCs w:val="24"/>
          <w:highlight w:val="none"/>
          <w:lang w:val="en-US" w:eastAsia="zh-CN"/>
        </w:rPr>
        <w:t>.4.6</w:t>
      </w:r>
      <w:r>
        <w:rPr>
          <w:rFonts w:hint="eastAsia" w:ascii="宋体" w:hAnsi="宋体" w:eastAsia="宋体" w:cs="宋体"/>
          <w:color w:val="auto"/>
          <w:sz w:val="24"/>
          <w:szCs w:val="24"/>
          <w:highlight w:val="none"/>
          <w:lang w:val="en-GB" w:eastAsia="zh-CN"/>
        </w:rPr>
        <w:t>安装完毕，应主动与最终用户确定产品培训时间、培训方式。培训的内容要求包含产品硬件使用操作方法及软件功能使用方法，并提供硬件使用说明书或使用手册、软件使用说明书或使用手册。</w:t>
      </w:r>
    </w:p>
    <w:p w14:paraId="402C91B4">
      <w:pPr>
        <w:suppressAutoHyphens/>
        <w:autoSpaceDE/>
        <w:autoSpaceDN/>
        <w:bidi w:val="0"/>
        <w:adjustRightInd/>
        <w:snapToGrid/>
        <w:spacing w:before="0" w:beforeLines="0" w:line="360" w:lineRule="auto"/>
        <w:ind w:firstLine="480" w:firstLineChars="0"/>
        <w:jc w:val="left"/>
        <w:outlineLvl w:val="9"/>
        <w:rPr>
          <w:rFonts w:hint="eastAsia" w:ascii="宋体" w:hAnsi="宋体" w:eastAsia="宋体" w:cs="宋体"/>
          <w:color w:val="auto"/>
          <w:sz w:val="24"/>
          <w:szCs w:val="24"/>
          <w:highlight w:val="none"/>
          <w:lang w:val="en-GB" w:eastAsia="zh-CN"/>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GB" w:eastAsia="zh-CN"/>
        </w:rPr>
        <w:t>.5乙方应</w:t>
      </w:r>
      <w:r>
        <w:rPr>
          <w:rFonts w:hint="default" w:ascii="宋体" w:hAnsi="宋体" w:eastAsia="宋体" w:cs="宋体"/>
          <w:color w:val="auto"/>
          <w:sz w:val="24"/>
          <w:szCs w:val="24"/>
          <w:highlight w:val="none"/>
          <w:lang w:val="en-US" w:eastAsia="zh-CN"/>
        </w:rPr>
        <w:t>每日</w:t>
      </w:r>
      <w:r>
        <w:rPr>
          <w:rFonts w:hint="eastAsia" w:ascii="宋体" w:hAnsi="宋体" w:eastAsia="宋体" w:cs="宋体"/>
          <w:color w:val="auto"/>
          <w:sz w:val="24"/>
          <w:szCs w:val="24"/>
          <w:highlight w:val="none"/>
          <w:lang w:val="en-GB" w:eastAsia="zh-CN"/>
        </w:rPr>
        <w:t>按甲方要求，</w:t>
      </w:r>
      <w:r>
        <w:rPr>
          <w:rFonts w:hint="default" w:ascii="宋体" w:hAnsi="宋体" w:eastAsia="宋体" w:cs="宋体"/>
          <w:color w:val="auto"/>
          <w:sz w:val="24"/>
          <w:szCs w:val="24"/>
          <w:highlight w:val="none"/>
          <w:lang w:val="en-US" w:eastAsia="zh-CN"/>
        </w:rPr>
        <w:t>在甲方供应服务管理系统更新以下信息：设备安装进度、最终用户反馈内容处理情况及验收报告签收状态。如甲方有其他报表要求，乙方应按规定及时更新并提交。</w:t>
      </w:r>
    </w:p>
    <w:p w14:paraId="131AEB08">
      <w:pPr>
        <w:suppressAutoHyphens/>
        <w:autoSpaceDE w:val="0"/>
        <w:autoSpaceDN w:val="0"/>
        <w:bidi w:val="0"/>
        <w:adjustRightInd w:val="0"/>
        <w:snapToGrid w:val="0"/>
        <w:spacing w:before="0" w:beforeLines="0" w:line="360" w:lineRule="auto"/>
        <w:ind w:firstLine="482" w:firstLineChars="200"/>
        <w:jc w:val="left"/>
        <w:rPr>
          <w:rFonts w:hint="eastAsia" w:ascii="宋体" w:hAnsi="宋体" w:eastAsia="宋体" w:cs="宋体"/>
          <w:color w:val="auto"/>
          <w:sz w:val="24"/>
          <w:szCs w:val="24"/>
          <w:highlight w:val="none"/>
          <w:lang w:val="en-GB"/>
        </w:rPr>
      </w:pPr>
      <w:r>
        <w:rPr>
          <w:rFonts w:hint="eastAsia" w:ascii="宋体" w:hAnsi="宋体" w:cs="宋体"/>
          <w:b/>
          <w:bCs/>
          <w:color w:val="auto"/>
          <w:sz w:val="24"/>
          <w:szCs w:val="24"/>
          <w:highlight w:val="none"/>
          <w:lang w:val="en-US" w:eastAsia="zh-CN"/>
        </w:rPr>
        <w:t>7</w:t>
      </w:r>
      <w:r>
        <w:rPr>
          <w:rFonts w:hint="eastAsia" w:ascii="宋体" w:hAnsi="宋体" w:eastAsia="宋体" w:cs="宋体"/>
          <w:b/>
          <w:bCs/>
          <w:color w:val="auto"/>
          <w:sz w:val="24"/>
          <w:szCs w:val="24"/>
          <w:highlight w:val="none"/>
          <w:lang w:val="en-GB"/>
        </w:rPr>
        <w:t>、验收标准及办法</w:t>
      </w:r>
    </w:p>
    <w:p w14:paraId="07E3E5CC">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lang w:val="en-GB"/>
        </w:rPr>
        <w:t>.1初步验收：货物运抵</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指定地点后由</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或最终用户对照《定货单》对货物的外观、包装及数量进行验收。</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应按</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要求填写《签收单》等单据。</w:t>
      </w:r>
    </w:p>
    <w:p w14:paraId="009BA841">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lang w:val="en-GB"/>
        </w:rPr>
        <w:t>.2最终验收：</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根据合同要求进行设备安装、调试后，应按</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要求填写《验收报告》等单据并经最终用户签署确认后，三个工作日内报送给</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w:t>
      </w:r>
    </w:p>
    <w:p w14:paraId="5B44088A">
      <w:pPr>
        <w:widowControl/>
        <w:suppressAutoHyphens/>
        <w:autoSpaceDE/>
        <w:autoSpaceDN/>
        <w:bidi w:val="0"/>
        <w:adjustRightInd/>
        <w:snapToGrid/>
        <w:spacing w:before="0" w:beforeLines="0" w:line="360" w:lineRule="auto"/>
        <w:ind w:firstLine="420" w:firstLineChars="0"/>
        <w:jc w:val="left"/>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lang w:val="en-GB"/>
        </w:rPr>
        <w:t>.3验收时（包括初验和最终验收），</w:t>
      </w:r>
      <w:r>
        <w:rPr>
          <w:rFonts w:hint="eastAsia" w:ascii="宋体" w:hAnsi="宋体" w:eastAsia="宋体" w:cs="宋体"/>
          <w:color w:val="auto"/>
          <w:sz w:val="24"/>
          <w:szCs w:val="24"/>
          <w:highlight w:val="none"/>
          <w:lang w:val="en-GB" w:eastAsia="zh-CN"/>
        </w:rPr>
        <w:t>乙方</w:t>
      </w:r>
      <w:r>
        <w:rPr>
          <w:rFonts w:hint="eastAsia" w:ascii="宋体" w:hAnsi="宋体" w:eastAsia="宋体" w:cs="宋体"/>
          <w:b w:val="0"/>
          <w:color w:val="auto"/>
          <w:kern w:val="2"/>
          <w:sz w:val="24"/>
          <w:szCs w:val="24"/>
          <w:highlight w:val="none"/>
          <w:lang w:val="en-GB"/>
        </w:rPr>
        <w:t>需按附件5《实施安装验收标准》的验收标准进行验收，若出现不符合实施安装验收标准的情况，</w:t>
      </w:r>
      <w:r>
        <w:rPr>
          <w:rFonts w:hint="eastAsia" w:ascii="宋体" w:hAnsi="宋体" w:eastAsia="宋体" w:cs="宋体"/>
          <w:b w:val="0"/>
          <w:color w:val="auto"/>
          <w:kern w:val="2"/>
          <w:sz w:val="24"/>
          <w:szCs w:val="24"/>
          <w:highlight w:val="none"/>
          <w:lang w:val="en-GB" w:eastAsia="zh-CN"/>
        </w:rPr>
        <w:t>甲</w:t>
      </w:r>
      <w:r>
        <w:rPr>
          <w:rFonts w:hint="eastAsia" w:ascii="宋体" w:hAnsi="宋体" w:eastAsia="宋体" w:cs="宋体"/>
          <w:b w:val="0"/>
          <w:color w:val="auto"/>
          <w:kern w:val="2"/>
          <w:sz w:val="24"/>
          <w:szCs w:val="24"/>
          <w:highlight w:val="none"/>
          <w:lang w:val="en-GB"/>
        </w:rPr>
        <w:t>方有权拒绝最终验收，并要求</w:t>
      </w:r>
      <w:r>
        <w:rPr>
          <w:rFonts w:hint="eastAsia" w:ascii="宋体" w:hAnsi="宋体" w:eastAsia="宋体" w:cs="宋体"/>
          <w:b w:val="0"/>
          <w:color w:val="auto"/>
          <w:kern w:val="2"/>
          <w:sz w:val="24"/>
          <w:szCs w:val="24"/>
          <w:highlight w:val="none"/>
          <w:lang w:val="en-GB" w:eastAsia="zh-CN"/>
        </w:rPr>
        <w:t>乙</w:t>
      </w:r>
      <w:r>
        <w:rPr>
          <w:rFonts w:hint="eastAsia" w:ascii="宋体" w:hAnsi="宋体" w:eastAsia="宋体" w:cs="宋体"/>
          <w:b w:val="0"/>
          <w:color w:val="auto"/>
          <w:kern w:val="2"/>
          <w:sz w:val="24"/>
          <w:szCs w:val="24"/>
          <w:highlight w:val="none"/>
          <w:lang w:val="en-GB"/>
        </w:rPr>
        <w:t>方进行整改直至符合实施安装验收标准。</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必须派代表参加并确认验收结果</w:t>
      </w:r>
      <w:r>
        <w:rPr>
          <w:rFonts w:hint="eastAsia" w:ascii="宋体" w:hAnsi="宋体" w:eastAsia="宋体" w:cs="宋体"/>
          <w:color w:val="auto"/>
          <w:sz w:val="24"/>
          <w:szCs w:val="24"/>
          <w:highlight w:val="none"/>
          <w:lang w:val="en-GB" w:eastAsia="zh-CN"/>
        </w:rPr>
        <w:t>，</w:t>
      </w:r>
      <w:r>
        <w:rPr>
          <w:rFonts w:hint="eastAsia" w:ascii="宋体" w:hAnsi="宋体" w:eastAsia="宋体" w:cs="宋体"/>
          <w:color w:val="auto"/>
          <w:kern w:val="2"/>
          <w:sz w:val="24"/>
          <w:szCs w:val="24"/>
          <w:highlight w:val="none"/>
          <w:lang w:val="en-GB"/>
        </w:rPr>
        <w:t>否则视为</w:t>
      </w:r>
      <w:r>
        <w:rPr>
          <w:rFonts w:hint="eastAsia" w:ascii="宋体" w:hAnsi="宋体" w:eastAsia="宋体" w:cs="宋体"/>
          <w:color w:val="auto"/>
          <w:kern w:val="2"/>
          <w:sz w:val="24"/>
          <w:szCs w:val="24"/>
          <w:highlight w:val="none"/>
          <w:lang w:val="en-GB" w:eastAsia="zh-CN"/>
        </w:rPr>
        <w:t>乙</w:t>
      </w:r>
      <w:r>
        <w:rPr>
          <w:rFonts w:hint="eastAsia" w:ascii="宋体" w:hAnsi="宋体" w:eastAsia="宋体" w:cs="宋体"/>
          <w:color w:val="auto"/>
          <w:kern w:val="2"/>
          <w:sz w:val="24"/>
          <w:szCs w:val="24"/>
          <w:highlight w:val="none"/>
          <w:lang w:val="en-GB"/>
        </w:rPr>
        <w:t>方对验收意见无异议。如该批次产品在最终验收时，出现开箱破损或者故障，无法进行最终验收的，</w:t>
      </w:r>
      <w:r>
        <w:rPr>
          <w:rFonts w:hint="eastAsia" w:ascii="宋体" w:hAnsi="宋体" w:eastAsia="宋体" w:cs="宋体"/>
          <w:color w:val="auto"/>
          <w:kern w:val="2"/>
          <w:sz w:val="24"/>
          <w:szCs w:val="24"/>
          <w:highlight w:val="none"/>
          <w:lang w:val="en-GB" w:eastAsia="zh-CN"/>
        </w:rPr>
        <w:t>乙</w:t>
      </w:r>
      <w:r>
        <w:rPr>
          <w:rFonts w:hint="eastAsia" w:ascii="宋体" w:hAnsi="宋体" w:eastAsia="宋体" w:cs="宋体"/>
          <w:color w:val="auto"/>
          <w:kern w:val="2"/>
          <w:sz w:val="24"/>
          <w:szCs w:val="24"/>
          <w:highlight w:val="none"/>
          <w:lang w:val="en-GB"/>
        </w:rPr>
        <w:t>方必须无条件给予更换新机并保证最终验收的顺畅进行。若</w:t>
      </w:r>
      <w:r>
        <w:rPr>
          <w:rFonts w:hint="eastAsia" w:ascii="宋体" w:hAnsi="宋体" w:eastAsia="宋体" w:cs="宋体"/>
          <w:color w:val="auto"/>
          <w:kern w:val="2"/>
          <w:sz w:val="24"/>
          <w:szCs w:val="24"/>
          <w:highlight w:val="none"/>
          <w:lang w:val="en-GB" w:eastAsia="zh-CN"/>
        </w:rPr>
        <w:t>乙</w:t>
      </w:r>
      <w:r>
        <w:rPr>
          <w:rFonts w:hint="eastAsia" w:ascii="宋体" w:hAnsi="宋体" w:eastAsia="宋体" w:cs="宋体"/>
          <w:color w:val="auto"/>
          <w:kern w:val="2"/>
          <w:sz w:val="24"/>
          <w:szCs w:val="24"/>
          <w:highlight w:val="none"/>
          <w:lang w:val="en-GB"/>
        </w:rPr>
        <w:t>方不同意更换新机或者配合，</w:t>
      </w:r>
      <w:r>
        <w:rPr>
          <w:rFonts w:hint="eastAsia" w:ascii="宋体" w:hAnsi="宋体" w:eastAsia="宋体" w:cs="宋体"/>
          <w:color w:val="auto"/>
          <w:kern w:val="2"/>
          <w:sz w:val="24"/>
          <w:szCs w:val="24"/>
          <w:highlight w:val="none"/>
          <w:lang w:val="en-GB" w:eastAsia="zh-CN"/>
        </w:rPr>
        <w:t>甲</w:t>
      </w:r>
      <w:r>
        <w:rPr>
          <w:rFonts w:hint="eastAsia" w:ascii="宋体" w:hAnsi="宋体" w:eastAsia="宋体" w:cs="宋体"/>
          <w:color w:val="auto"/>
          <w:kern w:val="2"/>
          <w:sz w:val="24"/>
          <w:szCs w:val="24"/>
          <w:highlight w:val="none"/>
          <w:lang w:val="en-GB"/>
        </w:rPr>
        <w:t>方有权直接于</w:t>
      </w:r>
      <w:r>
        <w:rPr>
          <w:rFonts w:hint="eastAsia" w:ascii="宋体" w:hAnsi="宋体" w:eastAsia="宋体" w:cs="宋体"/>
          <w:color w:val="auto"/>
          <w:kern w:val="2"/>
          <w:sz w:val="24"/>
          <w:szCs w:val="24"/>
          <w:highlight w:val="none"/>
          <w:lang w:val="en-GB" w:eastAsia="zh-CN"/>
        </w:rPr>
        <w:t>乙</w:t>
      </w:r>
      <w:r>
        <w:rPr>
          <w:rFonts w:hint="eastAsia" w:ascii="宋体" w:hAnsi="宋体" w:eastAsia="宋体" w:cs="宋体"/>
          <w:color w:val="auto"/>
          <w:kern w:val="2"/>
          <w:sz w:val="24"/>
          <w:szCs w:val="24"/>
          <w:highlight w:val="none"/>
          <w:lang w:val="en-GB"/>
        </w:rPr>
        <w:t>方的履约保证金中扣除该批次产品及安装的等额费用。</w:t>
      </w:r>
    </w:p>
    <w:p w14:paraId="025AFDDD">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lang w:val="en-GB"/>
        </w:rPr>
        <w:t>.4移交使用：最终验收合格后，</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应在最终用户要求的时间内将合同设备移交最终用户使用。合同货物毁损、灭失的风险自移交使用之日起转移。</w:t>
      </w:r>
    </w:p>
    <w:p w14:paraId="587A8441">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lang w:val="en-GB"/>
        </w:rPr>
        <w:t>.5</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有权自行委托我国相关具有检验资质的部门、单位、机构针对</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产品的精度、性能进行检验。其检验结果将作为验收标准的组成部分之一。</w:t>
      </w:r>
    </w:p>
    <w:p w14:paraId="0120C794">
      <w:pPr>
        <w:suppressAutoHyphens/>
        <w:autoSpaceDE w:val="0"/>
        <w:autoSpaceDN w:val="0"/>
        <w:bidi w:val="0"/>
        <w:adjustRightInd w:val="0"/>
        <w:snapToGrid w:val="0"/>
        <w:spacing w:before="0" w:beforeLines="0" w:line="360" w:lineRule="auto"/>
        <w:ind w:firstLine="482" w:firstLineChars="200"/>
        <w:jc w:val="left"/>
        <w:rPr>
          <w:rFonts w:hint="eastAsia" w:ascii="宋体" w:hAnsi="宋体" w:eastAsia="宋体" w:cs="宋体"/>
          <w:b/>
          <w:bCs/>
          <w:color w:val="auto"/>
          <w:sz w:val="24"/>
          <w:szCs w:val="24"/>
          <w:highlight w:val="none"/>
          <w:lang w:val="en-GB"/>
        </w:rPr>
      </w:pPr>
      <w:r>
        <w:rPr>
          <w:rFonts w:hint="eastAsia" w:ascii="宋体" w:hAnsi="宋体" w:cs="宋体"/>
          <w:b/>
          <w:bCs/>
          <w:color w:val="auto"/>
          <w:sz w:val="24"/>
          <w:szCs w:val="24"/>
          <w:highlight w:val="none"/>
          <w:lang w:val="en-US" w:eastAsia="zh-CN"/>
        </w:rPr>
        <w:t>8</w:t>
      </w:r>
      <w:r>
        <w:rPr>
          <w:rFonts w:hint="eastAsia" w:ascii="宋体" w:hAnsi="宋体" w:eastAsia="宋体" w:cs="宋体"/>
          <w:b/>
          <w:bCs/>
          <w:color w:val="auto"/>
          <w:sz w:val="24"/>
          <w:szCs w:val="24"/>
          <w:highlight w:val="none"/>
          <w:lang w:val="en-GB"/>
        </w:rPr>
        <w:t>、售后服务</w:t>
      </w:r>
    </w:p>
    <w:p w14:paraId="6E3D64BE">
      <w:pPr>
        <w:suppressAutoHyphens/>
        <w:bidi w:val="0"/>
        <w:spacing w:line="360" w:lineRule="auto"/>
        <w:ind w:firstLine="480"/>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GB"/>
        </w:rPr>
        <w:t>.1合同设备的保修期为自最终验收合格之日起算</w:t>
      </w:r>
      <w:r>
        <w:rPr>
          <w:rFonts w:hint="eastAsia" w:ascii="宋体" w:hAnsi="宋体" w:eastAsia="宋体" w:cs="Times New Roman"/>
          <w:color w:val="auto"/>
          <w:sz w:val="24"/>
          <w:szCs w:val="24"/>
          <w:highlight w:val="none"/>
        </w:rPr>
        <w:t>，</w:t>
      </w:r>
      <w:r>
        <w:rPr>
          <w:rFonts w:hint="eastAsia" w:ascii="宋体" w:hAnsi="宋体" w:eastAsia="宋体" w:cs="宋体"/>
          <w:color w:val="auto"/>
          <w:sz w:val="24"/>
          <w:szCs w:val="24"/>
          <w:highlight w:val="none"/>
          <w:lang w:val="en-GB" w:eastAsia="zh-CN"/>
        </w:rPr>
        <w:t>所有设备</w:t>
      </w:r>
      <w:r>
        <w:rPr>
          <w:rFonts w:hint="eastAsia" w:ascii="宋体" w:hAnsi="宋体" w:eastAsia="宋体" w:cs="宋体"/>
          <w:color w:val="auto"/>
          <w:sz w:val="24"/>
          <w:szCs w:val="24"/>
          <w:highlight w:val="none"/>
          <w:lang w:val="en-GB"/>
        </w:rPr>
        <w:t>提供至少</w:t>
      </w:r>
      <w:r>
        <w:rPr>
          <w:rFonts w:hint="eastAsia" w:ascii="宋体" w:hAnsi="宋体" w:eastAsia="宋体" w:cs="宋体"/>
          <w:color w:val="auto"/>
          <w:sz w:val="24"/>
          <w:szCs w:val="24"/>
          <w:highlight w:val="none"/>
          <w:lang w:val="en-GB" w:eastAsia="zh-CN"/>
        </w:rPr>
        <w:t>六</w:t>
      </w:r>
      <w:r>
        <w:rPr>
          <w:rFonts w:hint="eastAsia" w:ascii="宋体" w:hAnsi="宋体" w:eastAsia="宋体" w:cs="宋体"/>
          <w:color w:val="auto"/>
          <w:sz w:val="24"/>
          <w:szCs w:val="24"/>
          <w:highlight w:val="none"/>
          <w:lang w:val="en-GB"/>
        </w:rPr>
        <w:t>年免费上门保修、至少</w:t>
      </w:r>
      <w:r>
        <w:rPr>
          <w:rFonts w:hint="eastAsia" w:ascii="宋体" w:hAnsi="宋体" w:eastAsia="宋体" w:cs="宋体"/>
          <w:color w:val="auto"/>
          <w:sz w:val="24"/>
          <w:szCs w:val="24"/>
          <w:highlight w:val="none"/>
          <w:lang w:val="en-GB" w:eastAsia="zh-CN"/>
        </w:rPr>
        <w:t>六</w:t>
      </w:r>
      <w:r>
        <w:rPr>
          <w:rFonts w:hint="eastAsia" w:ascii="宋体" w:hAnsi="宋体" w:eastAsia="宋体" w:cs="宋体"/>
          <w:color w:val="auto"/>
          <w:sz w:val="24"/>
          <w:szCs w:val="24"/>
          <w:highlight w:val="none"/>
          <w:lang w:val="en-GB"/>
        </w:rPr>
        <w:t>年免费</w:t>
      </w:r>
      <w:r>
        <w:rPr>
          <w:rFonts w:hint="eastAsia" w:ascii="宋体" w:hAnsi="宋体" w:eastAsia="宋体" w:cs="宋体"/>
          <w:bCs w:val="0"/>
          <w:color w:val="auto"/>
          <w:spacing w:val="0"/>
          <w:kern w:val="2"/>
          <w:sz w:val="24"/>
          <w:szCs w:val="24"/>
          <w:highlight w:val="none"/>
          <w:lang w:val="en-GB" w:eastAsia="zh-CN"/>
        </w:rPr>
        <w:t>软件授权、</w:t>
      </w:r>
      <w:r>
        <w:rPr>
          <w:rFonts w:hint="eastAsia" w:ascii="宋体" w:hAnsi="宋体" w:eastAsia="宋体" w:cs="宋体"/>
          <w:color w:val="auto"/>
          <w:sz w:val="24"/>
          <w:szCs w:val="24"/>
          <w:highlight w:val="none"/>
          <w:lang w:val="en-GB"/>
        </w:rPr>
        <w:t>软件升级及提供免费资源库更新服务。</w:t>
      </w:r>
    </w:p>
    <w:p w14:paraId="281AE4D1">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GB"/>
        </w:rPr>
        <w:t>.2</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应按《部分商品修理更换退货责任规定》规定执行售后服务，产品出现性能故障的，应严格按照《部分商品修理更换退货责任规定》处理。上述规定要求与本合同其他条款有不一致的，按对最终用户较有利的条款执行。</w:t>
      </w:r>
    </w:p>
    <w:p w14:paraId="077373DF">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GB"/>
        </w:rPr>
        <w:t>.3</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应自合同设备经最终验收合格之日起对合同设备在保修期内提供免费维护的服务，保修期外提供有偿的维护服务。</w:t>
      </w:r>
    </w:p>
    <w:p w14:paraId="431F085D">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GB"/>
        </w:rPr>
        <w:t>.4</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应开通厦门本地的售后服务专线电话，供所有合同设备服务专用。售后服务专线电话应</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GB"/>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en-GB"/>
        </w:rPr>
        <w:t>小时实时响应；</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接到</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或最终用户的报修电话，应在</w:t>
      </w:r>
      <w:r>
        <w:rPr>
          <w:rFonts w:hint="eastAsia" w:ascii="宋体" w:hAnsi="宋体" w:eastAsia="宋体" w:cs="宋体"/>
          <w:color w:val="auto"/>
          <w:sz w:val="24"/>
          <w:szCs w:val="24"/>
          <w:highlight w:val="none"/>
          <w:lang w:val="en-US" w:eastAsia="zh-CN"/>
        </w:rPr>
        <w:t>0.5工作小时</w:t>
      </w:r>
      <w:r>
        <w:rPr>
          <w:rFonts w:hint="eastAsia" w:ascii="宋体" w:hAnsi="宋体" w:eastAsia="宋体" w:cs="宋体"/>
          <w:color w:val="auto"/>
          <w:sz w:val="24"/>
          <w:szCs w:val="24"/>
          <w:highlight w:val="none"/>
          <w:lang w:val="en-GB"/>
        </w:rPr>
        <w:t>内电话响应，4个工作小时内到达，到达后</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en-GB"/>
        </w:rPr>
        <w:t>个工作小时内修复；若在</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en-GB"/>
        </w:rPr>
        <w:t>个工作小时内无法修复的，</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应</w:t>
      </w:r>
      <w:r>
        <w:rPr>
          <w:rFonts w:hint="eastAsia" w:ascii="宋体" w:hAnsi="宋体" w:eastAsia="宋体" w:cs="宋体"/>
          <w:color w:val="auto"/>
          <w:sz w:val="24"/>
          <w:szCs w:val="24"/>
          <w:highlight w:val="none"/>
          <w:lang w:val="en-GB" w:eastAsia="zh-CN"/>
        </w:rPr>
        <w:t>在</w:t>
      </w:r>
      <w:r>
        <w:rPr>
          <w:rFonts w:hint="eastAsia" w:ascii="宋体" w:hAnsi="宋体" w:eastAsia="宋体" w:cs="宋体"/>
          <w:color w:val="auto"/>
          <w:sz w:val="24"/>
          <w:szCs w:val="24"/>
          <w:highlight w:val="none"/>
          <w:lang w:val="en-US" w:eastAsia="zh-CN"/>
        </w:rPr>
        <w:t>24小时内</w:t>
      </w:r>
      <w:r>
        <w:rPr>
          <w:rFonts w:hint="eastAsia" w:ascii="宋体" w:hAnsi="宋体" w:eastAsia="宋体" w:cs="宋体"/>
          <w:color w:val="auto"/>
          <w:sz w:val="24"/>
          <w:szCs w:val="24"/>
          <w:highlight w:val="none"/>
          <w:lang w:val="en-GB"/>
        </w:rPr>
        <w:t>提供备用机供最终用户使用，直至设备修复。如果</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未在承诺的时间内将设备修复或者提供备用机的，则</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应按200.00元/台/天向</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支付逾期违约金,但是违约金上限不超过合同设备总金额的1%。(注：上门服务时间主要根据最终用户需求而定，假如最终用户需要第二天上门处理的，应根据最终用户要求的时间上门；如果最终用户需要节假日或晚上19：30后上门，</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也应根据最终用户的要求上门服务。如无特殊情况，须按照上述标准来服务。)</w:t>
      </w:r>
    </w:p>
    <w:p w14:paraId="0A97F8A2">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GB"/>
        </w:rPr>
        <w:t>.5超出保修期的维修，</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应向最终用户说明产品已过保，告知最终用户备件费、上门费及服务费，并向最终用户说明备件保修时间及保修方式，征得最终用户同意后再维修, 维修中收取的备件费、上门费及服务费等其它费用不得高于合同产品品牌官方标准（包含品牌官网标准、官方热线标准等），维修收费应根据</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或最终用户的要求提供发票。</w:t>
      </w:r>
    </w:p>
    <w:p w14:paraId="2DB4C31E">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GB"/>
        </w:rPr>
        <w:t>.6 合同设备通过最终验收并交付后15天内出现故障，</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应免费为最终用户更换同型号新整机；保修期内，发生产品性能故障维修</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GB"/>
        </w:rPr>
        <w:t>次及以上仍不能正常使用的，</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应负责为最终用户免费更换同型号的新机。若合同设备的型号机器停产，</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应与最终用户协商，更换其他型号的新机，更换的新机型性能不得低于故障机。换机后的新机，保修期限从换机之日起开始重新计算。因产品故障造成退、换机情况的，由</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直接与最终用户办理退换机流程，并在5个工作日内送达最终用户处更换，不再经过</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仓库，</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应将退换机涉及的相关单据、凭证等材料在退还后【</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GB"/>
        </w:rPr>
        <w:t>】日内交付给</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w:t>
      </w:r>
    </w:p>
    <w:p w14:paraId="4F7CE173">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GB"/>
        </w:rPr>
        <w:t>.7</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应为合同设备提供免费的上门安装调试服务，安装后产品故障保修由厦门当地维修站提供。</w:t>
      </w:r>
    </w:p>
    <w:p w14:paraId="55DF9EA2">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GB"/>
        </w:rPr>
        <w:t>.8在设备的质保期内</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在合同设备的使用过程中，如发现并经双方确认证实产品存在质量隐患或者有严重的质量问题，</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有权要求</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退换受影响的产品，由此产生的运输费等直接费用由</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承担。</w:t>
      </w:r>
    </w:p>
    <w:p w14:paraId="525A9075">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GB"/>
        </w:rPr>
        <w:t>.9</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应按最终用户的要求，每季度、每半年或每年一次，对合同设备进行保养服务，并将上门服务结果及时反馈给</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w:t>
      </w:r>
    </w:p>
    <w:p w14:paraId="04A6A2ED">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GB"/>
        </w:rPr>
        <w:t>.10</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在上门服务时，如果最终用户其它品牌设备出现故障需要</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的工程师帮助解决，</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的工程师不得拒绝最终用户的要求，在条件许可的前提下为最终用户服务；如果无法修复，应协助最终用户报修相应的技术售后服务网点或给出可行的解决方案供最终用户参考。</w:t>
      </w:r>
    </w:p>
    <w:p w14:paraId="62653659">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GB"/>
        </w:rPr>
        <w:t>.11</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在厦门地区拥有充足的备品备件，可以保证合同设备在正常损坏情况下，及时给最终用户提供保修或更换；超出保修期的合同设备，</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应保证在二年内能及时提供产品维修所需的备件。</w:t>
      </w:r>
    </w:p>
    <w:p w14:paraId="01A89A8A">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GB"/>
        </w:rPr>
        <w:t>.12</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应为合同设备建立完整的客户档案，保修期内，当合同设备发生维修，而最终用户无法提供发票或保修卡时，</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应根据自身留存的档案，为最终用户提供应有的保修服务。</w:t>
      </w:r>
    </w:p>
    <w:p w14:paraId="11B51878">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GB"/>
        </w:rPr>
        <w:t>.13</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应对合同设备进行100%的电话回访，每月初向</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提供上月的回访汇总报表及服务明细；当</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在接到最终用户投诉时，要在</w:t>
      </w:r>
      <w:r>
        <w:rPr>
          <w:rFonts w:hint="eastAsia" w:ascii="宋体" w:hAnsi="宋体" w:eastAsia="宋体" w:cs="宋体"/>
          <w:color w:val="auto"/>
          <w:sz w:val="24"/>
          <w:szCs w:val="24"/>
          <w:highlight w:val="none"/>
          <w:lang w:val="en-US" w:eastAsia="zh-CN"/>
        </w:rPr>
        <w:t>1个工作小时</w:t>
      </w:r>
      <w:r>
        <w:rPr>
          <w:rFonts w:hint="eastAsia" w:ascii="宋体" w:hAnsi="宋体" w:eastAsia="宋体" w:cs="宋体"/>
          <w:color w:val="auto"/>
          <w:sz w:val="24"/>
          <w:szCs w:val="24"/>
          <w:highlight w:val="none"/>
          <w:lang w:val="en-GB"/>
        </w:rPr>
        <w:t>之内应响，2个工作小时内开始处理，2个工作日之内处理完；处理完最终用户的投诉，应及时将处理结果反馈给</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w:t>
      </w:r>
    </w:p>
    <w:p w14:paraId="171FD2C3">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GB"/>
        </w:rPr>
        <w:t>.14</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应根据最终用户的需求开办合同设备的免费培训课程。</w:t>
      </w:r>
    </w:p>
    <w:p w14:paraId="43BC9C59">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GB"/>
        </w:rPr>
        <w:t>.15</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不得以任何方式对</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隐瞒和欺骗服务情况，</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需要</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提供的报表不得有虚假，上门服务工程师不得以任何方式引导最终用户对</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回访的回答。</w:t>
      </w:r>
    </w:p>
    <w:p w14:paraId="406656BD">
      <w:pPr>
        <w:suppressAutoHyphens/>
        <w:autoSpaceDE w:val="0"/>
        <w:autoSpaceDN w:val="0"/>
        <w:bidi w:val="0"/>
        <w:adjustRightInd w:val="0"/>
        <w:snapToGrid w:val="0"/>
        <w:spacing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GB"/>
        </w:rPr>
        <w:t>.1</w:t>
      </w:r>
      <w:r>
        <w:rPr>
          <w:rFonts w:hint="eastAsia" w:ascii="宋体" w:hAnsi="宋体" w:eastAsia="宋体" w:cs="宋体"/>
          <w:color w:val="auto"/>
          <w:sz w:val="24"/>
          <w:szCs w:val="24"/>
          <w:highlight w:val="none"/>
          <w:lang w:val="en-GB" w:eastAsia="zh-CN"/>
        </w:rPr>
        <w:t>6乙方</w:t>
      </w:r>
      <w:r>
        <w:rPr>
          <w:rFonts w:hint="eastAsia" w:ascii="宋体" w:hAnsi="宋体" w:eastAsia="宋体" w:cs="宋体"/>
          <w:color w:val="auto"/>
          <w:sz w:val="24"/>
          <w:szCs w:val="24"/>
          <w:highlight w:val="none"/>
          <w:lang w:val="en-GB"/>
        </w:rPr>
        <w:t>同意</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按照《服务考核细则》对其进行考核。如果在保修期内发生售后服务质量的投诉，</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将视投诉情况的严重性及处理结果要求</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支付违约金（详见附件</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GB"/>
        </w:rPr>
        <w:t>《服务考核细则》）。</w:t>
      </w:r>
    </w:p>
    <w:p w14:paraId="683841C6">
      <w:pPr>
        <w:suppressAutoHyphens/>
        <w:autoSpaceDE w:val="0"/>
        <w:autoSpaceDN w:val="0"/>
        <w:bidi w:val="0"/>
        <w:adjustRightInd w:val="0"/>
        <w:snapToGrid w:val="0"/>
        <w:spacing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GB"/>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val="en-GB"/>
        </w:rPr>
        <w:t>因</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产品给</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造成的客诉，若</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在接到</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通知后3个日历日内无法解决客诉，</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有权自行解决客诉，并直接于</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的履约保证金中扣除解决客诉所产生的费用。</w:t>
      </w:r>
    </w:p>
    <w:p w14:paraId="7F85B89C">
      <w:pPr>
        <w:suppressAutoHyphens/>
        <w:autoSpaceDE w:val="0"/>
        <w:autoSpaceDN w:val="0"/>
        <w:bidi w:val="0"/>
        <w:adjustRightInd w:val="0"/>
        <w:snapToGrid w:val="0"/>
        <w:spacing w:beforeLines="0" w:line="360" w:lineRule="auto"/>
        <w:ind w:firstLine="480" w:firstLineChars="200"/>
        <w:jc w:val="left"/>
        <w:rPr>
          <w:rFonts w:hint="eastAsia" w:ascii="宋体" w:hAnsi="宋体" w:eastAsia="宋体" w:cs="宋体"/>
          <w:color w:val="auto"/>
          <w:sz w:val="24"/>
          <w:szCs w:val="24"/>
          <w:highlight w:val="none"/>
          <w:lang w:val="en-GB" w:eastAsia="zh-CN"/>
        </w:rPr>
      </w:pP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GB"/>
        </w:rPr>
        <w:t>.</w:t>
      </w:r>
      <w:r>
        <w:rPr>
          <w:rFonts w:hint="eastAsia" w:ascii="宋体" w:hAnsi="宋体" w:eastAsia="宋体" w:cs="宋体"/>
          <w:color w:val="auto"/>
          <w:sz w:val="24"/>
          <w:szCs w:val="24"/>
          <w:highlight w:val="none"/>
          <w:lang w:val="en-US" w:eastAsia="zh-CN"/>
        </w:rPr>
        <w:t>18</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承诺：如有绿板、高拍仪</w:t>
      </w:r>
      <w:r>
        <w:rPr>
          <w:rFonts w:hint="eastAsia" w:ascii="宋体" w:hAnsi="宋体" w:eastAsia="宋体" w:cs="宋体"/>
          <w:color w:val="auto"/>
          <w:sz w:val="24"/>
          <w:szCs w:val="24"/>
          <w:highlight w:val="none"/>
          <w:lang w:val="en-GB" w:eastAsia="zh-CN"/>
        </w:rPr>
        <w:t>或实物展台、中控、音箱或其他</w:t>
      </w:r>
      <w:r>
        <w:rPr>
          <w:rFonts w:hint="eastAsia" w:ascii="宋体" w:hAnsi="宋体" w:eastAsia="宋体" w:cs="宋体"/>
          <w:color w:val="auto"/>
          <w:sz w:val="24"/>
          <w:szCs w:val="24"/>
          <w:highlight w:val="none"/>
          <w:lang w:val="en-GB"/>
        </w:rPr>
        <w:t>扩声设备</w:t>
      </w:r>
      <w:r>
        <w:rPr>
          <w:rFonts w:hint="eastAsia" w:ascii="宋体" w:hAnsi="宋体" w:eastAsia="宋体" w:cs="宋体"/>
          <w:color w:val="auto"/>
          <w:sz w:val="24"/>
          <w:szCs w:val="24"/>
          <w:highlight w:val="none"/>
          <w:lang w:val="en-GB" w:eastAsia="zh-CN"/>
        </w:rPr>
        <w:t>等触控一体机配套产品</w:t>
      </w:r>
      <w:r>
        <w:rPr>
          <w:rFonts w:hint="eastAsia" w:ascii="宋体" w:hAnsi="宋体" w:eastAsia="宋体" w:cs="宋体"/>
          <w:color w:val="auto"/>
          <w:sz w:val="24"/>
          <w:szCs w:val="24"/>
          <w:highlight w:val="none"/>
          <w:lang w:val="en-GB"/>
        </w:rPr>
        <w:t>一起安装时</w:t>
      </w:r>
      <w:r>
        <w:rPr>
          <w:rFonts w:hint="eastAsia" w:ascii="宋体" w:hAnsi="宋体" w:eastAsia="宋体" w:cs="宋体"/>
          <w:color w:val="auto"/>
          <w:sz w:val="24"/>
          <w:szCs w:val="24"/>
          <w:highlight w:val="none"/>
          <w:lang w:val="en-GB" w:eastAsia="zh-CN"/>
        </w:rPr>
        <w:t>，免费提供安装调试服务。</w:t>
      </w:r>
    </w:p>
    <w:p w14:paraId="70DC9218">
      <w:pPr>
        <w:suppressAutoHyphens/>
        <w:autoSpaceDE w:val="0"/>
        <w:autoSpaceDN w:val="0"/>
        <w:bidi w:val="0"/>
        <w:adjustRightInd w:val="0"/>
        <w:snapToGrid w:val="0"/>
        <w:spacing w:beforeLines="0" w:line="360" w:lineRule="auto"/>
        <w:ind w:firstLine="480" w:firstLineChars="200"/>
        <w:jc w:val="left"/>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val="en-US" w:eastAsia="zh-CN"/>
        </w:rPr>
        <w:t>19乙方</w:t>
      </w:r>
      <w:r>
        <w:rPr>
          <w:rFonts w:hint="eastAsia" w:ascii="宋体" w:hAnsi="宋体" w:eastAsia="宋体" w:cs="宋体"/>
          <w:color w:val="auto"/>
          <w:sz w:val="24"/>
          <w:szCs w:val="24"/>
          <w:highlight w:val="none"/>
          <w:lang w:val="en-US"/>
        </w:rPr>
        <w:t>在接到安装通知后三个日历日内未上门安装的，</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lang w:val="en-US"/>
        </w:rPr>
        <w:t>有权另行安排人员上门安装（安装后所产生的售后服务仍由</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lang w:val="en-US"/>
        </w:rPr>
        <w:t>自行负责），产生的所有费用由</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lang w:val="en-US"/>
        </w:rPr>
        <w:t>承担支付，</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lang w:val="en-US"/>
        </w:rPr>
        <w:t>有权直接从</w:t>
      </w:r>
      <w:r>
        <w:rPr>
          <w:rFonts w:hint="eastAsia" w:ascii="宋体" w:hAnsi="宋体" w:eastAsia="宋体" w:cs="宋体"/>
          <w:color w:val="auto"/>
          <w:sz w:val="24"/>
          <w:szCs w:val="24"/>
          <w:highlight w:val="none"/>
          <w:lang w:val="en-US" w:eastAsia="zh-CN"/>
        </w:rPr>
        <w:t>乙方履</w:t>
      </w:r>
      <w:r>
        <w:rPr>
          <w:rFonts w:hint="eastAsia" w:ascii="宋体" w:hAnsi="宋体" w:eastAsia="宋体" w:cs="宋体"/>
          <w:color w:val="auto"/>
          <w:sz w:val="24"/>
          <w:szCs w:val="24"/>
          <w:highlight w:val="none"/>
          <w:lang w:val="en-US"/>
        </w:rPr>
        <w:t>约保证金</w:t>
      </w:r>
      <w:r>
        <w:rPr>
          <w:rFonts w:hint="eastAsia" w:ascii="宋体" w:hAnsi="宋体" w:eastAsia="宋体" w:cs="宋体"/>
          <w:color w:val="auto"/>
          <w:sz w:val="24"/>
          <w:szCs w:val="24"/>
          <w:highlight w:val="none"/>
          <w:lang w:val="en-US" w:eastAsia="zh-CN"/>
        </w:rPr>
        <w:t>或未付款项</w:t>
      </w:r>
      <w:r>
        <w:rPr>
          <w:rFonts w:hint="eastAsia" w:ascii="宋体" w:hAnsi="宋体" w:eastAsia="宋体" w:cs="宋体"/>
          <w:color w:val="auto"/>
          <w:sz w:val="24"/>
          <w:szCs w:val="24"/>
          <w:highlight w:val="none"/>
          <w:lang w:val="en-US"/>
        </w:rPr>
        <w:t>中扣除。具体安装收费标准</w:t>
      </w:r>
      <w:r>
        <w:rPr>
          <w:rFonts w:hint="eastAsia" w:ascii="宋体" w:hAnsi="宋体" w:eastAsia="宋体" w:cs="宋体"/>
          <w:color w:val="auto"/>
          <w:sz w:val="24"/>
          <w:szCs w:val="24"/>
          <w:highlight w:val="none"/>
          <w:lang w:val="en-US" w:eastAsia="zh-CN"/>
        </w:rPr>
        <w:t>为60</w:t>
      </w:r>
      <w:r>
        <w:rPr>
          <w:rFonts w:hint="eastAsia" w:ascii="宋体" w:hAnsi="宋体" w:eastAsia="宋体" w:cs="宋体"/>
          <w:color w:val="auto"/>
          <w:sz w:val="24"/>
          <w:szCs w:val="24"/>
          <w:highlight w:val="none"/>
          <w:lang w:val="en-US"/>
        </w:rPr>
        <w:t>0</w:t>
      </w:r>
      <w:r>
        <w:rPr>
          <w:rFonts w:hint="eastAsia" w:ascii="宋体" w:hAnsi="宋体" w:eastAsia="宋体" w:cs="宋体"/>
          <w:color w:val="auto"/>
          <w:sz w:val="24"/>
          <w:szCs w:val="24"/>
          <w:highlight w:val="none"/>
          <w:lang w:val="en-US" w:eastAsia="zh-CN"/>
        </w:rPr>
        <w:t>元/台。</w:t>
      </w:r>
    </w:p>
    <w:p w14:paraId="711E8BD2">
      <w:pPr>
        <w:suppressAutoHyphens/>
        <w:autoSpaceDE w:val="0"/>
        <w:autoSpaceDN w:val="0"/>
        <w:bidi w:val="0"/>
        <w:adjustRightInd w:val="0"/>
        <w:snapToGrid w:val="0"/>
        <w:spacing w:beforeLines="0" w:line="360" w:lineRule="auto"/>
        <w:ind w:firstLine="480" w:firstLineChars="200"/>
        <w:jc w:val="left"/>
        <w:rPr>
          <w:rFonts w:hint="eastAsia" w:ascii="宋体" w:hAnsi="宋体" w:eastAsia="宋体" w:cs="宋体"/>
          <w:b w:val="0"/>
          <w:color w:val="auto"/>
          <w:sz w:val="24"/>
          <w:szCs w:val="24"/>
          <w:highlight w:val="none"/>
          <w:lang w:val="en-US"/>
        </w:rPr>
      </w:pPr>
      <w:r>
        <w:rPr>
          <w:rFonts w:hint="eastAsia" w:ascii="宋体" w:hAnsi="宋体" w:cs="宋体"/>
          <w:b w:val="0"/>
          <w:color w:val="auto"/>
          <w:sz w:val="24"/>
          <w:szCs w:val="24"/>
          <w:highlight w:val="none"/>
          <w:lang w:val="en-US" w:eastAsia="zh-CN"/>
        </w:rPr>
        <w:t>8</w:t>
      </w:r>
      <w:r>
        <w:rPr>
          <w:rFonts w:hint="eastAsia" w:ascii="宋体" w:hAnsi="宋体" w:eastAsia="宋体" w:cs="宋体"/>
          <w:b w:val="0"/>
          <w:color w:val="auto"/>
          <w:sz w:val="24"/>
          <w:szCs w:val="24"/>
          <w:highlight w:val="none"/>
          <w:lang w:val="en-US"/>
        </w:rPr>
        <w:t>.2</w:t>
      </w:r>
      <w:r>
        <w:rPr>
          <w:rFonts w:hint="eastAsia" w:ascii="宋体" w:hAnsi="宋体" w:eastAsia="宋体" w:cs="宋体"/>
          <w:b w:val="0"/>
          <w:color w:val="auto"/>
          <w:sz w:val="24"/>
          <w:szCs w:val="24"/>
          <w:highlight w:val="none"/>
          <w:lang w:val="en-US" w:eastAsia="zh-CN"/>
        </w:rPr>
        <w:t>0</w:t>
      </w:r>
      <w:r>
        <w:rPr>
          <w:rFonts w:hint="eastAsia" w:ascii="宋体" w:hAnsi="宋体" w:eastAsia="宋体" w:cs="宋体"/>
          <w:b w:val="0"/>
          <w:color w:val="auto"/>
          <w:sz w:val="24"/>
          <w:szCs w:val="24"/>
          <w:highlight w:val="none"/>
          <w:lang w:val="en-US"/>
        </w:rPr>
        <w:t>在最终用户验收合格前，若最终用户要求安装除触控一体机配套软件外的第三方软件，在最终用户提供安装软件的前提下，</w:t>
      </w:r>
      <w:r>
        <w:rPr>
          <w:rFonts w:hint="eastAsia" w:ascii="宋体" w:hAnsi="宋体" w:eastAsia="宋体" w:cs="宋体"/>
          <w:b w:val="0"/>
          <w:color w:val="auto"/>
          <w:sz w:val="24"/>
          <w:szCs w:val="24"/>
          <w:highlight w:val="none"/>
          <w:lang w:val="en-US" w:eastAsia="zh-CN"/>
        </w:rPr>
        <w:t>乙方</w:t>
      </w:r>
      <w:r>
        <w:rPr>
          <w:rFonts w:hint="eastAsia" w:ascii="宋体" w:hAnsi="宋体" w:eastAsia="宋体" w:cs="宋体"/>
          <w:b w:val="0"/>
          <w:color w:val="auto"/>
          <w:sz w:val="24"/>
          <w:szCs w:val="24"/>
          <w:highlight w:val="none"/>
          <w:lang w:val="en-US"/>
        </w:rPr>
        <w:t>需免费协助安装。</w:t>
      </w:r>
    </w:p>
    <w:p w14:paraId="7C005206">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b w:val="0"/>
          <w:color w:val="auto"/>
          <w:sz w:val="24"/>
          <w:szCs w:val="24"/>
          <w:highlight w:val="none"/>
          <w:lang w:val="en-US" w:eastAsia="zh-CN"/>
        </w:rPr>
      </w:pPr>
      <w:r>
        <w:rPr>
          <w:rFonts w:hint="eastAsia" w:ascii="宋体" w:hAnsi="宋体" w:cs="宋体"/>
          <w:b w:val="0"/>
          <w:color w:val="auto"/>
          <w:sz w:val="24"/>
          <w:szCs w:val="24"/>
          <w:highlight w:val="none"/>
          <w:lang w:val="en-US" w:eastAsia="zh-CN"/>
        </w:rPr>
        <w:t>8</w:t>
      </w:r>
      <w:r>
        <w:rPr>
          <w:rFonts w:hint="eastAsia" w:ascii="宋体" w:hAnsi="宋体" w:eastAsia="宋体" w:cs="宋体"/>
          <w:b w:val="0"/>
          <w:color w:val="auto"/>
          <w:sz w:val="24"/>
          <w:szCs w:val="24"/>
          <w:highlight w:val="none"/>
          <w:lang w:val="en-US" w:eastAsia="zh-CN"/>
        </w:rPr>
        <w:t>.21在触控一体机硬件和配套软件安装完成后，乙方应向最终用户免费提供还原软件，辅助最终用户设置还原节点并指导最终用户使用还原软件。</w:t>
      </w:r>
    </w:p>
    <w:p w14:paraId="5429C728">
      <w:pPr>
        <w:keepNext w:val="0"/>
        <w:keepLines w:val="0"/>
        <w:widowControl/>
        <w:suppressLineNumbers w:val="0"/>
        <w:suppressAutoHyphens/>
        <w:autoSpaceDE w:val="0"/>
        <w:autoSpaceDN w:val="0"/>
        <w:bidi w:val="0"/>
        <w:adjustRightInd w:val="0"/>
        <w:snapToGrid w:val="0"/>
        <w:spacing w:before="0" w:beforeLines="0" w:beforeAutospacing="0" w:after="0" w:afterAutospacing="0" w:line="360" w:lineRule="auto"/>
        <w:ind w:left="0" w:right="0" w:firstLine="480" w:firstLineChars="200"/>
        <w:jc w:val="left"/>
        <w:rPr>
          <w:rFonts w:hint="eastAsia" w:ascii="宋体" w:hAnsi="宋体" w:eastAsia="宋体" w:cs="宋体"/>
          <w:color w:val="auto"/>
          <w:kern w:val="2"/>
          <w:sz w:val="24"/>
          <w:szCs w:val="24"/>
          <w:highlight w:val="none"/>
        </w:rPr>
      </w:pPr>
      <w:r>
        <w:rPr>
          <w:rFonts w:hint="eastAsia" w:ascii="宋体" w:hAnsi="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eastAsia="zh-CN"/>
        </w:rPr>
        <w:t>.22</w:t>
      </w:r>
      <w:r>
        <w:rPr>
          <w:rFonts w:hint="eastAsia" w:ascii="宋体" w:hAnsi="宋体" w:eastAsia="宋体" w:cs="宋体"/>
          <w:color w:val="auto"/>
          <w:kern w:val="2"/>
          <w:sz w:val="24"/>
          <w:szCs w:val="24"/>
          <w:highlight w:val="none"/>
          <w:lang w:val="en-US" w:eastAsia="zh-CN" w:bidi="ar"/>
        </w:rPr>
        <w:t>乙方需对接甲方平台</w:t>
      </w:r>
      <w:r>
        <w:rPr>
          <w:rFonts w:hint="eastAsia" w:ascii="宋体" w:hAnsi="宋体" w:eastAsia="宋体" w:cs="宋体"/>
          <w:color w:val="auto"/>
          <w:kern w:val="2"/>
          <w:sz w:val="24"/>
          <w:szCs w:val="24"/>
          <w:highlight w:val="none"/>
          <w:lang w:eastAsia="zh-CN" w:bidi="ar"/>
        </w:rPr>
        <w:t>（</w:t>
      </w:r>
      <w:r>
        <w:rPr>
          <w:rFonts w:hint="eastAsia" w:ascii="宋体" w:hAnsi="宋体" w:eastAsia="宋体" w:cs="宋体"/>
          <w:color w:val="auto"/>
          <w:kern w:val="2"/>
          <w:sz w:val="24"/>
          <w:szCs w:val="24"/>
          <w:highlight w:val="none"/>
          <w:lang w:val="en-US" w:eastAsia="zh-CN" w:bidi="ar"/>
        </w:rPr>
        <w:t>供应服务管理系统</w:t>
      </w:r>
      <w:r>
        <w:rPr>
          <w:rFonts w:hint="eastAsia" w:ascii="宋体" w:hAnsi="宋体" w:eastAsia="宋体" w:cs="宋体"/>
          <w:color w:val="auto"/>
          <w:kern w:val="2"/>
          <w:sz w:val="24"/>
          <w:szCs w:val="24"/>
          <w:highlight w:val="none"/>
          <w:lang w:eastAsia="zh-CN" w:bidi="ar"/>
        </w:rPr>
        <w:t>）</w:t>
      </w:r>
      <w:r>
        <w:rPr>
          <w:rFonts w:hint="eastAsia" w:ascii="宋体" w:hAnsi="宋体" w:eastAsia="宋体" w:cs="宋体"/>
          <w:color w:val="auto"/>
          <w:kern w:val="2"/>
          <w:sz w:val="24"/>
          <w:szCs w:val="24"/>
          <w:highlight w:val="none"/>
          <w:lang w:val="en-US" w:eastAsia="zh-CN" w:bidi="ar"/>
        </w:rPr>
        <w:t>，为最终用户提供安装预约和在线报修等服务。当乙方收到平台的安装派单、或最终用户报修需求后，应按照合同约定的时效，及时上门进行安装或维修工作。安装或维修工作完成后，乙方需将反馈记录（包括服务人员、服务反馈、机身序列号、照片、电子验收单等信息）回执至甲方平台。通过使用甲方平台，提高最终用户安装或报修的便捷性和售后效率。</w:t>
      </w:r>
    </w:p>
    <w:p w14:paraId="27E63577">
      <w:pPr>
        <w:keepNext w:val="0"/>
        <w:keepLines w:val="0"/>
        <w:widowControl/>
        <w:suppressLineNumbers w:val="0"/>
        <w:suppressAutoHyphens/>
        <w:autoSpaceDE w:val="0"/>
        <w:autoSpaceDN w:val="0"/>
        <w:bidi w:val="0"/>
        <w:adjustRightInd w:val="0"/>
        <w:snapToGrid w:val="0"/>
        <w:spacing w:before="0" w:beforeLines="0" w:beforeAutospacing="0" w:after="0" w:afterAutospacing="0" w:line="360" w:lineRule="auto"/>
        <w:ind w:left="0" w:right="0" w:firstLine="480" w:firstLineChars="200"/>
        <w:jc w:val="left"/>
        <w:rPr>
          <w:rFonts w:hint="eastAsia" w:ascii="宋体" w:hAnsi="宋体" w:eastAsia="宋体" w:cs="宋体"/>
          <w:color w:val="auto"/>
          <w:kern w:val="2"/>
          <w:sz w:val="24"/>
          <w:szCs w:val="24"/>
          <w:highlight w:val="none"/>
        </w:rPr>
      </w:pPr>
      <w:r>
        <w:rPr>
          <w:rFonts w:hint="eastAsia" w:ascii="宋体" w:hAnsi="宋体" w:cs="宋体"/>
          <w:color w:val="auto"/>
          <w:kern w:val="2"/>
          <w:sz w:val="24"/>
          <w:szCs w:val="24"/>
          <w:highlight w:val="none"/>
          <w:lang w:val="en-US" w:eastAsia="zh-CN" w:bidi="ar"/>
        </w:rPr>
        <w:t>8</w:t>
      </w:r>
      <w:r>
        <w:rPr>
          <w:rFonts w:hint="eastAsia" w:ascii="宋体" w:hAnsi="宋体" w:eastAsia="宋体" w:cs="宋体"/>
          <w:color w:val="auto"/>
          <w:kern w:val="2"/>
          <w:sz w:val="24"/>
          <w:szCs w:val="24"/>
          <w:highlight w:val="none"/>
          <w:lang w:eastAsia="zh-CN" w:bidi="ar"/>
        </w:rPr>
        <w:t>.23</w:t>
      </w:r>
      <w:r>
        <w:rPr>
          <w:rFonts w:hint="eastAsia" w:ascii="宋体" w:hAnsi="宋体" w:eastAsia="宋体" w:cs="宋体"/>
          <w:color w:val="auto"/>
          <w:kern w:val="2"/>
          <w:sz w:val="24"/>
          <w:szCs w:val="24"/>
          <w:highlight w:val="none"/>
          <w:lang w:val="en-US" w:eastAsia="zh-CN" w:bidi="ar"/>
        </w:rPr>
        <w:t>乙方应设立7×24小时全天候响应的售后服务专线电话，并确保与甲方供应服务管理系统保持实时响应。若因产品自身质量问题导致的退、换机情况，乙方应直接办理退、换流程，无需经甲方仓库周转。所有新机必须严格遵循甲方供应服务管理系统的维护规范，及二维码标签管理要求。</w:t>
      </w:r>
    </w:p>
    <w:p w14:paraId="465A8E32">
      <w:pPr>
        <w:widowControl/>
        <w:shd w:val="clear" w:color="auto" w:fill="FFFFFF"/>
        <w:suppressAutoHyphens/>
        <w:autoSpaceDE w:val="0"/>
        <w:autoSpaceDN w:val="0"/>
        <w:bidi w:val="0"/>
        <w:adjustRightInd w:val="0"/>
        <w:snapToGrid w:val="0"/>
        <w:spacing w:beforeLines="0" w:line="360" w:lineRule="auto"/>
        <w:ind w:left="0" w:right="0" w:firstLine="480" w:firstLineChars="200"/>
        <w:jc w:val="left"/>
        <w:rPr>
          <w:rFonts w:hint="eastAsia" w:ascii="宋体" w:hAnsi="宋体" w:eastAsia="宋体" w:cs="宋体"/>
          <w:bCs w:val="0"/>
          <w:color w:val="auto"/>
          <w:kern w:val="2"/>
          <w:sz w:val="24"/>
          <w:szCs w:val="24"/>
          <w:highlight w:val="none"/>
          <w:shd w:val="clear" w:color="auto" w:fill="FFFFFF"/>
        </w:rPr>
      </w:pPr>
      <w:r>
        <w:rPr>
          <w:rFonts w:hint="eastAsia" w:ascii="宋体" w:hAnsi="宋体" w:cs="宋体"/>
          <w:color w:val="auto"/>
          <w:kern w:val="2"/>
          <w:sz w:val="24"/>
          <w:szCs w:val="24"/>
          <w:highlight w:val="none"/>
          <w:shd w:val="clear" w:color="auto" w:fill="FFFFFF"/>
          <w:lang w:val="en-US" w:eastAsia="zh-CN"/>
        </w:rPr>
        <w:t>8</w:t>
      </w:r>
      <w:r>
        <w:rPr>
          <w:rFonts w:hint="eastAsia" w:ascii="宋体" w:hAnsi="宋体" w:eastAsia="宋体" w:cs="宋体"/>
          <w:color w:val="auto"/>
          <w:kern w:val="2"/>
          <w:sz w:val="24"/>
          <w:szCs w:val="24"/>
          <w:highlight w:val="none"/>
          <w:shd w:val="clear" w:color="auto" w:fill="FFFFFF"/>
          <w:lang w:val="en-US"/>
        </w:rPr>
        <w:t>.24</w:t>
      </w:r>
      <w:r>
        <w:rPr>
          <w:rFonts w:hint="eastAsia" w:ascii="宋体" w:hAnsi="宋体" w:eastAsia="宋体" w:cs="宋体"/>
          <w:bCs w:val="0"/>
          <w:color w:val="auto"/>
          <w:kern w:val="2"/>
          <w:sz w:val="24"/>
          <w:szCs w:val="24"/>
          <w:highlight w:val="none"/>
          <w:shd w:val="clear" w:color="auto" w:fill="FFFFFF"/>
        </w:rPr>
        <w:t>二维码标签管理要求</w:t>
      </w:r>
    </w:p>
    <w:p w14:paraId="3B063A81">
      <w:pPr>
        <w:widowControl/>
        <w:shd w:val="clear" w:color="auto" w:fill="FFFFFF"/>
        <w:suppressAutoHyphens/>
        <w:autoSpaceDE w:val="0"/>
        <w:autoSpaceDN w:val="0"/>
        <w:bidi w:val="0"/>
        <w:adjustRightInd w:val="0"/>
        <w:snapToGrid w:val="0"/>
        <w:spacing w:beforeLines="0" w:line="360" w:lineRule="auto"/>
        <w:ind w:left="0" w:right="0" w:firstLine="480" w:firstLineChars="200"/>
        <w:jc w:val="left"/>
        <w:rPr>
          <w:rFonts w:hint="eastAsia" w:ascii="宋体" w:hAnsi="宋体" w:eastAsia="宋体" w:cs="宋体"/>
          <w:color w:val="auto"/>
          <w:kern w:val="2"/>
          <w:sz w:val="24"/>
          <w:szCs w:val="24"/>
          <w:highlight w:val="none"/>
          <w:shd w:val="clear" w:color="auto" w:fill="FFFFFF"/>
        </w:rPr>
      </w:pPr>
      <w:r>
        <w:rPr>
          <w:rFonts w:hint="eastAsia" w:ascii="宋体" w:hAnsi="宋体" w:cs="宋体"/>
          <w:color w:val="auto"/>
          <w:kern w:val="2"/>
          <w:sz w:val="24"/>
          <w:szCs w:val="24"/>
          <w:highlight w:val="none"/>
          <w:shd w:val="clear" w:color="auto" w:fill="FFFFFF"/>
          <w:lang w:val="en-US" w:eastAsia="zh-CN"/>
        </w:rPr>
        <w:t>8</w:t>
      </w:r>
      <w:r>
        <w:rPr>
          <w:rFonts w:hint="eastAsia" w:ascii="宋体" w:hAnsi="宋体" w:eastAsia="宋体" w:cs="宋体"/>
          <w:color w:val="auto"/>
          <w:kern w:val="2"/>
          <w:sz w:val="24"/>
          <w:szCs w:val="24"/>
          <w:highlight w:val="none"/>
          <w:shd w:val="clear" w:color="auto" w:fill="FFFFFF"/>
          <w:lang w:val="en-US"/>
        </w:rPr>
        <w:t>.24.1</w:t>
      </w:r>
      <w:r>
        <w:rPr>
          <w:rFonts w:hint="eastAsia" w:ascii="宋体" w:hAnsi="宋体" w:eastAsia="宋体" w:cs="宋体"/>
          <w:color w:val="auto"/>
          <w:kern w:val="2"/>
          <w:sz w:val="24"/>
          <w:szCs w:val="24"/>
          <w:highlight w:val="none"/>
          <w:shd w:val="clear" w:color="auto" w:fill="FFFFFF"/>
        </w:rPr>
        <w:t>乙方须严格按照甲方要求，通过供应服务管理系统生成动态二维码标签，严格执行"一物一码"，确保每个产品对应唯一且可追溯的识别标签。PP纸尺寸要求不得小于60mm×40mm，需保证标签清晰、可扫描、不易脱落。</w:t>
      </w:r>
    </w:p>
    <w:p w14:paraId="20EE821F">
      <w:pPr>
        <w:widowControl/>
        <w:shd w:val="clear" w:color="auto" w:fill="FFFFFF"/>
        <w:suppressAutoHyphens/>
        <w:autoSpaceDE w:val="0"/>
        <w:autoSpaceDN w:val="0"/>
        <w:bidi w:val="0"/>
        <w:adjustRightInd w:val="0"/>
        <w:snapToGrid w:val="0"/>
        <w:spacing w:beforeLines="0" w:line="360" w:lineRule="auto"/>
        <w:ind w:left="0" w:right="0" w:firstLine="480" w:firstLineChars="200"/>
        <w:jc w:val="left"/>
        <w:rPr>
          <w:rFonts w:hint="eastAsia" w:ascii="宋体" w:hAnsi="宋体" w:eastAsia="宋体" w:cs="宋体"/>
          <w:color w:val="auto"/>
          <w:kern w:val="2"/>
          <w:sz w:val="24"/>
          <w:szCs w:val="24"/>
          <w:highlight w:val="none"/>
          <w:shd w:val="clear" w:color="auto" w:fill="FFFFFF"/>
        </w:rPr>
      </w:pPr>
      <w:r>
        <w:rPr>
          <w:rFonts w:hint="eastAsia" w:ascii="宋体" w:hAnsi="宋体" w:cs="宋体"/>
          <w:color w:val="auto"/>
          <w:kern w:val="2"/>
          <w:sz w:val="24"/>
          <w:szCs w:val="24"/>
          <w:highlight w:val="none"/>
          <w:shd w:val="clear" w:color="auto" w:fill="FFFFFF"/>
          <w:lang w:val="en-US" w:eastAsia="zh-CN"/>
        </w:rPr>
        <w:t>8</w:t>
      </w:r>
      <w:r>
        <w:rPr>
          <w:rFonts w:hint="eastAsia" w:ascii="宋体" w:hAnsi="宋体" w:eastAsia="宋体" w:cs="宋体"/>
          <w:color w:val="auto"/>
          <w:kern w:val="2"/>
          <w:sz w:val="24"/>
          <w:szCs w:val="24"/>
          <w:highlight w:val="none"/>
          <w:shd w:val="clear" w:color="auto" w:fill="FFFFFF"/>
          <w:lang w:val="en-US"/>
        </w:rPr>
        <w:t>.24.2</w:t>
      </w:r>
      <w:r>
        <w:rPr>
          <w:rFonts w:hint="eastAsia" w:ascii="宋体" w:hAnsi="宋体" w:eastAsia="宋体" w:cs="宋体"/>
          <w:color w:val="auto"/>
          <w:kern w:val="2"/>
          <w:sz w:val="24"/>
          <w:szCs w:val="24"/>
          <w:highlight w:val="none"/>
          <w:shd w:val="clear" w:color="auto" w:fill="FFFFFF"/>
        </w:rPr>
        <w:t>甲方对乙方采购热敏打印机的设备型号、及采购渠道不作限制性要求，但乙方应确保所采购设备持续处于正常运行状态，能够完全满足甲方规定的标签打印质量及供货要求。如因设备故障、耗材短缺等乙方自身原因导致标签打印中断，乙方应于24小时内通知甲方，或与最终客户协商报备，并采取补救措施，确保标签供应不受影响。</w:t>
      </w:r>
    </w:p>
    <w:p w14:paraId="3ADE149E">
      <w:pPr>
        <w:widowControl/>
        <w:shd w:val="clear" w:color="auto" w:fill="FFFFFF"/>
        <w:suppressAutoHyphens/>
        <w:autoSpaceDE w:val="0"/>
        <w:autoSpaceDN w:val="0"/>
        <w:bidi w:val="0"/>
        <w:adjustRightInd w:val="0"/>
        <w:snapToGrid w:val="0"/>
        <w:spacing w:beforeLines="0" w:line="360" w:lineRule="auto"/>
        <w:ind w:left="0" w:right="0" w:firstLine="480" w:firstLineChars="200"/>
        <w:jc w:val="left"/>
        <w:rPr>
          <w:rFonts w:hint="eastAsia" w:ascii="宋体" w:hAnsi="宋体" w:eastAsia="宋体" w:cs="宋体"/>
          <w:color w:val="auto"/>
          <w:kern w:val="2"/>
          <w:sz w:val="24"/>
          <w:szCs w:val="24"/>
          <w:highlight w:val="none"/>
          <w:shd w:val="clear" w:color="auto" w:fill="FFFFFF"/>
        </w:rPr>
      </w:pPr>
      <w:r>
        <w:rPr>
          <w:rFonts w:hint="eastAsia" w:ascii="宋体" w:hAnsi="宋体" w:cs="宋体"/>
          <w:color w:val="auto"/>
          <w:kern w:val="2"/>
          <w:sz w:val="24"/>
          <w:szCs w:val="24"/>
          <w:highlight w:val="none"/>
          <w:shd w:val="clear" w:color="auto" w:fill="FFFFFF"/>
          <w:lang w:val="en-US" w:eastAsia="zh-CN"/>
        </w:rPr>
        <w:t>8</w:t>
      </w:r>
      <w:r>
        <w:rPr>
          <w:rFonts w:hint="eastAsia" w:ascii="宋体" w:hAnsi="宋体" w:eastAsia="宋体" w:cs="宋体"/>
          <w:color w:val="auto"/>
          <w:kern w:val="2"/>
          <w:sz w:val="24"/>
          <w:szCs w:val="24"/>
          <w:highlight w:val="none"/>
          <w:shd w:val="clear" w:color="auto" w:fill="FFFFFF"/>
          <w:lang w:val="en-US"/>
        </w:rPr>
        <w:t>.24.3</w:t>
      </w:r>
      <w:r>
        <w:rPr>
          <w:rFonts w:hint="eastAsia" w:ascii="宋体" w:hAnsi="宋体" w:eastAsia="宋体" w:cs="宋体"/>
          <w:color w:val="auto"/>
          <w:kern w:val="2"/>
          <w:sz w:val="24"/>
          <w:szCs w:val="24"/>
          <w:highlight w:val="none"/>
          <w:shd w:val="clear" w:color="auto" w:fill="FFFFFF"/>
        </w:rPr>
        <w:t>甲方享有对乙方标签使用管理情况的监督检查权</w:t>
      </w:r>
      <w:r>
        <w:rPr>
          <w:rFonts w:hint="eastAsia" w:ascii="宋体" w:hAnsi="宋体" w:eastAsia="宋体" w:cs="宋体"/>
          <w:color w:val="auto"/>
          <w:kern w:val="2"/>
          <w:sz w:val="24"/>
          <w:szCs w:val="24"/>
          <w:highlight w:val="none"/>
          <w:shd w:val="clear" w:color="auto" w:fill="FFFFFF"/>
        </w:rPr>
        <w:t>，包括但不限于随机抽样检查。经查实存在</w:t>
      </w:r>
      <w:r>
        <w:rPr>
          <w:rFonts w:hint="eastAsia" w:ascii="宋体" w:hAnsi="宋体" w:eastAsia="宋体" w:cs="宋体"/>
          <w:b w:val="0"/>
          <w:bCs w:val="0"/>
          <w:color w:val="auto"/>
          <w:kern w:val="2"/>
          <w:sz w:val="24"/>
          <w:szCs w:val="24"/>
          <w:highlight w:val="none"/>
          <w:shd w:val="clear" w:color="auto" w:fill="FFFFFF"/>
        </w:rPr>
        <w:t>漏贴、错贴、重复贴码</w:t>
      </w:r>
      <w:r>
        <w:rPr>
          <w:rFonts w:hint="eastAsia" w:ascii="宋体" w:hAnsi="宋体" w:eastAsia="宋体" w:cs="宋体"/>
          <w:color w:val="auto"/>
          <w:kern w:val="2"/>
          <w:sz w:val="24"/>
          <w:szCs w:val="24"/>
          <w:highlight w:val="none"/>
          <w:shd w:val="clear" w:color="auto" w:fill="FFFFFF"/>
        </w:rPr>
        <w:t>等不符合“一物一码”管理要求的情况，甲方将依照《服务考核细则》约定的相关标准</w:t>
      </w:r>
      <w:r>
        <w:rPr>
          <w:rFonts w:hint="eastAsia" w:ascii="宋体" w:hAnsi="宋体" w:eastAsia="宋体" w:cs="宋体"/>
          <w:color w:val="auto"/>
          <w:kern w:val="2"/>
          <w:sz w:val="24"/>
          <w:szCs w:val="24"/>
          <w:highlight w:val="none"/>
          <w:shd w:val="clear" w:color="auto" w:fill="FFFFFF"/>
        </w:rPr>
        <w:t>采取相应扣罚措施</w:t>
      </w:r>
      <w:r>
        <w:rPr>
          <w:rFonts w:hint="eastAsia" w:ascii="宋体" w:hAnsi="宋体" w:eastAsia="宋体" w:cs="宋体"/>
          <w:color w:val="auto"/>
          <w:kern w:val="2"/>
          <w:sz w:val="24"/>
          <w:szCs w:val="24"/>
          <w:highlight w:val="none"/>
          <w:shd w:val="clear" w:color="auto" w:fill="FFFFFF"/>
        </w:rPr>
        <w:t>。</w:t>
      </w:r>
    </w:p>
    <w:p w14:paraId="4CE4937B">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cs="宋体"/>
          <w:color w:val="auto"/>
          <w:kern w:val="2"/>
          <w:sz w:val="24"/>
          <w:szCs w:val="24"/>
          <w:highlight w:val="none"/>
          <w:shd w:val="clear" w:color="auto" w:fill="auto"/>
          <w:lang w:val="en-US" w:eastAsia="zh-CN"/>
        </w:rPr>
        <w:t>8</w:t>
      </w:r>
      <w:r>
        <w:rPr>
          <w:rFonts w:hint="eastAsia" w:ascii="宋体" w:hAnsi="宋体" w:eastAsia="宋体" w:cs="宋体"/>
          <w:color w:val="auto"/>
          <w:kern w:val="2"/>
          <w:sz w:val="24"/>
          <w:szCs w:val="24"/>
          <w:highlight w:val="none"/>
          <w:shd w:val="clear" w:color="auto" w:fill="auto"/>
        </w:rPr>
        <w:t>.24.4若乙方因自身原因无法满足标签打印要求，可选择向甲方申请采购空码标签，此项采购行为应基于双方自愿原则进行。乙方不得以“</w:t>
      </w:r>
      <w:r>
        <w:rPr>
          <w:rFonts w:hint="eastAsia" w:ascii="宋体" w:hAnsi="宋体" w:eastAsia="宋体" w:cs="宋体"/>
          <w:b w:val="0"/>
          <w:bCs w:val="0"/>
          <w:color w:val="auto"/>
          <w:kern w:val="2"/>
          <w:sz w:val="24"/>
          <w:szCs w:val="24"/>
          <w:highlight w:val="none"/>
          <w:shd w:val="clear" w:color="auto" w:fill="auto"/>
        </w:rPr>
        <w:t>设备故障</w:t>
      </w:r>
      <w:r>
        <w:rPr>
          <w:rFonts w:hint="eastAsia" w:ascii="宋体" w:hAnsi="宋体" w:eastAsia="宋体" w:cs="宋体"/>
          <w:color w:val="auto"/>
          <w:kern w:val="2"/>
          <w:sz w:val="24"/>
          <w:szCs w:val="24"/>
          <w:highlight w:val="none"/>
          <w:shd w:val="clear" w:color="auto" w:fill="auto"/>
        </w:rPr>
        <w:t>”“</w:t>
      </w:r>
      <w:r>
        <w:rPr>
          <w:rFonts w:hint="eastAsia" w:ascii="宋体" w:hAnsi="宋体" w:eastAsia="宋体" w:cs="宋体"/>
          <w:b w:val="0"/>
          <w:bCs w:val="0"/>
          <w:color w:val="auto"/>
          <w:kern w:val="2"/>
          <w:sz w:val="24"/>
          <w:szCs w:val="24"/>
          <w:highlight w:val="none"/>
          <w:shd w:val="clear" w:color="auto" w:fill="auto"/>
        </w:rPr>
        <w:t>标签不足</w:t>
      </w:r>
      <w:r>
        <w:rPr>
          <w:rFonts w:hint="eastAsia" w:ascii="宋体" w:hAnsi="宋体" w:eastAsia="宋体" w:cs="宋体"/>
          <w:color w:val="auto"/>
          <w:kern w:val="2"/>
          <w:sz w:val="24"/>
          <w:szCs w:val="24"/>
          <w:highlight w:val="none"/>
          <w:shd w:val="clear" w:color="auto" w:fill="auto"/>
        </w:rPr>
        <w:t>”等理由逃避、或</w:t>
      </w:r>
      <w:r>
        <w:rPr>
          <w:rFonts w:hint="eastAsia" w:ascii="宋体" w:hAnsi="宋体" w:eastAsia="宋体" w:cs="宋体"/>
          <w:color w:val="auto"/>
          <w:kern w:val="2"/>
          <w:sz w:val="24"/>
          <w:szCs w:val="24"/>
          <w:highlight w:val="none"/>
          <w:shd w:val="clear" w:color="auto" w:fill="auto"/>
        </w:rPr>
        <w:t>迟延履行</w:t>
      </w:r>
      <w:r>
        <w:rPr>
          <w:rFonts w:hint="eastAsia" w:ascii="宋体" w:hAnsi="宋体" w:eastAsia="宋体" w:cs="宋体"/>
          <w:color w:val="auto"/>
          <w:kern w:val="2"/>
          <w:sz w:val="24"/>
          <w:szCs w:val="24"/>
          <w:highlight w:val="none"/>
          <w:shd w:val="clear" w:color="auto" w:fill="auto"/>
        </w:rPr>
        <w:t>贴码责任，否则甲方有权追究责任。</w:t>
      </w:r>
    </w:p>
    <w:p w14:paraId="5F89B27F">
      <w:pPr>
        <w:suppressAutoHyphens/>
        <w:autoSpaceDE w:val="0"/>
        <w:autoSpaceDN w:val="0"/>
        <w:bidi w:val="0"/>
        <w:adjustRightInd w:val="0"/>
        <w:snapToGrid w:val="0"/>
        <w:spacing w:beforeLines="0" w:line="360" w:lineRule="auto"/>
        <w:ind w:firstLine="482" w:firstLineChars="200"/>
        <w:jc w:val="left"/>
        <w:rPr>
          <w:rFonts w:hint="eastAsia" w:ascii="宋体" w:hAnsi="宋体" w:eastAsia="宋体" w:cs="宋体"/>
          <w:b/>
          <w:bCs/>
          <w:color w:val="auto"/>
          <w:sz w:val="24"/>
          <w:szCs w:val="24"/>
          <w:highlight w:val="none"/>
          <w:lang w:val="en-GB"/>
        </w:rPr>
      </w:pPr>
      <w:r>
        <w:rPr>
          <w:rFonts w:hint="eastAsia" w:ascii="宋体" w:hAnsi="宋体" w:cs="宋体"/>
          <w:b/>
          <w:bCs/>
          <w:color w:val="auto"/>
          <w:sz w:val="24"/>
          <w:szCs w:val="24"/>
          <w:highlight w:val="none"/>
          <w:lang w:val="en-US" w:eastAsia="zh-CN"/>
        </w:rPr>
        <w:t>9</w:t>
      </w:r>
      <w:r>
        <w:rPr>
          <w:rFonts w:hint="eastAsia" w:ascii="宋体" w:hAnsi="宋体" w:eastAsia="宋体" w:cs="宋体"/>
          <w:b/>
          <w:bCs/>
          <w:color w:val="auto"/>
          <w:sz w:val="24"/>
          <w:szCs w:val="24"/>
          <w:highlight w:val="none"/>
          <w:lang w:val="en-GB"/>
        </w:rPr>
        <w:t>、知识产权</w:t>
      </w:r>
    </w:p>
    <w:p w14:paraId="7F609402">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lang w:val="en-GB" w:eastAsia="zh-CN"/>
        </w:rPr>
        <w:t>乙</w:t>
      </w:r>
      <w:r>
        <w:rPr>
          <w:rFonts w:hint="eastAsia" w:ascii="宋体" w:hAnsi="宋体" w:eastAsia="宋体" w:cs="宋体"/>
          <w:color w:val="auto"/>
          <w:sz w:val="24"/>
          <w:szCs w:val="24"/>
          <w:highlight w:val="none"/>
          <w:lang w:val="en-GB"/>
        </w:rPr>
        <w:t>方须保障</w:t>
      </w:r>
      <w:r>
        <w:rPr>
          <w:rFonts w:hint="eastAsia" w:ascii="宋体" w:hAnsi="宋体" w:eastAsia="宋体" w:cs="宋体"/>
          <w:color w:val="auto"/>
          <w:sz w:val="24"/>
          <w:szCs w:val="24"/>
          <w:highlight w:val="none"/>
          <w:lang w:val="en-GB" w:eastAsia="zh-CN"/>
        </w:rPr>
        <w:t>甲</w:t>
      </w:r>
      <w:r>
        <w:rPr>
          <w:rFonts w:hint="eastAsia" w:ascii="宋体" w:hAnsi="宋体" w:eastAsia="宋体" w:cs="宋体"/>
          <w:color w:val="auto"/>
          <w:sz w:val="24"/>
          <w:szCs w:val="24"/>
          <w:highlight w:val="none"/>
          <w:lang w:val="en-GB"/>
        </w:rPr>
        <w:t>方或最终用户在使用该货物或其任何一部分时不受到第三方关于侵犯专利权、商标权或工业设计权等知识产权的指控。如果任何第三方提出侵权指控与</w:t>
      </w:r>
      <w:r>
        <w:rPr>
          <w:rFonts w:hint="eastAsia" w:ascii="宋体" w:hAnsi="宋体" w:eastAsia="宋体" w:cs="宋体"/>
          <w:color w:val="auto"/>
          <w:sz w:val="24"/>
          <w:szCs w:val="24"/>
          <w:highlight w:val="none"/>
          <w:lang w:val="en-GB" w:eastAsia="zh-CN"/>
        </w:rPr>
        <w:t>甲</w:t>
      </w:r>
      <w:r>
        <w:rPr>
          <w:rFonts w:hint="eastAsia" w:ascii="宋体" w:hAnsi="宋体" w:eastAsia="宋体" w:cs="宋体"/>
          <w:color w:val="auto"/>
          <w:sz w:val="24"/>
          <w:szCs w:val="24"/>
          <w:highlight w:val="none"/>
          <w:lang w:val="en-GB"/>
        </w:rPr>
        <w:t>方、最终用户无关，</w:t>
      </w:r>
      <w:r>
        <w:rPr>
          <w:rFonts w:hint="eastAsia" w:ascii="宋体" w:hAnsi="宋体" w:eastAsia="宋体" w:cs="宋体"/>
          <w:color w:val="auto"/>
          <w:sz w:val="24"/>
          <w:szCs w:val="24"/>
          <w:highlight w:val="none"/>
          <w:lang w:val="en-GB" w:eastAsia="zh-CN"/>
        </w:rPr>
        <w:t>乙</w:t>
      </w:r>
      <w:r>
        <w:rPr>
          <w:rFonts w:hint="eastAsia" w:ascii="宋体" w:hAnsi="宋体" w:eastAsia="宋体" w:cs="宋体"/>
          <w:color w:val="auto"/>
          <w:sz w:val="24"/>
          <w:szCs w:val="24"/>
          <w:highlight w:val="none"/>
          <w:lang w:val="en-GB"/>
        </w:rPr>
        <w:t>方须与第三方交涉并承担可能发生的责任与一切费用。如</w:t>
      </w:r>
      <w:r>
        <w:rPr>
          <w:rFonts w:hint="eastAsia" w:ascii="宋体" w:hAnsi="宋体" w:eastAsia="宋体" w:cs="宋体"/>
          <w:color w:val="auto"/>
          <w:sz w:val="24"/>
          <w:szCs w:val="24"/>
          <w:highlight w:val="none"/>
          <w:lang w:val="en-GB" w:eastAsia="zh-CN"/>
        </w:rPr>
        <w:t>甲</w:t>
      </w:r>
      <w:r>
        <w:rPr>
          <w:rFonts w:hint="eastAsia" w:ascii="宋体" w:hAnsi="宋体" w:eastAsia="宋体" w:cs="宋体"/>
          <w:color w:val="auto"/>
          <w:sz w:val="24"/>
          <w:szCs w:val="24"/>
          <w:highlight w:val="none"/>
          <w:lang w:val="en-GB"/>
        </w:rPr>
        <w:t>方或最终用户因此而遭致损失的，</w:t>
      </w:r>
      <w:r>
        <w:rPr>
          <w:rFonts w:hint="eastAsia" w:ascii="宋体" w:hAnsi="宋体" w:eastAsia="宋体" w:cs="宋体"/>
          <w:color w:val="auto"/>
          <w:sz w:val="24"/>
          <w:szCs w:val="24"/>
          <w:highlight w:val="none"/>
          <w:lang w:val="en-GB" w:eastAsia="zh-CN"/>
        </w:rPr>
        <w:t>乙</w:t>
      </w:r>
      <w:r>
        <w:rPr>
          <w:rFonts w:hint="eastAsia" w:ascii="宋体" w:hAnsi="宋体" w:eastAsia="宋体" w:cs="宋体"/>
          <w:color w:val="auto"/>
          <w:sz w:val="24"/>
          <w:szCs w:val="24"/>
          <w:highlight w:val="none"/>
          <w:lang w:val="en-GB"/>
        </w:rPr>
        <w:t>方应赔偿该损失。</w:t>
      </w:r>
    </w:p>
    <w:p w14:paraId="0CBB1E85">
      <w:pPr>
        <w:suppressAutoHyphens/>
        <w:autoSpaceDE w:val="0"/>
        <w:autoSpaceDN w:val="0"/>
        <w:bidi w:val="0"/>
        <w:adjustRightInd w:val="0"/>
        <w:snapToGrid w:val="0"/>
        <w:spacing w:before="0" w:beforeLines="0" w:line="360" w:lineRule="auto"/>
        <w:ind w:firstLine="482" w:firstLineChars="200"/>
        <w:jc w:val="left"/>
        <w:rPr>
          <w:rFonts w:hint="eastAsia" w:ascii="宋体" w:hAnsi="宋体" w:eastAsia="宋体" w:cs="宋体"/>
          <w:b/>
          <w:bCs/>
          <w:color w:val="auto"/>
          <w:sz w:val="24"/>
          <w:szCs w:val="24"/>
          <w:highlight w:val="none"/>
          <w:lang w:val="en-GB"/>
        </w:rPr>
      </w:pPr>
      <w:r>
        <w:rPr>
          <w:rFonts w:hint="eastAsia" w:ascii="宋体" w:hAnsi="宋体" w:cs="宋体"/>
          <w:b/>
          <w:bCs/>
          <w:color w:val="auto"/>
          <w:sz w:val="24"/>
          <w:szCs w:val="24"/>
          <w:highlight w:val="none"/>
          <w:lang w:val="en-US" w:eastAsia="zh-CN"/>
        </w:rPr>
        <w:t>10</w:t>
      </w:r>
      <w:r>
        <w:rPr>
          <w:rFonts w:hint="eastAsia" w:ascii="宋体" w:hAnsi="宋体" w:eastAsia="宋体" w:cs="宋体"/>
          <w:b/>
          <w:bCs/>
          <w:color w:val="auto"/>
          <w:sz w:val="24"/>
          <w:szCs w:val="24"/>
          <w:highlight w:val="none"/>
          <w:lang w:val="en-GB"/>
        </w:rPr>
        <w:t>、违约责任</w:t>
      </w:r>
    </w:p>
    <w:p w14:paraId="6C81A831">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lang w:val="en-GB"/>
        </w:rPr>
        <w:t>.1</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若未能按时将保质足量产品送到</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仓库或最终用户指定地点的、或未能按时完成安装调试的，</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应向</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每日支付当批货款0.5%的逾期违约金。单批次（单个《定货单》）供货中逾期超过5个日历日交货或者安装不及时率（即：（逾期超过5日的货物数量+逾期安装的货物数量）/该批次货物总数量）超过7%的，</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有权单方面解除合同并没收履约保证金，</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除应退还</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已支付的该批次货款外，还应另行支付相当于</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GB"/>
        </w:rPr>
        <w:t>.1条约定的履约保证金总金额的违约金，且</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有权在三年内拒绝</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参与大宗政府招标采购项目的投标报价。</w:t>
      </w:r>
    </w:p>
    <w:p w14:paraId="4347712D">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lang w:val="en-GB"/>
        </w:rPr>
        <w:t>.2任一批次的产品若验收不合格（包括初验和最终验收），</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有权换货或单方解除合同。若</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选择换货的，</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重新供货导致的供货延迟，按</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lang w:val="en-GB"/>
        </w:rPr>
        <w:t>.1条违约责任处理；若</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选择单方解除合同的，</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有权没收履约保证金，</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除应退还</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已支付该批次货款外，还应另行支付相当于</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GB"/>
        </w:rPr>
        <w:t>.1条约定的履约保证金总金额的违约金，且</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有权在三年内拒绝</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参与大宗政府招标采购项目的投标报价。</w:t>
      </w:r>
    </w:p>
    <w:p w14:paraId="0E217F8D">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lang w:val="en-GB"/>
        </w:rPr>
        <w:t>.3</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保证所供成交产品质量与投标时的承诺一致，若有拆装、以次充好、偷换等行为,一经发现，</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将拒绝</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作为厦门市政府采购供应商，拒绝其三年内参加相同项目的投标报价并有权单方解除合同并没收履约保证金，</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除应退还</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已支付该批次货款外，还应另行支付相当于</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GB"/>
        </w:rPr>
        <w:t>.1条约定的履约保证金总金额的违约金。</w:t>
      </w:r>
    </w:p>
    <w:p w14:paraId="2B9F50A0">
      <w:pPr>
        <w:suppressAutoHyphens/>
        <w:autoSpaceDE w:val="0"/>
        <w:autoSpaceDN w:val="0"/>
        <w:bidi w:val="0"/>
        <w:adjustRightInd w:val="0"/>
        <w:snapToGrid w:val="0"/>
        <w:spacing w:before="0" w:beforeLines="0" w:line="360" w:lineRule="auto"/>
        <w:ind w:firstLine="480" w:firstLineChars="200"/>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GB" w:eastAsia="zh-CN"/>
        </w:rPr>
        <w:t>10</w:t>
      </w:r>
      <w:r>
        <w:rPr>
          <w:rFonts w:hint="eastAsia" w:ascii="宋体" w:hAnsi="宋体" w:eastAsia="宋体" w:cs="宋体"/>
          <w:color w:val="auto"/>
          <w:sz w:val="24"/>
          <w:szCs w:val="24"/>
          <w:highlight w:val="none"/>
          <w:lang w:val="en-GB"/>
        </w:rPr>
        <w:t>.4移交使用后，若任一批次货物累计三次出现质量问题、或任何两个批次货物累计三次出现质量问题，或累计三个批次货物出现质量问题、或累计三个批次逾期交货（但逾期未超过5个日历日）情况，</w:t>
      </w:r>
      <w:r>
        <w:rPr>
          <w:rFonts w:hint="eastAsia" w:ascii="宋体" w:hAnsi="宋体" w:eastAsia="宋体" w:cs="宋体"/>
          <w:color w:val="auto"/>
          <w:sz w:val="24"/>
          <w:szCs w:val="24"/>
          <w:highlight w:val="none"/>
          <w:lang w:val="en-GB" w:eastAsia="zh-CN"/>
        </w:rPr>
        <w:t>甲</w:t>
      </w:r>
      <w:r>
        <w:rPr>
          <w:rFonts w:hint="eastAsia" w:ascii="宋体" w:hAnsi="宋体" w:eastAsia="宋体" w:cs="宋体"/>
          <w:color w:val="auto"/>
          <w:sz w:val="24"/>
          <w:szCs w:val="24"/>
          <w:highlight w:val="none"/>
          <w:lang w:val="en-GB"/>
        </w:rPr>
        <w:t>方有权单方解除合同，同时</w:t>
      </w:r>
      <w:r>
        <w:rPr>
          <w:rFonts w:hint="eastAsia" w:ascii="宋体" w:hAnsi="宋体" w:eastAsia="宋体" w:cs="宋体"/>
          <w:color w:val="auto"/>
          <w:sz w:val="24"/>
          <w:szCs w:val="24"/>
          <w:highlight w:val="none"/>
          <w:lang w:val="en-GB" w:eastAsia="zh-CN"/>
        </w:rPr>
        <w:t>乙</w:t>
      </w:r>
      <w:r>
        <w:rPr>
          <w:rFonts w:hint="eastAsia" w:ascii="宋体" w:hAnsi="宋体" w:eastAsia="宋体" w:cs="宋体"/>
          <w:color w:val="auto"/>
          <w:sz w:val="24"/>
          <w:szCs w:val="24"/>
          <w:highlight w:val="none"/>
          <w:lang w:val="en-GB"/>
        </w:rPr>
        <w:t>方应支付相当于履约保证金金额的违约金。</w:t>
      </w:r>
    </w:p>
    <w:p w14:paraId="506F5DF8">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lang w:val="en-GB"/>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根据本合同约定提出换货、退货或解除合同的，</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应在收到</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或最终用户通知后3个工作日内自行收回不符合合同约定的货物，并承担相应费用。因</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原因导致退换货的，</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应承担退换货所需的一切费用。如</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未在规定时间内收回不合格货物，</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不对上述货物的灭失或损坏承担任何责任。如</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逾期超过10个日历日仍未收回的，</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有权自行处理上述货物，同时</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应支付相当于</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GB"/>
        </w:rPr>
        <w:t>.1条约定的履约保证金总金额的违约金，且</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有权在三年内拒绝</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参与大宗政府招标采购项目的投标报价。</w:t>
      </w:r>
    </w:p>
    <w:p w14:paraId="3B788FB0">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lang w:val="en-GB"/>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应按商定的付款周期及时支付</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货款。若故意拖延支付货款，</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向</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每日支付延迟付款部分0.</w:t>
      </w:r>
      <w:r>
        <w:rPr>
          <w:rFonts w:hint="default"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GB"/>
        </w:rPr>
        <w:t>%的违约金，支付金额最高不超过受影响货物总额的5%。若协商不成，可根据规定向厦门市财政局政府采购监管处投诉并要求解决。</w:t>
      </w:r>
    </w:p>
    <w:p w14:paraId="7D0884A2">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lang w:val="en-GB"/>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val="en-GB"/>
        </w:rPr>
        <w:t>除本合同另有约定（</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lang w:val="en-GB"/>
        </w:rPr>
        <w:t>.1、</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lang w:val="en-GB"/>
        </w:rPr>
        <w:t>.2、</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lang w:val="en-GB"/>
        </w:rPr>
        <w:t>.3、</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lang w:val="en-GB"/>
        </w:rPr>
        <w:t>.4、</w:t>
      </w:r>
      <w:r>
        <w:rPr>
          <w:rFonts w:hint="eastAsia" w:ascii="宋体" w:hAnsi="宋体" w:eastAsia="宋体" w:cs="宋体"/>
          <w:color w:val="auto"/>
          <w:sz w:val="24"/>
          <w:szCs w:val="24"/>
          <w:highlight w:val="none"/>
          <w:lang w:val="en-US" w:eastAsia="zh-CN"/>
        </w:rPr>
        <w:t>10.5、10</w:t>
      </w:r>
      <w:r>
        <w:rPr>
          <w:rFonts w:hint="eastAsia" w:ascii="宋体" w:hAnsi="宋体" w:eastAsia="宋体" w:cs="宋体"/>
          <w:color w:val="auto"/>
          <w:sz w:val="24"/>
          <w:szCs w:val="24"/>
          <w:highlight w:val="none"/>
          <w:lang w:val="en-GB"/>
        </w:rPr>
        <w:t>.</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lang w:val="en-GB"/>
        </w:rPr>
        <w:t>），在</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发出的违约通知后30天内</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仍未纠正其任何一种违约行为的，</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有权单方解除合同并没收</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全部履约保证金。</w:t>
      </w:r>
    </w:p>
    <w:p w14:paraId="7BA730B4">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lang w:val="en-GB"/>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有权扣划</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缴交的履约保证金作为违约金，履约保证金不足以抵扣违约金的，</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有权从应付货款中扣除相应费用。</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应在扣划履约保证金前书面通知</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违约事由，如</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在书面通知所列明的合理期限（不超过10天）内未予纠正，则履约保证金扣划才可实施（因</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违约</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单方解除合同而没收履约保证金的不受此限制）。</w:t>
      </w:r>
    </w:p>
    <w:p w14:paraId="20D0267E">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lang w:val="en-GB"/>
        </w:rPr>
        <w:t>.</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存在以下情形的，</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有权立即单方通知</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解除合同并没收</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全部履约保证金，并在三年内拒绝</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参与大宗政府招标采购项目的投标报价：</w:t>
      </w:r>
    </w:p>
    <w:p w14:paraId="19FADF63">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①违反法律法规、行业规范要求被有关部门查处的；</w:t>
      </w:r>
    </w:p>
    <w:p w14:paraId="1DA2EBE4">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②提供假冒伪劣产品的；</w:t>
      </w:r>
    </w:p>
    <w:p w14:paraId="31FC9686">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③通过给回扣或变相给回扣的方式招揽业务的；</w:t>
      </w:r>
    </w:p>
    <w:p w14:paraId="0C82EB5D">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④因产品质量或服务问题被有效投诉达三次以上的；</w:t>
      </w:r>
    </w:p>
    <w:p w14:paraId="24C0DCE9">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⑤向有关部门、</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、最终使用方提供虚假信息或资料等情况的；</w:t>
      </w:r>
    </w:p>
    <w:p w14:paraId="22920C27">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⑥出现重大客户投诉事件（如政府采购管理部门督办事件、新闻媒体公开报道、采购业主书面发函投诉以及其他对</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产生严重负面影响的事件）；</w:t>
      </w:r>
    </w:p>
    <w:p w14:paraId="217DBDD4">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⑦报修率超过3%（按品类分别统计）。报修率=保修期内硬件故障报修有效台次/已销售台数*100%（已销售台数超过50台之后开始计算报修率）。</w:t>
      </w:r>
    </w:p>
    <w:p w14:paraId="266E1C24">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⑧逾期供货时间超过30天（包括产品送到</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仓库或最终用户指定地点的逾期和完成产品安装调试的逾期）。</w:t>
      </w:r>
    </w:p>
    <w:p w14:paraId="70C7A876">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⑨产品入库检测、检验时发现大面积（同批次全部产品或不同批次同型号产品3%及以上）产品质量问题。</w:t>
      </w:r>
    </w:p>
    <w:p w14:paraId="79B8BEBA">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eastAsia="zh-CN"/>
        </w:rPr>
        <w:t>10</w:t>
      </w:r>
      <w:r>
        <w:rPr>
          <w:rFonts w:hint="eastAsia" w:ascii="宋体" w:hAnsi="宋体" w:eastAsia="宋体" w:cs="宋体"/>
          <w:color w:val="auto"/>
          <w:sz w:val="24"/>
          <w:szCs w:val="24"/>
          <w:highlight w:val="none"/>
          <w:lang w:val="en-GB"/>
        </w:rPr>
        <w:t>.10由于</w:t>
      </w:r>
      <w:r>
        <w:rPr>
          <w:rFonts w:hint="eastAsia" w:ascii="宋体" w:hAnsi="宋体" w:eastAsia="宋体" w:cs="宋体"/>
          <w:color w:val="auto"/>
          <w:sz w:val="24"/>
          <w:szCs w:val="24"/>
          <w:highlight w:val="none"/>
          <w:lang w:val="en-GB" w:eastAsia="zh-CN"/>
        </w:rPr>
        <w:t>乙</w:t>
      </w:r>
      <w:r>
        <w:rPr>
          <w:rFonts w:hint="eastAsia" w:ascii="宋体" w:hAnsi="宋体" w:eastAsia="宋体" w:cs="宋体"/>
          <w:color w:val="auto"/>
          <w:sz w:val="24"/>
          <w:szCs w:val="24"/>
          <w:highlight w:val="none"/>
          <w:lang w:val="en-GB"/>
        </w:rPr>
        <w:t>方原因造成合同解除，但</w:t>
      </w:r>
      <w:r>
        <w:rPr>
          <w:rFonts w:hint="eastAsia" w:ascii="宋体" w:hAnsi="宋体" w:eastAsia="宋体" w:cs="宋体"/>
          <w:color w:val="auto"/>
          <w:sz w:val="24"/>
          <w:szCs w:val="24"/>
          <w:highlight w:val="none"/>
          <w:lang w:val="en-GB" w:eastAsia="zh-CN"/>
        </w:rPr>
        <w:t>甲</w:t>
      </w:r>
      <w:r>
        <w:rPr>
          <w:rFonts w:hint="eastAsia" w:ascii="宋体" w:hAnsi="宋体" w:eastAsia="宋体" w:cs="宋体"/>
          <w:color w:val="auto"/>
          <w:sz w:val="24"/>
          <w:szCs w:val="24"/>
          <w:highlight w:val="none"/>
          <w:lang w:val="en-GB"/>
        </w:rPr>
        <w:t>方仍有库存或其他批次货物尚未完成最终验收的，</w:t>
      </w:r>
      <w:r>
        <w:rPr>
          <w:rFonts w:hint="eastAsia" w:ascii="宋体" w:hAnsi="宋体" w:eastAsia="宋体" w:cs="宋体"/>
          <w:color w:val="auto"/>
          <w:sz w:val="24"/>
          <w:szCs w:val="24"/>
          <w:highlight w:val="none"/>
          <w:lang w:val="en-GB" w:eastAsia="zh-CN"/>
        </w:rPr>
        <w:t>甲</w:t>
      </w:r>
      <w:r>
        <w:rPr>
          <w:rFonts w:hint="eastAsia" w:ascii="宋体" w:hAnsi="宋体" w:eastAsia="宋体" w:cs="宋体"/>
          <w:color w:val="auto"/>
          <w:sz w:val="24"/>
          <w:szCs w:val="24"/>
          <w:highlight w:val="none"/>
          <w:lang w:val="en-GB"/>
        </w:rPr>
        <w:t>方除按本合同约定要求</w:t>
      </w:r>
      <w:r>
        <w:rPr>
          <w:rFonts w:hint="eastAsia" w:ascii="宋体" w:hAnsi="宋体" w:eastAsia="宋体" w:cs="宋体"/>
          <w:color w:val="auto"/>
          <w:sz w:val="24"/>
          <w:szCs w:val="24"/>
          <w:highlight w:val="none"/>
          <w:lang w:val="en-GB" w:eastAsia="zh-CN"/>
        </w:rPr>
        <w:t>乙</w:t>
      </w:r>
      <w:r>
        <w:rPr>
          <w:rFonts w:hint="eastAsia" w:ascii="宋体" w:hAnsi="宋体" w:eastAsia="宋体" w:cs="宋体"/>
          <w:color w:val="auto"/>
          <w:sz w:val="24"/>
          <w:szCs w:val="24"/>
          <w:highlight w:val="none"/>
          <w:lang w:val="en-GB"/>
        </w:rPr>
        <w:t xml:space="preserve">方支付违约金外，还可同时选择以下一种或几种方式处理： </w:t>
      </w:r>
    </w:p>
    <w:p w14:paraId="0C954CC3">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eastAsia="zh-CN"/>
        </w:rPr>
        <w:t>10</w:t>
      </w:r>
      <w:r>
        <w:rPr>
          <w:rFonts w:hint="eastAsia" w:ascii="宋体" w:hAnsi="宋体" w:eastAsia="宋体" w:cs="宋体"/>
          <w:color w:val="auto"/>
          <w:sz w:val="24"/>
          <w:szCs w:val="24"/>
          <w:highlight w:val="none"/>
          <w:lang w:val="en-GB"/>
        </w:rPr>
        <w:t>.10.1双方协商确定减少货款的金额，减少的款项从</w:t>
      </w:r>
      <w:r>
        <w:rPr>
          <w:rFonts w:hint="eastAsia" w:ascii="宋体" w:hAnsi="宋体" w:eastAsia="宋体" w:cs="宋体"/>
          <w:color w:val="auto"/>
          <w:sz w:val="24"/>
          <w:szCs w:val="24"/>
          <w:highlight w:val="none"/>
          <w:lang w:val="en-GB" w:eastAsia="zh-CN"/>
        </w:rPr>
        <w:t>甲</w:t>
      </w:r>
      <w:r>
        <w:rPr>
          <w:rFonts w:hint="eastAsia" w:ascii="宋体" w:hAnsi="宋体" w:eastAsia="宋体" w:cs="宋体"/>
          <w:color w:val="auto"/>
          <w:sz w:val="24"/>
          <w:szCs w:val="24"/>
          <w:highlight w:val="none"/>
          <w:lang w:val="en-GB"/>
        </w:rPr>
        <w:t>方下一次应付款项中直接抵扣。</w:t>
      </w:r>
    </w:p>
    <w:p w14:paraId="68BBDBF0">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eastAsia="zh-CN"/>
        </w:rPr>
        <w:t>10</w:t>
      </w:r>
      <w:r>
        <w:rPr>
          <w:rFonts w:hint="eastAsia" w:ascii="宋体" w:hAnsi="宋体" w:eastAsia="宋体" w:cs="宋体"/>
          <w:color w:val="auto"/>
          <w:sz w:val="24"/>
          <w:szCs w:val="24"/>
          <w:highlight w:val="none"/>
          <w:lang w:val="en-GB"/>
        </w:rPr>
        <w:t>.10.2退货，</w:t>
      </w:r>
      <w:r>
        <w:rPr>
          <w:rFonts w:hint="eastAsia" w:ascii="宋体" w:hAnsi="宋体" w:eastAsia="宋体" w:cs="宋体"/>
          <w:color w:val="auto"/>
          <w:sz w:val="24"/>
          <w:szCs w:val="24"/>
          <w:highlight w:val="none"/>
          <w:lang w:val="en-GB" w:eastAsia="zh-CN"/>
        </w:rPr>
        <w:t>乙</w:t>
      </w:r>
      <w:r>
        <w:rPr>
          <w:rFonts w:hint="eastAsia" w:ascii="宋体" w:hAnsi="宋体" w:eastAsia="宋体" w:cs="宋体"/>
          <w:color w:val="auto"/>
          <w:sz w:val="24"/>
          <w:szCs w:val="24"/>
          <w:highlight w:val="none"/>
          <w:lang w:val="en-GB"/>
        </w:rPr>
        <w:t>方应返还退货部分</w:t>
      </w:r>
      <w:r>
        <w:rPr>
          <w:rFonts w:hint="eastAsia" w:ascii="宋体" w:hAnsi="宋体" w:eastAsia="宋体" w:cs="宋体"/>
          <w:color w:val="auto"/>
          <w:sz w:val="24"/>
          <w:szCs w:val="24"/>
          <w:highlight w:val="none"/>
          <w:lang w:val="en-GB" w:eastAsia="zh-CN"/>
        </w:rPr>
        <w:t>甲</w:t>
      </w:r>
      <w:r>
        <w:rPr>
          <w:rFonts w:hint="eastAsia" w:ascii="宋体" w:hAnsi="宋体" w:eastAsia="宋体" w:cs="宋体"/>
          <w:color w:val="auto"/>
          <w:sz w:val="24"/>
          <w:szCs w:val="24"/>
          <w:highlight w:val="none"/>
          <w:lang w:val="en-GB"/>
        </w:rPr>
        <w:t>方已支付的全部货款，并负担因此而产生的一切费用和</w:t>
      </w:r>
      <w:r>
        <w:rPr>
          <w:rFonts w:hint="eastAsia" w:ascii="宋体" w:hAnsi="宋体" w:eastAsia="宋体" w:cs="宋体"/>
          <w:color w:val="auto"/>
          <w:sz w:val="24"/>
          <w:szCs w:val="24"/>
          <w:highlight w:val="none"/>
          <w:lang w:val="en-GB" w:eastAsia="zh-CN"/>
        </w:rPr>
        <w:t>甲</w:t>
      </w:r>
      <w:r>
        <w:rPr>
          <w:rFonts w:hint="eastAsia" w:ascii="宋体" w:hAnsi="宋体" w:eastAsia="宋体" w:cs="宋体"/>
          <w:color w:val="auto"/>
          <w:sz w:val="24"/>
          <w:szCs w:val="24"/>
          <w:highlight w:val="none"/>
          <w:lang w:val="en-GB"/>
        </w:rPr>
        <w:t>方遭受的一切直接损失。</w:t>
      </w:r>
    </w:p>
    <w:p w14:paraId="6DAC5508">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eastAsia="zh-CN"/>
        </w:rPr>
        <w:t>10</w:t>
      </w:r>
      <w:r>
        <w:rPr>
          <w:rFonts w:hint="eastAsia" w:ascii="宋体" w:hAnsi="宋体" w:eastAsia="宋体" w:cs="宋体"/>
          <w:color w:val="auto"/>
          <w:sz w:val="24"/>
          <w:szCs w:val="24"/>
          <w:highlight w:val="none"/>
          <w:lang w:val="en-GB"/>
        </w:rPr>
        <w:t>.1</w:t>
      </w:r>
      <w:r>
        <w:rPr>
          <w:rFonts w:hint="eastAsia" w:ascii="宋体" w:hAnsi="宋体" w:eastAsia="宋体" w:cs="宋体"/>
          <w:color w:val="auto"/>
          <w:sz w:val="24"/>
          <w:szCs w:val="24"/>
          <w:highlight w:val="none"/>
          <w:lang w:val="en-US" w:eastAsia="zh-CN"/>
        </w:rPr>
        <w:t>0.3</w:t>
      </w:r>
      <w:r>
        <w:rPr>
          <w:rFonts w:hint="eastAsia" w:ascii="宋体" w:hAnsi="宋体" w:eastAsia="宋体" w:cs="宋体"/>
          <w:color w:val="auto"/>
          <w:sz w:val="24"/>
          <w:szCs w:val="24"/>
          <w:highlight w:val="none"/>
          <w:lang w:val="en-GB" w:eastAsia="zh-CN"/>
        </w:rPr>
        <w:t>甲</w:t>
      </w:r>
      <w:r>
        <w:rPr>
          <w:rFonts w:hint="eastAsia" w:ascii="宋体" w:hAnsi="宋体" w:eastAsia="宋体" w:cs="宋体"/>
          <w:color w:val="auto"/>
          <w:sz w:val="24"/>
          <w:szCs w:val="24"/>
          <w:highlight w:val="none"/>
          <w:lang w:val="en-GB"/>
        </w:rPr>
        <w:t>方有权自行从未付的款项中直接扣除</w:t>
      </w:r>
      <w:r>
        <w:rPr>
          <w:rFonts w:hint="eastAsia" w:ascii="宋体" w:hAnsi="宋体" w:eastAsia="宋体" w:cs="宋体"/>
          <w:color w:val="auto"/>
          <w:sz w:val="24"/>
          <w:szCs w:val="24"/>
          <w:highlight w:val="none"/>
          <w:lang w:val="en-GB" w:eastAsia="zh-CN"/>
        </w:rPr>
        <w:t>乙</w:t>
      </w:r>
      <w:r>
        <w:rPr>
          <w:rFonts w:hint="eastAsia" w:ascii="宋体" w:hAnsi="宋体" w:eastAsia="宋体" w:cs="宋体"/>
          <w:color w:val="auto"/>
          <w:sz w:val="24"/>
          <w:szCs w:val="24"/>
          <w:highlight w:val="none"/>
          <w:lang w:val="en-GB"/>
        </w:rPr>
        <w:t>方应付未付的违约金、赔偿金等。本合同约定的违约金（包括但不限于本条的约定）无法弥补</w:t>
      </w:r>
      <w:r>
        <w:rPr>
          <w:rFonts w:hint="eastAsia" w:ascii="宋体" w:hAnsi="宋体" w:eastAsia="宋体" w:cs="宋体"/>
          <w:color w:val="auto"/>
          <w:sz w:val="24"/>
          <w:szCs w:val="24"/>
          <w:highlight w:val="none"/>
          <w:lang w:val="en-GB" w:eastAsia="zh-CN"/>
        </w:rPr>
        <w:t>甲</w:t>
      </w:r>
      <w:r>
        <w:rPr>
          <w:rFonts w:hint="eastAsia" w:ascii="宋体" w:hAnsi="宋体" w:eastAsia="宋体" w:cs="宋体"/>
          <w:color w:val="auto"/>
          <w:sz w:val="24"/>
          <w:szCs w:val="24"/>
          <w:highlight w:val="none"/>
          <w:lang w:val="en-GB"/>
        </w:rPr>
        <w:t>方损失的，</w:t>
      </w:r>
      <w:r>
        <w:rPr>
          <w:rFonts w:hint="eastAsia" w:ascii="宋体" w:hAnsi="宋体" w:eastAsia="宋体" w:cs="宋体"/>
          <w:color w:val="auto"/>
          <w:sz w:val="24"/>
          <w:szCs w:val="24"/>
          <w:highlight w:val="none"/>
          <w:lang w:val="en-GB" w:eastAsia="zh-CN"/>
        </w:rPr>
        <w:t>乙</w:t>
      </w:r>
      <w:r>
        <w:rPr>
          <w:rFonts w:hint="eastAsia" w:ascii="宋体" w:hAnsi="宋体" w:eastAsia="宋体" w:cs="宋体"/>
          <w:color w:val="auto"/>
          <w:sz w:val="24"/>
          <w:szCs w:val="24"/>
          <w:highlight w:val="none"/>
          <w:lang w:val="en-GB"/>
        </w:rPr>
        <w:t xml:space="preserve">方应继续承担相应的赔偿责任。 </w:t>
      </w:r>
    </w:p>
    <w:p w14:paraId="7BA5BF4F">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eastAsia="zh-CN"/>
        </w:rPr>
        <w:t>10</w:t>
      </w:r>
      <w:r>
        <w:rPr>
          <w:rFonts w:hint="eastAsia" w:ascii="宋体" w:hAnsi="宋体" w:eastAsia="宋体" w:cs="宋体"/>
          <w:color w:val="auto"/>
          <w:sz w:val="24"/>
          <w:szCs w:val="24"/>
          <w:highlight w:val="none"/>
          <w:lang w:val="en-GB"/>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GB"/>
        </w:rPr>
        <w:t>触控一体机保修期内及保修期外的维修维护过程中如需要拆卸绿板时，绿板拆卸后需重新免费负责安装并检查牢固，否则导致绿板脱落、掉落情况，每次</w:t>
      </w:r>
      <w:r>
        <w:rPr>
          <w:rFonts w:hint="eastAsia" w:ascii="宋体" w:hAnsi="宋体" w:eastAsia="宋体" w:cs="宋体"/>
          <w:color w:val="auto"/>
          <w:sz w:val="24"/>
          <w:szCs w:val="24"/>
          <w:highlight w:val="none"/>
          <w:lang w:val="en-GB" w:eastAsia="zh-CN"/>
        </w:rPr>
        <w:t>乙</w:t>
      </w:r>
      <w:r>
        <w:rPr>
          <w:rFonts w:hint="eastAsia" w:ascii="宋体" w:hAnsi="宋体" w:eastAsia="宋体" w:cs="宋体"/>
          <w:color w:val="auto"/>
          <w:sz w:val="24"/>
          <w:szCs w:val="24"/>
          <w:highlight w:val="none"/>
          <w:lang w:val="en-GB"/>
        </w:rPr>
        <w:t>方应向</w:t>
      </w:r>
      <w:r>
        <w:rPr>
          <w:rFonts w:hint="eastAsia" w:ascii="宋体" w:hAnsi="宋体" w:eastAsia="宋体" w:cs="宋体"/>
          <w:color w:val="auto"/>
          <w:sz w:val="24"/>
          <w:szCs w:val="24"/>
          <w:highlight w:val="none"/>
          <w:lang w:val="en-GB" w:eastAsia="zh-CN"/>
        </w:rPr>
        <w:t>甲</w:t>
      </w:r>
      <w:r>
        <w:rPr>
          <w:rFonts w:hint="eastAsia" w:ascii="宋体" w:hAnsi="宋体" w:eastAsia="宋体" w:cs="宋体"/>
          <w:color w:val="auto"/>
          <w:sz w:val="24"/>
          <w:szCs w:val="24"/>
          <w:highlight w:val="none"/>
          <w:lang w:val="en-GB"/>
        </w:rPr>
        <w:t>方支付5000元违约金；严重情况出现伤人时，每次</w:t>
      </w:r>
      <w:r>
        <w:rPr>
          <w:rFonts w:hint="eastAsia" w:ascii="宋体" w:hAnsi="宋体" w:eastAsia="宋体" w:cs="宋体"/>
          <w:color w:val="auto"/>
          <w:sz w:val="24"/>
          <w:szCs w:val="24"/>
          <w:highlight w:val="none"/>
          <w:lang w:val="en-GB" w:eastAsia="zh-CN"/>
        </w:rPr>
        <w:t>乙</w:t>
      </w:r>
      <w:r>
        <w:rPr>
          <w:rFonts w:hint="eastAsia" w:ascii="宋体" w:hAnsi="宋体" w:eastAsia="宋体" w:cs="宋体"/>
          <w:color w:val="auto"/>
          <w:sz w:val="24"/>
          <w:szCs w:val="24"/>
          <w:highlight w:val="none"/>
          <w:lang w:val="en-GB"/>
        </w:rPr>
        <w:t>方应向</w:t>
      </w:r>
      <w:r>
        <w:rPr>
          <w:rFonts w:hint="eastAsia" w:ascii="宋体" w:hAnsi="宋体" w:eastAsia="宋体" w:cs="宋体"/>
          <w:color w:val="auto"/>
          <w:sz w:val="24"/>
          <w:szCs w:val="24"/>
          <w:highlight w:val="none"/>
          <w:lang w:val="en-GB" w:eastAsia="zh-CN"/>
        </w:rPr>
        <w:t>甲</w:t>
      </w:r>
      <w:r>
        <w:rPr>
          <w:rFonts w:hint="eastAsia" w:ascii="宋体" w:hAnsi="宋体" w:eastAsia="宋体" w:cs="宋体"/>
          <w:color w:val="auto"/>
          <w:sz w:val="24"/>
          <w:szCs w:val="24"/>
          <w:highlight w:val="none"/>
          <w:lang w:val="en-GB"/>
        </w:rPr>
        <w:t>方支付10000元违约金；造成对</w:t>
      </w:r>
      <w:r>
        <w:rPr>
          <w:rFonts w:hint="eastAsia" w:ascii="宋体" w:hAnsi="宋体" w:eastAsia="宋体" w:cs="宋体"/>
          <w:color w:val="auto"/>
          <w:sz w:val="24"/>
          <w:szCs w:val="24"/>
          <w:highlight w:val="none"/>
          <w:lang w:val="en-GB" w:eastAsia="zh-CN"/>
        </w:rPr>
        <w:t>甲</w:t>
      </w:r>
      <w:r>
        <w:rPr>
          <w:rFonts w:hint="eastAsia" w:ascii="宋体" w:hAnsi="宋体" w:eastAsia="宋体" w:cs="宋体"/>
          <w:color w:val="auto"/>
          <w:sz w:val="24"/>
          <w:szCs w:val="24"/>
          <w:highlight w:val="none"/>
          <w:lang w:val="en-GB"/>
        </w:rPr>
        <w:t>方客户可能的赔偿均由</w:t>
      </w:r>
      <w:r>
        <w:rPr>
          <w:rFonts w:hint="eastAsia" w:ascii="宋体" w:hAnsi="宋体" w:eastAsia="宋体" w:cs="宋体"/>
          <w:color w:val="auto"/>
          <w:sz w:val="24"/>
          <w:szCs w:val="24"/>
          <w:highlight w:val="none"/>
          <w:lang w:val="en-GB" w:eastAsia="zh-CN"/>
        </w:rPr>
        <w:t>乙</w:t>
      </w:r>
      <w:r>
        <w:rPr>
          <w:rFonts w:hint="eastAsia" w:ascii="宋体" w:hAnsi="宋体" w:eastAsia="宋体" w:cs="宋体"/>
          <w:color w:val="auto"/>
          <w:sz w:val="24"/>
          <w:szCs w:val="24"/>
          <w:highlight w:val="none"/>
          <w:lang w:val="en-GB"/>
        </w:rPr>
        <w:t>方承担，此费用</w:t>
      </w:r>
      <w:r>
        <w:rPr>
          <w:rFonts w:hint="eastAsia" w:ascii="宋体" w:hAnsi="宋体" w:eastAsia="宋体" w:cs="宋体"/>
          <w:color w:val="auto"/>
          <w:sz w:val="24"/>
          <w:szCs w:val="24"/>
          <w:highlight w:val="none"/>
          <w:lang w:val="en-GB" w:eastAsia="zh-CN"/>
        </w:rPr>
        <w:t>甲</w:t>
      </w:r>
      <w:r>
        <w:rPr>
          <w:rFonts w:hint="eastAsia" w:ascii="宋体" w:hAnsi="宋体" w:eastAsia="宋体" w:cs="宋体"/>
          <w:color w:val="auto"/>
          <w:sz w:val="24"/>
          <w:szCs w:val="24"/>
          <w:highlight w:val="none"/>
          <w:lang w:val="en-GB"/>
        </w:rPr>
        <w:t>方有权在与</w:t>
      </w:r>
      <w:r>
        <w:rPr>
          <w:rFonts w:hint="eastAsia" w:ascii="宋体" w:hAnsi="宋体" w:eastAsia="宋体" w:cs="宋体"/>
          <w:color w:val="auto"/>
          <w:sz w:val="24"/>
          <w:szCs w:val="24"/>
          <w:highlight w:val="none"/>
          <w:lang w:val="en-GB" w:eastAsia="zh-CN"/>
        </w:rPr>
        <w:t>乙</w:t>
      </w:r>
      <w:r>
        <w:rPr>
          <w:rFonts w:hint="eastAsia" w:ascii="宋体" w:hAnsi="宋体" w:eastAsia="宋体" w:cs="宋体"/>
          <w:color w:val="auto"/>
          <w:sz w:val="24"/>
          <w:szCs w:val="24"/>
          <w:highlight w:val="none"/>
          <w:lang w:val="en-GB"/>
        </w:rPr>
        <w:t>方未结算货款时或履约保证金中扣除相应费用。若违约金不足以拟补损失时，</w:t>
      </w:r>
      <w:r>
        <w:rPr>
          <w:rFonts w:hint="eastAsia" w:ascii="宋体" w:hAnsi="宋体" w:eastAsia="宋体" w:cs="宋体"/>
          <w:color w:val="auto"/>
          <w:sz w:val="24"/>
          <w:szCs w:val="24"/>
          <w:highlight w:val="none"/>
          <w:lang w:val="en-GB" w:eastAsia="zh-CN"/>
        </w:rPr>
        <w:t>甲</w:t>
      </w:r>
      <w:r>
        <w:rPr>
          <w:rFonts w:hint="eastAsia" w:ascii="宋体" w:hAnsi="宋体" w:eastAsia="宋体" w:cs="宋体"/>
          <w:color w:val="auto"/>
          <w:sz w:val="24"/>
          <w:szCs w:val="24"/>
          <w:highlight w:val="none"/>
          <w:lang w:val="en-GB"/>
        </w:rPr>
        <w:t>方有权利要求</w:t>
      </w:r>
      <w:r>
        <w:rPr>
          <w:rFonts w:hint="eastAsia" w:ascii="宋体" w:hAnsi="宋体" w:eastAsia="宋体" w:cs="宋体"/>
          <w:color w:val="auto"/>
          <w:sz w:val="24"/>
          <w:szCs w:val="24"/>
          <w:highlight w:val="none"/>
          <w:lang w:val="en-GB" w:eastAsia="zh-CN"/>
        </w:rPr>
        <w:t>乙</w:t>
      </w:r>
      <w:r>
        <w:rPr>
          <w:rFonts w:hint="eastAsia" w:ascii="宋体" w:hAnsi="宋体" w:eastAsia="宋体" w:cs="宋体"/>
          <w:color w:val="auto"/>
          <w:sz w:val="24"/>
          <w:szCs w:val="24"/>
          <w:highlight w:val="none"/>
          <w:lang w:val="en-GB"/>
        </w:rPr>
        <w:t xml:space="preserve">方增加违约金，需按实际损失赔偿。 </w:t>
      </w:r>
    </w:p>
    <w:p w14:paraId="1673C0A8">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lang w:val="en-GB"/>
        </w:rPr>
        <w:t>.</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承诺配合参与</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举办的壹年两次的政府大宗产品推介会，并且免费提供相应的合同机型作为样机展示，否则视为违约，</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应按对应合同机型的单价向</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支付违约金，若</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sz w:val="24"/>
          <w:szCs w:val="24"/>
          <w:highlight w:val="none"/>
          <w:lang w:val="en-GB"/>
        </w:rPr>
        <w:t>未向</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支付，则</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有权直接从履约保证金款项中直接给予扣除。</w:t>
      </w:r>
    </w:p>
    <w:p w14:paraId="01B9F948">
      <w:pPr>
        <w:suppressAutoHyphens/>
        <w:autoSpaceDE w:val="0"/>
        <w:autoSpaceDN w:val="0"/>
        <w:bidi w:val="0"/>
        <w:adjustRightInd w:val="0"/>
        <w:snapToGrid w:val="0"/>
        <w:spacing w:beforeLines="0" w:line="360" w:lineRule="auto"/>
        <w:ind w:firstLine="482" w:firstLineChars="200"/>
        <w:jc w:val="left"/>
        <w:outlineLvl w:val="9"/>
        <w:rPr>
          <w:rFonts w:hint="eastAsia" w:ascii="宋体" w:hAnsi="宋体" w:eastAsia="宋体" w:cs="宋体"/>
          <w:b/>
          <w:bCs/>
          <w:color w:val="auto"/>
          <w:sz w:val="24"/>
          <w:szCs w:val="24"/>
          <w:highlight w:val="none"/>
          <w:lang w:val="en-GB"/>
        </w:rPr>
      </w:pPr>
      <w:r>
        <w:rPr>
          <w:rFonts w:hint="eastAsia" w:ascii="宋体" w:hAnsi="宋体" w:eastAsia="宋体" w:cs="宋体"/>
          <w:b/>
          <w:bCs/>
          <w:color w:val="auto"/>
          <w:sz w:val="24"/>
          <w:szCs w:val="24"/>
          <w:highlight w:val="none"/>
          <w:lang w:val="en-GB"/>
        </w:rPr>
        <w:t>1</w:t>
      </w:r>
      <w:r>
        <w:rPr>
          <w:rFonts w:hint="eastAsia" w:ascii="宋体" w:hAnsi="宋体" w:cs="宋体"/>
          <w:b/>
          <w:bCs/>
          <w:color w:val="auto"/>
          <w:sz w:val="24"/>
          <w:szCs w:val="24"/>
          <w:highlight w:val="none"/>
          <w:lang w:val="en-US" w:eastAsia="zh-CN"/>
        </w:rPr>
        <w:t>1</w:t>
      </w:r>
      <w:r>
        <w:rPr>
          <w:rFonts w:hint="eastAsia" w:ascii="宋体" w:hAnsi="宋体" w:eastAsia="宋体" w:cs="宋体"/>
          <w:b/>
          <w:bCs/>
          <w:color w:val="auto"/>
          <w:sz w:val="24"/>
          <w:szCs w:val="24"/>
          <w:highlight w:val="none"/>
          <w:lang w:val="en-GB"/>
        </w:rPr>
        <w:t>、不可抗力</w:t>
      </w:r>
    </w:p>
    <w:p w14:paraId="2BBF50C0">
      <w:pPr>
        <w:suppressAutoHyphens/>
        <w:autoSpaceDE w:val="0"/>
        <w:autoSpaceDN w:val="0"/>
        <w:bidi w:val="0"/>
        <w:adjustRightInd w:val="0"/>
        <w:snapToGrid w:val="0"/>
        <w:spacing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1</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GB"/>
        </w:rPr>
        <w:t>.1因不可抗力造成违约的，遭受不可抗力一方应及时向对方通报不能履行或不能完全履行的理由，并在随后取得有关主管机关证明后的15日内向另一方提供不可抗力发生以及持续期间的充分证据。基于以上行为，允许遭受不可抗力一方延期履行、部分履行或者不履行合同，并根据情况可部分或全部免于承担违约责任。</w:t>
      </w:r>
    </w:p>
    <w:p w14:paraId="27607EA6">
      <w:pPr>
        <w:suppressAutoHyphens/>
        <w:autoSpaceDE w:val="0"/>
        <w:autoSpaceDN w:val="0"/>
        <w:bidi w:val="0"/>
        <w:adjustRightInd w:val="0"/>
        <w:snapToGrid w:val="0"/>
        <w:spacing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1</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GB"/>
        </w:rPr>
        <w:t>.2本合同中的不可抗力指不能预见、不能避免并不能克服的客观情况。包括但不限于：自然灾害如地震、台风、洪水、火灾；政府行为、法律规定或其适用的变化或者其他任何无法预见、避免或者控制的事件。</w:t>
      </w:r>
    </w:p>
    <w:p w14:paraId="0F8FE48F">
      <w:pPr>
        <w:suppressAutoHyphens/>
        <w:autoSpaceDE w:val="0"/>
        <w:autoSpaceDN w:val="0"/>
        <w:bidi w:val="0"/>
        <w:adjustRightInd w:val="0"/>
        <w:snapToGrid w:val="0"/>
        <w:spacing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1</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GB"/>
        </w:rPr>
        <w:t>.3当事人一方因不可抗力的原因不能履行合同的，应及时通知对方，以减轻可能给对方造成的损失，并应当在合理期限内提供证明。</w:t>
      </w:r>
    </w:p>
    <w:p w14:paraId="7093A810">
      <w:pPr>
        <w:suppressAutoHyphens/>
        <w:autoSpaceDE w:val="0"/>
        <w:autoSpaceDN w:val="0"/>
        <w:bidi w:val="0"/>
        <w:adjustRightInd w:val="0"/>
        <w:snapToGrid w:val="0"/>
        <w:spacing w:beforeLines="0" w:line="360" w:lineRule="auto"/>
        <w:ind w:firstLine="482" w:firstLineChars="200"/>
        <w:jc w:val="left"/>
        <w:outlineLvl w:val="9"/>
        <w:rPr>
          <w:rFonts w:hint="eastAsia" w:ascii="宋体" w:hAnsi="宋体" w:eastAsia="宋体" w:cs="宋体"/>
          <w:b/>
          <w:bCs/>
          <w:color w:val="auto"/>
          <w:sz w:val="24"/>
          <w:szCs w:val="24"/>
          <w:highlight w:val="none"/>
          <w:lang w:val="en-GB"/>
        </w:rPr>
      </w:pPr>
      <w:r>
        <w:rPr>
          <w:rFonts w:hint="eastAsia" w:ascii="宋体" w:hAnsi="宋体" w:eastAsia="宋体" w:cs="宋体"/>
          <w:b/>
          <w:bCs/>
          <w:color w:val="auto"/>
          <w:sz w:val="24"/>
          <w:szCs w:val="24"/>
          <w:highlight w:val="none"/>
          <w:lang w:val="en-GB"/>
        </w:rPr>
        <w:t>1</w:t>
      </w:r>
      <w:r>
        <w:rPr>
          <w:rFonts w:hint="eastAsia" w:ascii="宋体" w:hAnsi="宋体" w:cs="宋体"/>
          <w:b/>
          <w:bCs/>
          <w:color w:val="auto"/>
          <w:sz w:val="24"/>
          <w:szCs w:val="24"/>
          <w:highlight w:val="none"/>
          <w:lang w:val="en-US" w:eastAsia="zh-CN"/>
        </w:rPr>
        <w:t>2</w:t>
      </w:r>
      <w:r>
        <w:rPr>
          <w:rFonts w:hint="eastAsia" w:ascii="宋体" w:hAnsi="宋体" w:eastAsia="宋体" w:cs="宋体"/>
          <w:b/>
          <w:bCs/>
          <w:color w:val="auto"/>
          <w:sz w:val="24"/>
          <w:szCs w:val="24"/>
          <w:highlight w:val="none"/>
          <w:lang w:val="en-GB"/>
        </w:rPr>
        <w:t>、合同纠纷处理方式</w:t>
      </w:r>
    </w:p>
    <w:p w14:paraId="1B8AF4E6">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lang w:val="en-GB"/>
        </w:rPr>
        <w:t>因本合同或与本合同有关的一切事项发生争议，由双方友好协商解决。协商不成的，任何一方均可向买方所在地人民法院提起诉讼。</w:t>
      </w:r>
    </w:p>
    <w:p w14:paraId="47A46000">
      <w:pPr>
        <w:suppressAutoHyphens/>
        <w:autoSpaceDE w:val="0"/>
        <w:autoSpaceDN w:val="0"/>
        <w:bidi w:val="0"/>
        <w:adjustRightInd w:val="0"/>
        <w:snapToGrid w:val="0"/>
        <w:spacing w:before="0" w:beforeLines="0" w:line="360" w:lineRule="auto"/>
        <w:ind w:firstLine="482" w:firstLineChars="200"/>
        <w:jc w:val="left"/>
        <w:rPr>
          <w:rFonts w:hint="eastAsia" w:ascii="宋体" w:hAnsi="宋体" w:eastAsia="宋体" w:cs="宋体"/>
          <w:b/>
          <w:bCs/>
          <w:color w:val="auto"/>
          <w:sz w:val="24"/>
          <w:szCs w:val="24"/>
          <w:highlight w:val="none"/>
          <w:lang w:val="en-GB"/>
        </w:rPr>
      </w:pPr>
      <w:r>
        <w:rPr>
          <w:rFonts w:hint="eastAsia" w:ascii="宋体" w:hAnsi="宋体" w:eastAsia="宋体" w:cs="宋体"/>
          <w:b/>
          <w:bCs/>
          <w:color w:val="auto"/>
          <w:sz w:val="24"/>
          <w:szCs w:val="24"/>
          <w:highlight w:val="none"/>
          <w:lang w:val="en-US" w:eastAsia="zh-CN"/>
        </w:rPr>
        <w:t>1</w:t>
      </w:r>
      <w:r>
        <w:rPr>
          <w:rFonts w:hint="eastAsia" w:ascii="宋体" w:hAnsi="宋体" w:cs="宋体"/>
          <w:b/>
          <w:bCs/>
          <w:color w:val="auto"/>
          <w:sz w:val="24"/>
          <w:szCs w:val="24"/>
          <w:highlight w:val="none"/>
          <w:lang w:val="en-US" w:eastAsia="zh-CN"/>
        </w:rPr>
        <w:t>3</w:t>
      </w:r>
      <w:r>
        <w:rPr>
          <w:rFonts w:hint="eastAsia" w:ascii="宋体" w:hAnsi="宋体" w:eastAsia="宋体" w:cs="宋体"/>
          <w:b/>
          <w:bCs/>
          <w:color w:val="auto"/>
          <w:sz w:val="24"/>
          <w:szCs w:val="24"/>
          <w:highlight w:val="none"/>
          <w:lang w:val="en-GB"/>
        </w:rPr>
        <w:t>、其他约定</w:t>
      </w:r>
    </w:p>
    <w:p w14:paraId="4B3777D2">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GB"/>
        </w:rPr>
        <w:t>.1本采购项目的谈判文件、</w:t>
      </w:r>
      <w:r>
        <w:rPr>
          <w:rFonts w:hint="eastAsia" w:ascii="宋体" w:hAnsi="宋体" w:eastAsia="宋体" w:cs="宋体"/>
          <w:color w:val="auto"/>
          <w:sz w:val="24"/>
          <w:szCs w:val="24"/>
          <w:highlight w:val="none"/>
          <w:lang w:val="en-GB" w:eastAsia="zh-CN"/>
        </w:rPr>
        <w:t>乙方</w:t>
      </w:r>
      <w:r>
        <w:rPr>
          <w:rFonts w:hint="eastAsia" w:ascii="宋体" w:hAnsi="宋体" w:eastAsia="宋体" w:cs="宋体"/>
          <w:color w:val="auto"/>
          <w:kern w:val="2"/>
          <w:sz w:val="24"/>
          <w:szCs w:val="24"/>
          <w:highlight w:val="none"/>
          <w:lang w:val="en-GB" w:eastAsia="zh-CN" w:bidi="ar-SA"/>
        </w:rPr>
        <w:t>入围供应商</w:t>
      </w:r>
      <w:r>
        <w:rPr>
          <w:rFonts w:hint="eastAsia" w:ascii="宋体" w:hAnsi="宋体" w:eastAsia="宋体" w:cs="宋体"/>
          <w:color w:val="auto"/>
          <w:sz w:val="24"/>
          <w:szCs w:val="24"/>
          <w:highlight w:val="none"/>
          <w:lang w:val="en-GB"/>
        </w:rPr>
        <w:t>的投标文件、相关的澄清确认函（如果有的话）</w:t>
      </w:r>
      <w:r>
        <w:rPr>
          <w:rFonts w:hint="default" w:ascii="宋体" w:hAnsi="宋体" w:eastAsia="宋体" w:cs="宋体"/>
          <w:color w:val="auto"/>
          <w:sz w:val="24"/>
          <w:szCs w:val="24"/>
          <w:highlight w:val="none"/>
        </w:rPr>
        <w:t>、《政府采购货物</w:t>
      </w:r>
      <w:r>
        <w:rPr>
          <w:rFonts w:hint="default" w:ascii="宋体" w:hAnsi="宋体" w:eastAsia="宋体" w:cs="宋体"/>
          <w:b w:val="0"/>
          <w:bCs w:val="0"/>
          <w:color w:val="auto"/>
          <w:sz w:val="24"/>
          <w:szCs w:val="24"/>
          <w:highlight w:val="none"/>
        </w:rPr>
        <w:t>买卖合同》</w:t>
      </w:r>
      <w:r>
        <w:rPr>
          <w:rFonts w:hint="eastAsia" w:ascii="宋体" w:hAnsi="宋体" w:eastAsia="宋体" w:cs="宋体"/>
          <w:b w:val="0"/>
          <w:bCs w:val="0"/>
          <w:color w:val="auto"/>
          <w:sz w:val="24"/>
          <w:szCs w:val="24"/>
          <w:highlight w:val="none"/>
          <w:lang w:val="en-GB"/>
        </w:rPr>
        <w:t>以及附件1《技术参数》、附件2《</w:t>
      </w:r>
      <w:r>
        <w:rPr>
          <w:rFonts w:hint="eastAsia" w:ascii="宋体" w:hAnsi="宋体" w:eastAsia="宋体" w:cs="宋体"/>
          <w:b w:val="0"/>
          <w:bCs w:val="0"/>
          <w:color w:val="auto"/>
          <w:sz w:val="24"/>
          <w:szCs w:val="24"/>
          <w:highlight w:val="none"/>
          <w:lang w:val="en-GB" w:eastAsia="zh-CN"/>
        </w:rPr>
        <w:t>选配件价格</w:t>
      </w:r>
      <w:r>
        <w:rPr>
          <w:rFonts w:hint="eastAsia" w:ascii="宋体" w:hAnsi="宋体" w:eastAsia="宋体" w:cs="宋体"/>
          <w:b w:val="0"/>
          <w:bCs w:val="0"/>
          <w:color w:val="auto"/>
          <w:sz w:val="24"/>
          <w:szCs w:val="24"/>
          <w:highlight w:val="none"/>
          <w:lang w:val="en-GB"/>
        </w:rPr>
        <w:t>》、附件</w:t>
      </w: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GB"/>
        </w:rPr>
        <w:t>《服务考核细则》、附件</w:t>
      </w: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GB"/>
        </w:rPr>
        <w:t>《</w:t>
      </w:r>
      <w:r>
        <w:rPr>
          <w:rFonts w:hint="eastAsia" w:ascii="宋体" w:hAnsi="宋体" w:eastAsia="宋体" w:cs="宋体"/>
          <w:b w:val="0"/>
          <w:bCs w:val="0"/>
          <w:color w:val="auto"/>
          <w:sz w:val="24"/>
          <w:szCs w:val="24"/>
          <w:highlight w:val="none"/>
        </w:rPr>
        <w:t>安装标准》</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GB"/>
        </w:rPr>
        <w:t>附件</w:t>
      </w:r>
      <w:r>
        <w:rPr>
          <w:rFonts w:hint="eastAsia" w:ascii="宋体" w:hAnsi="宋体" w:eastAsia="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lang w:val="en-GB"/>
        </w:rPr>
        <w:t>《</w:t>
      </w:r>
      <w:r>
        <w:rPr>
          <w:rFonts w:hint="eastAsia" w:ascii="宋体" w:hAnsi="宋体" w:eastAsia="宋体" w:cs="宋体"/>
          <w:b w:val="0"/>
          <w:bCs w:val="0"/>
          <w:i w:val="0"/>
          <w:iCs w:val="0"/>
          <w:caps w:val="0"/>
          <w:color w:val="auto"/>
          <w:spacing w:val="0"/>
          <w:sz w:val="24"/>
          <w:szCs w:val="24"/>
          <w:highlight w:val="none"/>
          <w:shd w:val="clear" w:color="auto" w:fill="auto"/>
        </w:rPr>
        <w:t>实施安装验收标准</w:t>
      </w:r>
      <w:r>
        <w:rPr>
          <w:rFonts w:hint="eastAsia" w:ascii="宋体" w:hAnsi="宋体" w:eastAsia="宋体" w:cs="宋体"/>
          <w:b w:val="0"/>
          <w:bCs w:val="0"/>
          <w:color w:val="auto"/>
          <w:sz w:val="24"/>
          <w:szCs w:val="24"/>
          <w:highlight w:val="none"/>
          <w:lang w:val="en-GB"/>
        </w:rPr>
        <w:t>》及其</w:t>
      </w:r>
      <w:r>
        <w:rPr>
          <w:rFonts w:hint="eastAsia" w:ascii="宋体" w:hAnsi="宋体" w:eastAsia="宋体" w:cs="宋体"/>
          <w:color w:val="auto"/>
          <w:sz w:val="24"/>
          <w:szCs w:val="24"/>
          <w:highlight w:val="none"/>
          <w:lang w:val="en-GB"/>
        </w:rPr>
        <w:t>他附件均为本合同不可分割的一部分，该等文件与本合同正文约定不一致的，以对</w:t>
      </w:r>
      <w:r>
        <w:rPr>
          <w:rFonts w:hint="eastAsia" w:ascii="宋体" w:hAnsi="宋体" w:eastAsia="宋体" w:cs="宋体"/>
          <w:color w:val="auto"/>
          <w:sz w:val="24"/>
          <w:szCs w:val="24"/>
          <w:highlight w:val="none"/>
          <w:lang w:val="en-GB" w:eastAsia="zh-CN"/>
        </w:rPr>
        <w:t>甲方</w:t>
      </w:r>
      <w:r>
        <w:rPr>
          <w:rFonts w:hint="eastAsia" w:ascii="宋体" w:hAnsi="宋体" w:eastAsia="宋体" w:cs="宋体"/>
          <w:color w:val="auto"/>
          <w:sz w:val="24"/>
          <w:szCs w:val="24"/>
          <w:highlight w:val="none"/>
          <w:lang w:val="en-GB"/>
        </w:rPr>
        <w:t>更有利的约定为准。</w:t>
      </w:r>
    </w:p>
    <w:p w14:paraId="37563A06">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GB"/>
        </w:rPr>
        <w:t>.2本合同未尽事宜，双方另行补充。</w:t>
      </w:r>
    </w:p>
    <w:p w14:paraId="236ABE5A">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GB"/>
        </w:rPr>
        <w:t>.3本合同</w:t>
      </w:r>
      <w:r>
        <w:rPr>
          <w:rFonts w:hint="default" w:ascii="宋体" w:hAnsi="宋体" w:cs="宋体"/>
          <w:color w:val="auto"/>
          <w:sz w:val="24"/>
          <w:szCs w:val="24"/>
          <w:highlight w:val="none"/>
        </w:rPr>
        <w:t>自</w:t>
      </w:r>
      <w:r>
        <w:rPr>
          <w:rFonts w:hint="eastAsia" w:ascii="宋体" w:hAnsi="宋体" w:eastAsia="宋体" w:cs="宋体"/>
          <w:color w:val="auto"/>
          <w:sz w:val="24"/>
          <w:szCs w:val="24"/>
          <w:highlight w:val="none"/>
          <w:lang w:val="en-GB"/>
        </w:rPr>
        <w:t>双方签订之日起生效</w:t>
      </w:r>
      <w:r>
        <w:rPr>
          <w:rFonts w:hint="default" w:ascii="宋体" w:hAnsi="宋体" w:cs="宋体"/>
          <w:color w:val="auto"/>
          <w:sz w:val="24"/>
          <w:szCs w:val="24"/>
          <w:highlight w:val="none"/>
        </w:rPr>
        <w:t>，如签订之日晚于合同实际执行之日的，效力追溯至合同实际执行之日</w:t>
      </w:r>
      <w:r>
        <w:rPr>
          <w:rFonts w:hint="eastAsia" w:ascii="宋体" w:hAnsi="宋体" w:eastAsia="宋体" w:cs="宋体"/>
          <w:color w:val="auto"/>
          <w:sz w:val="24"/>
          <w:szCs w:val="24"/>
          <w:highlight w:val="none"/>
          <w:lang w:val="en-GB"/>
        </w:rPr>
        <w:t>。</w:t>
      </w:r>
      <w:r>
        <w:rPr>
          <w:rFonts w:hint="default" w:ascii="宋体" w:hAnsi="宋体" w:cs="宋体"/>
          <w:color w:val="auto"/>
          <w:sz w:val="24"/>
          <w:szCs w:val="24"/>
          <w:highlight w:val="none"/>
        </w:rPr>
        <w:t>本合同</w:t>
      </w:r>
      <w:r>
        <w:rPr>
          <w:rFonts w:hint="eastAsia" w:ascii="宋体" w:hAnsi="宋体" w:eastAsia="宋体" w:cs="宋体"/>
          <w:color w:val="auto"/>
          <w:sz w:val="24"/>
          <w:szCs w:val="24"/>
          <w:highlight w:val="none"/>
          <w:lang w:val="en-GB"/>
        </w:rPr>
        <w:t>一式伍份，甲方贰份，乙方贰份，送厦门市财政局政府采购监管处备案</w:t>
      </w:r>
      <w:r>
        <w:rPr>
          <w:rFonts w:hint="eastAsia" w:ascii="宋体" w:hAnsi="宋体" w:eastAsia="宋体" w:cs="宋体"/>
          <w:color w:val="auto"/>
          <w:sz w:val="24"/>
          <w:szCs w:val="24"/>
          <w:highlight w:val="none"/>
          <w:lang w:val="en-GB" w:eastAsia="zh-CN"/>
        </w:rPr>
        <w:t>壹</w:t>
      </w:r>
      <w:r>
        <w:rPr>
          <w:rFonts w:hint="eastAsia" w:ascii="宋体" w:hAnsi="宋体" w:eastAsia="宋体" w:cs="宋体"/>
          <w:color w:val="auto"/>
          <w:sz w:val="24"/>
          <w:szCs w:val="24"/>
          <w:highlight w:val="none"/>
          <w:lang w:val="en-GB"/>
        </w:rPr>
        <w:t>份，具有同等效力</w:t>
      </w:r>
    </w:p>
    <w:p w14:paraId="447140C8">
      <w:pPr>
        <w:suppressAutoHyphens/>
        <w:autoSpaceDE w:val="0"/>
        <w:autoSpaceDN w:val="0"/>
        <w:bidi w:val="0"/>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GB"/>
        </w:rPr>
        <w:t>.4本合同期满后，本合同中有关质量保证、售后服务、知识产权及违约责任等条款继续保持有效。</w:t>
      </w:r>
    </w:p>
    <w:p w14:paraId="5D5A9BE1">
      <w:pPr>
        <w:suppressAutoHyphens/>
        <w:autoSpaceDE w:val="0"/>
        <w:autoSpaceDN w:val="0"/>
        <w:bidi w:val="0"/>
        <w:adjustRightInd w:val="0"/>
        <w:snapToGrid w:val="0"/>
        <w:spacing w:before="0" w:beforeLines="0" w:line="360" w:lineRule="auto"/>
        <w:ind w:firstLine="0" w:firstLineChars="0"/>
        <w:jc w:val="left"/>
        <w:rPr>
          <w:rFonts w:hint="eastAsia" w:ascii="宋体" w:hAnsi="宋体" w:eastAsia="宋体" w:cs="宋体"/>
          <w:color w:val="auto"/>
          <w:sz w:val="24"/>
          <w:szCs w:val="24"/>
          <w:highlight w:val="none"/>
          <w:lang w:val="en-GB"/>
        </w:rPr>
      </w:pPr>
    </w:p>
    <w:tbl>
      <w:tblPr>
        <w:tblStyle w:val="14"/>
        <w:tblW w:w="9348" w:type="dxa"/>
        <w:jc w:val="center"/>
        <w:tblLayout w:type="fixed"/>
        <w:tblCellMar>
          <w:top w:w="0" w:type="dxa"/>
          <w:left w:w="108" w:type="dxa"/>
          <w:bottom w:w="0" w:type="dxa"/>
          <w:right w:w="108" w:type="dxa"/>
        </w:tblCellMar>
      </w:tblPr>
      <w:tblGrid>
        <w:gridCol w:w="1378"/>
        <w:gridCol w:w="3185"/>
        <w:gridCol w:w="1486"/>
        <w:gridCol w:w="3299"/>
      </w:tblGrid>
      <w:tr w14:paraId="72F99F79">
        <w:tblPrEx>
          <w:tblCellMar>
            <w:top w:w="0" w:type="dxa"/>
            <w:left w:w="108" w:type="dxa"/>
            <w:bottom w:w="0" w:type="dxa"/>
            <w:right w:w="108" w:type="dxa"/>
          </w:tblCellMar>
        </w:tblPrEx>
        <w:trPr>
          <w:trHeight w:val="548" w:hRule="atLeast"/>
          <w:jc w:val="center"/>
        </w:trPr>
        <w:tc>
          <w:tcPr>
            <w:tcW w:w="1378" w:type="dxa"/>
            <w:tcBorders>
              <w:top w:val="single" w:color="auto" w:sz="4" w:space="0"/>
              <w:left w:val="single" w:color="auto" w:sz="4" w:space="0"/>
              <w:bottom w:val="single" w:color="auto" w:sz="4" w:space="0"/>
              <w:right w:val="single" w:color="auto" w:sz="4" w:space="0"/>
            </w:tcBorders>
            <w:noWrap w:val="0"/>
            <w:vAlign w:val="center"/>
          </w:tcPr>
          <w:p w14:paraId="1398A168">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center"/>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eastAsia="zh-CN"/>
              </w:rPr>
              <w:t>甲</w:t>
            </w:r>
            <w:r>
              <w:rPr>
                <w:rFonts w:hint="eastAsia" w:ascii="宋体" w:hAnsi="宋体" w:eastAsia="宋体" w:cs="宋体"/>
                <w:color w:val="auto"/>
                <w:sz w:val="24"/>
                <w:szCs w:val="24"/>
                <w:highlight w:val="none"/>
                <w:lang w:val="en-GB"/>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GB"/>
              </w:rPr>
              <w:t>方</w:t>
            </w:r>
          </w:p>
        </w:tc>
        <w:tc>
          <w:tcPr>
            <w:tcW w:w="3185" w:type="dxa"/>
            <w:tcBorders>
              <w:top w:val="single" w:color="auto" w:sz="4" w:space="0"/>
              <w:left w:val="nil"/>
              <w:bottom w:val="single" w:color="auto" w:sz="4" w:space="0"/>
              <w:right w:val="single" w:color="auto" w:sz="4" w:space="0"/>
            </w:tcBorders>
            <w:noWrap w:val="0"/>
            <w:vAlign w:val="center"/>
          </w:tcPr>
          <w:p w14:paraId="347930A6">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left"/>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厦门万翔网络商务有限公司</w:t>
            </w:r>
          </w:p>
        </w:tc>
        <w:tc>
          <w:tcPr>
            <w:tcW w:w="1486" w:type="dxa"/>
            <w:tcBorders>
              <w:top w:val="single" w:color="auto" w:sz="4" w:space="0"/>
              <w:left w:val="nil"/>
              <w:bottom w:val="single" w:color="auto" w:sz="4" w:space="0"/>
              <w:right w:val="single" w:color="auto" w:sz="4" w:space="0"/>
            </w:tcBorders>
            <w:noWrap w:val="0"/>
            <w:vAlign w:val="center"/>
          </w:tcPr>
          <w:p w14:paraId="2A2F40D1">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center"/>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eastAsia="zh-CN"/>
              </w:rPr>
              <w:t>乙</w:t>
            </w:r>
            <w:r>
              <w:rPr>
                <w:rFonts w:hint="eastAsia" w:ascii="宋体" w:hAnsi="宋体" w:eastAsia="宋体" w:cs="宋体"/>
                <w:color w:val="auto"/>
                <w:sz w:val="24"/>
                <w:szCs w:val="24"/>
                <w:highlight w:val="none"/>
                <w:lang w:val="en-GB"/>
              </w:rPr>
              <w:t xml:space="preserve">   方</w:t>
            </w:r>
          </w:p>
        </w:tc>
        <w:tc>
          <w:tcPr>
            <w:tcW w:w="3299" w:type="dxa"/>
            <w:tcBorders>
              <w:top w:val="single" w:color="auto" w:sz="4" w:space="0"/>
              <w:left w:val="nil"/>
              <w:bottom w:val="single" w:color="auto" w:sz="4" w:space="0"/>
              <w:right w:val="single" w:color="auto" w:sz="4" w:space="0"/>
            </w:tcBorders>
            <w:noWrap w:val="0"/>
            <w:vAlign w:val="center"/>
          </w:tcPr>
          <w:p w14:paraId="2BCAB9CF">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80" w:firstLineChars="200"/>
              <w:jc w:val="center"/>
              <w:rPr>
                <w:rFonts w:hint="eastAsia" w:ascii="宋体" w:hAnsi="宋体" w:eastAsia="宋体" w:cs="宋体"/>
                <w:color w:val="auto"/>
                <w:sz w:val="24"/>
                <w:szCs w:val="24"/>
                <w:highlight w:val="none"/>
                <w:lang w:val="en-GB"/>
              </w:rPr>
            </w:pPr>
          </w:p>
        </w:tc>
      </w:tr>
      <w:tr w14:paraId="66CC3E22">
        <w:tblPrEx>
          <w:tblCellMar>
            <w:top w:w="0" w:type="dxa"/>
            <w:left w:w="108" w:type="dxa"/>
            <w:bottom w:w="0" w:type="dxa"/>
            <w:right w:w="108" w:type="dxa"/>
          </w:tblCellMar>
        </w:tblPrEx>
        <w:trPr>
          <w:trHeight w:val="585" w:hRule="atLeast"/>
          <w:jc w:val="center"/>
        </w:trPr>
        <w:tc>
          <w:tcPr>
            <w:tcW w:w="1378" w:type="dxa"/>
            <w:tcBorders>
              <w:top w:val="single" w:color="auto" w:sz="4" w:space="0"/>
              <w:left w:val="single" w:color="auto" w:sz="4" w:space="0"/>
              <w:bottom w:val="single" w:color="auto" w:sz="4" w:space="0"/>
              <w:right w:val="single" w:color="auto" w:sz="4" w:space="0"/>
            </w:tcBorders>
            <w:noWrap w:val="0"/>
            <w:vAlign w:val="center"/>
          </w:tcPr>
          <w:p w14:paraId="7AF875F4">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center"/>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单位地址</w:t>
            </w:r>
          </w:p>
        </w:tc>
        <w:tc>
          <w:tcPr>
            <w:tcW w:w="3185" w:type="dxa"/>
            <w:tcBorders>
              <w:top w:val="single" w:color="auto" w:sz="4" w:space="0"/>
              <w:left w:val="nil"/>
              <w:bottom w:val="single" w:color="auto" w:sz="4" w:space="0"/>
              <w:right w:val="single" w:color="auto" w:sz="4" w:space="0"/>
            </w:tcBorders>
            <w:noWrap w:val="0"/>
            <w:vAlign w:val="center"/>
          </w:tcPr>
          <w:p w14:paraId="729E264F">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left"/>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厦门市湖里区机场北路476号</w:t>
            </w:r>
          </w:p>
        </w:tc>
        <w:tc>
          <w:tcPr>
            <w:tcW w:w="1486" w:type="dxa"/>
            <w:tcBorders>
              <w:top w:val="single" w:color="auto" w:sz="4" w:space="0"/>
              <w:left w:val="nil"/>
              <w:bottom w:val="single" w:color="auto" w:sz="4" w:space="0"/>
              <w:right w:val="single" w:color="auto" w:sz="4" w:space="0"/>
            </w:tcBorders>
            <w:noWrap w:val="0"/>
            <w:vAlign w:val="center"/>
          </w:tcPr>
          <w:p w14:paraId="5F0DD85F">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center"/>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单位地址</w:t>
            </w:r>
          </w:p>
        </w:tc>
        <w:tc>
          <w:tcPr>
            <w:tcW w:w="3299" w:type="dxa"/>
            <w:tcBorders>
              <w:top w:val="single" w:color="auto" w:sz="4" w:space="0"/>
              <w:left w:val="nil"/>
              <w:bottom w:val="single" w:color="auto" w:sz="4" w:space="0"/>
              <w:right w:val="single" w:color="auto" w:sz="4" w:space="0"/>
            </w:tcBorders>
            <w:noWrap w:val="0"/>
            <w:vAlign w:val="center"/>
          </w:tcPr>
          <w:p w14:paraId="06F973F5">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80" w:firstLineChars="200"/>
              <w:jc w:val="center"/>
              <w:rPr>
                <w:rFonts w:hint="eastAsia" w:ascii="宋体" w:hAnsi="宋体" w:eastAsia="宋体" w:cs="宋体"/>
                <w:color w:val="auto"/>
                <w:sz w:val="24"/>
                <w:szCs w:val="24"/>
                <w:highlight w:val="none"/>
                <w:lang w:val="en-GB"/>
              </w:rPr>
            </w:pPr>
          </w:p>
        </w:tc>
      </w:tr>
      <w:tr w14:paraId="7FAEA953">
        <w:tblPrEx>
          <w:tblCellMar>
            <w:top w:w="0" w:type="dxa"/>
            <w:left w:w="108" w:type="dxa"/>
            <w:bottom w:w="0" w:type="dxa"/>
            <w:right w:w="108" w:type="dxa"/>
          </w:tblCellMar>
        </w:tblPrEx>
        <w:trPr>
          <w:trHeight w:val="654" w:hRule="atLeast"/>
          <w:jc w:val="center"/>
        </w:trPr>
        <w:tc>
          <w:tcPr>
            <w:tcW w:w="1378" w:type="dxa"/>
            <w:tcBorders>
              <w:top w:val="single" w:color="auto" w:sz="4" w:space="0"/>
              <w:left w:val="single" w:color="auto" w:sz="4" w:space="0"/>
              <w:bottom w:val="single" w:color="auto" w:sz="4" w:space="0"/>
              <w:right w:val="single" w:color="auto" w:sz="4" w:space="0"/>
            </w:tcBorders>
            <w:noWrap w:val="0"/>
            <w:vAlign w:val="center"/>
          </w:tcPr>
          <w:p w14:paraId="23466AFE">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center"/>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法定代表人</w:t>
            </w:r>
          </w:p>
        </w:tc>
        <w:tc>
          <w:tcPr>
            <w:tcW w:w="3185" w:type="dxa"/>
            <w:tcBorders>
              <w:top w:val="single" w:color="auto" w:sz="4" w:space="0"/>
              <w:left w:val="nil"/>
              <w:bottom w:val="single" w:color="auto" w:sz="4" w:space="0"/>
              <w:right w:val="single" w:color="auto" w:sz="4" w:space="0"/>
            </w:tcBorders>
            <w:noWrap w:val="0"/>
            <w:vAlign w:val="center"/>
          </w:tcPr>
          <w:p w14:paraId="2AF180EC">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left"/>
              <w:rPr>
                <w:rFonts w:hint="eastAsia" w:ascii="宋体" w:hAnsi="宋体" w:eastAsia="宋体" w:cs="宋体"/>
                <w:color w:val="auto"/>
                <w:sz w:val="24"/>
                <w:szCs w:val="24"/>
                <w:highlight w:val="none"/>
                <w:lang w:val="en-GB" w:eastAsia="zh-CN"/>
              </w:rPr>
            </w:pPr>
            <w:r>
              <w:rPr>
                <w:rFonts w:hint="eastAsia" w:ascii="宋体" w:hAnsi="宋体" w:eastAsia="宋体" w:cs="宋体"/>
                <w:color w:val="auto"/>
                <w:sz w:val="24"/>
                <w:szCs w:val="24"/>
                <w:highlight w:val="none"/>
                <w:lang w:val="en-GB" w:eastAsia="zh-CN"/>
              </w:rPr>
              <w:t>陈团生</w:t>
            </w:r>
          </w:p>
        </w:tc>
        <w:tc>
          <w:tcPr>
            <w:tcW w:w="1486" w:type="dxa"/>
            <w:tcBorders>
              <w:top w:val="single" w:color="auto" w:sz="4" w:space="0"/>
              <w:left w:val="nil"/>
              <w:bottom w:val="single" w:color="auto" w:sz="4" w:space="0"/>
              <w:right w:val="single" w:color="auto" w:sz="4" w:space="0"/>
            </w:tcBorders>
            <w:noWrap w:val="0"/>
            <w:vAlign w:val="center"/>
          </w:tcPr>
          <w:p w14:paraId="41766D88">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center"/>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法定代表人</w:t>
            </w:r>
          </w:p>
        </w:tc>
        <w:tc>
          <w:tcPr>
            <w:tcW w:w="3299" w:type="dxa"/>
            <w:tcBorders>
              <w:top w:val="single" w:color="auto" w:sz="4" w:space="0"/>
              <w:left w:val="nil"/>
              <w:bottom w:val="single" w:color="auto" w:sz="4" w:space="0"/>
              <w:right w:val="single" w:color="auto" w:sz="4" w:space="0"/>
            </w:tcBorders>
            <w:noWrap w:val="0"/>
            <w:vAlign w:val="center"/>
          </w:tcPr>
          <w:p w14:paraId="291E4A49">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80" w:firstLineChars="200"/>
              <w:jc w:val="center"/>
              <w:rPr>
                <w:rFonts w:hint="eastAsia" w:ascii="宋体" w:hAnsi="宋体" w:eastAsia="宋体" w:cs="宋体"/>
                <w:color w:val="auto"/>
                <w:sz w:val="24"/>
                <w:szCs w:val="24"/>
                <w:highlight w:val="none"/>
                <w:lang w:val="en-GB"/>
              </w:rPr>
            </w:pPr>
          </w:p>
        </w:tc>
      </w:tr>
      <w:tr w14:paraId="4B745D3E">
        <w:tblPrEx>
          <w:tblCellMar>
            <w:top w:w="0" w:type="dxa"/>
            <w:left w:w="108" w:type="dxa"/>
            <w:bottom w:w="0" w:type="dxa"/>
            <w:right w:w="108" w:type="dxa"/>
          </w:tblCellMar>
        </w:tblPrEx>
        <w:trPr>
          <w:trHeight w:val="742" w:hRule="atLeast"/>
          <w:jc w:val="center"/>
        </w:trPr>
        <w:tc>
          <w:tcPr>
            <w:tcW w:w="1378" w:type="dxa"/>
            <w:tcBorders>
              <w:top w:val="single" w:color="auto" w:sz="4" w:space="0"/>
              <w:left w:val="single" w:color="auto" w:sz="4" w:space="0"/>
              <w:bottom w:val="single" w:color="auto" w:sz="4" w:space="0"/>
              <w:right w:val="single" w:color="auto" w:sz="4" w:space="0"/>
            </w:tcBorders>
            <w:noWrap w:val="0"/>
            <w:vAlign w:val="center"/>
          </w:tcPr>
          <w:p w14:paraId="45D616F8">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center"/>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签字代表</w:t>
            </w:r>
          </w:p>
        </w:tc>
        <w:tc>
          <w:tcPr>
            <w:tcW w:w="3185" w:type="dxa"/>
            <w:tcBorders>
              <w:top w:val="single" w:color="auto" w:sz="4" w:space="0"/>
              <w:left w:val="nil"/>
              <w:bottom w:val="single" w:color="auto" w:sz="4" w:space="0"/>
              <w:right w:val="single" w:color="auto" w:sz="4" w:space="0"/>
            </w:tcBorders>
            <w:noWrap w:val="0"/>
            <w:vAlign w:val="center"/>
          </w:tcPr>
          <w:p w14:paraId="6AB33EEE">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80" w:firstLineChars="200"/>
              <w:jc w:val="left"/>
              <w:rPr>
                <w:rFonts w:hint="eastAsia" w:ascii="宋体" w:hAnsi="宋体" w:eastAsia="宋体" w:cs="宋体"/>
                <w:color w:val="auto"/>
                <w:sz w:val="24"/>
                <w:szCs w:val="24"/>
                <w:highlight w:val="none"/>
                <w:lang w:val="en-GB"/>
              </w:rPr>
            </w:pPr>
          </w:p>
        </w:tc>
        <w:tc>
          <w:tcPr>
            <w:tcW w:w="1486" w:type="dxa"/>
            <w:tcBorders>
              <w:top w:val="single" w:color="auto" w:sz="4" w:space="0"/>
              <w:left w:val="nil"/>
              <w:bottom w:val="single" w:color="auto" w:sz="4" w:space="0"/>
              <w:right w:val="single" w:color="auto" w:sz="4" w:space="0"/>
            </w:tcBorders>
            <w:noWrap w:val="0"/>
            <w:vAlign w:val="center"/>
          </w:tcPr>
          <w:p w14:paraId="2CC6D30F">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center"/>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签字代表</w:t>
            </w:r>
          </w:p>
        </w:tc>
        <w:tc>
          <w:tcPr>
            <w:tcW w:w="3299" w:type="dxa"/>
            <w:tcBorders>
              <w:top w:val="single" w:color="auto" w:sz="4" w:space="0"/>
              <w:left w:val="nil"/>
              <w:bottom w:val="single" w:color="auto" w:sz="4" w:space="0"/>
              <w:right w:val="single" w:color="auto" w:sz="4" w:space="0"/>
            </w:tcBorders>
            <w:noWrap w:val="0"/>
            <w:vAlign w:val="center"/>
          </w:tcPr>
          <w:p w14:paraId="533EB4D6">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80" w:firstLineChars="200"/>
              <w:jc w:val="center"/>
              <w:rPr>
                <w:rFonts w:hint="eastAsia" w:ascii="宋体" w:hAnsi="宋体" w:eastAsia="宋体" w:cs="宋体"/>
                <w:color w:val="auto"/>
                <w:sz w:val="24"/>
                <w:szCs w:val="24"/>
                <w:highlight w:val="none"/>
                <w:lang w:val="en-GB"/>
              </w:rPr>
            </w:pPr>
          </w:p>
        </w:tc>
      </w:tr>
      <w:tr w14:paraId="61A4EFDA">
        <w:tblPrEx>
          <w:tblCellMar>
            <w:top w:w="0" w:type="dxa"/>
            <w:left w:w="108" w:type="dxa"/>
            <w:bottom w:w="0" w:type="dxa"/>
            <w:right w:w="108" w:type="dxa"/>
          </w:tblCellMar>
        </w:tblPrEx>
        <w:trPr>
          <w:trHeight w:val="661" w:hRule="atLeast"/>
          <w:jc w:val="center"/>
        </w:trPr>
        <w:tc>
          <w:tcPr>
            <w:tcW w:w="1378" w:type="dxa"/>
            <w:tcBorders>
              <w:top w:val="single" w:color="auto" w:sz="4" w:space="0"/>
              <w:left w:val="single" w:color="auto" w:sz="4" w:space="0"/>
              <w:bottom w:val="single" w:color="auto" w:sz="4" w:space="0"/>
              <w:right w:val="single" w:color="auto" w:sz="4" w:space="0"/>
            </w:tcBorders>
            <w:noWrap w:val="0"/>
            <w:vAlign w:val="center"/>
          </w:tcPr>
          <w:p w14:paraId="2B18AE87">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center"/>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电    话</w:t>
            </w:r>
          </w:p>
        </w:tc>
        <w:tc>
          <w:tcPr>
            <w:tcW w:w="3185" w:type="dxa"/>
            <w:tcBorders>
              <w:top w:val="single" w:color="auto" w:sz="4" w:space="0"/>
              <w:left w:val="nil"/>
              <w:bottom w:val="single" w:color="auto" w:sz="4" w:space="0"/>
              <w:right w:val="single" w:color="auto" w:sz="4" w:space="0"/>
            </w:tcBorders>
            <w:noWrap w:val="0"/>
            <w:vAlign w:val="center"/>
          </w:tcPr>
          <w:p w14:paraId="57916CE6">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left"/>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0592-5736568</w:t>
            </w:r>
          </w:p>
        </w:tc>
        <w:tc>
          <w:tcPr>
            <w:tcW w:w="1486" w:type="dxa"/>
            <w:tcBorders>
              <w:top w:val="single" w:color="auto" w:sz="4" w:space="0"/>
              <w:left w:val="nil"/>
              <w:bottom w:val="single" w:color="auto" w:sz="4" w:space="0"/>
              <w:right w:val="single" w:color="auto" w:sz="4" w:space="0"/>
            </w:tcBorders>
            <w:noWrap w:val="0"/>
            <w:vAlign w:val="center"/>
          </w:tcPr>
          <w:p w14:paraId="1A81A23D">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center"/>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电   话</w:t>
            </w:r>
          </w:p>
        </w:tc>
        <w:tc>
          <w:tcPr>
            <w:tcW w:w="3299" w:type="dxa"/>
            <w:tcBorders>
              <w:top w:val="single" w:color="auto" w:sz="4" w:space="0"/>
              <w:left w:val="nil"/>
              <w:bottom w:val="single" w:color="auto" w:sz="4" w:space="0"/>
              <w:right w:val="single" w:color="auto" w:sz="4" w:space="0"/>
            </w:tcBorders>
            <w:noWrap w:val="0"/>
            <w:vAlign w:val="center"/>
          </w:tcPr>
          <w:p w14:paraId="0CC35913">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80" w:firstLineChars="200"/>
              <w:jc w:val="center"/>
              <w:rPr>
                <w:rFonts w:hint="eastAsia" w:ascii="宋体" w:hAnsi="宋体" w:eastAsia="宋体" w:cs="宋体"/>
                <w:color w:val="auto"/>
                <w:sz w:val="24"/>
                <w:szCs w:val="24"/>
                <w:highlight w:val="none"/>
                <w:lang w:val="en-GB"/>
              </w:rPr>
            </w:pPr>
          </w:p>
        </w:tc>
      </w:tr>
      <w:tr w14:paraId="13565B43">
        <w:tblPrEx>
          <w:tblCellMar>
            <w:top w:w="0" w:type="dxa"/>
            <w:left w:w="108" w:type="dxa"/>
            <w:bottom w:w="0" w:type="dxa"/>
            <w:right w:w="108" w:type="dxa"/>
          </w:tblCellMar>
        </w:tblPrEx>
        <w:trPr>
          <w:trHeight w:val="746" w:hRule="atLeast"/>
          <w:jc w:val="center"/>
        </w:trPr>
        <w:tc>
          <w:tcPr>
            <w:tcW w:w="1378" w:type="dxa"/>
            <w:tcBorders>
              <w:top w:val="single" w:color="auto" w:sz="4" w:space="0"/>
              <w:left w:val="single" w:color="auto" w:sz="4" w:space="0"/>
              <w:bottom w:val="single" w:color="auto" w:sz="4" w:space="0"/>
              <w:right w:val="single" w:color="auto" w:sz="4" w:space="0"/>
            </w:tcBorders>
            <w:noWrap w:val="0"/>
            <w:vAlign w:val="center"/>
          </w:tcPr>
          <w:p w14:paraId="35373C7C">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center"/>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开户行</w:t>
            </w:r>
          </w:p>
        </w:tc>
        <w:tc>
          <w:tcPr>
            <w:tcW w:w="3185" w:type="dxa"/>
            <w:tcBorders>
              <w:top w:val="single" w:color="auto" w:sz="4" w:space="0"/>
              <w:left w:val="nil"/>
              <w:bottom w:val="single" w:color="auto" w:sz="4" w:space="0"/>
              <w:right w:val="single" w:color="auto" w:sz="4" w:space="0"/>
            </w:tcBorders>
            <w:noWrap w:val="0"/>
            <w:vAlign w:val="center"/>
          </w:tcPr>
          <w:p w14:paraId="78A22BB0">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left"/>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建行厦门自贸试验区航空港支行</w:t>
            </w:r>
          </w:p>
        </w:tc>
        <w:tc>
          <w:tcPr>
            <w:tcW w:w="1486" w:type="dxa"/>
            <w:tcBorders>
              <w:top w:val="single" w:color="auto" w:sz="4" w:space="0"/>
              <w:left w:val="nil"/>
              <w:bottom w:val="single" w:color="auto" w:sz="4" w:space="0"/>
              <w:right w:val="single" w:color="auto" w:sz="4" w:space="0"/>
            </w:tcBorders>
            <w:noWrap w:val="0"/>
            <w:vAlign w:val="center"/>
          </w:tcPr>
          <w:p w14:paraId="2E226FA0">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center"/>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开户行</w:t>
            </w:r>
          </w:p>
        </w:tc>
        <w:tc>
          <w:tcPr>
            <w:tcW w:w="3299" w:type="dxa"/>
            <w:tcBorders>
              <w:top w:val="single" w:color="auto" w:sz="4" w:space="0"/>
              <w:left w:val="nil"/>
              <w:bottom w:val="single" w:color="auto" w:sz="4" w:space="0"/>
              <w:right w:val="single" w:color="auto" w:sz="4" w:space="0"/>
            </w:tcBorders>
            <w:noWrap w:val="0"/>
            <w:vAlign w:val="center"/>
          </w:tcPr>
          <w:p w14:paraId="3A9B75B1">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80" w:firstLineChars="200"/>
              <w:jc w:val="center"/>
              <w:rPr>
                <w:rFonts w:hint="eastAsia" w:ascii="宋体" w:hAnsi="宋体" w:eastAsia="宋体" w:cs="宋体"/>
                <w:color w:val="auto"/>
                <w:sz w:val="24"/>
                <w:szCs w:val="24"/>
                <w:highlight w:val="none"/>
                <w:lang w:val="en-GB"/>
              </w:rPr>
            </w:pPr>
          </w:p>
        </w:tc>
      </w:tr>
      <w:tr w14:paraId="3C4B9D1D">
        <w:tblPrEx>
          <w:tblCellMar>
            <w:top w:w="0" w:type="dxa"/>
            <w:left w:w="108" w:type="dxa"/>
            <w:bottom w:w="0" w:type="dxa"/>
            <w:right w:w="108" w:type="dxa"/>
          </w:tblCellMar>
        </w:tblPrEx>
        <w:trPr>
          <w:trHeight w:val="738" w:hRule="atLeast"/>
          <w:jc w:val="center"/>
        </w:trPr>
        <w:tc>
          <w:tcPr>
            <w:tcW w:w="1378" w:type="dxa"/>
            <w:tcBorders>
              <w:top w:val="single" w:color="auto" w:sz="4" w:space="0"/>
              <w:left w:val="single" w:color="auto" w:sz="4" w:space="0"/>
              <w:bottom w:val="single" w:color="auto" w:sz="4" w:space="0"/>
              <w:right w:val="single" w:color="auto" w:sz="4" w:space="0"/>
            </w:tcBorders>
            <w:noWrap w:val="0"/>
            <w:vAlign w:val="center"/>
          </w:tcPr>
          <w:p w14:paraId="61883C67">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center"/>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账  号</w:t>
            </w:r>
          </w:p>
        </w:tc>
        <w:tc>
          <w:tcPr>
            <w:tcW w:w="3185" w:type="dxa"/>
            <w:tcBorders>
              <w:top w:val="single" w:color="auto" w:sz="4" w:space="0"/>
              <w:left w:val="single" w:color="auto" w:sz="4" w:space="0"/>
              <w:bottom w:val="single" w:color="auto" w:sz="4" w:space="0"/>
              <w:right w:val="single" w:color="auto" w:sz="4" w:space="0"/>
            </w:tcBorders>
            <w:noWrap w:val="0"/>
            <w:vAlign w:val="center"/>
          </w:tcPr>
          <w:p w14:paraId="3A174092">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left"/>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35101570201052503924</w:t>
            </w:r>
          </w:p>
        </w:tc>
        <w:tc>
          <w:tcPr>
            <w:tcW w:w="1486" w:type="dxa"/>
            <w:tcBorders>
              <w:top w:val="single" w:color="auto" w:sz="4" w:space="0"/>
              <w:left w:val="nil"/>
              <w:bottom w:val="single" w:color="auto" w:sz="4" w:space="0"/>
              <w:right w:val="single" w:color="auto" w:sz="4" w:space="0"/>
            </w:tcBorders>
            <w:noWrap w:val="0"/>
            <w:vAlign w:val="center"/>
          </w:tcPr>
          <w:p w14:paraId="522C3DA6">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center"/>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账  号</w:t>
            </w:r>
          </w:p>
        </w:tc>
        <w:tc>
          <w:tcPr>
            <w:tcW w:w="3299" w:type="dxa"/>
            <w:tcBorders>
              <w:top w:val="single" w:color="auto" w:sz="4" w:space="0"/>
              <w:left w:val="nil"/>
              <w:bottom w:val="single" w:color="auto" w:sz="4" w:space="0"/>
              <w:right w:val="single" w:color="auto" w:sz="4" w:space="0"/>
            </w:tcBorders>
            <w:noWrap w:val="0"/>
            <w:vAlign w:val="center"/>
          </w:tcPr>
          <w:p w14:paraId="03030F38">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80" w:firstLineChars="200"/>
              <w:jc w:val="center"/>
              <w:rPr>
                <w:rFonts w:hint="eastAsia" w:ascii="宋体" w:hAnsi="宋体" w:eastAsia="宋体" w:cs="宋体"/>
                <w:color w:val="auto"/>
                <w:sz w:val="24"/>
                <w:szCs w:val="24"/>
                <w:highlight w:val="none"/>
                <w:lang w:val="en-GB"/>
              </w:rPr>
            </w:pPr>
          </w:p>
        </w:tc>
      </w:tr>
      <w:tr w14:paraId="1BBE219B">
        <w:tblPrEx>
          <w:tblCellMar>
            <w:top w:w="0" w:type="dxa"/>
            <w:left w:w="108" w:type="dxa"/>
            <w:bottom w:w="0" w:type="dxa"/>
            <w:right w:w="108" w:type="dxa"/>
          </w:tblCellMar>
        </w:tblPrEx>
        <w:trPr>
          <w:trHeight w:val="684" w:hRule="atLeast"/>
          <w:jc w:val="center"/>
        </w:trPr>
        <w:tc>
          <w:tcPr>
            <w:tcW w:w="1378" w:type="dxa"/>
            <w:tcBorders>
              <w:top w:val="single" w:color="auto" w:sz="4" w:space="0"/>
              <w:left w:val="single" w:color="auto" w:sz="4" w:space="0"/>
              <w:bottom w:val="single" w:color="auto" w:sz="4" w:space="0"/>
              <w:right w:val="single" w:color="auto" w:sz="4" w:space="0"/>
            </w:tcBorders>
            <w:noWrap w:val="0"/>
            <w:vAlign w:val="center"/>
          </w:tcPr>
          <w:p w14:paraId="3BCB04E1">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center"/>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签订日期</w:t>
            </w:r>
          </w:p>
        </w:tc>
        <w:tc>
          <w:tcPr>
            <w:tcW w:w="3185" w:type="dxa"/>
            <w:tcBorders>
              <w:top w:val="single" w:color="auto" w:sz="4" w:space="0"/>
              <w:left w:val="single" w:color="auto" w:sz="4" w:space="0"/>
              <w:bottom w:val="single" w:color="auto" w:sz="4" w:space="0"/>
              <w:right w:val="single" w:color="auto" w:sz="4" w:space="0"/>
            </w:tcBorders>
            <w:noWrap w:val="0"/>
            <w:vAlign w:val="center"/>
          </w:tcPr>
          <w:p w14:paraId="210805E7">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80" w:firstLineChars="200"/>
              <w:jc w:val="center"/>
              <w:rPr>
                <w:rFonts w:hint="eastAsia" w:ascii="宋体" w:hAnsi="宋体" w:eastAsia="宋体" w:cs="宋体"/>
                <w:color w:val="auto"/>
                <w:sz w:val="24"/>
                <w:szCs w:val="24"/>
                <w:highlight w:val="none"/>
                <w:lang w:val="en-GB"/>
              </w:rPr>
            </w:pPr>
          </w:p>
        </w:tc>
        <w:tc>
          <w:tcPr>
            <w:tcW w:w="1486" w:type="dxa"/>
            <w:tcBorders>
              <w:top w:val="single" w:color="auto" w:sz="4" w:space="0"/>
              <w:left w:val="nil"/>
              <w:bottom w:val="single" w:color="auto" w:sz="4" w:space="0"/>
              <w:right w:val="single" w:color="auto" w:sz="4" w:space="0"/>
            </w:tcBorders>
            <w:noWrap w:val="0"/>
            <w:vAlign w:val="center"/>
          </w:tcPr>
          <w:p w14:paraId="04C8BC29">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center"/>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en-GB"/>
              </w:rPr>
              <w:t>签订日期</w:t>
            </w:r>
          </w:p>
        </w:tc>
        <w:tc>
          <w:tcPr>
            <w:tcW w:w="3299" w:type="dxa"/>
            <w:tcBorders>
              <w:top w:val="single" w:color="auto" w:sz="4" w:space="0"/>
              <w:left w:val="nil"/>
              <w:bottom w:val="single" w:color="auto" w:sz="4" w:space="0"/>
              <w:right w:val="single" w:color="auto" w:sz="4" w:space="0"/>
            </w:tcBorders>
            <w:noWrap w:val="0"/>
            <w:vAlign w:val="center"/>
          </w:tcPr>
          <w:p w14:paraId="32D08456">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80" w:firstLineChars="200"/>
              <w:jc w:val="center"/>
              <w:rPr>
                <w:rFonts w:hint="eastAsia" w:ascii="宋体" w:hAnsi="宋体" w:eastAsia="宋体" w:cs="宋体"/>
                <w:color w:val="auto"/>
                <w:sz w:val="24"/>
                <w:szCs w:val="24"/>
                <w:highlight w:val="none"/>
                <w:lang w:val="en-GB"/>
              </w:rPr>
            </w:pPr>
          </w:p>
        </w:tc>
      </w:tr>
    </w:tbl>
    <w:p w14:paraId="0C8AAD13">
      <w:pPr>
        <w:autoSpaceDE w:val="0"/>
        <w:autoSpaceDN w:val="0"/>
        <w:adjustRightInd w:val="0"/>
        <w:snapToGrid w:val="0"/>
        <w:spacing w:before="0" w:beforeLines="0" w:line="360" w:lineRule="auto"/>
        <w:ind w:firstLine="560" w:firstLineChars="200"/>
        <w:jc w:val="left"/>
        <w:rPr>
          <w:rFonts w:hint="eastAsia" w:ascii="宋体" w:hAnsi="宋体" w:eastAsia="宋体" w:cs="宋体"/>
          <w:color w:val="auto"/>
          <w:szCs w:val="20"/>
          <w:highlight w:val="none"/>
          <w:lang w:val="en-GB"/>
        </w:rPr>
        <w:sectPr>
          <w:pgSz w:w="11906" w:h="16838"/>
          <w:pgMar w:top="1440" w:right="1800" w:bottom="1440" w:left="1800" w:header="851" w:footer="992" w:gutter="0"/>
          <w:cols w:space="720" w:num="1"/>
          <w:docGrid w:type="lines" w:linePitch="312" w:charSpace="0"/>
        </w:sectPr>
      </w:pPr>
    </w:p>
    <w:p w14:paraId="255A21B2">
      <w:pPr>
        <w:suppressAutoHyphens/>
        <w:autoSpaceDE w:val="0"/>
        <w:autoSpaceDN w:val="0"/>
        <w:bidi w:val="0"/>
        <w:adjustRightInd w:val="0"/>
        <w:snapToGrid w:val="0"/>
        <w:spacing w:before="0" w:beforeLines="0" w:line="360" w:lineRule="auto"/>
        <w:ind w:firstLine="482" w:firstLineChars="200"/>
        <w:jc w:val="left"/>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GB"/>
        </w:rPr>
        <w:t>附件1：技术参数</w:t>
      </w:r>
      <w:r>
        <w:rPr>
          <w:rFonts w:hint="default" w:ascii="宋体" w:hAnsi="宋体" w:eastAsia="宋体" w:cs="宋体"/>
          <w:color w:val="auto"/>
          <w:sz w:val="24"/>
          <w:szCs w:val="24"/>
          <w:highlight w:val="none"/>
          <w:lang w:val="en-US" w:eastAsia="zh-CN"/>
        </w:rPr>
        <w:t>   </w:t>
      </w:r>
    </w:p>
    <w:tbl>
      <w:tblPr>
        <w:tblStyle w:val="14"/>
        <w:tblW w:w="498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
        <w:gridCol w:w="1156"/>
        <w:gridCol w:w="1604"/>
        <w:gridCol w:w="916"/>
        <w:gridCol w:w="1477"/>
        <w:gridCol w:w="1065"/>
        <w:gridCol w:w="1560"/>
      </w:tblGrid>
      <w:tr w14:paraId="48893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422" w:type="pct"/>
            <w:tcBorders>
              <w:top w:val="single" w:color="auto" w:sz="4" w:space="0"/>
              <w:left w:val="single" w:color="auto" w:sz="4" w:space="0"/>
              <w:bottom w:val="single" w:color="auto" w:sz="4" w:space="0"/>
              <w:right w:val="single" w:color="auto" w:sz="4" w:space="0"/>
            </w:tcBorders>
            <w:noWrap w:val="0"/>
            <w:vAlign w:val="center"/>
          </w:tcPr>
          <w:p w14:paraId="1E058742">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both"/>
              <w:rPr>
                <w:rFonts w:hint="eastAsia" w:ascii="宋体" w:hAnsi="宋体" w:eastAsia="宋体" w:cs="宋体"/>
                <w:color w:val="auto"/>
                <w:sz w:val="21"/>
                <w:szCs w:val="21"/>
                <w:highlight w:val="none"/>
                <w:lang w:val="en-GB"/>
              </w:rPr>
            </w:pPr>
            <w:r>
              <w:rPr>
                <w:rFonts w:hint="eastAsia" w:ascii="宋体" w:hAnsi="宋体" w:eastAsia="宋体" w:cs="宋体"/>
                <w:color w:val="auto"/>
                <w:sz w:val="21"/>
                <w:szCs w:val="21"/>
                <w:highlight w:val="none"/>
                <w:lang w:val="en-GB"/>
              </w:rPr>
              <w:t>1-1</w:t>
            </w:r>
          </w:p>
        </w:tc>
        <w:tc>
          <w:tcPr>
            <w:tcW w:w="680" w:type="pct"/>
            <w:tcBorders>
              <w:top w:val="single" w:color="auto" w:sz="4" w:space="0"/>
              <w:left w:val="single" w:color="auto" w:sz="4" w:space="0"/>
              <w:bottom w:val="single" w:color="auto" w:sz="4" w:space="0"/>
              <w:right w:val="single" w:color="auto" w:sz="4" w:space="0"/>
            </w:tcBorders>
            <w:noWrap w:val="0"/>
            <w:vAlign w:val="center"/>
          </w:tcPr>
          <w:p w14:paraId="1C2724B6">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both"/>
              <w:rPr>
                <w:rFonts w:hint="eastAsia" w:ascii="宋体" w:hAnsi="宋体" w:eastAsia="宋体" w:cs="宋体"/>
                <w:color w:val="auto"/>
                <w:sz w:val="21"/>
                <w:szCs w:val="21"/>
                <w:highlight w:val="none"/>
                <w:lang w:val="en-GB"/>
              </w:rPr>
            </w:pPr>
            <w:r>
              <w:rPr>
                <w:rFonts w:hint="eastAsia" w:ascii="宋体" w:hAnsi="宋体" w:eastAsia="宋体" w:cs="宋体"/>
                <w:color w:val="auto"/>
                <w:sz w:val="21"/>
                <w:szCs w:val="21"/>
                <w:highlight w:val="none"/>
                <w:lang w:val="en-GB"/>
              </w:rPr>
              <w:t>货物名称</w:t>
            </w:r>
          </w:p>
        </w:tc>
        <w:tc>
          <w:tcPr>
            <w:tcW w:w="943" w:type="pct"/>
            <w:tcBorders>
              <w:top w:val="single" w:color="auto" w:sz="4" w:space="0"/>
              <w:left w:val="single" w:color="auto" w:sz="4" w:space="0"/>
              <w:bottom w:val="single" w:color="auto" w:sz="4" w:space="0"/>
              <w:right w:val="single" w:color="auto" w:sz="4" w:space="0"/>
            </w:tcBorders>
            <w:noWrap w:val="0"/>
            <w:vAlign w:val="center"/>
          </w:tcPr>
          <w:p w14:paraId="16F3C19D">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20" w:firstLineChars="200"/>
              <w:jc w:val="both"/>
              <w:rPr>
                <w:rFonts w:hint="eastAsia" w:ascii="宋体" w:hAnsi="宋体" w:eastAsia="宋体" w:cs="宋体"/>
                <w:color w:val="auto"/>
                <w:sz w:val="21"/>
                <w:szCs w:val="21"/>
                <w:highlight w:val="none"/>
                <w:lang w:val="en-GB"/>
              </w:rPr>
            </w:pPr>
          </w:p>
        </w:tc>
        <w:tc>
          <w:tcPr>
            <w:tcW w:w="539" w:type="pct"/>
            <w:tcBorders>
              <w:top w:val="single" w:color="auto" w:sz="4" w:space="0"/>
              <w:left w:val="single" w:color="auto" w:sz="4" w:space="0"/>
              <w:bottom w:val="single" w:color="auto" w:sz="4" w:space="0"/>
              <w:right w:val="single" w:color="auto" w:sz="4" w:space="0"/>
            </w:tcBorders>
            <w:noWrap w:val="0"/>
            <w:vAlign w:val="center"/>
          </w:tcPr>
          <w:p w14:paraId="50529F9B">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both"/>
              <w:rPr>
                <w:rFonts w:hint="eastAsia" w:ascii="宋体" w:hAnsi="宋体" w:eastAsia="宋体" w:cs="宋体"/>
                <w:color w:val="auto"/>
                <w:sz w:val="21"/>
                <w:szCs w:val="21"/>
                <w:highlight w:val="none"/>
                <w:lang w:val="en-GB"/>
              </w:rPr>
            </w:pPr>
            <w:r>
              <w:rPr>
                <w:rFonts w:hint="eastAsia" w:ascii="宋体" w:hAnsi="宋体" w:eastAsia="宋体" w:cs="宋体"/>
                <w:color w:val="auto"/>
                <w:sz w:val="21"/>
                <w:szCs w:val="21"/>
                <w:highlight w:val="none"/>
                <w:lang w:val="en-GB"/>
              </w:rPr>
              <w:t>制造商</w:t>
            </w:r>
          </w:p>
        </w:tc>
        <w:tc>
          <w:tcPr>
            <w:tcW w:w="869" w:type="pct"/>
            <w:tcBorders>
              <w:top w:val="single" w:color="auto" w:sz="4" w:space="0"/>
              <w:left w:val="single" w:color="auto" w:sz="4" w:space="0"/>
              <w:bottom w:val="single" w:color="auto" w:sz="4" w:space="0"/>
              <w:right w:val="single" w:color="auto" w:sz="4" w:space="0"/>
            </w:tcBorders>
            <w:noWrap w:val="0"/>
            <w:vAlign w:val="center"/>
          </w:tcPr>
          <w:p w14:paraId="77464795">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20" w:firstLineChars="200"/>
              <w:jc w:val="both"/>
              <w:rPr>
                <w:rFonts w:hint="eastAsia" w:ascii="宋体" w:hAnsi="宋体" w:eastAsia="宋体" w:cs="宋体"/>
                <w:color w:val="auto"/>
                <w:sz w:val="21"/>
                <w:szCs w:val="21"/>
                <w:highlight w:val="none"/>
                <w:lang w:val="en-GB"/>
              </w:rPr>
            </w:pPr>
          </w:p>
        </w:tc>
        <w:tc>
          <w:tcPr>
            <w:tcW w:w="626" w:type="pct"/>
            <w:tcBorders>
              <w:top w:val="single" w:color="auto" w:sz="4" w:space="0"/>
              <w:left w:val="single" w:color="auto" w:sz="4" w:space="0"/>
              <w:bottom w:val="single" w:color="auto" w:sz="4" w:space="0"/>
              <w:right w:val="single" w:color="auto" w:sz="4" w:space="0"/>
            </w:tcBorders>
            <w:noWrap w:val="0"/>
            <w:vAlign w:val="center"/>
          </w:tcPr>
          <w:p w14:paraId="114E6D7C">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both"/>
              <w:rPr>
                <w:rFonts w:hint="eastAsia" w:ascii="宋体" w:hAnsi="宋体" w:eastAsia="宋体" w:cs="宋体"/>
                <w:color w:val="auto"/>
                <w:sz w:val="21"/>
                <w:szCs w:val="21"/>
                <w:highlight w:val="none"/>
                <w:lang w:val="en-GB"/>
              </w:rPr>
            </w:pPr>
            <w:r>
              <w:rPr>
                <w:rFonts w:hint="eastAsia" w:ascii="宋体" w:hAnsi="宋体" w:eastAsia="宋体" w:cs="宋体"/>
                <w:color w:val="auto"/>
                <w:sz w:val="21"/>
                <w:szCs w:val="21"/>
                <w:highlight w:val="none"/>
                <w:lang w:val="en-GB"/>
              </w:rPr>
              <w:t>型号规格</w:t>
            </w:r>
          </w:p>
        </w:tc>
        <w:tc>
          <w:tcPr>
            <w:tcW w:w="918" w:type="pct"/>
            <w:tcBorders>
              <w:top w:val="single" w:color="auto" w:sz="4" w:space="0"/>
              <w:left w:val="single" w:color="auto" w:sz="4" w:space="0"/>
              <w:bottom w:val="single" w:color="auto" w:sz="4" w:space="0"/>
              <w:right w:val="single" w:color="auto" w:sz="4" w:space="0"/>
            </w:tcBorders>
            <w:noWrap w:val="0"/>
            <w:vAlign w:val="center"/>
          </w:tcPr>
          <w:p w14:paraId="43EFBC85">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20" w:firstLineChars="200"/>
              <w:jc w:val="both"/>
              <w:rPr>
                <w:rFonts w:hint="eastAsia" w:ascii="宋体" w:hAnsi="宋体" w:eastAsia="宋体" w:cs="宋体"/>
                <w:color w:val="auto"/>
                <w:sz w:val="21"/>
                <w:szCs w:val="21"/>
                <w:highlight w:val="none"/>
                <w:lang w:val="en-GB"/>
              </w:rPr>
            </w:pPr>
          </w:p>
        </w:tc>
      </w:tr>
      <w:tr w14:paraId="7E059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690F3E5A">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both"/>
              <w:rPr>
                <w:rFonts w:hint="eastAsia" w:ascii="宋体" w:hAnsi="宋体" w:eastAsia="宋体" w:cs="宋体"/>
                <w:color w:val="auto"/>
                <w:sz w:val="21"/>
                <w:szCs w:val="21"/>
                <w:highlight w:val="none"/>
                <w:lang w:val="en-GB"/>
              </w:rPr>
            </w:pPr>
          </w:p>
          <w:p w14:paraId="18014DC5">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both"/>
              <w:rPr>
                <w:rFonts w:hint="eastAsia" w:ascii="宋体" w:hAnsi="宋体" w:eastAsia="宋体" w:cs="宋体"/>
                <w:color w:val="auto"/>
                <w:sz w:val="21"/>
                <w:szCs w:val="21"/>
                <w:highlight w:val="none"/>
                <w:lang w:val="en-GB"/>
              </w:rPr>
            </w:pPr>
            <w:r>
              <w:rPr>
                <w:rFonts w:hint="eastAsia" w:ascii="宋体" w:hAnsi="宋体" w:eastAsia="宋体" w:cs="宋体"/>
                <w:color w:val="auto"/>
                <w:sz w:val="21"/>
                <w:szCs w:val="21"/>
                <w:highlight w:val="none"/>
                <w:lang w:val="en-GB"/>
              </w:rPr>
              <w:t>参数详情：</w:t>
            </w:r>
          </w:p>
          <w:p w14:paraId="6FC942DC">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20" w:firstLineChars="200"/>
              <w:jc w:val="both"/>
              <w:rPr>
                <w:rFonts w:hint="eastAsia" w:ascii="宋体" w:hAnsi="宋体" w:eastAsia="宋体" w:cs="宋体"/>
                <w:color w:val="auto"/>
                <w:sz w:val="21"/>
                <w:szCs w:val="21"/>
                <w:highlight w:val="none"/>
                <w:lang w:val="en-GB"/>
              </w:rPr>
            </w:pPr>
          </w:p>
          <w:p w14:paraId="0E1D80B9">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20" w:firstLineChars="200"/>
              <w:jc w:val="both"/>
              <w:rPr>
                <w:rFonts w:hint="eastAsia" w:ascii="宋体" w:hAnsi="宋体" w:eastAsia="宋体" w:cs="宋体"/>
                <w:color w:val="auto"/>
                <w:sz w:val="21"/>
                <w:szCs w:val="21"/>
                <w:highlight w:val="none"/>
                <w:lang w:val="en-GB"/>
              </w:rPr>
            </w:pPr>
          </w:p>
          <w:p w14:paraId="7A108417">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20" w:firstLineChars="200"/>
              <w:jc w:val="both"/>
              <w:rPr>
                <w:rFonts w:hint="eastAsia" w:ascii="宋体" w:hAnsi="宋体" w:eastAsia="宋体" w:cs="宋体"/>
                <w:color w:val="auto"/>
                <w:sz w:val="21"/>
                <w:szCs w:val="21"/>
                <w:highlight w:val="none"/>
                <w:lang w:val="en-GB"/>
              </w:rPr>
            </w:pPr>
          </w:p>
          <w:p w14:paraId="393C0BB0">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20" w:firstLineChars="200"/>
              <w:jc w:val="both"/>
              <w:rPr>
                <w:rFonts w:hint="eastAsia" w:ascii="宋体" w:hAnsi="宋体" w:eastAsia="宋体" w:cs="宋体"/>
                <w:color w:val="auto"/>
                <w:sz w:val="21"/>
                <w:szCs w:val="21"/>
                <w:highlight w:val="none"/>
                <w:lang w:val="en-GB"/>
              </w:rPr>
            </w:pPr>
          </w:p>
          <w:p w14:paraId="74D99B43">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20" w:firstLineChars="200"/>
              <w:jc w:val="both"/>
              <w:rPr>
                <w:rFonts w:hint="eastAsia" w:ascii="宋体" w:hAnsi="宋体" w:eastAsia="宋体" w:cs="宋体"/>
                <w:color w:val="auto"/>
                <w:sz w:val="21"/>
                <w:szCs w:val="21"/>
                <w:highlight w:val="none"/>
                <w:lang w:val="en-GB"/>
              </w:rPr>
            </w:pPr>
          </w:p>
          <w:p w14:paraId="6410ECF6">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20" w:firstLineChars="200"/>
              <w:jc w:val="both"/>
              <w:rPr>
                <w:rFonts w:hint="eastAsia" w:ascii="宋体" w:hAnsi="宋体" w:eastAsia="宋体" w:cs="宋体"/>
                <w:color w:val="auto"/>
                <w:sz w:val="21"/>
                <w:szCs w:val="21"/>
                <w:highlight w:val="none"/>
                <w:lang w:val="en-GB"/>
              </w:rPr>
            </w:pPr>
          </w:p>
          <w:p w14:paraId="1509B74A">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20" w:firstLineChars="200"/>
              <w:jc w:val="both"/>
              <w:rPr>
                <w:rFonts w:hint="eastAsia" w:ascii="宋体" w:hAnsi="宋体" w:eastAsia="宋体" w:cs="宋体"/>
                <w:color w:val="auto"/>
                <w:sz w:val="21"/>
                <w:szCs w:val="21"/>
                <w:highlight w:val="none"/>
                <w:lang w:val="en-GB"/>
              </w:rPr>
            </w:pPr>
          </w:p>
        </w:tc>
      </w:tr>
      <w:tr w14:paraId="03AC7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422" w:type="pct"/>
            <w:tcBorders>
              <w:top w:val="single" w:color="auto" w:sz="4" w:space="0"/>
              <w:left w:val="single" w:color="auto" w:sz="4" w:space="0"/>
              <w:bottom w:val="single" w:color="auto" w:sz="4" w:space="0"/>
              <w:right w:val="single" w:color="auto" w:sz="4" w:space="0"/>
            </w:tcBorders>
            <w:noWrap w:val="0"/>
            <w:vAlign w:val="center"/>
          </w:tcPr>
          <w:p w14:paraId="001F8BF6">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both"/>
              <w:rPr>
                <w:rFonts w:hint="eastAsia" w:ascii="宋体" w:hAnsi="宋体" w:eastAsia="宋体" w:cs="宋体"/>
                <w:color w:val="auto"/>
                <w:sz w:val="21"/>
                <w:szCs w:val="21"/>
                <w:highlight w:val="none"/>
                <w:lang w:val="en-GB"/>
              </w:rPr>
            </w:pPr>
            <w:r>
              <w:rPr>
                <w:rFonts w:hint="eastAsia" w:ascii="宋体" w:hAnsi="宋体" w:eastAsia="宋体" w:cs="宋体"/>
                <w:color w:val="auto"/>
                <w:sz w:val="21"/>
                <w:szCs w:val="21"/>
                <w:highlight w:val="none"/>
                <w:lang w:val="en-GB"/>
              </w:rPr>
              <w:t>1-2</w:t>
            </w:r>
          </w:p>
        </w:tc>
        <w:tc>
          <w:tcPr>
            <w:tcW w:w="680" w:type="pct"/>
            <w:tcBorders>
              <w:top w:val="single" w:color="auto" w:sz="4" w:space="0"/>
              <w:left w:val="single" w:color="auto" w:sz="4" w:space="0"/>
              <w:bottom w:val="single" w:color="auto" w:sz="4" w:space="0"/>
              <w:right w:val="single" w:color="auto" w:sz="4" w:space="0"/>
            </w:tcBorders>
            <w:noWrap w:val="0"/>
            <w:vAlign w:val="center"/>
          </w:tcPr>
          <w:p w14:paraId="52759BC3">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both"/>
              <w:rPr>
                <w:rFonts w:hint="eastAsia" w:ascii="宋体" w:hAnsi="宋体" w:eastAsia="宋体" w:cs="宋体"/>
                <w:color w:val="auto"/>
                <w:sz w:val="21"/>
                <w:szCs w:val="21"/>
                <w:highlight w:val="none"/>
                <w:lang w:val="en-GB"/>
              </w:rPr>
            </w:pPr>
            <w:r>
              <w:rPr>
                <w:rFonts w:hint="eastAsia" w:ascii="宋体" w:hAnsi="宋体" w:eastAsia="宋体" w:cs="宋体"/>
                <w:color w:val="auto"/>
                <w:sz w:val="21"/>
                <w:szCs w:val="21"/>
                <w:highlight w:val="none"/>
                <w:lang w:val="en-GB"/>
              </w:rPr>
              <w:t>货物名称</w:t>
            </w:r>
          </w:p>
        </w:tc>
        <w:tc>
          <w:tcPr>
            <w:tcW w:w="943" w:type="pct"/>
            <w:tcBorders>
              <w:top w:val="single" w:color="auto" w:sz="4" w:space="0"/>
              <w:left w:val="single" w:color="auto" w:sz="4" w:space="0"/>
              <w:bottom w:val="single" w:color="auto" w:sz="4" w:space="0"/>
              <w:right w:val="single" w:color="auto" w:sz="4" w:space="0"/>
            </w:tcBorders>
            <w:noWrap w:val="0"/>
            <w:vAlign w:val="center"/>
          </w:tcPr>
          <w:p w14:paraId="39E3DB62">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20" w:firstLineChars="200"/>
              <w:jc w:val="both"/>
              <w:rPr>
                <w:rFonts w:hint="eastAsia" w:ascii="宋体" w:hAnsi="宋体" w:eastAsia="宋体" w:cs="宋体"/>
                <w:color w:val="auto"/>
                <w:sz w:val="21"/>
                <w:szCs w:val="21"/>
                <w:highlight w:val="none"/>
                <w:lang w:val="en-GB"/>
              </w:rPr>
            </w:pPr>
          </w:p>
        </w:tc>
        <w:tc>
          <w:tcPr>
            <w:tcW w:w="539" w:type="pct"/>
            <w:tcBorders>
              <w:top w:val="single" w:color="auto" w:sz="4" w:space="0"/>
              <w:left w:val="single" w:color="auto" w:sz="4" w:space="0"/>
              <w:bottom w:val="single" w:color="auto" w:sz="4" w:space="0"/>
              <w:right w:val="single" w:color="auto" w:sz="4" w:space="0"/>
            </w:tcBorders>
            <w:noWrap w:val="0"/>
            <w:vAlign w:val="center"/>
          </w:tcPr>
          <w:p w14:paraId="6089AE10">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both"/>
              <w:rPr>
                <w:rFonts w:hint="eastAsia" w:ascii="宋体" w:hAnsi="宋体" w:eastAsia="宋体" w:cs="宋体"/>
                <w:color w:val="auto"/>
                <w:sz w:val="21"/>
                <w:szCs w:val="21"/>
                <w:highlight w:val="none"/>
                <w:lang w:val="en-GB"/>
              </w:rPr>
            </w:pPr>
            <w:r>
              <w:rPr>
                <w:rFonts w:hint="eastAsia" w:ascii="宋体" w:hAnsi="宋体" w:eastAsia="宋体" w:cs="宋体"/>
                <w:color w:val="auto"/>
                <w:sz w:val="21"/>
                <w:szCs w:val="21"/>
                <w:highlight w:val="none"/>
                <w:lang w:val="en-GB"/>
              </w:rPr>
              <w:t>制造商</w:t>
            </w:r>
          </w:p>
        </w:tc>
        <w:tc>
          <w:tcPr>
            <w:tcW w:w="869" w:type="pct"/>
            <w:tcBorders>
              <w:top w:val="single" w:color="auto" w:sz="4" w:space="0"/>
              <w:left w:val="single" w:color="auto" w:sz="4" w:space="0"/>
              <w:bottom w:val="single" w:color="auto" w:sz="4" w:space="0"/>
              <w:right w:val="single" w:color="auto" w:sz="4" w:space="0"/>
            </w:tcBorders>
            <w:noWrap w:val="0"/>
            <w:vAlign w:val="center"/>
          </w:tcPr>
          <w:p w14:paraId="0C15C7F4">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20" w:firstLineChars="200"/>
              <w:jc w:val="both"/>
              <w:rPr>
                <w:rFonts w:hint="eastAsia" w:ascii="宋体" w:hAnsi="宋体" w:eastAsia="宋体" w:cs="宋体"/>
                <w:color w:val="auto"/>
                <w:sz w:val="21"/>
                <w:szCs w:val="21"/>
                <w:highlight w:val="none"/>
                <w:lang w:val="en-GB"/>
              </w:rPr>
            </w:pPr>
          </w:p>
        </w:tc>
        <w:tc>
          <w:tcPr>
            <w:tcW w:w="626" w:type="pct"/>
            <w:tcBorders>
              <w:top w:val="single" w:color="auto" w:sz="4" w:space="0"/>
              <w:left w:val="single" w:color="auto" w:sz="4" w:space="0"/>
              <w:bottom w:val="single" w:color="auto" w:sz="4" w:space="0"/>
              <w:right w:val="single" w:color="auto" w:sz="4" w:space="0"/>
            </w:tcBorders>
            <w:noWrap w:val="0"/>
            <w:vAlign w:val="center"/>
          </w:tcPr>
          <w:p w14:paraId="0A0CF7DF">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both"/>
              <w:rPr>
                <w:rFonts w:hint="eastAsia" w:ascii="宋体" w:hAnsi="宋体" w:eastAsia="宋体" w:cs="宋体"/>
                <w:color w:val="auto"/>
                <w:sz w:val="21"/>
                <w:szCs w:val="21"/>
                <w:highlight w:val="none"/>
                <w:lang w:val="en-GB"/>
              </w:rPr>
            </w:pPr>
            <w:r>
              <w:rPr>
                <w:rFonts w:hint="eastAsia" w:ascii="宋体" w:hAnsi="宋体" w:eastAsia="宋体" w:cs="宋体"/>
                <w:color w:val="auto"/>
                <w:sz w:val="21"/>
                <w:szCs w:val="21"/>
                <w:highlight w:val="none"/>
                <w:lang w:val="en-GB"/>
              </w:rPr>
              <w:t>型号规格</w:t>
            </w:r>
          </w:p>
        </w:tc>
        <w:tc>
          <w:tcPr>
            <w:tcW w:w="918" w:type="pct"/>
            <w:tcBorders>
              <w:top w:val="single" w:color="auto" w:sz="4" w:space="0"/>
              <w:left w:val="single" w:color="auto" w:sz="4" w:space="0"/>
              <w:bottom w:val="single" w:color="auto" w:sz="4" w:space="0"/>
              <w:right w:val="single" w:color="auto" w:sz="4" w:space="0"/>
            </w:tcBorders>
            <w:noWrap w:val="0"/>
            <w:vAlign w:val="center"/>
          </w:tcPr>
          <w:p w14:paraId="5D045DCE">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20" w:firstLineChars="200"/>
              <w:jc w:val="both"/>
              <w:rPr>
                <w:rFonts w:hint="eastAsia" w:ascii="宋体" w:hAnsi="宋体" w:eastAsia="宋体" w:cs="宋体"/>
                <w:color w:val="auto"/>
                <w:sz w:val="21"/>
                <w:szCs w:val="21"/>
                <w:highlight w:val="none"/>
                <w:lang w:val="en-GB"/>
              </w:rPr>
            </w:pPr>
          </w:p>
        </w:tc>
      </w:tr>
      <w:tr w14:paraId="4E6B2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0" w:hRule="atLeast"/>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10474FAD">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left"/>
              <w:rPr>
                <w:rFonts w:hint="eastAsia" w:ascii="宋体" w:hAnsi="宋体" w:eastAsia="宋体" w:cs="宋体"/>
                <w:color w:val="auto"/>
                <w:sz w:val="21"/>
                <w:szCs w:val="21"/>
                <w:highlight w:val="none"/>
                <w:lang w:val="en-GB"/>
              </w:rPr>
            </w:pPr>
          </w:p>
          <w:p w14:paraId="41FC1567">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left"/>
              <w:rPr>
                <w:rFonts w:hint="eastAsia" w:ascii="宋体" w:hAnsi="宋体" w:eastAsia="宋体" w:cs="宋体"/>
                <w:color w:val="auto"/>
                <w:sz w:val="21"/>
                <w:szCs w:val="21"/>
                <w:highlight w:val="none"/>
                <w:lang w:val="en-GB"/>
              </w:rPr>
            </w:pPr>
            <w:r>
              <w:rPr>
                <w:rFonts w:hint="eastAsia" w:ascii="宋体" w:hAnsi="宋体" w:eastAsia="宋体" w:cs="宋体"/>
                <w:color w:val="auto"/>
                <w:sz w:val="21"/>
                <w:szCs w:val="21"/>
                <w:highlight w:val="none"/>
                <w:lang w:val="en-GB"/>
              </w:rPr>
              <w:t>参数详情：</w:t>
            </w:r>
          </w:p>
          <w:p w14:paraId="5EB93982">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20" w:firstLineChars="200"/>
              <w:jc w:val="left"/>
              <w:rPr>
                <w:rFonts w:hint="eastAsia" w:ascii="宋体" w:hAnsi="宋体" w:eastAsia="宋体" w:cs="宋体"/>
                <w:color w:val="auto"/>
                <w:sz w:val="21"/>
                <w:szCs w:val="21"/>
                <w:highlight w:val="none"/>
                <w:lang w:val="en-GB"/>
              </w:rPr>
            </w:pPr>
          </w:p>
          <w:p w14:paraId="74F95ABE">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20" w:firstLineChars="200"/>
              <w:jc w:val="left"/>
              <w:rPr>
                <w:rFonts w:hint="eastAsia" w:ascii="宋体" w:hAnsi="宋体" w:eastAsia="宋体" w:cs="宋体"/>
                <w:color w:val="auto"/>
                <w:sz w:val="21"/>
                <w:szCs w:val="21"/>
                <w:highlight w:val="none"/>
                <w:lang w:val="en-GB"/>
              </w:rPr>
            </w:pPr>
          </w:p>
          <w:p w14:paraId="79C78729">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20" w:firstLineChars="200"/>
              <w:jc w:val="left"/>
              <w:rPr>
                <w:rFonts w:hint="eastAsia" w:ascii="宋体" w:hAnsi="宋体" w:eastAsia="宋体" w:cs="宋体"/>
                <w:color w:val="auto"/>
                <w:sz w:val="21"/>
                <w:szCs w:val="21"/>
                <w:highlight w:val="none"/>
                <w:lang w:val="en-GB"/>
              </w:rPr>
            </w:pPr>
          </w:p>
          <w:p w14:paraId="10A61B29">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20" w:firstLineChars="200"/>
              <w:jc w:val="left"/>
              <w:rPr>
                <w:rFonts w:hint="eastAsia" w:ascii="宋体" w:hAnsi="宋体" w:eastAsia="宋体" w:cs="宋体"/>
                <w:color w:val="auto"/>
                <w:sz w:val="21"/>
                <w:szCs w:val="21"/>
                <w:highlight w:val="none"/>
                <w:lang w:val="en-GB"/>
              </w:rPr>
            </w:pPr>
          </w:p>
          <w:p w14:paraId="4326C886">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20" w:firstLineChars="200"/>
              <w:jc w:val="left"/>
              <w:rPr>
                <w:rFonts w:hint="eastAsia" w:ascii="宋体" w:hAnsi="宋体" w:eastAsia="宋体" w:cs="宋体"/>
                <w:color w:val="auto"/>
                <w:sz w:val="21"/>
                <w:szCs w:val="21"/>
                <w:highlight w:val="none"/>
                <w:lang w:val="en-GB"/>
              </w:rPr>
            </w:pPr>
          </w:p>
          <w:p w14:paraId="0A1ED0F4">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20" w:firstLineChars="200"/>
              <w:jc w:val="left"/>
              <w:rPr>
                <w:rFonts w:hint="eastAsia" w:ascii="宋体" w:hAnsi="宋体" w:eastAsia="宋体" w:cs="宋体"/>
                <w:color w:val="auto"/>
                <w:sz w:val="21"/>
                <w:szCs w:val="21"/>
                <w:highlight w:val="none"/>
                <w:lang w:val="en-GB"/>
              </w:rPr>
            </w:pPr>
          </w:p>
          <w:p w14:paraId="0FCF9A62">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420" w:firstLineChars="200"/>
              <w:jc w:val="left"/>
              <w:rPr>
                <w:rFonts w:hint="eastAsia" w:ascii="宋体" w:hAnsi="宋体" w:eastAsia="宋体" w:cs="宋体"/>
                <w:color w:val="auto"/>
                <w:sz w:val="21"/>
                <w:szCs w:val="21"/>
                <w:highlight w:val="none"/>
                <w:lang w:val="en-GB"/>
              </w:rPr>
            </w:pPr>
          </w:p>
        </w:tc>
      </w:tr>
    </w:tbl>
    <w:p w14:paraId="6AFE3DC4">
      <w:pPr>
        <w:suppressAutoHyphens/>
        <w:autoSpaceDE w:val="0"/>
        <w:autoSpaceDN w:val="0"/>
        <w:bidi w:val="0"/>
        <w:adjustRightInd w:val="0"/>
        <w:snapToGrid w:val="0"/>
        <w:spacing w:before="0" w:beforeLines="0" w:line="360" w:lineRule="auto"/>
        <w:ind w:firstLine="560" w:firstLineChars="200"/>
        <w:jc w:val="left"/>
        <w:rPr>
          <w:rFonts w:hint="eastAsia" w:ascii="宋体" w:hAnsi="宋体" w:eastAsia="宋体" w:cs="宋体"/>
          <w:color w:val="auto"/>
          <w:sz w:val="28"/>
          <w:szCs w:val="20"/>
          <w:highlight w:val="none"/>
          <w:lang w:val="en-US" w:eastAsia="zh-CN"/>
        </w:rPr>
      </w:pPr>
      <w:r>
        <w:rPr>
          <w:rFonts w:hint="default" w:ascii="宋体" w:hAnsi="宋体" w:eastAsia="宋体" w:cs="宋体"/>
          <w:color w:val="auto"/>
          <w:sz w:val="28"/>
          <w:szCs w:val="20"/>
          <w:highlight w:val="none"/>
          <w:lang w:val="en-US" w:eastAsia="zh-CN"/>
        </w:rPr>
        <w:t>  </w:t>
      </w:r>
    </w:p>
    <w:p w14:paraId="16D6FB46">
      <w:pPr>
        <w:suppressAutoHyphens/>
        <w:autoSpaceDE w:val="0"/>
        <w:autoSpaceDN w:val="0"/>
        <w:bidi w:val="0"/>
        <w:adjustRightInd w:val="0"/>
        <w:snapToGrid w:val="0"/>
        <w:spacing w:before="0" w:beforeLines="0" w:line="360" w:lineRule="auto"/>
        <w:ind w:firstLine="560" w:firstLineChars="200"/>
        <w:jc w:val="left"/>
        <w:rPr>
          <w:rFonts w:hint="eastAsia" w:ascii="宋体" w:hAnsi="宋体" w:eastAsia="宋体" w:cs="宋体"/>
          <w:color w:val="auto"/>
          <w:sz w:val="28"/>
          <w:szCs w:val="20"/>
          <w:highlight w:val="none"/>
          <w:lang w:val="en-GB"/>
        </w:rPr>
      </w:pPr>
    </w:p>
    <w:p w14:paraId="34DE0B70">
      <w:pPr>
        <w:suppressAutoHyphens/>
        <w:autoSpaceDE w:val="0"/>
        <w:autoSpaceDN w:val="0"/>
        <w:bidi w:val="0"/>
        <w:adjustRightInd w:val="0"/>
        <w:snapToGrid w:val="0"/>
        <w:spacing w:before="0" w:beforeLines="0" w:line="360" w:lineRule="auto"/>
        <w:ind w:firstLine="560" w:firstLineChars="200"/>
        <w:jc w:val="left"/>
        <w:rPr>
          <w:rFonts w:hint="eastAsia" w:ascii="宋体" w:hAnsi="宋体" w:eastAsia="宋体" w:cs="宋体"/>
          <w:color w:val="auto"/>
          <w:sz w:val="28"/>
          <w:szCs w:val="20"/>
          <w:highlight w:val="none"/>
          <w:lang w:val="en-GB"/>
        </w:rPr>
      </w:pPr>
    </w:p>
    <w:p w14:paraId="1E799F81">
      <w:pPr>
        <w:suppressAutoHyphens/>
        <w:autoSpaceDE w:val="0"/>
        <w:autoSpaceDN w:val="0"/>
        <w:bidi w:val="0"/>
        <w:adjustRightInd w:val="0"/>
        <w:snapToGrid w:val="0"/>
        <w:spacing w:before="0" w:beforeLines="0" w:line="360" w:lineRule="auto"/>
        <w:ind w:firstLine="560" w:firstLineChars="200"/>
        <w:jc w:val="left"/>
        <w:rPr>
          <w:rFonts w:hint="eastAsia" w:ascii="宋体" w:hAnsi="宋体" w:eastAsia="宋体" w:cs="宋体"/>
          <w:color w:val="auto"/>
          <w:sz w:val="28"/>
          <w:szCs w:val="20"/>
          <w:highlight w:val="none"/>
          <w:lang w:val="en-GB"/>
        </w:rPr>
      </w:pPr>
    </w:p>
    <w:p w14:paraId="39BBE0AC">
      <w:pPr>
        <w:suppressAutoHyphens/>
        <w:autoSpaceDE w:val="0"/>
        <w:autoSpaceDN w:val="0"/>
        <w:bidi w:val="0"/>
        <w:adjustRightInd w:val="0"/>
        <w:snapToGrid w:val="0"/>
        <w:spacing w:before="0" w:beforeLines="0" w:line="360" w:lineRule="auto"/>
        <w:ind w:firstLine="560" w:firstLineChars="200"/>
        <w:jc w:val="left"/>
        <w:rPr>
          <w:rFonts w:hint="eastAsia" w:ascii="宋体" w:hAnsi="宋体" w:eastAsia="宋体" w:cs="宋体"/>
          <w:color w:val="auto"/>
          <w:sz w:val="28"/>
          <w:szCs w:val="20"/>
          <w:highlight w:val="none"/>
          <w:lang w:val="en-GB"/>
        </w:rPr>
      </w:pPr>
    </w:p>
    <w:p w14:paraId="6AB79BB3">
      <w:pPr>
        <w:suppressAutoHyphens/>
        <w:autoSpaceDE w:val="0"/>
        <w:autoSpaceDN w:val="0"/>
        <w:bidi w:val="0"/>
        <w:adjustRightInd w:val="0"/>
        <w:snapToGrid w:val="0"/>
        <w:spacing w:before="0" w:beforeLines="0" w:line="360" w:lineRule="auto"/>
        <w:ind w:firstLine="560" w:firstLineChars="200"/>
        <w:jc w:val="left"/>
        <w:rPr>
          <w:rFonts w:hint="eastAsia" w:ascii="宋体" w:hAnsi="宋体" w:eastAsia="宋体" w:cs="宋体"/>
          <w:color w:val="auto"/>
          <w:sz w:val="28"/>
          <w:szCs w:val="20"/>
          <w:highlight w:val="none"/>
          <w:lang w:val="en-GB"/>
        </w:rPr>
      </w:pPr>
    </w:p>
    <w:p w14:paraId="69F3DAD5">
      <w:pPr>
        <w:suppressAutoHyphens/>
        <w:autoSpaceDE w:val="0"/>
        <w:autoSpaceDN w:val="0"/>
        <w:bidi w:val="0"/>
        <w:adjustRightInd w:val="0"/>
        <w:snapToGrid w:val="0"/>
        <w:spacing w:before="0" w:beforeLines="0" w:line="360" w:lineRule="auto"/>
        <w:ind w:firstLine="560" w:firstLineChars="200"/>
        <w:jc w:val="left"/>
        <w:rPr>
          <w:rFonts w:hint="eastAsia" w:ascii="宋体" w:hAnsi="宋体" w:eastAsia="宋体" w:cs="宋体"/>
          <w:color w:val="auto"/>
          <w:sz w:val="28"/>
          <w:szCs w:val="20"/>
          <w:highlight w:val="none"/>
          <w:lang w:val="en-GB"/>
        </w:rPr>
      </w:pPr>
    </w:p>
    <w:p w14:paraId="6D346118">
      <w:pPr>
        <w:suppressAutoHyphens/>
        <w:autoSpaceDE w:val="0"/>
        <w:autoSpaceDN w:val="0"/>
        <w:bidi w:val="0"/>
        <w:adjustRightInd w:val="0"/>
        <w:snapToGrid w:val="0"/>
        <w:spacing w:before="0" w:beforeLines="0" w:line="360" w:lineRule="auto"/>
        <w:ind w:firstLine="560" w:firstLineChars="200"/>
        <w:jc w:val="left"/>
        <w:rPr>
          <w:rFonts w:hint="eastAsia" w:ascii="宋体" w:hAnsi="宋体" w:eastAsia="宋体" w:cs="宋体"/>
          <w:color w:val="auto"/>
          <w:sz w:val="28"/>
          <w:szCs w:val="20"/>
          <w:highlight w:val="none"/>
          <w:lang w:val="en-GB"/>
        </w:rPr>
      </w:pPr>
    </w:p>
    <w:p w14:paraId="096AED24">
      <w:pPr>
        <w:suppressAutoHyphens/>
        <w:autoSpaceDE w:val="0"/>
        <w:autoSpaceDN w:val="0"/>
        <w:bidi w:val="0"/>
        <w:adjustRightInd w:val="0"/>
        <w:snapToGrid w:val="0"/>
        <w:spacing w:before="0" w:beforeLines="0" w:line="360" w:lineRule="auto"/>
        <w:ind w:firstLine="0" w:firstLineChars="0"/>
        <w:jc w:val="left"/>
        <w:rPr>
          <w:rFonts w:hint="eastAsia" w:ascii="宋体" w:hAnsi="宋体" w:eastAsia="宋体" w:cs="宋体"/>
          <w:b/>
          <w:bCs/>
          <w:color w:val="auto"/>
          <w:sz w:val="24"/>
          <w:szCs w:val="24"/>
          <w:highlight w:val="none"/>
          <w:lang w:val="en-GB" w:eastAsia="zh-CN"/>
        </w:rPr>
      </w:pPr>
      <w:r>
        <w:rPr>
          <w:rFonts w:hint="eastAsia" w:ascii="宋体" w:hAnsi="宋体" w:eastAsia="宋体" w:cs="宋体"/>
          <w:b/>
          <w:bCs/>
          <w:color w:val="auto"/>
          <w:sz w:val="24"/>
          <w:szCs w:val="24"/>
          <w:highlight w:val="none"/>
          <w:lang w:val="en-GB"/>
        </w:rPr>
        <w:t>附件</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lang w:val="en-GB" w:eastAsia="zh-CN"/>
        </w:rPr>
        <w:t>：选配件价格</w:t>
      </w:r>
    </w:p>
    <w:tbl>
      <w:tblPr>
        <w:tblStyle w:val="14"/>
        <w:tblW w:w="865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49"/>
        <w:gridCol w:w="5905"/>
        <w:gridCol w:w="1704"/>
      </w:tblGrid>
      <w:tr w14:paraId="62C7A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jc w:val="center"/>
        </w:trPr>
        <w:tc>
          <w:tcPr>
            <w:tcW w:w="1049" w:type="dxa"/>
            <w:tcBorders>
              <w:top w:val="single" w:color="000000" w:sz="4" w:space="0"/>
              <w:left w:val="single" w:color="000000" w:sz="4" w:space="0"/>
              <w:bottom w:val="single" w:color="000000" w:sz="4" w:space="0"/>
              <w:right w:val="single" w:color="000000" w:sz="4" w:space="0"/>
            </w:tcBorders>
            <w:noWrap w:val="0"/>
            <w:vAlign w:val="center"/>
          </w:tcPr>
          <w:p w14:paraId="53EED23C">
            <w:pPr>
              <w:keepNext w:val="0"/>
              <w:keepLines w:val="0"/>
              <w:widowControl/>
              <w:suppressLineNumbers w:val="0"/>
              <w:suppressAutoHyphens/>
              <w:bidi w:val="0"/>
              <w:spacing w:before="0" w:beforeAutospacing="0" w:after="0" w:afterAutospacing="0"/>
              <w:ind w:left="0" w:right="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5905" w:type="dxa"/>
            <w:tcBorders>
              <w:top w:val="single" w:color="000000" w:sz="4" w:space="0"/>
              <w:left w:val="single" w:color="000000" w:sz="4" w:space="0"/>
              <w:bottom w:val="single" w:color="000000" w:sz="4" w:space="0"/>
              <w:right w:val="single" w:color="000000" w:sz="4" w:space="0"/>
            </w:tcBorders>
            <w:noWrap w:val="0"/>
            <w:vAlign w:val="center"/>
          </w:tcPr>
          <w:p w14:paraId="1675588B">
            <w:pPr>
              <w:keepNext w:val="0"/>
              <w:keepLines w:val="0"/>
              <w:widowControl/>
              <w:suppressLineNumbers w:val="0"/>
              <w:suppressAutoHyphens/>
              <w:bidi w:val="0"/>
              <w:spacing w:before="0" w:beforeAutospacing="0" w:after="0" w:afterAutospacing="0"/>
              <w:ind w:left="0" w:right="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产品名称</w:t>
            </w:r>
          </w:p>
        </w:tc>
        <w:tc>
          <w:tcPr>
            <w:tcW w:w="1704" w:type="dxa"/>
            <w:tcBorders>
              <w:top w:val="single" w:color="000000" w:sz="4" w:space="0"/>
              <w:left w:val="single" w:color="000000" w:sz="4" w:space="0"/>
              <w:bottom w:val="single" w:color="000000" w:sz="4" w:space="0"/>
              <w:right w:val="single" w:color="000000" w:sz="4" w:space="0"/>
            </w:tcBorders>
            <w:noWrap w:val="0"/>
            <w:vAlign w:val="center"/>
          </w:tcPr>
          <w:p w14:paraId="68A771AC">
            <w:pPr>
              <w:keepNext w:val="0"/>
              <w:keepLines w:val="0"/>
              <w:widowControl/>
              <w:suppressLineNumbers w:val="0"/>
              <w:suppressAutoHyphens/>
              <w:bidi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单价（元）</w:t>
            </w:r>
          </w:p>
        </w:tc>
      </w:tr>
      <w:tr w14:paraId="56110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1049" w:type="dxa"/>
            <w:tcBorders>
              <w:top w:val="single" w:color="000000" w:sz="4" w:space="0"/>
              <w:left w:val="single" w:color="000000" w:sz="4" w:space="0"/>
              <w:bottom w:val="single" w:color="000000" w:sz="4" w:space="0"/>
              <w:right w:val="single" w:color="000000" w:sz="4" w:space="0"/>
            </w:tcBorders>
            <w:noWrap/>
            <w:vAlign w:val="center"/>
          </w:tcPr>
          <w:p w14:paraId="4B670F21">
            <w:pPr>
              <w:keepNext w:val="0"/>
              <w:keepLines w:val="0"/>
              <w:widowControl/>
              <w:suppressLineNumbers w:val="0"/>
              <w:suppressAutoHyphens/>
              <w:bidi w:val="0"/>
              <w:spacing w:before="0" w:beforeAutospacing="0" w:after="0" w:afterAutospacing="0"/>
              <w:ind w:left="0" w:right="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5905" w:type="dxa"/>
            <w:tcBorders>
              <w:top w:val="single" w:color="000000" w:sz="4" w:space="0"/>
              <w:left w:val="single" w:color="000000" w:sz="4" w:space="0"/>
              <w:bottom w:val="single" w:color="000000" w:sz="4" w:space="0"/>
              <w:right w:val="single" w:color="000000" w:sz="4" w:space="0"/>
            </w:tcBorders>
            <w:noWrap w:val="0"/>
            <w:vAlign w:val="center"/>
          </w:tcPr>
          <w:p w14:paraId="16AC117D">
            <w:pPr>
              <w:keepNext w:val="0"/>
              <w:keepLines w:val="0"/>
              <w:widowControl/>
              <w:suppressLineNumbers w:val="0"/>
              <w:suppressAutoHyphens/>
              <w:bidi w:val="0"/>
              <w:spacing w:before="0" w:beforeAutospacing="0" w:after="0" w:afterAutospacing="0"/>
              <w:ind w:left="0" w:right="0"/>
              <w:jc w:val="left"/>
              <w:textAlignment w:val="center"/>
              <w:rPr>
                <w:rFonts w:hint="eastAsia" w:ascii="宋体" w:hAnsi="宋体" w:eastAsia="宋体" w:cs="宋体"/>
                <w:i w:val="0"/>
                <w:iCs w:val="0"/>
                <w:color w:val="auto"/>
                <w:sz w:val="21"/>
                <w:szCs w:val="21"/>
                <w:highlight w:val="none"/>
                <w:u w:val="none"/>
              </w:rPr>
            </w:pPr>
          </w:p>
        </w:tc>
        <w:tc>
          <w:tcPr>
            <w:tcW w:w="1704" w:type="dxa"/>
            <w:tcBorders>
              <w:top w:val="single" w:color="000000" w:sz="4" w:space="0"/>
              <w:left w:val="single" w:color="000000" w:sz="4" w:space="0"/>
              <w:bottom w:val="single" w:color="000000" w:sz="4" w:space="0"/>
              <w:right w:val="single" w:color="000000" w:sz="4" w:space="0"/>
            </w:tcBorders>
            <w:noWrap w:val="0"/>
            <w:vAlign w:val="center"/>
          </w:tcPr>
          <w:p w14:paraId="03496A2A">
            <w:pPr>
              <w:keepNext w:val="0"/>
              <w:keepLines w:val="0"/>
              <w:widowControl/>
              <w:suppressLineNumbers w:val="0"/>
              <w:suppressAutoHyphens/>
              <w:bidi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699A9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1049" w:type="dxa"/>
            <w:tcBorders>
              <w:top w:val="single" w:color="000000" w:sz="4" w:space="0"/>
              <w:left w:val="single" w:color="000000" w:sz="4" w:space="0"/>
              <w:bottom w:val="single" w:color="000000" w:sz="4" w:space="0"/>
              <w:right w:val="single" w:color="000000" w:sz="4" w:space="0"/>
            </w:tcBorders>
            <w:noWrap/>
            <w:vAlign w:val="center"/>
          </w:tcPr>
          <w:p w14:paraId="3D479FFB">
            <w:pPr>
              <w:keepNext w:val="0"/>
              <w:keepLines w:val="0"/>
              <w:widowControl/>
              <w:suppressLineNumbers w:val="0"/>
              <w:suppressAutoHyphens/>
              <w:bidi w:val="0"/>
              <w:spacing w:before="0" w:beforeAutospacing="0" w:after="0" w:afterAutospacing="0"/>
              <w:ind w:left="0" w:right="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5905" w:type="dxa"/>
            <w:tcBorders>
              <w:top w:val="single" w:color="000000" w:sz="4" w:space="0"/>
              <w:left w:val="single" w:color="000000" w:sz="4" w:space="0"/>
              <w:bottom w:val="single" w:color="000000" w:sz="4" w:space="0"/>
              <w:right w:val="single" w:color="000000" w:sz="4" w:space="0"/>
            </w:tcBorders>
            <w:noWrap w:val="0"/>
            <w:vAlign w:val="center"/>
          </w:tcPr>
          <w:p w14:paraId="5CC1CAFF">
            <w:pPr>
              <w:keepNext w:val="0"/>
              <w:keepLines w:val="0"/>
              <w:widowControl/>
              <w:suppressLineNumbers w:val="0"/>
              <w:suppressAutoHyphens/>
              <w:bidi w:val="0"/>
              <w:spacing w:before="0" w:beforeAutospacing="0" w:after="0" w:afterAutospacing="0"/>
              <w:ind w:left="0" w:right="0"/>
              <w:jc w:val="left"/>
              <w:textAlignment w:val="center"/>
              <w:rPr>
                <w:rFonts w:hint="eastAsia" w:ascii="宋体" w:hAnsi="宋体" w:eastAsia="宋体" w:cs="宋体"/>
                <w:i w:val="0"/>
                <w:iCs w:val="0"/>
                <w:color w:val="auto"/>
                <w:sz w:val="21"/>
                <w:szCs w:val="21"/>
                <w:highlight w:val="none"/>
                <w:u w:val="none"/>
              </w:rPr>
            </w:pPr>
          </w:p>
        </w:tc>
        <w:tc>
          <w:tcPr>
            <w:tcW w:w="1704" w:type="dxa"/>
            <w:tcBorders>
              <w:top w:val="single" w:color="000000" w:sz="4" w:space="0"/>
              <w:left w:val="single" w:color="000000" w:sz="4" w:space="0"/>
              <w:bottom w:val="single" w:color="000000" w:sz="4" w:space="0"/>
              <w:right w:val="single" w:color="000000" w:sz="4" w:space="0"/>
            </w:tcBorders>
            <w:noWrap w:val="0"/>
            <w:vAlign w:val="center"/>
          </w:tcPr>
          <w:p w14:paraId="4F7E2E31">
            <w:pPr>
              <w:keepNext w:val="0"/>
              <w:keepLines w:val="0"/>
              <w:widowControl/>
              <w:suppressLineNumbers w:val="0"/>
              <w:suppressAutoHyphens/>
              <w:bidi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15709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6" w:hRule="atLeast"/>
          <w:jc w:val="center"/>
        </w:trPr>
        <w:tc>
          <w:tcPr>
            <w:tcW w:w="1049" w:type="dxa"/>
            <w:tcBorders>
              <w:top w:val="single" w:color="000000" w:sz="4" w:space="0"/>
              <w:left w:val="single" w:color="000000" w:sz="4" w:space="0"/>
              <w:bottom w:val="single" w:color="000000" w:sz="4" w:space="0"/>
              <w:right w:val="single" w:color="000000" w:sz="4" w:space="0"/>
            </w:tcBorders>
            <w:noWrap/>
            <w:vAlign w:val="center"/>
          </w:tcPr>
          <w:p w14:paraId="69FF42E6">
            <w:pPr>
              <w:keepNext w:val="0"/>
              <w:keepLines w:val="0"/>
              <w:widowControl/>
              <w:suppressLineNumbers w:val="0"/>
              <w:suppressAutoHyphens/>
              <w:bidi w:val="0"/>
              <w:spacing w:before="0" w:beforeAutospacing="0" w:after="0" w:afterAutospacing="0"/>
              <w:ind w:left="0" w:right="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5905" w:type="dxa"/>
            <w:tcBorders>
              <w:top w:val="single" w:color="000000" w:sz="4" w:space="0"/>
              <w:left w:val="single" w:color="000000" w:sz="4" w:space="0"/>
              <w:bottom w:val="single" w:color="000000" w:sz="4" w:space="0"/>
              <w:right w:val="single" w:color="000000" w:sz="4" w:space="0"/>
            </w:tcBorders>
            <w:noWrap w:val="0"/>
            <w:vAlign w:val="center"/>
          </w:tcPr>
          <w:p w14:paraId="2CC10936">
            <w:pPr>
              <w:keepNext w:val="0"/>
              <w:keepLines w:val="0"/>
              <w:widowControl/>
              <w:suppressLineNumbers w:val="0"/>
              <w:suppressAutoHyphens/>
              <w:bidi w:val="0"/>
              <w:spacing w:before="0" w:beforeAutospacing="0" w:after="0" w:afterAutospacing="0"/>
              <w:ind w:left="0" w:right="0"/>
              <w:jc w:val="left"/>
              <w:textAlignment w:val="center"/>
              <w:rPr>
                <w:rFonts w:hint="eastAsia" w:ascii="宋体" w:hAnsi="宋体" w:eastAsia="宋体" w:cs="宋体"/>
                <w:i w:val="0"/>
                <w:iCs w:val="0"/>
                <w:color w:val="auto"/>
                <w:sz w:val="21"/>
                <w:szCs w:val="21"/>
                <w:highlight w:val="none"/>
                <w:u w:val="none"/>
              </w:rPr>
            </w:pPr>
          </w:p>
        </w:tc>
        <w:tc>
          <w:tcPr>
            <w:tcW w:w="1704" w:type="dxa"/>
            <w:tcBorders>
              <w:top w:val="single" w:color="000000" w:sz="4" w:space="0"/>
              <w:left w:val="single" w:color="000000" w:sz="4" w:space="0"/>
              <w:bottom w:val="single" w:color="000000" w:sz="4" w:space="0"/>
              <w:right w:val="single" w:color="000000" w:sz="4" w:space="0"/>
            </w:tcBorders>
            <w:noWrap w:val="0"/>
            <w:vAlign w:val="center"/>
          </w:tcPr>
          <w:p w14:paraId="75ED7738">
            <w:pPr>
              <w:keepNext w:val="0"/>
              <w:keepLines w:val="0"/>
              <w:widowControl/>
              <w:suppressLineNumbers w:val="0"/>
              <w:suppressAutoHyphens/>
              <w:bidi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bl>
    <w:p w14:paraId="6B807369">
      <w:pPr>
        <w:suppressAutoHyphens/>
        <w:autoSpaceDE w:val="0"/>
        <w:autoSpaceDN w:val="0"/>
        <w:bidi w:val="0"/>
        <w:adjustRightInd w:val="0"/>
        <w:snapToGrid w:val="0"/>
        <w:spacing w:before="0" w:beforeLines="0" w:line="360" w:lineRule="auto"/>
        <w:ind w:firstLine="0" w:firstLineChars="0"/>
        <w:jc w:val="left"/>
        <w:rPr>
          <w:rFonts w:hint="eastAsia" w:ascii="宋体" w:hAnsi="宋体" w:eastAsia="宋体" w:cs="宋体"/>
          <w:b/>
          <w:bCs/>
          <w:color w:val="auto"/>
          <w:sz w:val="28"/>
          <w:szCs w:val="20"/>
          <w:highlight w:val="none"/>
          <w:lang w:val="en-US" w:eastAsia="zh-CN"/>
        </w:rPr>
      </w:pPr>
    </w:p>
    <w:p w14:paraId="13A9A7C0">
      <w:pPr>
        <w:autoSpaceDE w:val="0"/>
        <w:autoSpaceDN w:val="0"/>
        <w:adjustRightInd w:val="0"/>
        <w:snapToGrid w:val="0"/>
        <w:spacing w:before="0" w:beforeLines="0" w:line="360" w:lineRule="auto"/>
        <w:ind w:firstLine="560" w:firstLineChars="200"/>
        <w:jc w:val="left"/>
        <w:rPr>
          <w:rFonts w:hint="eastAsia" w:ascii="宋体" w:hAnsi="宋体" w:eastAsia="宋体" w:cs="宋体"/>
          <w:color w:val="auto"/>
          <w:szCs w:val="20"/>
          <w:highlight w:val="none"/>
          <w:lang w:val="en-GB"/>
        </w:rPr>
        <w:sectPr>
          <w:pgSz w:w="11906" w:h="16838"/>
          <w:pgMar w:top="1440" w:right="1800" w:bottom="1440" w:left="1800" w:header="851" w:footer="992" w:gutter="0"/>
          <w:cols w:space="720" w:num="1"/>
          <w:docGrid w:type="lines" w:linePitch="312" w:charSpace="0"/>
        </w:sectPr>
      </w:pPr>
    </w:p>
    <w:p w14:paraId="23E0D148">
      <w:pPr>
        <w:widowControl/>
        <w:suppressAutoHyphens/>
        <w:autoSpaceDE w:val="0"/>
        <w:autoSpaceDN w:val="0"/>
        <w:bidi w:val="0"/>
        <w:adjustRightInd w:val="0"/>
        <w:snapToGrid w:val="0"/>
        <w:spacing w:beforeLines="0" w:line="360" w:lineRule="auto"/>
        <w:ind w:firstLine="0" w:firstLineChars="0"/>
        <w:jc w:val="left"/>
        <w:rPr>
          <w:rFonts w:ascii="宋体" w:hAnsi="宋体" w:eastAsia="宋体" w:cs="Courier New"/>
          <w:b/>
          <w:bCs/>
          <w:color w:val="auto"/>
          <w:spacing w:val="38"/>
          <w:kern w:val="0"/>
          <w:sz w:val="24"/>
          <w:szCs w:val="24"/>
          <w:highlight w:val="none"/>
        </w:rPr>
      </w:pPr>
      <w:r>
        <w:rPr>
          <w:rFonts w:hint="eastAsia" w:ascii="宋体" w:hAnsi="宋体" w:eastAsia="宋体" w:cs="宋体"/>
          <w:b/>
          <w:bCs/>
          <w:color w:val="auto"/>
          <w:sz w:val="24"/>
          <w:szCs w:val="24"/>
          <w:highlight w:val="none"/>
          <w:lang w:val="en-GB"/>
        </w:rPr>
        <w:t>附件</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lang w:val="en-GB"/>
        </w:rPr>
        <w:t>：服务考核细则</w:t>
      </w:r>
    </w:p>
    <w:p w14:paraId="459F4AEF">
      <w:pPr>
        <w:widowControl/>
        <w:suppressAutoHyphens/>
        <w:bidi w:val="0"/>
        <w:spacing w:line="360" w:lineRule="auto"/>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保修期间，买方将定期对最终用户进行回访，跟踪了解设备的使用情况及卖方的售后服务质量，依照以上的服务承诺，制定以下考核细则。</w:t>
      </w:r>
    </w:p>
    <w:p w14:paraId="0D9F7292">
      <w:pPr>
        <w:widowControl/>
        <w:suppressAutoHyphens/>
        <w:bidi w:val="0"/>
        <w:spacing w:line="360" w:lineRule="auto"/>
        <w:ind w:firstLine="420"/>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1、合同期内每月考核一次；</w:t>
      </w:r>
    </w:p>
    <w:p w14:paraId="0A60445F">
      <w:pPr>
        <w:widowControl/>
        <w:suppressAutoHyphens/>
        <w:bidi w:val="0"/>
        <w:spacing w:line="360" w:lineRule="auto"/>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2、每月10日前，买方将上月考核结果及涉及扣费的数据发给卖方核对，卖方在不影响到客户体验的情况下可以对考核结果提出异议，并要求在每月15日前书面反馈，逾期视为对买方的考核结果无异议。</w:t>
      </w:r>
    </w:p>
    <w:p w14:paraId="57DD617D">
      <w:pPr>
        <w:widowControl/>
        <w:suppressAutoHyphens/>
        <w:bidi w:val="0"/>
        <w:spacing w:line="360" w:lineRule="auto"/>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3、买方有权从应付但未付给卖方的任一笔款项中，扣除考核结果中列明的违约金。</w:t>
      </w:r>
    </w:p>
    <w:p w14:paraId="49821F31">
      <w:pPr>
        <w:widowControl/>
        <w:suppressAutoHyphens/>
        <w:bidi w:val="0"/>
        <w:spacing w:line="360" w:lineRule="auto"/>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4、具体违约金标准如下：</w:t>
      </w:r>
    </w:p>
    <w:tbl>
      <w:tblPr>
        <w:tblStyle w:val="14"/>
        <w:tblW w:w="52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569"/>
        <w:gridCol w:w="530"/>
        <w:gridCol w:w="879"/>
        <w:gridCol w:w="657"/>
        <w:gridCol w:w="2753"/>
        <w:gridCol w:w="2271"/>
        <w:gridCol w:w="1373"/>
      </w:tblGrid>
      <w:tr w14:paraId="71065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76" w:hRule="atLeast"/>
          <w:jc w:val="center"/>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4E6B2DEF">
            <w:pPr>
              <w:keepNext w:val="0"/>
              <w:keepLines w:val="0"/>
              <w:widowControl/>
              <w:suppressLineNumbers w:val="0"/>
              <w:spacing w:before="0" w:beforeAutospacing="0" w:after="0" w:afterAutospacing="0"/>
              <w:ind w:left="0" w:right="0"/>
              <w:jc w:val="center"/>
              <w:rPr>
                <w:rFonts w:hint="default"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lang w:val="en-US" w:eastAsia="zh-CN" w:bidi="ar"/>
              </w:rPr>
              <w:t>序</w:t>
            </w:r>
          </w:p>
          <w:p w14:paraId="222C0CDF">
            <w:pPr>
              <w:keepNext w:val="0"/>
              <w:keepLines w:val="0"/>
              <w:widowControl/>
              <w:suppressLineNumbers w:val="0"/>
              <w:spacing w:before="0" w:beforeAutospacing="0" w:after="0" w:afterAutospacing="0"/>
              <w:ind w:left="0" w:right="0"/>
              <w:jc w:val="both"/>
              <w:rPr>
                <w:rFonts w:hint="default"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lang w:val="en-US" w:eastAsia="zh-CN" w:bidi="ar"/>
              </w:rPr>
              <w:t>号</w:t>
            </w:r>
          </w:p>
        </w:tc>
        <w:tc>
          <w:tcPr>
            <w:tcW w:w="293" w:type="pct"/>
            <w:tcBorders>
              <w:top w:val="single" w:color="000000" w:sz="4" w:space="0"/>
              <w:left w:val="nil"/>
              <w:bottom w:val="single" w:color="000000" w:sz="4" w:space="0"/>
              <w:right w:val="single" w:color="000000" w:sz="4" w:space="0"/>
            </w:tcBorders>
            <w:shd w:val="clear" w:color="auto" w:fill="auto"/>
            <w:vAlign w:val="top"/>
          </w:tcPr>
          <w:p w14:paraId="53CDD073">
            <w:pPr>
              <w:keepNext w:val="0"/>
              <w:keepLines w:val="0"/>
              <w:widowControl/>
              <w:suppressLineNumbers w:val="0"/>
              <w:spacing w:before="0" w:beforeAutospacing="0" w:after="0" w:afterAutospacing="0"/>
              <w:ind w:left="0" w:right="0"/>
              <w:jc w:val="center"/>
              <w:rPr>
                <w:rFonts w:hint="default"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lang w:val="en-US" w:eastAsia="zh-CN" w:bidi="ar"/>
              </w:rPr>
              <w:t>考核项目</w:t>
            </w:r>
          </w:p>
        </w:tc>
        <w:tc>
          <w:tcPr>
            <w:tcW w:w="486" w:type="pct"/>
            <w:tcBorders>
              <w:top w:val="single" w:color="000000" w:sz="4" w:space="0"/>
              <w:left w:val="nil"/>
              <w:bottom w:val="single" w:color="000000" w:sz="4" w:space="0"/>
              <w:right w:val="single" w:color="000000" w:sz="4" w:space="0"/>
            </w:tcBorders>
            <w:shd w:val="clear" w:color="auto" w:fill="auto"/>
            <w:vAlign w:val="top"/>
          </w:tcPr>
          <w:p w14:paraId="501E1C1A">
            <w:pPr>
              <w:keepNext w:val="0"/>
              <w:keepLines w:val="0"/>
              <w:widowControl/>
              <w:suppressLineNumbers w:val="0"/>
              <w:spacing w:before="0" w:beforeAutospacing="0" w:after="0" w:afterAutospacing="0"/>
              <w:ind w:left="0" w:right="0"/>
              <w:jc w:val="center"/>
              <w:rPr>
                <w:rFonts w:hint="default"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lang w:val="en-US" w:eastAsia="zh-CN" w:bidi="ar"/>
              </w:rPr>
              <w:t>考核说明</w:t>
            </w:r>
          </w:p>
        </w:tc>
        <w:tc>
          <w:tcPr>
            <w:tcW w:w="363" w:type="pct"/>
            <w:tcBorders>
              <w:top w:val="single" w:color="000000" w:sz="4" w:space="0"/>
              <w:left w:val="nil"/>
              <w:bottom w:val="single" w:color="000000" w:sz="4" w:space="0"/>
              <w:right w:val="single" w:color="000000" w:sz="4" w:space="0"/>
            </w:tcBorders>
            <w:shd w:val="clear" w:color="auto" w:fill="auto"/>
            <w:vAlign w:val="top"/>
          </w:tcPr>
          <w:p w14:paraId="086D88B3">
            <w:pPr>
              <w:keepNext w:val="0"/>
              <w:keepLines w:val="0"/>
              <w:widowControl/>
              <w:suppressLineNumbers w:val="0"/>
              <w:spacing w:before="0" w:beforeAutospacing="0" w:after="0" w:afterAutospacing="0"/>
              <w:ind w:left="0" w:right="0"/>
              <w:jc w:val="center"/>
              <w:rPr>
                <w:rFonts w:hint="default"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lang w:val="en-US" w:eastAsia="zh-CN" w:bidi="ar"/>
              </w:rPr>
              <w:t>涉及服务环节</w:t>
            </w:r>
          </w:p>
        </w:tc>
        <w:tc>
          <w:tcPr>
            <w:tcW w:w="1524" w:type="pct"/>
            <w:tcBorders>
              <w:top w:val="single" w:color="000000" w:sz="4" w:space="0"/>
              <w:left w:val="nil"/>
              <w:bottom w:val="single" w:color="000000" w:sz="4" w:space="0"/>
              <w:right w:val="single" w:color="000000" w:sz="4" w:space="0"/>
            </w:tcBorders>
            <w:shd w:val="clear" w:color="auto" w:fill="auto"/>
            <w:vAlign w:val="top"/>
          </w:tcPr>
          <w:p w14:paraId="531AAB91">
            <w:pPr>
              <w:keepNext w:val="0"/>
              <w:keepLines w:val="0"/>
              <w:widowControl/>
              <w:suppressLineNumbers w:val="0"/>
              <w:spacing w:before="0" w:beforeAutospacing="0" w:after="0" w:afterAutospacing="0"/>
              <w:ind w:left="0" w:right="0"/>
              <w:jc w:val="center"/>
              <w:rPr>
                <w:rFonts w:hint="default"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lang w:val="en-US" w:eastAsia="zh-CN" w:bidi="ar"/>
              </w:rPr>
              <w:t>供应商服务要求</w:t>
            </w:r>
          </w:p>
        </w:tc>
        <w:tc>
          <w:tcPr>
            <w:tcW w:w="1257" w:type="pct"/>
            <w:tcBorders>
              <w:top w:val="single" w:color="000000" w:sz="4" w:space="0"/>
              <w:left w:val="nil"/>
              <w:bottom w:val="single" w:color="000000" w:sz="4" w:space="0"/>
              <w:right w:val="single" w:color="000000" w:sz="4" w:space="0"/>
            </w:tcBorders>
            <w:shd w:val="clear" w:color="auto" w:fill="auto"/>
            <w:noWrap/>
            <w:vAlign w:val="top"/>
          </w:tcPr>
          <w:p w14:paraId="02391C84">
            <w:pPr>
              <w:keepNext w:val="0"/>
              <w:keepLines w:val="0"/>
              <w:widowControl/>
              <w:suppressLineNumbers w:val="0"/>
              <w:spacing w:before="0" w:beforeAutospacing="0" w:after="0" w:afterAutospacing="0"/>
              <w:ind w:left="0" w:right="0"/>
              <w:jc w:val="center"/>
              <w:rPr>
                <w:rFonts w:hint="default"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lang w:val="en-US" w:eastAsia="zh-CN" w:bidi="ar"/>
              </w:rPr>
              <w:t>考核标准</w:t>
            </w:r>
          </w:p>
        </w:tc>
        <w:tc>
          <w:tcPr>
            <w:tcW w:w="760" w:type="pct"/>
            <w:tcBorders>
              <w:top w:val="single" w:color="000000" w:sz="4" w:space="0"/>
              <w:left w:val="nil"/>
              <w:bottom w:val="single" w:color="000000" w:sz="4" w:space="0"/>
              <w:right w:val="single" w:color="000000" w:sz="4" w:space="0"/>
            </w:tcBorders>
            <w:shd w:val="clear" w:color="auto" w:fill="auto"/>
            <w:noWrap/>
            <w:vAlign w:val="top"/>
          </w:tcPr>
          <w:p w14:paraId="25565E6E">
            <w:pPr>
              <w:keepNext w:val="0"/>
              <w:keepLines w:val="0"/>
              <w:widowControl/>
              <w:suppressLineNumbers w:val="0"/>
              <w:spacing w:before="0" w:beforeAutospacing="0" w:after="0" w:afterAutospacing="0"/>
              <w:ind w:left="0" w:right="0"/>
              <w:jc w:val="center"/>
              <w:rPr>
                <w:rFonts w:hint="default"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lang w:val="en-US" w:eastAsia="zh-CN" w:bidi="ar"/>
              </w:rPr>
              <w:t>考核金额</w:t>
            </w:r>
          </w:p>
        </w:tc>
      </w:tr>
      <w:tr w14:paraId="475D92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41" w:hRule="atLeast"/>
          <w:jc w:val="center"/>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27D51230">
            <w:pPr>
              <w:keepNext w:val="0"/>
              <w:keepLines w:val="0"/>
              <w:widowControl/>
              <w:suppressLineNumbers w:val="0"/>
              <w:spacing w:before="0" w:beforeAutospacing="0" w:after="0" w:afterAutospacing="0"/>
              <w:ind w:left="0" w:right="0"/>
              <w:jc w:val="center"/>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1</w:t>
            </w:r>
          </w:p>
        </w:tc>
        <w:tc>
          <w:tcPr>
            <w:tcW w:w="293" w:type="pct"/>
            <w:vMerge w:val="restart"/>
            <w:tcBorders>
              <w:top w:val="nil"/>
              <w:left w:val="nil"/>
              <w:bottom w:val="single" w:color="000000" w:sz="4" w:space="0"/>
              <w:right w:val="single" w:color="000000" w:sz="4" w:space="0"/>
            </w:tcBorders>
            <w:shd w:val="clear" w:color="auto" w:fill="auto"/>
            <w:vAlign w:val="top"/>
          </w:tcPr>
          <w:p w14:paraId="274EE443">
            <w:pPr>
              <w:keepNext w:val="0"/>
              <w:keepLines w:val="0"/>
              <w:widowControl/>
              <w:suppressLineNumbers w:val="0"/>
              <w:spacing w:before="0" w:beforeAutospacing="0" w:after="0" w:afterAutospacing="0"/>
              <w:ind w:left="0" w:right="0"/>
              <w:jc w:val="center"/>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服务效率</w:t>
            </w:r>
          </w:p>
        </w:tc>
        <w:tc>
          <w:tcPr>
            <w:tcW w:w="486" w:type="pct"/>
            <w:vMerge w:val="restart"/>
            <w:tcBorders>
              <w:top w:val="nil"/>
              <w:left w:val="nil"/>
              <w:bottom w:val="single" w:color="000000" w:sz="4" w:space="0"/>
              <w:right w:val="single" w:color="000000" w:sz="4" w:space="0"/>
            </w:tcBorders>
            <w:shd w:val="clear" w:color="auto" w:fill="auto"/>
            <w:vAlign w:val="top"/>
          </w:tcPr>
          <w:p w14:paraId="60BC2FAD">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1、服务响应不及时或服务时间超出约定时间，且未提前与最终用户做好沟通，或未经最终用户同意。</w:t>
            </w:r>
            <w:r>
              <w:rPr>
                <w:rFonts w:hint="eastAsia" w:ascii="仿宋" w:hAnsi="仿宋" w:eastAsia="仿宋" w:cs="仿宋"/>
                <w:color w:val="auto"/>
                <w:kern w:val="0"/>
                <w:sz w:val="21"/>
                <w:szCs w:val="21"/>
                <w:highlight w:val="none"/>
                <w:lang w:val="en-US" w:eastAsia="zh-CN" w:bidi="ar"/>
              </w:rPr>
              <w:br w:type="textWrapping"/>
            </w:r>
            <w:r>
              <w:rPr>
                <w:rFonts w:hint="eastAsia" w:ascii="仿宋" w:hAnsi="仿宋" w:eastAsia="仿宋" w:cs="仿宋"/>
                <w:color w:val="auto"/>
                <w:kern w:val="0"/>
                <w:sz w:val="21"/>
                <w:szCs w:val="21"/>
                <w:highlight w:val="none"/>
                <w:lang w:val="en-US" w:eastAsia="zh-CN" w:bidi="ar"/>
              </w:rPr>
              <w:t>2、未在规定时间内解决最终用户的正当需求，最终用户要求但未提供备用机；</w:t>
            </w:r>
            <w:r>
              <w:rPr>
                <w:rFonts w:hint="eastAsia" w:ascii="仿宋" w:hAnsi="仿宋" w:eastAsia="仿宋" w:cs="仿宋"/>
                <w:color w:val="auto"/>
                <w:kern w:val="0"/>
                <w:sz w:val="21"/>
                <w:szCs w:val="21"/>
                <w:highlight w:val="none"/>
                <w:lang w:val="en-US" w:eastAsia="zh-CN" w:bidi="ar"/>
              </w:rPr>
              <w:br w:type="textWrapping"/>
            </w:r>
            <w:r>
              <w:rPr>
                <w:rFonts w:hint="eastAsia" w:ascii="仿宋" w:hAnsi="仿宋" w:eastAsia="仿宋" w:cs="仿宋"/>
                <w:color w:val="auto"/>
                <w:kern w:val="0"/>
                <w:sz w:val="21"/>
                <w:szCs w:val="21"/>
                <w:highlight w:val="none"/>
                <w:lang w:val="en-US" w:eastAsia="zh-CN" w:bidi="ar"/>
              </w:rPr>
              <w:t>3、设备维修时超出约定时间仍未修复的；</w:t>
            </w:r>
            <w:r>
              <w:rPr>
                <w:rFonts w:hint="eastAsia" w:ascii="仿宋" w:hAnsi="仿宋" w:eastAsia="仿宋" w:cs="仿宋"/>
                <w:color w:val="auto"/>
                <w:kern w:val="0"/>
                <w:sz w:val="21"/>
                <w:szCs w:val="21"/>
                <w:highlight w:val="none"/>
                <w:lang w:val="en-US" w:eastAsia="zh-CN" w:bidi="ar"/>
              </w:rPr>
              <w:br w:type="textWrapping"/>
            </w:r>
            <w:r>
              <w:rPr>
                <w:rFonts w:hint="eastAsia" w:ascii="仿宋" w:hAnsi="仿宋" w:eastAsia="仿宋" w:cs="仿宋"/>
                <w:color w:val="auto"/>
                <w:kern w:val="0"/>
                <w:sz w:val="21"/>
                <w:szCs w:val="21"/>
                <w:highlight w:val="none"/>
                <w:lang w:val="en-US" w:eastAsia="zh-CN" w:bidi="ar"/>
              </w:rPr>
              <w:t>4、需要提供服务的设备超出一台且满足上述任一条件的，按200元/台/次考核</w:t>
            </w:r>
          </w:p>
        </w:tc>
        <w:tc>
          <w:tcPr>
            <w:tcW w:w="363" w:type="pct"/>
            <w:tcBorders>
              <w:top w:val="single" w:color="000000" w:sz="4" w:space="0"/>
              <w:left w:val="nil"/>
              <w:bottom w:val="single" w:color="000000" w:sz="4" w:space="0"/>
              <w:right w:val="single" w:color="000000" w:sz="4" w:space="0"/>
            </w:tcBorders>
            <w:shd w:val="clear" w:color="auto" w:fill="auto"/>
            <w:vAlign w:val="top"/>
          </w:tcPr>
          <w:p w14:paraId="43C92005">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电话响应时效</w:t>
            </w:r>
          </w:p>
        </w:tc>
        <w:tc>
          <w:tcPr>
            <w:tcW w:w="1524" w:type="pct"/>
            <w:tcBorders>
              <w:top w:val="single" w:color="000000" w:sz="4" w:space="0"/>
              <w:left w:val="nil"/>
              <w:bottom w:val="single" w:color="000000" w:sz="4" w:space="0"/>
              <w:right w:val="single" w:color="000000" w:sz="4" w:space="0"/>
            </w:tcBorders>
            <w:shd w:val="clear" w:color="auto" w:fill="auto"/>
            <w:vAlign w:val="top"/>
          </w:tcPr>
          <w:p w14:paraId="5074B5C8">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收到万翔客服专员通知后，在1个工作小时内联系客户约定上门时间；并及时将约定时间反馈给万翔客服专员。</w:t>
            </w:r>
          </w:p>
        </w:tc>
        <w:tc>
          <w:tcPr>
            <w:tcW w:w="1257" w:type="pct"/>
            <w:tcBorders>
              <w:top w:val="single" w:color="000000" w:sz="4" w:space="0"/>
              <w:left w:val="nil"/>
              <w:bottom w:val="single" w:color="000000" w:sz="4" w:space="0"/>
              <w:right w:val="single" w:color="000000" w:sz="4" w:space="0"/>
            </w:tcBorders>
            <w:shd w:val="clear" w:color="auto" w:fill="auto"/>
            <w:vAlign w:val="top"/>
          </w:tcPr>
          <w:p w14:paraId="7D83EE2D">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万翔客服专员报单后1个工作小时内</w:t>
            </w:r>
          </w:p>
        </w:tc>
        <w:tc>
          <w:tcPr>
            <w:tcW w:w="760" w:type="pct"/>
            <w:tcBorders>
              <w:top w:val="single" w:color="000000" w:sz="4" w:space="0"/>
              <w:left w:val="nil"/>
              <w:bottom w:val="single" w:color="000000" w:sz="4" w:space="0"/>
              <w:right w:val="single" w:color="000000" w:sz="4" w:space="0"/>
            </w:tcBorders>
            <w:shd w:val="clear" w:color="auto" w:fill="auto"/>
            <w:vAlign w:val="top"/>
          </w:tcPr>
          <w:p w14:paraId="71BFB5D0">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400元/次+（N-1）*200元/台/次</w:t>
            </w:r>
          </w:p>
        </w:tc>
      </w:tr>
      <w:tr w14:paraId="79565F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41" w:hRule="atLeast"/>
          <w:jc w:val="center"/>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6DC392A4">
            <w:pPr>
              <w:keepNext w:val="0"/>
              <w:keepLines w:val="0"/>
              <w:widowControl/>
              <w:suppressLineNumbers w:val="0"/>
              <w:spacing w:before="0" w:beforeAutospacing="0" w:after="0" w:afterAutospacing="0"/>
              <w:ind w:left="0" w:right="0"/>
              <w:jc w:val="center"/>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2</w:t>
            </w:r>
          </w:p>
        </w:tc>
        <w:tc>
          <w:tcPr>
            <w:tcW w:w="293" w:type="pct"/>
            <w:vMerge w:val="continue"/>
            <w:tcBorders>
              <w:top w:val="nil"/>
              <w:left w:val="nil"/>
              <w:bottom w:val="single" w:color="000000" w:sz="4" w:space="0"/>
              <w:right w:val="single" w:color="000000" w:sz="4" w:space="0"/>
            </w:tcBorders>
            <w:shd w:val="clear" w:color="auto" w:fill="auto"/>
            <w:vAlign w:val="top"/>
          </w:tcPr>
          <w:p w14:paraId="2F2D4250">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486" w:type="pct"/>
            <w:vMerge w:val="continue"/>
            <w:tcBorders>
              <w:top w:val="nil"/>
              <w:left w:val="nil"/>
              <w:bottom w:val="single" w:color="000000" w:sz="4" w:space="0"/>
              <w:right w:val="single" w:color="000000" w:sz="4" w:space="0"/>
            </w:tcBorders>
            <w:shd w:val="clear" w:color="auto" w:fill="auto"/>
            <w:vAlign w:val="top"/>
          </w:tcPr>
          <w:p w14:paraId="31132DC2">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363" w:type="pct"/>
            <w:tcBorders>
              <w:top w:val="single" w:color="000000" w:sz="4" w:space="0"/>
              <w:left w:val="nil"/>
              <w:bottom w:val="single" w:color="000000" w:sz="4" w:space="0"/>
              <w:right w:val="single" w:color="000000" w:sz="4" w:space="0"/>
            </w:tcBorders>
            <w:shd w:val="clear" w:color="auto" w:fill="auto"/>
            <w:vAlign w:val="top"/>
          </w:tcPr>
          <w:p w14:paraId="15BB0894">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供货时效</w:t>
            </w:r>
          </w:p>
        </w:tc>
        <w:tc>
          <w:tcPr>
            <w:tcW w:w="1524" w:type="pct"/>
            <w:tcBorders>
              <w:top w:val="single" w:color="000000" w:sz="4" w:space="0"/>
              <w:left w:val="nil"/>
              <w:bottom w:val="single" w:color="000000" w:sz="4" w:space="0"/>
              <w:right w:val="single" w:color="000000" w:sz="4" w:space="0"/>
            </w:tcBorders>
            <w:shd w:val="clear" w:color="auto" w:fill="auto"/>
            <w:vAlign w:val="top"/>
          </w:tcPr>
          <w:p w14:paraId="7AE212BD">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厦门市行政区域内24小时、厦门市行政区域外48小时内</w:t>
            </w:r>
          </w:p>
        </w:tc>
        <w:tc>
          <w:tcPr>
            <w:tcW w:w="1257" w:type="pct"/>
            <w:tcBorders>
              <w:top w:val="single" w:color="000000" w:sz="4" w:space="0"/>
              <w:left w:val="nil"/>
              <w:bottom w:val="single" w:color="000000" w:sz="4" w:space="0"/>
              <w:right w:val="single" w:color="000000" w:sz="4" w:space="0"/>
            </w:tcBorders>
            <w:shd w:val="clear" w:color="auto" w:fill="auto"/>
            <w:vAlign w:val="top"/>
          </w:tcPr>
          <w:p w14:paraId="2C91B64C">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在要求时间内完成送货</w:t>
            </w:r>
          </w:p>
        </w:tc>
        <w:tc>
          <w:tcPr>
            <w:tcW w:w="760" w:type="pct"/>
            <w:tcBorders>
              <w:top w:val="single" w:color="000000" w:sz="4" w:space="0"/>
              <w:left w:val="nil"/>
              <w:bottom w:val="single" w:color="000000" w:sz="4" w:space="0"/>
              <w:right w:val="single" w:color="000000" w:sz="4" w:space="0"/>
            </w:tcBorders>
            <w:shd w:val="clear" w:color="auto" w:fill="auto"/>
            <w:vAlign w:val="top"/>
          </w:tcPr>
          <w:p w14:paraId="0D326AE9">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300元/台</w:t>
            </w:r>
          </w:p>
        </w:tc>
      </w:tr>
      <w:tr w14:paraId="164BF9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76" w:hRule="atLeast"/>
          <w:jc w:val="center"/>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50E71DAA">
            <w:pPr>
              <w:keepNext w:val="0"/>
              <w:keepLines w:val="0"/>
              <w:widowControl/>
              <w:suppressLineNumbers w:val="0"/>
              <w:spacing w:before="0" w:beforeAutospacing="0" w:after="0" w:afterAutospacing="0"/>
              <w:ind w:left="0" w:right="0"/>
              <w:jc w:val="center"/>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3</w:t>
            </w:r>
          </w:p>
        </w:tc>
        <w:tc>
          <w:tcPr>
            <w:tcW w:w="293" w:type="pct"/>
            <w:vMerge w:val="continue"/>
            <w:tcBorders>
              <w:top w:val="nil"/>
              <w:left w:val="nil"/>
              <w:bottom w:val="single" w:color="000000" w:sz="4" w:space="0"/>
              <w:right w:val="single" w:color="000000" w:sz="4" w:space="0"/>
            </w:tcBorders>
            <w:shd w:val="clear" w:color="auto" w:fill="auto"/>
            <w:vAlign w:val="top"/>
          </w:tcPr>
          <w:p w14:paraId="14C642F7">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486" w:type="pct"/>
            <w:vMerge w:val="continue"/>
            <w:tcBorders>
              <w:top w:val="nil"/>
              <w:left w:val="nil"/>
              <w:bottom w:val="single" w:color="000000" w:sz="4" w:space="0"/>
              <w:right w:val="single" w:color="000000" w:sz="4" w:space="0"/>
            </w:tcBorders>
            <w:shd w:val="clear" w:color="auto" w:fill="auto"/>
            <w:vAlign w:val="top"/>
          </w:tcPr>
          <w:p w14:paraId="16DB6CD8">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363" w:type="pct"/>
            <w:vMerge w:val="restart"/>
            <w:tcBorders>
              <w:top w:val="nil"/>
              <w:left w:val="nil"/>
              <w:bottom w:val="single" w:color="000000" w:sz="4" w:space="0"/>
              <w:right w:val="single" w:color="000000" w:sz="4" w:space="0"/>
            </w:tcBorders>
            <w:shd w:val="clear" w:color="auto" w:fill="auto"/>
            <w:vAlign w:val="top"/>
          </w:tcPr>
          <w:p w14:paraId="33330AAB">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上门服务时效</w:t>
            </w:r>
          </w:p>
        </w:tc>
        <w:tc>
          <w:tcPr>
            <w:tcW w:w="1524" w:type="pct"/>
            <w:vMerge w:val="restart"/>
            <w:tcBorders>
              <w:top w:val="nil"/>
              <w:left w:val="nil"/>
              <w:bottom w:val="single" w:color="000000" w:sz="4" w:space="0"/>
              <w:right w:val="single" w:color="000000" w:sz="4" w:space="0"/>
            </w:tcBorders>
            <w:shd w:val="clear" w:color="auto" w:fill="auto"/>
            <w:vAlign w:val="top"/>
          </w:tcPr>
          <w:p w14:paraId="4228A5F3">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按与客户约定时间上门服务；</w:t>
            </w:r>
            <w:r>
              <w:rPr>
                <w:rFonts w:hint="eastAsia" w:ascii="仿宋" w:hAnsi="仿宋" w:eastAsia="仿宋" w:cs="仿宋"/>
                <w:color w:val="auto"/>
                <w:kern w:val="0"/>
                <w:sz w:val="21"/>
                <w:szCs w:val="21"/>
                <w:highlight w:val="none"/>
                <w:lang w:val="en-US" w:eastAsia="zh-CN" w:bidi="ar"/>
              </w:rPr>
              <w:br w:type="textWrapping"/>
            </w:r>
            <w:r>
              <w:rPr>
                <w:rFonts w:hint="eastAsia" w:ascii="仿宋" w:hAnsi="仿宋" w:eastAsia="仿宋" w:cs="仿宋"/>
                <w:color w:val="auto"/>
                <w:kern w:val="0"/>
                <w:sz w:val="21"/>
                <w:szCs w:val="21"/>
                <w:highlight w:val="none"/>
                <w:lang w:val="en-US" w:eastAsia="zh-CN" w:bidi="ar"/>
              </w:rPr>
              <w:t>如特殊情况不能按约定时间上门，必须提前联系最终用户且征得最终用户的同意，同时重新预约上门服务时间，并务必保证按此约定时间上门。</w:t>
            </w:r>
          </w:p>
        </w:tc>
        <w:tc>
          <w:tcPr>
            <w:tcW w:w="1257" w:type="pct"/>
            <w:tcBorders>
              <w:top w:val="single" w:color="000000" w:sz="4" w:space="0"/>
              <w:left w:val="nil"/>
              <w:bottom w:val="single" w:color="000000" w:sz="4" w:space="0"/>
              <w:right w:val="single" w:color="000000" w:sz="4" w:space="0"/>
            </w:tcBorders>
            <w:shd w:val="clear" w:color="auto" w:fill="auto"/>
            <w:vAlign w:val="top"/>
          </w:tcPr>
          <w:p w14:paraId="6730F702">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万翔客服专员报单后4个工作小时内</w:t>
            </w:r>
          </w:p>
        </w:tc>
        <w:tc>
          <w:tcPr>
            <w:tcW w:w="760" w:type="pct"/>
            <w:tcBorders>
              <w:top w:val="single" w:color="000000" w:sz="4" w:space="0"/>
              <w:left w:val="nil"/>
              <w:bottom w:val="single" w:color="000000" w:sz="4" w:space="0"/>
              <w:right w:val="single" w:color="000000" w:sz="4" w:space="0"/>
            </w:tcBorders>
            <w:shd w:val="clear" w:color="auto" w:fill="auto"/>
            <w:vAlign w:val="top"/>
          </w:tcPr>
          <w:p w14:paraId="70DF95E0">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400元/次+（N-1）*200元/台/次</w:t>
            </w:r>
          </w:p>
        </w:tc>
      </w:tr>
      <w:tr w14:paraId="3B3D99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560" w:hRule="atLeast"/>
          <w:jc w:val="center"/>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512F9779">
            <w:pPr>
              <w:keepNext w:val="0"/>
              <w:keepLines w:val="0"/>
              <w:widowControl/>
              <w:suppressLineNumbers w:val="0"/>
              <w:spacing w:before="0" w:beforeAutospacing="0" w:after="0" w:afterAutospacing="0"/>
              <w:ind w:left="0" w:right="0"/>
              <w:jc w:val="center"/>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4</w:t>
            </w:r>
          </w:p>
        </w:tc>
        <w:tc>
          <w:tcPr>
            <w:tcW w:w="293" w:type="pct"/>
            <w:vMerge w:val="continue"/>
            <w:tcBorders>
              <w:top w:val="nil"/>
              <w:left w:val="nil"/>
              <w:bottom w:val="single" w:color="000000" w:sz="4" w:space="0"/>
              <w:right w:val="single" w:color="000000" w:sz="4" w:space="0"/>
            </w:tcBorders>
            <w:shd w:val="clear" w:color="auto" w:fill="auto"/>
            <w:vAlign w:val="top"/>
          </w:tcPr>
          <w:p w14:paraId="24EAC6A8">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486" w:type="pct"/>
            <w:vMerge w:val="continue"/>
            <w:tcBorders>
              <w:top w:val="nil"/>
              <w:left w:val="nil"/>
              <w:bottom w:val="single" w:color="000000" w:sz="4" w:space="0"/>
              <w:right w:val="single" w:color="000000" w:sz="4" w:space="0"/>
            </w:tcBorders>
            <w:shd w:val="clear" w:color="auto" w:fill="auto"/>
            <w:vAlign w:val="top"/>
          </w:tcPr>
          <w:p w14:paraId="54C31E0D">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363" w:type="pct"/>
            <w:vMerge w:val="continue"/>
            <w:tcBorders>
              <w:top w:val="nil"/>
              <w:left w:val="nil"/>
              <w:bottom w:val="single" w:color="000000" w:sz="4" w:space="0"/>
              <w:right w:val="single" w:color="000000" w:sz="4" w:space="0"/>
            </w:tcBorders>
            <w:shd w:val="clear" w:color="auto" w:fill="auto"/>
            <w:vAlign w:val="top"/>
          </w:tcPr>
          <w:p w14:paraId="711823AF">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524" w:type="pct"/>
            <w:vMerge w:val="continue"/>
            <w:tcBorders>
              <w:top w:val="nil"/>
              <w:left w:val="nil"/>
              <w:bottom w:val="single" w:color="000000" w:sz="4" w:space="0"/>
              <w:right w:val="single" w:color="000000" w:sz="4" w:space="0"/>
            </w:tcBorders>
            <w:shd w:val="clear" w:color="auto" w:fill="auto"/>
            <w:vAlign w:val="top"/>
          </w:tcPr>
          <w:p w14:paraId="38CEBA15">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257" w:type="pct"/>
            <w:tcBorders>
              <w:top w:val="single" w:color="000000" w:sz="4" w:space="0"/>
              <w:left w:val="nil"/>
              <w:bottom w:val="single" w:color="000000" w:sz="4" w:space="0"/>
              <w:right w:val="single" w:color="000000" w:sz="4" w:space="0"/>
            </w:tcBorders>
            <w:shd w:val="clear" w:color="auto" w:fill="auto"/>
            <w:vAlign w:val="top"/>
          </w:tcPr>
          <w:p w14:paraId="7D26E125">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因</w:t>
            </w:r>
            <w:r>
              <w:rPr>
                <w:rFonts w:hint="eastAsia" w:ascii="仿宋" w:hAnsi="仿宋" w:eastAsia="仿宋" w:cs="仿宋"/>
                <w:b/>
                <w:bCs/>
                <w:color w:val="auto"/>
                <w:kern w:val="0"/>
                <w:sz w:val="21"/>
                <w:szCs w:val="21"/>
                <w:highlight w:val="none"/>
                <w:lang w:val="en-US" w:eastAsia="zh-CN" w:bidi="ar"/>
              </w:rPr>
              <w:t>客户原因</w:t>
            </w:r>
            <w:r>
              <w:rPr>
                <w:rFonts w:hint="eastAsia" w:ascii="仿宋" w:hAnsi="仿宋" w:eastAsia="仿宋" w:cs="仿宋"/>
                <w:color w:val="auto"/>
                <w:kern w:val="0"/>
                <w:sz w:val="21"/>
                <w:szCs w:val="21"/>
                <w:highlight w:val="none"/>
                <w:lang w:val="en-US" w:eastAsia="zh-CN" w:bidi="ar"/>
              </w:rPr>
              <w:t>需延后上门时间并另外约定上门时间，需在承诺的时间内达到</w:t>
            </w:r>
          </w:p>
        </w:tc>
        <w:tc>
          <w:tcPr>
            <w:tcW w:w="760" w:type="pct"/>
            <w:tcBorders>
              <w:top w:val="single" w:color="000000" w:sz="4" w:space="0"/>
              <w:left w:val="nil"/>
              <w:bottom w:val="single" w:color="000000" w:sz="4" w:space="0"/>
              <w:right w:val="single" w:color="000000" w:sz="4" w:space="0"/>
            </w:tcBorders>
            <w:shd w:val="clear" w:color="auto" w:fill="auto"/>
            <w:vAlign w:val="top"/>
          </w:tcPr>
          <w:p w14:paraId="60EA3F1D">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400元/次+（N-1）*200元/台/次</w:t>
            </w:r>
          </w:p>
        </w:tc>
      </w:tr>
      <w:tr w14:paraId="5DD97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6" w:hRule="atLeast"/>
          <w:jc w:val="center"/>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6782F5C2">
            <w:pPr>
              <w:keepNext w:val="0"/>
              <w:keepLines w:val="0"/>
              <w:widowControl/>
              <w:suppressLineNumbers w:val="0"/>
              <w:spacing w:before="0" w:beforeAutospacing="0" w:after="0" w:afterAutospacing="0"/>
              <w:ind w:left="0" w:right="0"/>
              <w:jc w:val="center"/>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5</w:t>
            </w:r>
          </w:p>
        </w:tc>
        <w:tc>
          <w:tcPr>
            <w:tcW w:w="293" w:type="pct"/>
            <w:vMerge w:val="continue"/>
            <w:tcBorders>
              <w:top w:val="nil"/>
              <w:left w:val="nil"/>
              <w:bottom w:val="single" w:color="000000" w:sz="4" w:space="0"/>
              <w:right w:val="single" w:color="000000" w:sz="4" w:space="0"/>
            </w:tcBorders>
            <w:shd w:val="clear" w:color="auto" w:fill="auto"/>
            <w:vAlign w:val="top"/>
          </w:tcPr>
          <w:p w14:paraId="2FA84BD3">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486" w:type="pct"/>
            <w:vMerge w:val="continue"/>
            <w:tcBorders>
              <w:top w:val="nil"/>
              <w:left w:val="nil"/>
              <w:bottom w:val="single" w:color="000000" w:sz="4" w:space="0"/>
              <w:right w:val="single" w:color="000000" w:sz="4" w:space="0"/>
            </w:tcBorders>
            <w:shd w:val="clear" w:color="auto" w:fill="auto"/>
            <w:vAlign w:val="top"/>
          </w:tcPr>
          <w:p w14:paraId="2573F531">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363" w:type="pct"/>
            <w:vMerge w:val="restart"/>
            <w:tcBorders>
              <w:top w:val="nil"/>
              <w:left w:val="nil"/>
              <w:bottom w:val="single" w:color="000000" w:sz="4" w:space="0"/>
              <w:right w:val="single" w:color="000000" w:sz="4" w:space="0"/>
            </w:tcBorders>
            <w:shd w:val="clear" w:color="auto" w:fill="auto"/>
            <w:vAlign w:val="top"/>
          </w:tcPr>
          <w:p w14:paraId="5FE10A19">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维修时效</w:t>
            </w:r>
          </w:p>
        </w:tc>
        <w:tc>
          <w:tcPr>
            <w:tcW w:w="1524" w:type="pct"/>
            <w:tcBorders>
              <w:top w:val="single" w:color="000000" w:sz="4" w:space="0"/>
              <w:left w:val="nil"/>
              <w:bottom w:val="single" w:color="000000" w:sz="4" w:space="0"/>
              <w:right w:val="single" w:color="000000" w:sz="4" w:space="0"/>
            </w:tcBorders>
            <w:shd w:val="clear" w:color="auto" w:fill="auto"/>
            <w:vAlign w:val="top"/>
          </w:tcPr>
          <w:p w14:paraId="708DC785">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维修节点：收到报修反馈/工单，1个工作小时内完成接单和派工，联系客户，并在4个工作小时内上门，或按客户约定时间上门，8个工作小时内完成修复。</w:t>
            </w:r>
          </w:p>
          <w:p w14:paraId="5D65CC45">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特殊紧急情况，需要10分钟内响应，1个作小时内达到现场。</w:t>
            </w:r>
          </w:p>
          <w:p w14:paraId="2AC31F1C">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所有服务节点、信息采集更新、图片、文档、客户服务确认单等均要按合同要求和大宗售后保障运维平台操作要求和时效内在大宗售后保障运维平台做相应操作和维护。平台“催单”为“是”的工单，需及时回执处理进度，填写反馈、产品信息和服务情况；需上传服务确认单。客户原因取消维修、自行维修，如实填写“反馈”点击“取消维修”、“自行维修”。上门检测后需现场向最终用户说明故障情况并告知解决方案、如需调拨维修配件，需要告知最终用户配件更换时效并征得客户同意。</w:t>
            </w:r>
          </w:p>
        </w:tc>
        <w:tc>
          <w:tcPr>
            <w:tcW w:w="1257" w:type="pct"/>
            <w:tcBorders>
              <w:top w:val="single" w:color="000000" w:sz="4" w:space="0"/>
              <w:left w:val="nil"/>
              <w:bottom w:val="single" w:color="000000" w:sz="4" w:space="0"/>
              <w:right w:val="single" w:color="000000" w:sz="4" w:space="0"/>
            </w:tcBorders>
            <w:shd w:val="clear" w:color="auto" w:fill="auto"/>
            <w:vAlign w:val="top"/>
          </w:tcPr>
          <w:p w14:paraId="7943BD81">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在承诺的时间内完成服务</w:t>
            </w:r>
          </w:p>
        </w:tc>
        <w:tc>
          <w:tcPr>
            <w:tcW w:w="760" w:type="pct"/>
            <w:tcBorders>
              <w:top w:val="single" w:color="000000" w:sz="4" w:space="0"/>
              <w:left w:val="nil"/>
              <w:bottom w:val="single" w:color="000000" w:sz="4" w:space="0"/>
              <w:right w:val="single" w:color="000000" w:sz="4" w:space="0"/>
            </w:tcBorders>
            <w:shd w:val="clear" w:color="auto" w:fill="auto"/>
            <w:vAlign w:val="top"/>
          </w:tcPr>
          <w:p w14:paraId="7F2D591C">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400元/次+（N-1）*200元/台/次</w:t>
            </w:r>
          </w:p>
        </w:tc>
      </w:tr>
      <w:tr w14:paraId="0E87C1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47" w:hRule="atLeast"/>
          <w:jc w:val="center"/>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4DE91D56">
            <w:pPr>
              <w:keepNext w:val="0"/>
              <w:keepLines w:val="0"/>
              <w:widowControl/>
              <w:suppressLineNumbers w:val="0"/>
              <w:spacing w:before="0" w:beforeAutospacing="0" w:after="0" w:afterAutospacing="0"/>
              <w:ind w:left="0" w:right="0"/>
              <w:jc w:val="center"/>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6</w:t>
            </w:r>
          </w:p>
        </w:tc>
        <w:tc>
          <w:tcPr>
            <w:tcW w:w="293" w:type="pct"/>
            <w:vMerge w:val="continue"/>
            <w:tcBorders>
              <w:top w:val="nil"/>
              <w:left w:val="nil"/>
              <w:bottom w:val="single" w:color="000000" w:sz="4" w:space="0"/>
              <w:right w:val="single" w:color="000000" w:sz="4" w:space="0"/>
            </w:tcBorders>
            <w:shd w:val="clear" w:color="auto" w:fill="auto"/>
            <w:vAlign w:val="top"/>
          </w:tcPr>
          <w:p w14:paraId="3D94C491">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486" w:type="pct"/>
            <w:vMerge w:val="continue"/>
            <w:tcBorders>
              <w:top w:val="nil"/>
              <w:left w:val="nil"/>
              <w:bottom w:val="single" w:color="000000" w:sz="4" w:space="0"/>
              <w:right w:val="single" w:color="000000" w:sz="4" w:space="0"/>
            </w:tcBorders>
            <w:shd w:val="clear" w:color="auto" w:fill="auto"/>
            <w:vAlign w:val="top"/>
          </w:tcPr>
          <w:p w14:paraId="6325D9FB">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363" w:type="pct"/>
            <w:vMerge w:val="continue"/>
            <w:tcBorders>
              <w:top w:val="nil"/>
              <w:left w:val="nil"/>
              <w:bottom w:val="single" w:color="000000" w:sz="4" w:space="0"/>
              <w:right w:val="single" w:color="000000" w:sz="4" w:space="0"/>
            </w:tcBorders>
            <w:shd w:val="clear" w:color="auto" w:fill="auto"/>
            <w:vAlign w:val="top"/>
          </w:tcPr>
          <w:p w14:paraId="631EEBA4">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524" w:type="pct"/>
            <w:tcBorders>
              <w:top w:val="single" w:color="000000" w:sz="4" w:space="0"/>
              <w:left w:val="nil"/>
              <w:bottom w:val="single" w:color="000000" w:sz="4" w:space="0"/>
              <w:right w:val="single" w:color="000000" w:sz="4" w:space="0"/>
            </w:tcBorders>
            <w:shd w:val="clear" w:color="auto" w:fill="auto"/>
            <w:vAlign w:val="top"/>
          </w:tcPr>
          <w:p w14:paraId="7B615C35">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如调拨配件时间长（超过2个工作日）、更换完配件仍无法使用、需要整机取走维修等问题导致客户无法使用，必须直接向客户说明情况并询问是否需要备用机，告知客户服务时效并在承诺的时间内完成相应的服务内容；服务商必须根据要求直接确定是否进入提供备用机或者退换机服务流程。</w:t>
            </w:r>
          </w:p>
        </w:tc>
        <w:tc>
          <w:tcPr>
            <w:tcW w:w="1257" w:type="pct"/>
            <w:tcBorders>
              <w:top w:val="single" w:color="000000" w:sz="4" w:space="0"/>
              <w:left w:val="nil"/>
              <w:bottom w:val="single" w:color="000000" w:sz="4" w:space="0"/>
              <w:right w:val="single" w:color="000000" w:sz="4" w:space="0"/>
            </w:tcBorders>
            <w:shd w:val="clear" w:color="auto" w:fill="auto"/>
            <w:vAlign w:val="top"/>
          </w:tcPr>
          <w:p w14:paraId="60E849B3">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向客户说明情况，告知客户提供备用机和退换机的解决方案，同时告知客户服务时效，并在承诺的时间内完成相应的服务内容。</w:t>
            </w:r>
          </w:p>
        </w:tc>
        <w:tc>
          <w:tcPr>
            <w:tcW w:w="760" w:type="pct"/>
            <w:tcBorders>
              <w:top w:val="single" w:color="000000" w:sz="4" w:space="0"/>
              <w:left w:val="nil"/>
              <w:bottom w:val="single" w:color="000000" w:sz="4" w:space="0"/>
              <w:right w:val="single" w:color="000000" w:sz="4" w:space="0"/>
            </w:tcBorders>
            <w:shd w:val="clear" w:color="auto" w:fill="auto"/>
            <w:vAlign w:val="top"/>
          </w:tcPr>
          <w:p w14:paraId="542626F7">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400元/次+（N-1）*200元/台/次</w:t>
            </w:r>
          </w:p>
        </w:tc>
      </w:tr>
      <w:tr w14:paraId="6C3EB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260" w:hRule="atLeast"/>
          <w:jc w:val="center"/>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3957C6A6">
            <w:pPr>
              <w:keepNext w:val="0"/>
              <w:keepLines w:val="0"/>
              <w:widowControl/>
              <w:suppressLineNumbers w:val="0"/>
              <w:spacing w:before="0" w:beforeAutospacing="0" w:after="0" w:afterAutospacing="0"/>
              <w:ind w:left="0" w:right="0"/>
              <w:jc w:val="center"/>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7</w:t>
            </w:r>
          </w:p>
        </w:tc>
        <w:tc>
          <w:tcPr>
            <w:tcW w:w="293" w:type="pct"/>
            <w:vMerge w:val="continue"/>
            <w:tcBorders>
              <w:top w:val="nil"/>
              <w:left w:val="nil"/>
              <w:bottom w:val="single" w:color="000000" w:sz="4" w:space="0"/>
              <w:right w:val="single" w:color="000000" w:sz="4" w:space="0"/>
            </w:tcBorders>
            <w:shd w:val="clear" w:color="auto" w:fill="auto"/>
            <w:vAlign w:val="top"/>
          </w:tcPr>
          <w:p w14:paraId="3ED85C40">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486" w:type="pct"/>
            <w:vMerge w:val="continue"/>
            <w:tcBorders>
              <w:top w:val="nil"/>
              <w:left w:val="nil"/>
              <w:bottom w:val="single" w:color="000000" w:sz="4" w:space="0"/>
              <w:right w:val="single" w:color="000000" w:sz="4" w:space="0"/>
            </w:tcBorders>
            <w:shd w:val="clear" w:color="auto" w:fill="auto"/>
            <w:vAlign w:val="top"/>
          </w:tcPr>
          <w:p w14:paraId="0874E66B">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363" w:type="pct"/>
            <w:tcBorders>
              <w:top w:val="single" w:color="000000" w:sz="4" w:space="0"/>
              <w:left w:val="nil"/>
              <w:bottom w:val="single" w:color="000000" w:sz="4" w:space="0"/>
              <w:right w:val="single" w:color="000000" w:sz="4" w:space="0"/>
            </w:tcBorders>
            <w:shd w:val="clear" w:color="auto" w:fill="auto"/>
            <w:vAlign w:val="top"/>
          </w:tcPr>
          <w:p w14:paraId="1877A5E5">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备用机提供时效</w:t>
            </w:r>
          </w:p>
        </w:tc>
        <w:tc>
          <w:tcPr>
            <w:tcW w:w="1524" w:type="pct"/>
            <w:tcBorders>
              <w:top w:val="single" w:color="000000" w:sz="4" w:space="0"/>
              <w:left w:val="nil"/>
              <w:bottom w:val="single" w:color="000000" w:sz="4" w:space="0"/>
              <w:right w:val="single" w:color="000000" w:sz="4" w:space="0"/>
            </w:tcBorders>
            <w:shd w:val="clear" w:color="auto" w:fill="auto"/>
            <w:vAlign w:val="top"/>
          </w:tcPr>
          <w:p w14:paraId="7F64C5BB">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服务商自行提供备用机，按与客户约定时间完成服务。</w:t>
            </w:r>
          </w:p>
        </w:tc>
        <w:tc>
          <w:tcPr>
            <w:tcW w:w="1257" w:type="pct"/>
            <w:tcBorders>
              <w:top w:val="single" w:color="000000" w:sz="4" w:space="0"/>
              <w:left w:val="nil"/>
              <w:bottom w:val="single" w:color="000000" w:sz="4" w:space="0"/>
              <w:right w:val="single" w:color="000000" w:sz="4" w:space="0"/>
            </w:tcBorders>
            <w:shd w:val="clear" w:color="auto" w:fill="auto"/>
            <w:vAlign w:val="top"/>
          </w:tcPr>
          <w:p w14:paraId="14BC4DAC">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客户确认使用备用机后在1个工作日内提供备机</w:t>
            </w:r>
          </w:p>
        </w:tc>
        <w:tc>
          <w:tcPr>
            <w:tcW w:w="760" w:type="pct"/>
            <w:tcBorders>
              <w:top w:val="single" w:color="000000" w:sz="4" w:space="0"/>
              <w:left w:val="nil"/>
              <w:bottom w:val="single" w:color="000000" w:sz="4" w:space="0"/>
              <w:right w:val="single" w:color="000000" w:sz="4" w:space="0"/>
            </w:tcBorders>
            <w:shd w:val="clear" w:color="auto" w:fill="auto"/>
            <w:vAlign w:val="top"/>
          </w:tcPr>
          <w:p w14:paraId="6371F2C7">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400元/次+（N-1）*200元/台/次</w:t>
            </w:r>
          </w:p>
        </w:tc>
      </w:tr>
      <w:tr w14:paraId="518CB4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05" w:hRule="atLeast"/>
          <w:jc w:val="center"/>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3AD098DD">
            <w:pPr>
              <w:keepNext w:val="0"/>
              <w:keepLines w:val="0"/>
              <w:widowControl/>
              <w:suppressLineNumbers w:val="0"/>
              <w:spacing w:before="0" w:beforeAutospacing="0" w:after="0" w:afterAutospacing="0"/>
              <w:ind w:left="0" w:right="0"/>
              <w:jc w:val="center"/>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8</w:t>
            </w:r>
          </w:p>
        </w:tc>
        <w:tc>
          <w:tcPr>
            <w:tcW w:w="293" w:type="pct"/>
            <w:vMerge w:val="continue"/>
            <w:tcBorders>
              <w:top w:val="nil"/>
              <w:left w:val="nil"/>
              <w:bottom w:val="single" w:color="000000" w:sz="4" w:space="0"/>
              <w:right w:val="single" w:color="000000" w:sz="4" w:space="0"/>
            </w:tcBorders>
            <w:shd w:val="clear" w:color="auto" w:fill="auto"/>
            <w:vAlign w:val="top"/>
          </w:tcPr>
          <w:p w14:paraId="4975B19B">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486" w:type="pct"/>
            <w:vMerge w:val="continue"/>
            <w:tcBorders>
              <w:top w:val="nil"/>
              <w:left w:val="nil"/>
              <w:bottom w:val="single" w:color="000000" w:sz="4" w:space="0"/>
              <w:right w:val="single" w:color="000000" w:sz="4" w:space="0"/>
            </w:tcBorders>
            <w:shd w:val="clear" w:color="auto" w:fill="auto"/>
            <w:vAlign w:val="top"/>
          </w:tcPr>
          <w:p w14:paraId="397DC0E9">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363" w:type="pct"/>
            <w:vMerge w:val="restart"/>
            <w:tcBorders>
              <w:top w:val="nil"/>
              <w:left w:val="nil"/>
              <w:bottom w:val="single" w:color="000000" w:sz="4" w:space="0"/>
              <w:right w:val="single" w:color="000000" w:sz="4" w:space="0"/>
            </w:tcBorders>
            <w:shd w:val="clear" w:color="auto" w:fill="auto"/>
            <w:vAlign w:val="top"/>
          </w:tcPr>
          <w:p w14:paraId="15CD4B16">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换机服务时效</w:t>
            </w:r>
          </w:p>
        </w:tc>
        <w:tc>
          <w:tcPr>
            <w:tcW w:w="1524" w:type="pct"/>
            <w:tcBorders>
              <w:top w:val="single" w:color="000000" w:sz="4" w:space="0"/>
              <w:left w:val="nil"/>
              <w:bottom w:val="single" w:color="000000" w:sz="4" w:space="0"/>
              <w:right w:val="single" w:color="000000" w:sz="4" w:space="0"/>
            </w:tcBorders>
            <w:shd w:val="clear" w:color="auto" w:fill="auto"/>
            <w:vAlign w:val="top"/>
          </w:tcPr>
          <w:p w14:paraId="4FA1CFB8">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确认换机后，在5个工作日内完成换机，如果超出5个工作日必须征得最终用户的同意，并在承诺的时间内完成服务</w:t>
            </w:r>
          </w:p>
        </w:tc>
        <w:tc>
          <w:tcPr>
            <w:tcW w:w="1257" w:type="pct"/>
            <w:tcBorders>
              <w:top w:val="single" w:color="000000" w:sz="4" w:space="0"/>
              <w:left w:val="nil"/>
              <w:bottom w:val="single" w:color="000000" w:sz="4" w:space="0"/>
              <w:right w:val="single" w:color="000000" w:sz="4" w:space="0"/>
            </w:tcBorders>
            <w:shd w:val="clear" w:color="auto" w:fill="auto"/>
            <w:vAlign w:val="top"/>
          </w:tcPr>
          <w:p w14:paraId="215B3F45">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在承诺的时间内完成换机。</w:t>
            </w:r>
          </w:p>
        </w:tc>
        <w:tc>
          <w:tcPr>
            <w:tcW w:w="760" w:type="pct"/>
            <w:tcBorders>
              <w:top w:val="single" w:color="000000" w:sz="4" w:space="0"/>
              <w:left w:val="nil"/>
              <w:bottom w:val="single" w:color="000000" w:sz="4" w:space="0"/>
              <w:right w:val="single" w:color="000000" w:sz="4" w:space="0"/>
            </w:tcBorders>
            <w:shd w:val="clear" w:color="auto" w:fill="auto"/>
            <w:vAlign w:val="top"/>
          </w:tcPr>
          <w:p w14:paraId="48536FCA">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400元/次+（N-1）*200元/台/次</w:t>
            </w:r>
          </w:p>
        </w:tc>
      </w:tr>
      <w:tr w14:paraId="7CBFF2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32" w:hRule="atLeast"/>
          <w:jc w:val="center"/>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167C873B">
            <w:pPr>
              <w:keepNext w:val="0"/>
              <w:keepLines w:val="0"/>
              <w:widowControl/>
              <w:suppressLineNumbers w:val="0"/>
              <w:spacing w:before="0" w:beforeAutospacing="0" w:after="0" w:afterAutospacing="0"/>
              <w:ind w:left="0" w:right="0"/>
              <w:jc w:val="center"/>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9</w:t>
            </w:r>
          </w:p>
        </w:tc>
        <w:tc>
          <w:tcPr>
            <w:tcW w:w="293" w:type="pct"/>
            <w:vMerge w:val="continue"/>
            <w:tcBorders>
              <w:top w:val="nil"/>
              <w:left w:val="nil"/>
              <w:bottom w:val="single" w:color="000000" w:sz="4" w:space="0"/>
              <w:right w:val="single" w:color="000000" w:sz="4" w:space="0"/>
            </w:tcBorders>
            <w:shd w:val="clear" w:color="auto" w:fill="auto"/>
            <w:vAlign w:val="top"/>
          </w:tcPr>
          <w:p w14:paraId="029AEC6E">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486" w:type="pct"/>
            <w:vMerge w:val="continue"/>
            <w:tcBorders>
              <w:top w:val="nil"/>
              <w:left w:val="nil"/>
              <w:bottom w:val="single" w:color="000000" w:sz="4" w:space="0"/>
              <w:right w:val="single" w:color="000000" w:sz="4" w:space="0"/>
            </w:tcBorders>
            <w:shd w:val="clear" w:color="auto" w:fill="auto"/>
            <w:vAlign w:val="top"/>
          </w:tcPr>
          <w:p w14:paraId="3EA235A2">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363" w:type="pct"/>
            <w:vMerge w:val="continue"/>
            <w:tcBorders>
              <w:top w:val="nil"/>
              <w:left w:val="nil"/>
              <w:bottom w:val="single" w:color="000000" w:sz="4" w:space="0"/>
              <w:right w:val="single" w:color="000000" w:sz="4" w:space="0"/>
            </w:tcBorders>
            <w:shd w:val="clear" w:color="auto" w:fill="auto"/>
            <w:vAlign w:val="top"/>
          </w:tcPr>
          <w:p w14:paraId="6733D510">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524" w:type="pct"/>
            <w:tcBorders>
              <w:top w:val="single" w:color="000000" w:sz="4" w:space="0"/>
              <w:left w:val="nil"/>
              <w:bottom w:val="single" w:color="000000" w:sz="4" w:space="0"/>
              <w:right w:val="single" w:color="000000" w:sz="4" w:space="0"/>
            </w:tcBorders>
            <w:shd w:val="clear" w:color="auto" w:fill="auto"/>
            <w:vAlign w:val="top"/>
          </w:tcPr>
          <w:p w14:paraId="584046A0">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核实产品主要部件在1年内同样故障报修工单达到三次或三次以上的供应商必须按照客户需求给予更换新机，配置参数需大于等于原机型，换机流程不再经过万翔，换机流程中须提供备用机（备用机服务标准同上）</w:t>
            </w:r>
          </w:p>
        </w:tc>
        <w:tc>
          <w:tcPr>
            <w:tcW w:w="1257" w:type="pct"/>
            <w:tcBorders>
              <w:top w:val="single" w:color="000000" w:sz="4" w:space="0"/>
              <w:left w:val="nil"/>
              <w:bottom w:val="single" w:color="000000" w:sz="4" w:space="0"/>
              <w:right w:val="single" w:color="000000" w:sz="4" w:space="0"/>
            </w:tcBorders>
            <w:shd w:val="clear" w:color="auto" w:fill="auto"/>
            <w:vAlign w:val="top"/>
          </w:tcPr>
          <w:p w14:paraId="5A63B54B">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同意并给予客户换机。</w:t>
            </w:r>
          </w:p>
        </w:tc>
        <w:tc>
          <w:tcPr>
            <w:tcW w:w="760" w:type="pct"/>
            <w:tcBorders>
              <w:top w:val="single" w:color="000000" w:sz="4" w:space="0"/>
              <w:left w:val="nil"/>
              <w:bottom w:val="single" w:color="000000" w:sz="4" w:space="0"/>
              <w:right w:val="single" w:color="000000" w:sz="4" w:space="0"/>
            </w:tcBorders>
            <w:shd w:val="clear" w:color="auto" w:fill="auto"/>
            <w:vAlign w:val="top"/>
          </w:tcPr>
          <w:p w14:paraId="5C1DD15F">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500元/台/次；同时在质保金中扣除换新机所需货款，由万翔直接给客户换机</w:t>
            </w:r>
          </w:p>
        </w:tc>
      </w:tr>
      <w:tr w14:paraId="67B299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3" w:hRule="atLeast"/>
          <w:jc w:val="center"/>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066CFFC2">
            <w:pPr>
              <w:keepNext w:val="0"/>
              <w:keepLines w:val="0"/>
              <w:widowControl/>
              <w:suppressLineNumbers w:val="0"/>
              <w:spacing w:before="0" w:beforeAutospacing="0" w:after="0" w:afterAutospacing="0"/>
              <w:ind w:left="0" w:right="0"/>
              <w:jc w:val="center"/>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10</w:t>
            </w:r>
          </w:p>
        </w:tc>
        <w:tc>
          <w:tcPr>
            <w:tcW w:w="293" w:type="pct"/>
            <w:vMerge w:val="continue"/>
            <w:tcBorders>
              <w:top w:val="nil"/>
              <w:left w:val="nil"/>
              <w:bottom w:val="single" w:color="000000" w:sz="4" w:space="0"/>
              <w:right w:val="single" w:color="000000" w:sz="4" w:space="0"/>
            </w:tcBorders>
            <w:shd w:val="clear" w:color="auto" w:fill="auto"/>
            <w:vAlign w:val="top"/>
          </w:tcPr>
          <w:p w14:paraId="6922FEE7">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486" w:type="pct"/>
            <w:vMerge w:val="continue"/>
            <w:tcBorders>
              <w:top w:val="nil"/>
              <w:left w:val="nil"/>
              <w:bottom w:val="single" w:color="000000" w:sz="4" w:space="0"/>
              <w:right w:val="single" w:color="000000" w:sz="4" w:space="0"/>
            </w:tcBorders>
            <w:shd w:val="clear" w:color="auto" w:fill="auto"/>
            <w:vAlign w:val="top"/>
          </w:tcPr>
          <w:p w14:paraId="2C9BB263">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363" w:type="pct"/>
            <w:tcBorders>
              <w:top w:val="single" w:color="000000" w:sz="4" w:space="0"/>
              <w:left w:val="nil"/>
              <w:bottom w:val="single" w:color="000000" w:sz="4" w:space="0"/>
              <w:right w:val="single" w:color="000000" w:sz="4" w:space="0"/>
            </w:tcBorders>
            <w:shd w:val="clear" w:color="auto" w:fill="auto"/>
            <w:vAlign w:val="top"/>
          </w:tcPr>
          <w:p w14:paraId="621F99ED">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验收报告/辅材发票提供时效</w:t>
            </w:r>
          </w:p>
        </w:tc>
        <w:tc>
          <w:tcPr>
            <w:tcW w:w="1524" w:type="pct"/>
            <w:tcBorders>
              <w:top w:val="single" w:color="000000" w:sz="4" w:space="0"/>
              <w:left w:val="nil"/>
              <w:bottom w:val="single" w:color="000000" w:sz="4" w:space="0"/>
              <w:right w:val="single" w:color="000000" w:sz="4" w:space="0"/>
            </w:tcBorders>
            <w:shd w:val="clear" w:color="auto" w:fill="auto"/>
            <w:vAlign w:val="top"/>
          </w:tcPr>
          <w:p w14:paraId="7CFC8B19">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收到万翔客服专员通知后，2个工作日内提供验收报告/辅材发票给最终用户。</w:t>
            </w:r>
          </w:p>
        </w:tc>
        <w:tc>
          <w:tcPr>
            <w:tcW w:w="1257" w:type="pct"/>
            <w:tcBorders>
              <w:top w:val="single" w:color="000000" w:sz="4" w:space="0"/>
              <w:left w:val="nil"/>
              <w:bottom w:val="single" w:color="000000" w:sz="4" w:space="0"/>
              <w:right w:val="single" w:color="000000" w:sz="4" w:space="0"/>
            </w:tcBorders>
            <w:shd w:val="clear" w:color="auto" w:fill="auto"/>
            <w:vAlign w:val="top"/>
          </w:tcPr>
          <w:p w14:paraId="244F87AF">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万翔客服专员报单后2个工作日内</w:t>
            </w:r>
          </w:p>
        </w:tc>
        <w:tc>
          <w:tcPr>
            <w:tcW w:w="760" w:type="pct"/>
            <w:tcBorders>
              <w:top w:val="single" w:color="000000" w:sz="4" w:space="0"/>
              <w:left w:val="nil"/>
              <w:bottom w:val="single" w:color="000000" w:sz="4" w:space="0"/>
              <w:right w:val="single" w:color="000000" w:sz="4" w:space="0"/>
            </w:tcBorders>
            <w:shd w:val="clear" w:color="auto" w:fill="auto"/>
            <w:vAlign w:val="top"/>
          </w:tcPr>
          <w:p w14:paraId="2DE9E3B1">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400元/单/次，每逾期1个工作日按100元/单/工作日的标准增加处罚；</w:t>
            </w:r>
          </w:p>
        </w:tc>
      </w:tr>
      <w:tr w14:paraId="219577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jc w:val="center"/>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01AC357D">
            <w:pPr>
              <w:keepNext w:val="0"/>
              <w:keepLines w:val="0"/>
              <w:widowControl/>
              <w:suppressLineNumbers w:val="0"/>
              <w:spacing w:before="0" w:beforeAutospacing="0" w:after="0" w:afterAutospacing="0"/>
              <w:ind w:left="0" w:right="0"/>
              <w:jc w:val="center"/>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11</w:t>
            </w:r>
          </w:p>
        </w:tc>
        <w:tc>
          <w:tcPr>
            <w:tcW w:w="293" w:type="pct"/>
            <w:vMerge w:val="restart"/>
            <w:tcBorders>
              <w:top w:val="nil"/>
              <w:left w:val="nil"/>
              <w:bottom w:val="single" w:color="000000" w:sz="4" w:space="0"/>
              <w:right w:val="single" w:color="000000" w:sz="4" w:space="0"/>
            </w:tcBorders>
            <w:shd w:val="clear" w:color="auto" w:fill="auto"/>
            <w:noWrap/>
            <w:vAlign w:val="top"/>
          </w:tcPr>
          <w:p w14:paraId="63249A61">
            <w:pPr>
              <w:keepNext w:val="0"/>
              <w:keepLines w:val="0"/>
              <w:widowControl/>
              <w:suppressLineNumbers w:val="0"/>
              <w:spacing w:before="0" w:beforeAutospacing="0" w:after="0" w:afterAutospacing="0"/>
              <w:ind w:left="0" w:right="0"/>
              <w:jc w:val="center"/>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服务规范</w:t>
            </w:r>
          </w:p>
        </w:tc>
        <w:tc>
          <w:tcPr>
            <w:tcW w:w="486" w:type="pct"/>
            <w:vMerge w:val="restart"/>
            <w:tcBorders>
              <w:top w:val="nil"/>
              <w:left w:val="nil"/>
              <w:bottom w:val="single" w:color="000000" w:sz="4" w:space="0"/>
              <w:right w:val="single" w:color="000000" w:sz="4" w:space="0"/>
            </w:tcBorders>
            <w:shd w:val="clear" w:color="auto" w:fill="auto"/>
            <w:vAlign w:val="top"/>
          </w:tcPr>
          <w:p w14:paraId="46825B28">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服务态度或服务不规范，如：服务人员着装不规范，言语生硬、敷衍、态度不好；未能妥善处理客户的不满情绪；用户要求附加一些明显力所能及范围之内的服务而拒不提供服务；损坏客户物品未赔偿等违反服务规范的行为。</w:t>
            </w:r>
          </w:p>
        </w:tc>
        <w:tc>
          <w:tcPr>
            <w:tcW w:w="363" w:type="pct"/>
            <w:tcBorders>
              <w:top w:val="single" w:color="000000" w:sz="4" w:space="0"/>
              <w:left w:val="nil"/>
              <w:bottom w:val="single" w:color="000000" w:sz="4" w:space="0"/>
              <w:right w:val="single" w:color="000000" w:sz="4" w:space="0"/>
            </w:tcBorders>
            <w:shd w:val="clear" w:color="auto" w:fill="auto"/>
            <w:vAlign w:val="top"/>
          </w:tcPr>
          <w:p w14:paraId="321B8621">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服务前的服务规范</w:t>
            </w:r>
          </w:p>
        </w:tc>
        <w:tc>
          <w:tcPr>
            <w:tcW w:w="1524" w:type="pct"/>
            <w:tcBorders>
              <w:top w:val="single" w:color="000000" w:sz="4" w:space="0"/>
              <w:left w:val="nil"/>
              <w:bottom w:val="single" w:color="000000" w:sz="4" w:space="0"/>
              <w:right w:val="single" w:color="000000" w:sz="4" w:space="0"/>
            </w:tcBorders>
            <w:shd w:val="clear" w:color="auto" w:fill="auto"/>
            <w:vAlign w:val="top"/>
          </w:tcPr>
          <w:p w14:paraId="3500F22B">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1）上门服务人员应着品牌工装；</w:t>
            </w:r>
          </w:p>
          <w:p w14:paraId="05891C81">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 xml:space="preserve"> 2）安装/维修前应与最终用户核对机器型号、配置和台数；如维修需要向客户核实故障现象。</w:t>
            </w:r>
            <w:r>
              <w:rPr>
                <w:rFonts w:hint="eastAsia" w:ascii="仿宋" w:hAnsi="仿宋" w:eastAsia="仿宋" w:cs="仿宋"/>
                <w:color w:val="auto"/>
                <w:kern w:val="0"/>
                <w:sz w:val="21"/>
                <w:szCs w:val="21"/>
                <w:highlight w:val="none"/>
                <w:lang w:val="en-US" w:eastAsia="zh-CN" w:bidi="ar"/>
              </w:rPr>
              <w:br w:type="textWrapping"/>
            </w:r>
            <w:r>
              <w:rPr>
                <w:rFonts w:hint="eastAsia" w:ascii="仿宋" w:hAnsi="仿宋" w:eastAsia="仿宋" w:cs="仿宋"/>
                <w:color w:val="auto"/>
                <w:kern w:val="0"/>
                <w:sz w:val="21"/>
                <w:szCs w:val="21"/>
                <w:highlight w:val="none"/>
                <w:lang w:val="en-US" w:eastAsia="zh-CN" w:bidi="ar"/>
              </w:rPr>
              <w:t>3）安装前检查确认外包装完好再拆箱安装；如有异常须及时向最终用户反馈并报备给万翔客服专员后，再进行开箱验机；</w:t>
            </w:r>
            <w:r>
              <w:rPr>
                <w:rFonts w:hint="eastAsia" w:ascii="仿宋" w:hAnsi="仿宋" w:eastAsia="仿宋" w:cs="仿宋"/>
                <w:color w:val="auto"/>
                <w:kern w:val="0"/>
                <w:sz w:val="21"/>
                <w:szCs w:val="21"/>
                <w:highlight w:val="none"/>
                <w:lang w:val="en-US" w:eastAsia="zh-CN" w:bidi="ar"/>
              </w:rPr>
              <w:br w:type="textWrapping"/>
            </w:r>
            <w:r>
              <w:rPr>
                <w:rFonts w:hint="eastAsia" w:ascii="仿宋" w:hAnsi="仿宋" w:eastAsia="仿宋" w:cs="仿宋"/>
                <w:color w:val="auto"/>
                <w:kern w:val="0"/>
                <w:sz w:val="21"/>
                <w:szCs w:val="21"/>
                <w:highlight w:val="none"/>
                <w:lang w:val="en-US" w:eastAsia="zh-CN" w:bidi="ar"/>
              </w:rPr>
              <w:t>4）安装/维修前应检查最终用户的电源电压是否安全稳定，如有问题，应及时告知最终用户，协商整改；</w:t>
            </w:r>
            <w:r>
              <w:rPr>
                <w:rFonts w:hint="eastAsia" w:ascii="仿宋" w:hAnsi="仿宋" w:eastAsia="仿宋" w:cs="仿宋"/>
                <w:color w:val="auto"/>
                <w:kern w:val="0"/>
                <w:sz w:val="21"/>
                <w:szCs w:val="21"/>
                <w:highlight w:val="none"/>
                <w:lang w:val="en-US" w:eastAsia="zh-CN" w:bidi="ar"/>
              </w:rPr>
              <w:br w:type="textWrapping"/>
            </w:r>
            <w:r>
              <w:rPr>
                <w:rFonts w:hint="eastAsia" w:ascii="仿宋" w:hAnsi="仿宋" w:eastAsia="仿宋" w:cs="仿宋"/>
                <w:color w:val="auto"/>
                <w:kern w:val="0"/>
                <w:sz w:val="21"/>
                <w:szCs w:val="21"/>
                <w:highlight w:val="none"/>
                <w:lang w:val="en-US" w:eastAsia="zh-CN" w:bidi="ar"/>
              </w:rPr>
              <w:t>5）由于服务单位自身原因造成多人或多次联系客户、或上门服务时发现由于自身原因不能提供服务（如上门服务发现未带物料）；</w:t>
            </w:r>
            <w:r>
              <w:rPr>
                <w:rFonts w:hint="eastAsia" w:ascii="仿宋" w:hAnsi="仿宋" w:eastAsia="仿宋" w:cs="仿宋"/>
                <w:color w:val="auto"/>
                <w:kern w:val="0"/>
                <w:sz w:val="21"/>
                <w:szCs w:val="21"/>
                <w:highlight w:val="none"/>
                <w:lang w:val="en-US" w:eastAsia="zh-CN" w:bidi="ar"/>
              </w:rPr>
              <w:br w:type="textWrapping"/>
            </w:r>
            <w:r>
              <w:rPr>
                <w:rFonts w:hint="eastAsia" w:ascii="仿宋" w:hAnsi="仿宋" w:eastAsia="仿宋" w:cs="仿宋"/>
                <w:color w:val="auto"/>
                <w:kern w:val="0"/>
                <w:sz w:val="21"/>
                <w:szCs w:val="21"/>
                <w:highlight w:val="none"/>
                <w:lang w:val="en-US" w:eastAsia="zh-CN" w:bidi="ar"/>
              </w:rPr>
              <w:t>6）上门安装/维修时发现由于环境复杂或安装/维修有难度，拒绝为客户提供服务。</w:t>
            </w:r>
          </w:p>
          <w:p w14:paraId="097180E6">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 xml:space="preserve">（7）安装前需携带动态二维码标签（一物一码）、《厦门市政府采购验收报告》。  </w:t>
            </w:r>
          </w:p>
          <w:p w14:paraId="57602F7F">
            <w:pPr>
              <w:keepNext w:val="0"/>
              <w:keepLines w:val="0"/>
              <w:widowControl w:val="0"/>
              <w:suppressLineNumbers w:val="0"/>
              <w:spacing w:before="0" w:beforeAutospacing="0" w:after="0" w:afterAutospacing="0"/>
              <w:ind w:left="0" w:right="0"/>
              <w:jc w:val="left"/>
              <w:rPr>
                <w:rFonts w:hint="default" w:ascii="仿宋" w:hAnsi="仿宋" w:eastAsia="仿宋" w:cs="仿宋"/>
                <w:color w:val="auto"/>
                <w:kern w:val="2"/>
                <w:sz w:val="21"/>
                <w:szCs w:val="21"/>
                <w:highlight w:val="none"/>
              </w:rPr>
            </w:pPr>
            <w:r>
              <w:rPr>
                <w:rFonts w:hint="eastAsia" w:ascii="仿宋" w:hAnsi="仿宋" w:eastAsia="仿宋" w:cs="仿宋"/>
                <w:color w:val="auto"/>
                <w:kern w:val="0"/>
                <w:sz w:val="21"/>
                <w:szCs w:val="21"/>
                <w:highlight w:val="none"/>
                <w:lang w:val="en-US" w:eastAsia="zh-CN" w:bidi="ar"/>
              </w:rPr>
              <w:t>标签制作规范：使用热敏式打印机、PP合成纸，尺寸不小于：60mm*40mm；并确保二维码清晰可读，信息完善有效。</w:t>
            </w:r>
          </w:p>
        </w:tc>
        <w:tc>
          <w:tcPr>
            <w:tcW w:w="1257" w:type="pct"/>
            <w:tcBorders>
              <w:top w:val="single" w:color="000000" w:sz="4" w:space="0"/>
              <w:left w:val="nil"/>
              <w:bottom w:val="single" w:color="000000" w:sz="4" w:space="0"/>
              <w:right w:val="single" w:color="000000" w:sz="4" w:space="0"/>
            </w:tcBorders>
            <w:shd w:val="clear" w:color="auto" w:fill="auto"/>
            <w:vAlign w:val="top"/>
          </w:tcPr>
          <w:p w14:paraId="36559FC1">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任一条，发现未按规范</w:t>
            </w:r>
          </w:p>
        </w:tc>
        <w:tc>
          <w:tcPr>
            <w:tcW w:w="760" w:type="pct"/>
            <w:tcBorders>
              <w:top w:val="single" w:color="000000" w:sz="4" w:space="0"/>
              <w:left w:val="nil"/>
              <w:bottom w:val="single" w:color="000000" w:sz="4" w:space="0"/>
              <w:right w:val="single" w:color="000000" w:sz="4" w:space="0"/>
            </w:tcBorders>
            <w:shd w:val="clear" w:color="auto" w:fill="auto"/>
            <w:vAlign w:val="top"/>
          </w:tcPr>
          <w:p w14:paraId="79ED0C85">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400元/次</w:t>
            </w:r>
          </w:p>
        </w:tc>
      </w:tr>
      <w:tr w14:paraId="0B5A2F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220" w:hRule="atLeast"/>
          <w:jc w:val="center"/>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6E34528F">
            <w:pPr>
              <w:keepNext w:val="0"/>
              <w:keepLines w:val="0"/>
              <w:widowControl/>
              <w:suppressLineNumbers w:val="0"/>
              <w:spacing w:before="0" w:beforeAutospacing="0" w:after="0" w:afterAutospacing="0"/>
              <w:ind w:left="0" w:right="0"/>
              <w:jc w:val="center"/>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12</w:t>
            </w:r>
          </w:p>
        </w:tc>
        <w:tc>
          <w:tcPr>
            <w:tcW w:w="293" w:type="pct"/>
            <w:vMerge w:val="continue"/>
            <w:tcBorders>
              <w:top w:val="nil"/>
              <w:left w:val="nil"/>
              <w:bottom w:val="single" w:color="000000" w:sz="4" w:space="0"/>
              <w:right w:val="single" w:color="000000" w:sz="4" w:space="0"/>
            </w:tcBorders>
            <w:shd w:val="clear" w:color="auto" w:fill="auto"/>
            <w:noWrap/>
            <w:vAlign w:val="top"/>
          </w:tcPr>
          <w:p w14:paraId="000B5214">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486" w:type="pct"/>
            <w:vMerge w:val="continue"/>
            <w:tcBorders>
              <w:top w:val="nil"/>
              <w:left w:val="nil"/>
              <w:bottom w:val="single" w:color="000000" w:sz="4" w:space="0"/>
              <w:right w:val="single" w:color="000000" w:sz="4" w:space="0"/>
            </w:tcBorders>
            <w:shd w:val="clear" w:color="auto" w:fill="auto"/>
            <w:vAlign w:val="top"/>
          </w:tcPr>
          <w:p w14:paraId="6DFB7278">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363" w:type="pct"/>
            <w:tcBorders>
              <w:top w:val="single" w:color="000000" w:sz="4" w:space="0"/>
              <w:left w:val="nil"/>
              <w:bottom w:val="single" w:color="000000" w:sz="4" w:space="0"/>
              <w:right w:val="single" w:color="000000" w:sz="4" w:space="0"/>
            </w:tcBorders>
            <w:shd w:val="clear" w:color="auto" w:fill="auto"/>
            <w:vAlign w:val="top"/>
          </w:tcPr>
          <w:p w14:paraId="17E7E3BD">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服务中的服务规范</w:t>
            </w:r>
          </w:p>
        </w:tc>
        <w:tc>
          <w:tcPr>
            <w:tcW w:w="1524" w:type="pct"/>
            <w:tcBorders>
              <w:top w:val="single" w:color="000000" w:sz="4" w:space="0"/>
              <w:left w:val="nil"/>
              <w:bottom w:val="single" w:color="auto" w:sz="4" w:space="0"/>
              <w:right w:val="single" w:color="000000" w:sz="4" w:space="0"/>
            </w:tcBorders>
            <w:shd w:val="clear" w:color="auto" w:fill="auto"/>
            <w:vAlign w:val="top"/>
          </w:tcPr>
          <w:p w14:paraId="1E760197">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1）到达指定安装地点后，登录小程序“大宗售后保障运维平台”确认上门。</w:t>
            </w:r>
          </w:p>
          <w:p w14:paraId="3FFD425D">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2）安装过程中发现外包装完好，开箱出现货物内损则第一时间给最终用户换机处理，并报备给万翔客服专员；</w:t>
            </w:r>
          </w:p>
          <w:p w14:paraId="7687A7FE">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3）检查每台机器的服务编号；</w:t>
            </w:r>
            <w:r>
              <w:rPr>
                <w:rFonts w:hint="eastAsia" w:ascii="仿宋" w:hAnsi="仿宋" w:eastAsia="仿宋" w:cs="仿宋"/>
                <w:color w:val="auto"/>
                <w:kern w:val="0"/>
                <w:sz w:val="21"/>
                <w:szCs w:val="21"/>
                <w:highlight w:val="none"/>
                <w:lang w:val="en-US" w:eastAsia="zh-CN" w:bidi="ar"/>
              </w:rPr>
              <w:br w:type="textWrapping"/>
            </w:r>
            <w:r>
              <w:rPr>
                <w:rFonts w:hint="eastAsia" w:ascii="仿宋" w:hAnsi="仿宋" w:eastAsia="仿宋" w:cs="仿宋"/>
                <w:color w:val="auto"/>
                <w:kern w:val="0"/>
                <w:sz w:val="21"/>
                <w:szCs w:val="21"/>
                <w:highlight w:val="none"/>
                <w:lang w:val="en-US" w:eastAsia="zh-CN" w:bidi="ar"/>
              </w:rPr>
              <w:t xml:space="preserve">4) 安装时如果发现设备异常，及时与客户进行沟通，待情况核实清楚后，再行安装； </w:t>
            </w:r>
            <w:r>
              <w:rPr>
                <w:rFonts w:hint="eastAsia" w:ascii="仿宋" w:hAnsi="仿宋" w:eastAsia="仿宋" w:cs="仿宋"/>
                <w:color w:val="auto"/>
                <w:kern w:val="0"/>
                <w:sz w:val="21"/>
                <w:szCs w:val="21"/>
                <w:highlight w:val="none"/>
                <w:lang w:val="en-US" w:eastAsia="zh-CN" w:bidi="ar"/>
              </w:rPr>
              <w:br w:type="textWrapping"/>
            </w:r>
            <w:r>
              <w:rPr>
                <w:rFonts w:hint="eastAsia" w:ascii="仿宋" w:hAnsi="仿宋" w:eastAsia="仿宋" w:cs="仿宋"/>
                <w:color w:val="auto"/>
                <w:kern w:val="0"/>
                <w:sz w:val="21"/>
                <w:szCs w:val="21"/>
                <w:highlight w:val="none"/>
                <w:lang w:val="en-US" w:eastAsia="zh-CN" w:bidi="ar"/>
              </w:rPr>
              <w:t>5）免费提供所有设备的安装调试（包括电脑驱动安装等服务），安装完成后要开机测试以确保设备能够正常使用；</w:t>
            </w:r>
            <w:r>
              <w:rPr>
                <w:rFonts w:hint="eastAsia" w:ascii="仿宋" w:hAnsi="仿宋" w:eastAsia="仿宋" w:cs="仿宋"/>
                <w:color w:val="auto"/>
                <w:kern w:val="0"/>
                <w:sz w:val="21"/>
                <w:szCs w:val="21"/>
                <w:highlight w:val="none"/>
                <w:lang w:val="en-US" w:eastAsia="zh-CN" w:bidi="ar"/>
              </w:rPr>
              <w:br w:type="textWrapping"/>
            </w:r>
            <w:r>
              <w:rPr>
                <w:rFonts w:hint="eastAsia" w:ascii="仿宋" w:hAnsi="仿宋" w:eastAsia="仿宋" w:cs="仿宋"/>
                <w:color w:val="auto"/>
                <w:kern w:val="0"/>
                <w:sz w:val="21"/>
                <w:szCs w:val="21"/>
                <w:highlight w:val="none"/>
                <w:lang w:val="en-US" w:eastAsia="zh-CN" w:bidi="ar"/>
              </w:rPr>
              <w:t>6）安装位置必须保证设备的正常使用，如安装位置与客户要求不符，需要提前与客户沟通并找到适合的解决方案；</w:t>
            </w:r>
          </w:p>
          <w:p w14:paraId="60096C16">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7）安装务必保障美观，不能出现设备安装歪斜、影响美观或影响设备正常使用等情况；</w:t>
            </w:r>
            <w:r>
              <w:rPr>
                <w:rFonts w:hint="eastAsia" w:ascii="仿宋" w:hAnsi="仿宋" w:eastAsia="仿宋" w:cs="仿宋"/>
                <w:color w:val="auto"/>
                <w:kern w:val="0"/>
                <w:sz w:val="21"/>
                <w:szCs w:val="21"/>
                <w:highlight w:val="none"/>
                <w:lang w:val="en-US" w:eastAsia="zh-CN" w:bidi="ar"/>
              </w:rPr>
              <w:br w:type="textWrapping"/>
            </w:r>
            <w:r>
              <w:rPr>
                <w:rFonts w:hint="eastAsia" w:ascii="仿宋" w:hAnsi="仿宋" w:eastAsia="仿宋" w:cs="仿宋"/>
                <w:color w:val="auto"/>
                <w:kern w:val="0"/>
                <w:sz w:val="21"/>
                <w:szCs w:val="21"/>
                <w:highlight w:val="none"/>
                <w:lang w:val="en-US" w:eastAsia="zh-CN" w:bidi="ar"/>
              </w:rPr>
              <w:t>8）如果安装/维修数量较多，不能一天内完成，服务单位应连续为客户提供服务，并将情况及时向最终用户做汇报沟通；如有异常情况不能连续安装或暂时先离开现场，必须提前征得最终用户的同意。</w:t>
            </w:r>
          </w:p>
          <w:p w14:paraId="2C33FD64">
            <w:pPr>
              <w:keepNext w:val="0"/>
              <w:keepLines w:val="0"/>
              <w:widowControl w:val="0"/>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9）卖方应免费提供所有设备的安装、调试及激活服务，包括配套应用软件。安装完成后，卖方须在设备上粘贴二维码标签，并登录小程序“大宗售后保障运维平台”，扫描动态二维码绑定订单，同时录入机身序列号，并保证一机一码准确录入。如现场无法完成扫码录入，卖方应在安装完成后2个工作日内，登录大宗售后保障运维平台进行补入。</w:t>
            </w:r>
          </w:p>
          <w:p w14:paraId="4729EDD0">
            <w:pPr>
              <w:keepNext w:val="0"/>
              <w:keepLines w:val="0"/>
              <w:widowControl w:val="0"/>
              <w:suppressLineNumbers w:val="0"/>
              <w:spacing w:before="0" w:beforeAutospacing="0" w:after="0" w:afterAutospacing="0"/>
              <w:ind w:left="0" w:right="0"/>
              <w:jc w:val="left"/>
              <w:rPr>
                <w:rFonts w:hint="default" w:ascii="仿宋" w:hAnsi="仿宋" w:eastAsia="仿宋" w:cs="仿宋"/>
                <w:color w:val="auto"/>
                <w:kern w:val="2"/>
                <w:sz w:val="21"/>
                <w:szCs w:val="21"/>
                <w:highlight w:val="none"/>
              </w:rPr>
            </w:pPr>
            <w:r>
              <w:rPr>
                <w:rFonts w:hint="eastAsia" w:ascii="仿宋" w:hAnsi="仿宋" w:eastAsia="仿宋" w:cs="仿宋"/>
                <w:color w:val="auto"/>
                <w:kern w:val="0"/>
                <w:sz w:val="21"/>
                <w:szCs w:val="21"/>
                <w:highlight w:val="none"/>
                <w:lang w:val="en-US" w:eastAsia="zh-CN" w:bidi="ar"/>
              </w:rPr>
              <w:t>10）所有服务时效将按照大宗售后保障运维平台的系统时间节点进行考核。预约节点：物流实际签收时间+1天，完成接单和派工，联系客户，并按与客户约定的时间上门安装，周末、节假日顺延。(如：2026年6月1日11:00物流显示已签收，投标人需在2026年6月2日工作时间内与客户联系）。</w:t>
            </w:r>
          </w:p>
        </w:tc>
        <w:tc>
          <w:tcPr>
            <w:tcW w:w="1257" w:type="pct"/>
            <w:tcBorders>
              <w:top w:val="single" w:color="000000" w:sz="4" w:space="0"/>
              <w:left w:val="nil"/>
              <w:bottom w:val="single" w:color="auto" w:sz="4" w:space="0"/>
              <w:right w:val="single" w:color="000000" w:sz="4" w:space="0"/>
            </w:tcBorders>
            <w:shd w:val="clear" w:color="auto" w:fill="auto"/>
            <w:vAlign w:val="top"/>
          </w:tcPr>
          <w:p w14:paraId="6CF31256">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任一条，发现未按规范</w:t>
            </w:r>
          </w:p>
        </w:tc>
        <w:tc>
          <w:tcPr>
            <w:tcW w:w="760" w:type="pct"/>
            <w:tcBorders>
              <w:top w:val="single" w:color="000000" w:sz="4" w:space="0"/>
              <w:left w:val="nil"/>
              <w:bottom w:val="single" w:color="auto" w:sz="4" w:space="0"/>
              <w:right w:val="single" w:color="000000" w:sz="4" w:space="0"/>
            </w:tcBorders>
            <w:shd w:val="clear" w:color="auto" w:fill="auto"/>
            <w:vAlign w:val="top"/>
          </w:tcPr>
          <w:p w14:paraId="2F07E8DF">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400元/次</w:t>
            </w:r>
          </w:p>
        </w:tc>
      </w:tr>
      <w:tr w14:paraId="3F0C1D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901" w:hRule="atLeast"/>
          <w:jc w:val="center"/>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5CC5AF40">
            <w:pPr>
              <w:keepNext w:val="0"/>
              <w:keepLines w:val="0"/>
              <w:widowControl/>
              <w:suppressLineNumbers w:val="0"/>
              <w:spacing w:before="0" w:beforeAutospacing="0" w:after="0" w:afterAutospacing="0"/>
              <w:ind w:left="0" w:right="0"/>
              <w:jc w:val="center"/>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13</w:t>
            </w:r>
          </w:p>
        </w:tc>
        <w:tc>
          <w:tcPr>
            <w:tcW w:w="293" w:type="pct"/>
            <w:vMerge w:val="continue"/>
            <w:tcBorders>
              <w:top w:val="nil"/>
              <w:left w:val="nil"/>
              <w:bottom w:val="single" w:color="000000" w:sz="4" w:space="0"/>
              <w:right w:val="single" w:color="000000" w:sz="4" w:space="0"/>
            </w:tcBorders>
            <w:shd w:val="clear" w:color="auto" w:fill="auto"/>
            <w:noWrap/>
            <w:vAlign w:val="top"/>
          </w:tcPr>
          <w:p w14:paraId="585B67AE">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486" w:type="pct"/>
            <w:vMerge w:val="continue"/>
            <w:tcBorders>
              <w:top w:val="nil"/>
              <w:left w:val="nil"/>
              <w:bottom w:val="single" w:color="000000" w:sz="4" w:space="0"/>
              <w:right w:val="single" w:color="000000" w:sz="4" w:space="0"/>
            </w:tcBorders>
            <w:shd w:val="clear" w:color="auto" w:fill="auto"/>
            <w:vAlign w:val="top"/>
          </w:tcPr>
          <w:p w14:paraId="5D712ABE">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363" w:type="pct"/>
            <w:tcBorders>
              <w:top w:val="single" w:color="000000" w:sz="4" w:space="0"/>
              <w:left w:val="nil"/>
              <w:bottom w:val="single" w:color="000000" w:sz="4" w:space="0"/>
              <w:right w:val="single" w:color="000000" w:sz="4" w:space="0"/>
            </w:tcBorders>
            <w:shd w:val="clear" w:color="auto" w:fill="auto"/>
            <w:vAlign w:val="top"/>
          </w:tcPr>
          <w:p w14:paraId="47F9CF31">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服务后的服务规范</w:t>
            </w:r>
          </w:p>
        </w:tc>
        <w:tc>
          <w:tcPr>
            <w:tcW w:w="1524" w:type="pct"/>
            <w:tcBorders>
              <w:top w:val="single" w:color="000000" w:sz="4" w:space="0"/>
              <w:left w:val="nil"/>
              <w:bottom w:val="single" w:color="000000" w:sz="4" w:space="0"/>
              <w:right w:val="single" w:color="000000" w:sz="4" w:space="0"/>
            </w:tcBorders>
            <w:shd w:val="clear" w:color="auto" w:fill="auto"/>
            <w:vAlign w:val="top"/>
          </w:tcPr>
          <w:p w14:paraId="5C8EE9B1">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1）安装节点：无特殊情况下，按照签收时间+3天内安装完成（具体情况根据客户需求，若客户需要提前安装，则需沟通按照客户需求时间安装。）大宗售后保障运维平台“催单”（客户特殊需求反馈）为“是”的工单，需当日24:00前回执处理进度，填写“安装反馈”；）</w:t>
            </w:r>
            <w:r>
              <w:rPr>
                <w:rFonts w:hint="eastAsia" w:ascii="仿宋" w:hAnsi="仿宋" w:eastAsia="仿宋" w:cs="仿宋"/>
                <w:color w:val="auto"/>
                <w:kern w:val="0"/>
                <w:sz w:val="21"/>
                <w:szCs w:val="21"/>
                <w:highlight w:val="none"/>
                <w:lang w:val="en-US" w:eastAsia="zh-CN" w:bidi="ar"/>
              </w:rPr>
              <w:br w:type="textWrapping"/>
            </w:r>
            <w:r>
              <w:rPr>
                <w:rFonts w:hint="eastAsia" w:ascii="仿宋" w:hAnsi="仿宋" w:eastAsia="仿宋" w:cs="仿宋"/>
                <w:color w:val="auto"/>
                <w:kern w:val="0"/>
                <w:sz w:val="21"/>
                <w:szCs w:val="21"/>
                <w:highlight w:val="none"/>
                <w:lang w:val="en-US" w:eastAsia="zh-CN" w:bidi="ar"/>
              </w:rPr>
              <w:t>2）安装完毕，应和最终用户一起确认产品的正常运行。</w:t>
            </w:r>
          </w:p>
          <w:p w14:paraId="533A3261">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3）安装完毕，并为每台机器注册信息, 应向最终用户详细讲解保修条例；如没有注册信息而导致机器在保修期内无法保修的情况，服务商要负责此维修费用。</w:t>
            </w:r>
          </w:p>
          <w:p w14:paraId="157CB500">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4）安装完毕，应向最终用户详细讲解使用操作方法和日常维护保养措施，耐心解答最终用户提出的问题，并留下服务电话；在设备合适的地方黏贴二维码标签，以方便最终用户报修。大宗售后保障运维平台点击“安装完成”避免影响处理时效，进入预警考核。（超出系统要求考核时间，将进入预警考核状态，须在次日内进行整改，整改完毕，预警结束。若不整改从而造成了安装延迟，将进入考核状态，若有特殊情况，需进行申诉，根据最终实际情况进行扣罚）。</w:t>
            </w:r>
          </w:p>
          <w:p w14:paraId="6651DF10">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5）安装/维修等服务结束后，应把工作现场打扫干净，将工具等物品复位，并将安装/维修过程中产生的垃圾带离现场。</w:t>
            </w:r>
          </w:p>
          <w:p w14:paraId="0DFCA162">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6）安装完毕，卖方应让最终用户验收并签字确认，并于5个工作日内完成以下工作：登录小程序“大宗售后保障运维平台”，上传电子版《厦门市政府采购验收报告》；并将纸质版验收报告移交买方归档。验收节点：安装完成时间+5天内，需上传电子验收报告。客户原因暂不安装、自行安装，如实填写“安装反馈”点击“暂不安装”、“自行安装”。所有材料充足后，及时点击“验收完成”，避免影响处理时效，进入预警考核（超出系统要求考核时间，将进入预警考核状态，须在次日内进行整改，整改完毕，预警结束。若不整改从而造成了安装延迟，将进入考核状态，若有特殊情况，需进行申诉，根据最终实际情况进行扣罚）。</w:t>
            </w:r>
          </w:p>
          <w:p w14:paraId="250D79D7">
            <w:pPr>
              <w:keepNext w:val="0"/>
              <w:keepLines w:val="0"/>
              <w:widowControl/>
              <w:suppressLineNumbers w:val="0"/>
              <w:spacing w:before="0" w:beforeAutospacing="0" w:after="0" w:afterAutospacing="0"/>
              <w:ind w:left="0" w:right="0"/>
              <w:jc w:val="left"/>
              <w:rPr>
                <w:rFonts w:hint="default"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lang w:val="en-US" w:eastAsia="zh-CN" w:bidi="ar"/>
              </w:rPr>
              <w:t>7）所有需要录入的数据应符合招标文件、合同及大宗售后保障运维平台的执行标准（录入设备序列号并绑定订单号、所上传照片应包含上桌安装完毕、设备序列号铭牌照片等）。</w:t>
            </w:r>
          </w:p>
        </w:tc>
        <w:tc>
          <w:tcPr>
            <w:tcW w:w="1257" w:type="pct"/>
            <w:tcBorders>
              <w:top w:val="single" w:color="000000" w:sz="4" w:space="0"/>
              <w:left w:val="nil"/>
              <w:bottom w:val="single" w:color="000000" w:sz="4" w:space="0"/>
              <w:right w:val="single" w:color="000000" w:sz="4" w:space="0"/>
            </w:tcBorders>
            <w:shd w:val="clear" w:color="auto" w:fill="auto"/>
            <w:vAlign w:val="top"/>
          </w:tcPr>
          <w:p w14:paraId="0C648D79">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任一条，发现未按规范</w:t>
            </w:r>
          </w:p>
        </w:tc>
        <w:tc>
          <w:tcPr>
            <w:tcW w:w="760" w:type="pct"/>
            <w:tcBorders>
              <w:top w:val="single" w:color="000000" w:sz="4" w:space="0"/>
              <w:left w:val="nil"/>
              <w:bottom w:val="single" w:color="000000" w:sz="4" w:space="0"/>
              <w:right w:val="single" w:color="000000" w:sz="4" w:space="0"/>
            </w:tcBorders>
            <w:shd w:val="clear" w:color="auto" w:fill="auto"/>
            <w:vAlign w:val="top"/>
          </w:tcPr>
          <w:p w14:paraId="5CD4B39E">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400元/次</w:t>
            </w:r>
          </w:p>
        </w:tc>
      </w:tr>
      <w:tr w14:paraId="4B2165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77" w:hRule="atLeast"/>
          <w:jc w:val="center"/>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2EDD756C">
            <w:pPr>
              <w:keepNext w:val="0"/>
              <w:keepLines w:val="0"/>
              <w:widowControl/>
              <w:suppressLineNumbers w:val="0"/>
              <w:spacing w:before="0" w:beforeAutospacing="0" w:after="0" w:afterAutospacing="0"/>
              <w:ind w:left="0" w:right="0"/>
              <w:jc w:val="center"/>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14</w:t>
            </w:r>
          </w:p>
        </w:tc>
        <w:tc>
          <w:tcPr>
            <w:tcW w:w="293" w:type="pct"/>
            <w:vMerge w:val="continue"/>
            <w:tcBorders>
              <w:top w:val="nil"/>
              <w:left w:val="nil"/>
              <w:bottom w:val="single" w:color="000000" w:sz="4" w:space="0"/>
              <w:right w:val="single" w:color="000000" w:sz="4" w:space="0"/>
            </w:tcBorders>
            <w:shd w:val="clear" w:color="auto" w:fill="auto"/>
            <w:noWrap/>
            <w:vAlign w:val="top"/>
          </w:tcPr>
          <w:p w14:paraId="4FF1330E">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486" w:type="pct"/>
            <w:vMerge w:val="continue"/>
            <w:tcBorders>
              <w:top w:val="nil"/>
              <w:left w:val="nil"/>
              <w:bottom w:val="single" w:color="000000" w:sz="4" w:space="0"/>
              <w:right w:val="single" w:color="000000" w:sz="4" w:space="0"/>
            </w:tcBorders>
            <w:shd w:val="clear" w:color="auto" w:fill="auto"/>
            <w:vAlign w:val="top"/>
          </w:tcPr>
          <w:p w14:paraId="415FB256">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363" w:type="pct"/>
            <w:tcBorders>
              <w:top w:val="single" w:color="000000" w:sz="4" w:space="0"/>
              <w:left w:val="nil"/>
              <w:bottom w:val="single" w:color="000000" w:sz="4" w:space="0"/>
              <w:right w:val="single" w:color="000000" w:sz="4" w:space="0"/>
            </w:tcBorders>
            <w:shd w:val="clear" w:color="auto" w:fill="auto"/>
            <w:vAlign w:val="top"/>
          </w:tcPr>
          <w:p w14:paraId="0E404C66">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服务仪表、态度</w:t>
            </w:r>
          </w:p>
        </w:tc>
        <w:tc>
          <w:tcPr>
            <w:tcW w:w="1524" w:type="pct"/>
            <w:tcBorders>
              <w:top w:val="single" w:color="000000" w:sz="4" w:space="0"/>
              <w:left w:val="nil"/>
              <w:bottom w:val="single" w:color="000000" w:sz="4" w:space="0"/>
              <w:right w:val="single" w:color="000000" w:sz="4" w:space="0"/>
            </w:tcBorders>
            <w:shd w:val="clear" w:color="auto" w:fill="auto"/>
            <w:vAlign w:val="top"/>
          </w:tcPr>
          <w:p w14:paraId="59AC3D21">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服务人员着装应规范，言语不生硬、不敷衍、态度好；妥善处理客户的不满情绪；</w:t>
            </w:r>
          </w:p>
        </w:tc>
        <w:tc>
          <w:tcPr>
            <w:tcW w:w="1257" w:type="pct"/>
            <w:tcBorders>
              <w:top w:val="single" w:color="000000" w:sz="4" w:space="0"/>
              <w:left w:val="nil"/>
              <w:bottom w:val="single" w:color="000000" w:sz="4" w:space="0"/>
              <w:right w:val="single" w:color="000000" w:sz="4" w:space="0"/>
            </w:tcBorders>
            <w:shd w:val="clear" w:color="auto" w:fill="auto"/>
            <w:vAlign w:val="top"/>
          </w:tcPr>
          <w:p w14:paraId="524F61D6">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客户反馈属实。</w:t>
            </w:r>
          </w:p>
        </w:tc>
        <w:tc>
          <w:tcPr>
            <w:tcW w:w="760" w:type="pct"/>
            <w:tcBorders>
              <w:top w:val="single" w:color="000000" w:sz="4" w:space="0"/>
              <w:left w:val="nil"/>
              <w:bottom w:val="single" w:color="000000" w:sz="4" w:space="0"/>
              <w:right w:val="single" w:color="000000" w:sz="4" w:space="0"/>
            </w:tcBorders>
            <w:shd w:val="clear" w:color="auto" w:fill="auto"/>
            <w:vAlign w:val="top"/>
          </w:tcPr>
          <w:p w14:paraId="0FC39F2A">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400元/次</w:t>
            </w:r>
          </w:p>
        </w:tc>
      </w:tr>
      <w:tr w14:paraId="4C6215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33" w:hRule="atLeast"/>
          <w:jc w:val="center"/>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09E3790A">
            <w:pPr>
              <w:keepNext w:val="0"/>
              <w:keepLines w:val="0"/>
              <w:widowControl/>
              <w:suppressLineNumbers w:val="0"/>
              <w:spacing w:before="0" w:beforeAutospacing="0" w:after="0" w:afterAutospacing="0"/>
              <w:ind w:left="0" w:right="0"/>
              <w:jc w:val="center"/>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15</w:t>
            </w:r>
          </w:p>
        </w:tc>
        <w:tc>
          <w:tcPr>
            <w:tcW w:w="293" w:type="pct"/>
            <w:vMerge w:val="continue"/>
            <w:tcBorders>
              <w:top w:val="nil"/>
              <w:left w:val="nil"/>
              <w:bottom w:val="single" w:color="000000" w:sz="4" w:space="0"/>
              <w:right w:val="single" w:color="000000" w:sz="4" w:space="0"/>
            </w:tcBorders>
            <w:shd w:val="clear" w:color="auto" w:fill="auto"/>
            <w:noWrap/>
            <w:vAlign w:val="top"/>
          </w:tcPr>
          <w:p w14:paraId="29FF5E70">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486" w:type="pct"/>
            <w:vMerge w:val="continue"/>
            <w:tcBorders>
              <w:top w:val="nil"/>
              <w:left w:val="nil"/>
              <w:bottom w:val="single" w:color="000000" w:sz="4" w:space="0"/>
              <w:right w:val="single" w:color="000000" w:sz="4" w:space="0"/>
            </w:tcBorders>
            <w:shd w:val="clear" w:color="auto" w:fill="auto"/>
            <w:vAlign w:val="top"/>
          </w:tcPr>
          <w:p w14:paraId="6C6AF360">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363" w:type="pct"/>
            <w:tcBorders>
              <w:top w:val="single" w:color="000000" w:sz="4" w:space="0"/>
              <w:left w:val="nil"/>
              <w:bottom w:val="single" w:color="000000" w:sz="4" w:space="0"/>
              <w:right w:val="single" w:color="000000" w:sz="4" w:space="0"/>
            </w:tcBorders>
            <w:shd w:val="clear" w:color="auto" w:fill="auto"/>
            <w:vAlign w:val="top"/>
          </w:tcPr>
          <w:p w14:paraId="14CF83A5">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额外情况规范</w:t>
            </w:r>
          </w:p>
        </w:tc>
        <w:tc>
          <w:tcPr>
            <w:tcW w:w="1524" w:type="pct"/>
            <w:tcBorders>
              <w:top w:val="single" w:color="000000" w:sz="4" w:space="0"/>
              <w:left w:val="nil"/>
              <w:bottom w:val="single" w:color="000000" w:sz="4" w:space="0"/>
              <w:right w:val="single" w:color="000000" w:sz="4" w:space="0"/>
            </w:tcBorders>
            <w:shd w:val="clear" w:color="auto" w:fill="auto"/>
            <w:vAlign w:val="top"/>
          </w:tcPr>
          <w:p w14:paraId="310C369C">
            <w:pPr>
              <w:keepNext w:val="0"/>
              <w:keepLines w:val="0"/>
              <w:widowControl/>
              <w:suppressLineNumbers w:val="0"/>
              <w:spacing w:before="0" w:beforeAutospacing="0" w:after="24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1）电话联系客户时间及上门服务时间必须在最终用户的正常工作时间内，已提前沟通且客户同意的情况下除外。</w:t>
            </w:r>
            <w:r>
              <w:rPr>
                <w:rFonts w:hint="eastAsia" w:ascii="仿宋" w:hAnsi="仿宋" w:eastAsia="仿宋" w:cs="仿宋"/>
                <w:color w:val="auto"/>
                <w:kern w:val="0"/>
                <w:sz w:val="21"/>
                <w:szCs w:val="21"/>
                <w:highlight w:val="none"/>
                <w:lang w:val="en-US" w:eastAsia="zh-CN" w:bidi="ar"/>
              </w:rPr>
              <w:br w:type="textWrapping"/>
            </w:r>
            <w:r>
              <w:rPr>
                <w:rFonts w:hint="eastAsia" w:ascii="仿宋" w:hAnsi="仿宋" w:eastAsia="仿宋" w:cs="仿宋"/>
                <w:color w:val="auto"/>
                <w:kern w:val="0"/>
                <w:sz w:val="21"/>
                <w:szCs w:val="21"/>
                <w:highlight w:val="none"/>
                <w:lang w:val="en-US" w:eastAsia="zh-CN" w:bidi="ar"/>
              </w:rPr>
              <w:t>2）用户要求附加一些明显力所能及范围之内的服务应配合处理；或者其它品牌产品出现故障需要卖方工程师帮助解决。卖方工程师不得拒绝最终用户，在条件许可的前提下为最终用户解决。如果无法修复应协助最终用户报修相应的服务商或者给出解决方案。</w:t>
            </w:r>
          </w:p>
        </w:tc>
        <w:tc>
          <w:tcPr>
            <w:tcW w:w="1257" w:type="pct"/>
            <w:tcBorders>
              <w:top w:val="single" w:color="000000" w:sz="4" w:space="0"/>
              <w:left w:val="nil"/>
              <w:bottom w:val="single" w:color="000000" w:sz="4" w:space="0"/>
              <w:right w:val="single" w:color="000000" w:sz="4" w:space="0"/>
            </w:tcBorders>
            <w:shd w:val="clear" w:color="auto" w:fill="auto"/>
            <w:vAlign w:val="top"/>
          </w:tcPr>
          <w:p w14:paraId="28AD13DD">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客户反馈属实。</w:t>
            </w:r>
          </w:p>
        </w:tc>
        <w:tc>
          <w:tcPr>
            <w:tcW w:w="760" w:type="pct"/>
            <w:tcBorders>
              <w:top w:val="single" w:color="000000" w:sz="4" w:space="0"/>
              <w:left w:val="nil"/>
              <w:bottom w:val="single" w:color="000000" w:sz="4" w:space="0"/>
              <w:right w:val="single" w:color="000000" w:sz="4" w:space="0"/>
            </w:tcBorders>
            <w:shd w:val="clear" w:color="auto" w:fill="auto"/>
            <w:vAlign w:val="top"/>
          </w:tcPr>
          <w:p w14:paraId="3ED612E3">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400元/次</w:t>
            </w:r>
          </w:p>
        </w:tc>
      </w:tr>
      <w:tr w14:paraId="6088CF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2" w:hRule="atLeast"/>
          <w:jc w:val="center"/>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7B16D50F">
            <w:pPr>
              <w:keepNext w:val="0"/>
              <w:keepLines w:val="0"/>
              <w:widowControl/>
              <w:suppressLineNumbers w:val="0"/>
              <w:spacing w:before="0" w:beforeAutospacing="0" w:after="0" w:afterAutospacing="0"/>
              <w:ind w:left="0" w:right="0"/>
              <w:jc w:val="center"/>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16</w:t>
            </w:r>
          </w:p>
        </w:tc>
        <w:tc>
          <w:tcPr>
            <w:tcW w:w="293" w:type="pct"/>
            <w:vMerge w:val="continue"/>
            <w:tcBorders>
              <w:top w:val="nil"/>
              <w:left w:val="nil"/>
              <w:bottom w:val="single" w:color="000000" w:sz="4" w:space="0"/>
              <w:right w:val="single" w:color="000000" w:sz="4" w:space="0"/>
            </w:tcBorders>
            <w:shd w:val="clear" w:color="auto" w:fill="auto"/>
            <w:noWrap/>
            <w:vAlign w:val="top"/>
          </w:tcPr>
          <w:p w14:paraId="343F8960">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486" w:type="pct"/>
            <w:vMerge w:val="continue"/>
            <w:tcBorders>
              <w:top w:val="nil"/>
              <w:left w:val="nil"/>
              <w:bottom w:val="single" w:color="000000" w:sz="4" w:space="0"/>
              <w:right w:val="single" w:color="000000" w:sz="4" w:space="0"/>
            </w:tcBorders>
            <w:shd w:val="clear" w:color="auto" w:fill="auto"/>
            <w:vAlign w:val="top"/>
          </w:tcPr>
          <w:p w14:paraId="75345CE7">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363" w:type="pct"/>
            <w:tcBorders>
              <w:top w:val="single" w:color="000000" w:sz="4" w:space="0"/>
              <w:left w:val="nil"/>
              <w:bottom w:val="single" w:color="000000" w:sz="4" w:space="0"/>
              <w:right w:val="single" w:color="000000" w:sz="4" w:space="0"/>
            </w:tcBorders>
            <w:shd w:val="clear" w:color="auto" w:fill="auto"/>
            <w:vAlign w:val="top"/>
          </w:tcPr>
          <w:p w14:paraId="1E13BE31">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意外情况规范</w:t>
            </w:r>
          </w:p>
        </w:tc>
        <w:tc>
          <w:tcPr>
            <w:tcW w:w="1524" w:type="pct"/>
            <w:tcBorders>
              <w:top w:val="single" w:color="000000" w:sz="4" w:space="0"/>
              <w:left w:val="nil"/>
              <w:bottom w:val="single" w:color="000000" w:sz="4" w:space="0"/>
              <w:right w:val="single" w:color="000000" w:sz="4" w:space="0"/>
            </w:tcBorders>
            <w:shd w:val="clear" w:color="auto" w:fill="auto"/>
            <w:vAlign w:val="top"/>
          </w:tcPr>
          <w:p w14:paraId="2EFD88AC">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1）服务过程中如有损坏客户物品，应及时与客户沟通赔偿方案，并在约定时间内进行赔偿。</w:t>
            </w:r>
            <w:r>
              <w:rPr>
                <w:rFonts w:hint="eastAsia" w:ascii="仿宋" w:hAnsi="仿宋" w:eastAsia="仿宋" w:cs="仿宋"/>
                <w:color w:val="auto"/>
                <w:kern w:val="0"/>
                <w:sz w:val="21"/>
                <w:szCs w:val="21"/>
                <w:highlight w:val="none"/>
                <w:lang w:val="en-US" w:eastAsia="zh-CN" w:bidi="ar"/>
              </w:rPr>
              <w:br w:type="textWrapping"/>
            </w:r>
            <w:r>
              <w:rPr>
                <w:rFonts w:hint="eastAsia" w:ascii="仿宋" w:hAnsi="仿宋" w:eastAsia="仿宋" w:cs="仿宋"/>
                <w:color w:val="auto"/>
                <w:kern w:val="0"/>
                <w:sz w:val="21"/>
                <w:szCs w:val="21"/>
                <w:highlight w:val="none"/>
                <w:lang w:val="en-US" w:eastAsia="zh-CN" w:bidi="ar"/>
              </w:rPr>
              <w:t>2）安装的设备务必保证使用安全，不能出现在使用过程中掉落等意外情况；</w:t>
            </w:r>
          </w:p>
        </w:tc>
        <w:tc>
          <w:tcPr>
            <w:tcW w:w="1257" w:type="pct"/>
            <w:tcBorders>
              <w:top w:val="single" w:color="000000" w:sz="4" w:space="0"/>
              <w:left w:val="nil"/>
              <w:bottom w:val="single" w:color="000000" w:sz="4" w:space="0"/>
              <w:right w:val="single" w:color="000000" w:sz="4" w:space="0"/>
            </w:tcBorders>
            <w:shd w:val="clear" w:color="auto" w:fill="auto"/>
            <w:vAlign w:val="top"/>
          </w:tcPr>
          <w:p w14:paraId="67F3AE6D">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客户反馈属实。</w:t>
            </w:r>
          </w:p>
        </w:tc>
        <w:tc>
          <w:tcPr>
            <w:tcW w:w="760" w:type="pct"/>
            <w:tcBorders>
              <w:top w:val="single" w:color="000000" w:sz="4" w:space="0"/>
              <w:left w:val="nil"/>
              <w:bottom w:val="single" w:color="000000" w:sz="4" w:space="0"/>
              <w:right w:val="single" w:color="000000" w:sz="4" w:space="0"/>
            </w:tcBorders>
            <w:shd w:val="clear" w:color="auto" w:fill="auto"/>
            <w:vAlign w:val="top"/>
          </w:tcPr>
          <w:p w14:paraId="152012A3">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500元/次</w:t>
            </w:r>
          </w:p>
        </w:tc>
      </w:tr>
      <w:tr w14:paraId="5BED1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113" w:hRule="atLeast"/>
          <w:jc w:val="center"/>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5C634B67">
            <w:pPr>
              <w:keepNext w:val="0"/>
              <w:keepLines w:val="0"/>
              <w:widowControl/>
              <w:suppressLineNumbers w:val="0"/>
              <w:spacing w:before="0" w:beforeAutospacing="0" w:after="0" w:afterAutospacing="0"/>
              <w:ind w:left="0" w:right="0"/>
              <w:jc w:val="center"/>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17</w:t>
            </w:r>
          </w:p>
        </w:tc>
        <w:tc>
          <w:tcPr>
            <w:tcW w:w="293" w:type="pct"/>
            <w:vMerge w:val="continue"/>
            <w:tcBorders>
              <w:top w:val="nil"/>
              <w:left w:val="nil"/>
              <w:bottom w:val="single" w:color="000000" w:sz="4" w:space="0"/>
              <w:right w:val="single" w:color="000000" w:sz="4" w:space="0"/>
            </w:tcBorders>
            <w:shd w:val="clear" w:color="auto" w:fill="auto"/>
            <w:noWrap/>
            <w:vAlign w:val="top"/>
          </w:tcPr>
          <w:p w14:paraId="6D917C88">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486" w:type="pct"/>
            <w:vMerge w:val="continue"/>
            <w:tcBorders>
              <w:top w:val="nil"/>
              <w:left w:val="nil"/>
              <w:bottom w:val="single" w:color="000000" w:sz="4" w:space="0"/>
              <w:right w:val="single" w:color="000000" w:sz="4" w:space="0"/>
            </w:tcBorders>
            <w:shd w:val="clear" w:color="auto" w:fill="auto"/>
            <w:vAlign w:val="top"/>
          </w:tcPr>
          <w:p w14:paraId="3C3BB423">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363" w:type="pct"/>
            <w:tcBorders>
              <w:top w:val="single" w:color="000000" w:sz="4" w:space="0"/>
              <w:left w:val="nil"/>
              <w:bottom w:val="single" w:color="000000" w:sz="4" w:space="0"/>
              <w:right w:val="single" w:color="000000" w:sz="4" w:space="0"/>
            </w:tcBorders>
            <w:shd w:val="clear" w:color="auto" w:fill="auto"/>
            <w:vAlign w:val="top"/>
          </w:tcPr>
          <w:p w14:paraId="59C83360">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备用机使用</w:t>
            </w:r>
          </w:p>
        </w:tc>
        <w:tc>
          <w:tcPr>
            <w:tcW w:w="1524" w:type="pct"/>
            <w:tcBorders>
              <w:top w:val="single" w:color="000000" w:sz="4" w:space="0"/>
              <w:left w:val="nil"/>
              <w:bottom w:val="single" w:color="000000" w:sz="4" w:space="0"/>
              <w:right w:val="single" w:color="000000" w:sz="4" w:space="0"/>
            </w:tcBorders>
            <w:shd w:val="clear" w:color="auto" w:fill="auto"/>
            <w:vAlign w:val="top"/>
          </w:tcPr>
          <w:p w14:paraId="7EC838AA">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反馈客服专员确认使用备用机，如无同型号备用机使用，需提供符合客户需求的其他型号设备使用，备用机必须无偿进行安装调试，并签订《产品备用机使用单》，报修机解除故障归还客户后，还需现场调试，并在《产品备用机使用单》上签署明确可正常使用，才可退还备用机</w:t>
            </w:r>
          </w:p>
        </w:tc>
        <w:tc>
          <w:tcPr>
            <w:tcW w:w="1257" w:type="pct"/>
            <w:tcBorders>
              <w:top w:val="single" w:color="000000" w:sz="4" w:space="0"/>
              <w:left w:val="nil"/>
              <w:bottom w:val="single" w:color="000000" w:sz="4" w:space="0"/>
              <w:right w:val="single" w:color="000000" w:sz="4" w:space="0"/>
            </w:tcBorders>
            <w:shd w:val="clear" w:color="auto" w:fill="auto"/>
            <w:vAlign w:val="top"/>
          </w:tcPr>
          <w:p w14:paraId="42EBA180">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未提供备用机的安装调试等；或者客户机子还未修复好，就要求客户归还备用机</w:t>
            </w:r>
          </w:p>
        </w:tc>
        <w:tc>
          <w:tcPr>
            <w:tcW w:w="760" w:type="pct"/>
            <w:tcBorders>
              <w:top w:val="single" w:color="000000" w:sz="4" w:space="0"/>
              <w:left w:val="nil"/>
              <w:bottom w:val="single" w:color="000000" w:sz="4" w:space="0"/>
              <w:right w:val="single" w:color="000000" w:sz="4" w:space="0"/>
            </w:tcBorders>
            <w:shd w:val="clear" w:color="auto" w:fill="auto"/>
            <w:vAlign w:val="top"/>
          </w:tcPr>
          <w:p w14:paraId="666FFDF3">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400元/次</w:t>
            </w:r>
          </w:p>
        </w:tc>
      </w:tr>
      <w:tr w14:paraId="5C9939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128" w:hRule="atLeast"/>
          <w:jc w:val="center"/>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29E4DE71">
            <w:pPr>
              <w:keepNext w:val="0"/>
              <w:keepLines w:val="0"/>
              <w:widowControl/>
              <w:suppressLineNumbers w:val="0"/>
              <w:spacing w:before="0" w:beforeAutospacing="0" w:after="0" w:afterAutospacing="0"/>
              <w:ind w:left="0" w:right="0"/>
              <w:jc w:val="center"/>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18</w:t>
            </w:r>
          </w:p>
        </w:tc>
        <w:tc>
          <w:tcPr>
            <w:tcW w:w="293" w:type="pct"/>
            <w:tcBorders>
              <w:top w:val="single" w:color="000000" w:sz="4" w:space="0"/>
              <w:left w:val="nil"/>
              <w:bottom w:val="single" w:color="000000" w:sz="4" w:space="0"/>
              <w:right w:val="single" w:color="000000" w:sz="4" w:space="0"/>
            </w:tcBorders>
            <w:shd w:val="clear" w:color="auto" w:fill="auto"/>
            <w:vAlign w:val="top"/>
          </w:tcPr>
          <w:p w14:paraId="4A8E91A9">
            <w:pPr>
              <w:keepNext w:val="0"/>
              <w:keepLines w:val="0"/>
              <w:widowControl/>
              <w:suppressLineNumbers w:val="0"/>
              <w:spacing w:before="0" w:beforeAutospacing="0" w:after="0" w:afterAutospacing="0"/>
              <w:ind w:left="0" w:right="0"/>
              <w:jc w:val="center"/>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服务质量</w:t>
            </w:r>
          </w:p>
        </w:tc>
        <w:tc>
          <w:tcPr>
            <w:tcW w:w="486" w:type="pct"/>
            <w:tcBorders>
              <w:top w:val="single" w:color="000000" w:sz="4" w:space="0"/>
              <w:left w:val="nil"/>
              <w:bottom w:val="single" w:color="000000" w:sz="4" w:space="0"/>
              <w:right w:val="single" w:color="000000" w:sz="4" w:space="0"/>
            </w:tcBorders>
            <w:shd w:val="clear" w:color="auto" w:fill="auto"/>
            <w:vAlign w:val="top"/>
          </w:tcPr>
          <w:p w14:paraId="54E6384B">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服务人员不具备服务能力；</w:t>
            </w:r>
            <w:r>
              <w:rPr>
                <w:rFonts w:hint="eastAsia" w:ascii="仿宋" w:hAnsi="仿宋" w:eastAsia="仿宋" w:cs="仿宋"/>
                <w:color w:val="auto"/>
                <w:kern w:val="0"/>
                <w:sz w:val="21"/>
                <w:szCs w:val="21"/>
                <w:highlight w:val="none"/>
                <w:lang w:val="en-US" w:eastAsia="zh-CN" w:bidi="ar"/>
              </w:rPr>
              <w:br w:type="textWrapping"/>
            </w:r>
            <w:r>
              <w:rPr>
                <w:rFonts w:hint="eastAsia" w:ascii="仿宋" w:hAnsi="仿宋" w:eastAsia="仿宋" w:cs="仿宋"/>
                <w:color w:val="auto"/>
                <w:kern w:val="0"/>
                <w:sz w:val="21"/>
                <w:szCs w:val="21"/>
                <w:highlight w:val="none"/>
                <w:lang w:val="en-US" w:eastAsia="zh-CN" w:bidi="ar"/>
              </w:rPr>
              <w:t>维修后一个月内又出现同样故障、或同一故障频繁重复再现；</w:t>
            </w:r>
          </w:p>
        </w:tc>
        <w:tc>
          <w:tcPr>
            <w:tcW w:w="363" w:type="pct"/>
            <w:tcBorders>
              <w:top w:val="single" w:color="000000" w:sz="4" w:space="0"/>
              <w:left w:val="nil"/>
              <w:bottom w:val="single" w:color="000000" w:sz="4" w:space="0"/>
              <w:right w:val="single" w:color="000000" w:sz="4" w:space="0"/>
            </w:tcBorders>
            <w:shd w:val="clear" w:color="auto" w:fill="auto"/>
            <w:vAlign w:val="top"/>
          </w:tcPr>
          <w:p w14:paraId="2A24CF4B">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客户报修频率</w:t>
            </w:r>
          </w:p>
        </w:tc>
        <w:tc>
          <w:tcPr>
            <w:tcW w:w="1524" w:type="pct"/>
            <w:tcBorders>
              <w:top w:val="single" w:color="000000" w:sz="4" w:space="0"/>
              <w:left w:val="nil"/>
              <w:bottom w:val="single" w:color="000000" w:sz="4" w:space="0"/>
              <w:right w:val="single" w:color="000000" w:sz="4" w:space="0"/>
            </w:tcBorders>
            <w:shd w:val="clear" w:color="auto" w:fill="auto"/>
            <w:vAlign w:val="top"/>
          </w:tcPr>
          <w:p w14:paraId="3C630DC9">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1）一个月内再次出现同样故障。或者故障反复出现。</w:t>
            </w:r>
          </w:p>
          <w:p w14:paraId="2E56A5F8">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2）明确由于服务引发的产品其他故障。</w:t>
            </w:r>
            <w:r>
              <w:rPr>
                <w:rFonts w:hint="eastAsia" w:ascii="仿宋" w:hAnsi="仿宋" w:eastAsia="仿宋" w:cs="仿宋"/>
                <w:color w:val="auto"/>
                <w:kern w:val="0"/>
                <w:sz w:val="21"/>
                <w:szCs w:val="21"/>
                <w:highlight w:val="none"/>
                <w:lang w:val="en-US" w:eastAsia="zh-CN" w:bidi="ar"/>
              </w:rPr>
              <w:br w:type="textWrapping"/>
            </w:r>
            <w:r>
              <w:rPr>
                <w:rFonts w:hint="eastAsia" w:ascii="仿宋" w:hAnsi="仿宋" w:eastAsia="仿宋" w:cs="仿宋"/>
                <w:color w:val="auto"/>
                <w:kern w:val="0"/>
                <w:sz w:val="21"/>
                <w:szCs w:val="21"/>
                <w:highlight w:val="none"/>
                <w:lang w:val="en-US" w:eastAsia="zh-CN" w:bidi="ar"/>
              </w:rPr>
              <w:t>3）服务人员上门后表示不会安装或维修，或安装/维修操作不熟练。</w:t>
            </w:r>
          </w:p>
        </w:tc>
        <w:tc>
          <w:tcPr>
            <w:tcW w:w="1257" w:type="pct"/>
            <w:tcBorders>
              <w:top w:val="single" w:color="000000" w:sz="4" w:space="0"/>
              <w:left w:val="nil"/>
              <w:bottom w:val="single" w:color="000000" w:sz="4" w:space="0"/>
              <w:right w:val="single" w:color="000000" w:sz="4" w:space="0"/>
            </w:tcBorders>
            <w:shd w:val="clear" w:color="auto" w:fill="auto"/>
            <w:vAlign w:val="top"/>
          </w:tcPr>
          <w:p w14:paraId="60A2F349">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客户反馈属实。</w:t>
            </w:r>
          </w:p>
        </w:tc>
        <w:tc>
          <w:tcPr>
            <w:tcW w:w="760" w:type="pct"/>
            <w:tcBorders>
              <w:top w:val="single" w:color="000000" w:sz="4" w:space="0"/>
              <w:left w:val="nil"/>
              <w:bottom w:val="single" w:color="000000" w:sz="4" w:space="0"/>
              <w:right w:val="single" w:color="000000" w:sz="4" w:space="0"/>
            </w:tcBorders>
            <w:shd w:val="clear" w:color="auto" w:fill="auto"/>
            <w:vAlign w:val="top"/>
          </w:tcPr>
          <w:p w14:paraId="72DA9D0A">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400元/次</w:t>
            </w:r>
          </w:p>
        </w:tc>
      </w:tr>
      <w:tr w14:paraId="6B75B8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549" w:hRule="atLeast"/>
          <w:jc w:val="center"/>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68287573">
            <w:pPr>
              <w:keepNext w:val="0"/>
              <w:keepLines w:val="0"/>
              <w:widowControl/>
              <w:suppressLineNumbers w:val="0"/>
              <w:spacing w:before="0" w:beforeAutospacing="0" w:after="0" w:afterAutospacing="0"/>
              <w:ind w:left="0" w:right="0"/>
              <w:jc w:val="center"/>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19</w:t>
            </w:r>
          </w:p>
        </w:tc>
        <w:tc>
          <w:tcPr>
            <w:tcW w:w="293" w:type="pct"/>
            <w:tcBorders>
              <w:top w:val="single" w:color="000000" w:sz="4" w:space="0"/>
              <w:left w:val="nil"/>
              <w:bottom w:val="single" w:color="000000" w:sz="4" w:space="0"/>
              <w:right w:val="single" w:color="000000" w:sz="4" w:space="0"/>
            </w:tcBorders>
            <w:shd w:val="clear" w:color="auto" w:fill="auto"/>
            <w:vAlign w:val="top"/>
          </w:tcPr>
          <w:p w14:paraId="74FFF02E">
            <w:pPr>
              <w:keepNext w:val="0"/>
              <w:keepLines w:val="0"/>
              <w:widowControl/>
              <w:suppressLineNumbers w:val="0"/>
              <w:spacing w:before="0" w:beforeAutospacing="0" w:after="0" w:afterAutospacing="0"/>
              <w:ind w:left="0" w:right="0"/>
              <w:jc w:val="center"/>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收费</w:t>
            </w:r>
          </w:p>
        </w:tc>
        <w:tc>
          <w:tcPr>
            <w:tcW w:w="486" w:type="pct"/>
            <w:tcBorders>
              <w:top w:val="single" w:color="000000" w:sz="4" w:space="0"/>
              <w:left w:val="nil"/>
              <w:bottom w:val="single" w:color="000000" w:sz="4" w:space="0"/>
              <w:right w:val="single" w:color="000000" w:sz="4" w:space="0"/>
            </w:tcBorders>
            <w:shd w:val="clear" w:color="auto" w:fill="auto"/>
            <w:vAlign w:val="top"/>
          </w:tcPr>
          <w:p w14:paraId="1AD7D69B">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未按合同规定操作，未提前与最终用户沟通收费标准，多收费或乱收费</w:t>
            </w:r>
          </w:p>
        </w:tc>
        <w:tc>
          <w:tcPr>
            <w:tcW w:w="363" w:type="pct"/>
            <w:tcBorders>
              <w:top w:val="single" w:color="000000" w:sz="4" w:space="0"/>
              <w:left w:val="nil"/>
              <w:bottom w:val="single" w:color="000000" w:sz="4" w:space="0"/>
              <w:right w:val="single" w:color="000000" w:sz="4" w:space="0"/>
            </w:tcBorders>
            <w:shd w:val="clear" w:color="auto" w:fill="auto"/>
            <w:vAlign w:val="top"/>
          </w:tcPr>
          <w:p w14:paraId="3775961F">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收费项目</w:t>
            </w:r>
          </w:p>
        </w:tc>
        <w:tc>
          <w:tcPr>
            <w:tcW w:w="1524" w:type="pct"/>
            <w:tcBorders>
              <w:top w:val="single" w:color="000000" w:sz="4" w:space="0"/>
              <w:left w:val="nil"/>
              <w:bottom w:val="single" w:color="000000" w:sz="4" w:space="0"/>
              <w:right w:val="single" w:color="000000" w:sz="4" w:space="0"/>
            </w:tcBorders>
            <w:shd w:val="clear" w:color="auto" w:fill="auto"/>
            <w:vAlign w:val="top"/>
          </w:tcPr>
          <w:p w14:paraId="6F2C6FBC">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1）有偿服务的范围，应按合同约定的收费标准或公司定价向客户说明并提前报价给客户，合同中明确免费的不得向客户收费，合同中明确免费的不能以隐瞒或欺骗的方式向客户提供收费的替代物料。</w:t>
            </w:r>
            <w:r>
              <w:rPr>
                <w:rFonts w:hint="eastAsia" w:ascii="仿宋" w:hAnsi="仿宋" w:eastAsia="仿宋" w:cs="仿宋"/>
                <w:color w:val="auto"/>
                <w:kern w:val="0"/>
                <w:sz w:val="21"/>
                <w:szCs w:val="21"/>
                <w:highlight w:val="none"/>
                <w:lang w:val="en-US" w:eastAsia="zh-CN" w:bidi="ar"/>
              </w:rPr>
              <w:br w:type="textWrapping"/>
            </w:r>
            <w:r>
              <w:rPr>
                <w:rFonts w:hint="eastAsia" w:ascii="仿宋" w:hAnsi="仿宋" w:eastAsia="仿宋" w:cs="仿宋"/>
                <w:color w:val="auto"/>
                <w:kern w:val="0"/>
                <w:sz w:val="21"/>
                <w:szCs w:val="21"/>
                <w:highlight w:val="none"/>
                <w:lang w:val="en-US" w:eastAsia="zh-CN" w:bidi="ar"/>
              </w:rPr>
              <w:t>2）报价时应向客户提供清单明细，包括规格型号、单价、数量、总价、保修时间（如有）、保修方式（如有）；</w:t>
            </w:r>
            <w:r>
              <w:rPr>
                <w:rFonts w:hint="eastAsia" w:ascii="仿宋" w:hAnsi="仿宋" w:eastAsia="仿宋" w:cs="仿宋"/>
                <w:color w:val="auto"/>
                <w:kern w:val="0"/>
                <w:sz w:val="21"/>
                <w:szCs w:val="21"/>
                <w:highlight w:val="none"/>
                <w:lang w:val="en-US" w:eastAsia="zh-CN" w:bidi="ar"/>
              </w:rPr>
              <w:br w:type="textWrapping"/>
            </w:r>
            <w:r>
              <w:rPr>
                <w:rFonts w:hint="eastAsia" w:ascii="仿宋" w:hAnsi="仿宋" w:eastAsia="仿宋" w:cs="仿宋"/>
                <w:color w:val="auto"/>
                <w:kern w:val="0"/>
                <w:sz w:val="21"/>
                <w:szCs w:val="21"/>
                <w:highlight w:val="none"/>
                <w:lang w:val="en-US" w:eastAsia="zh-CN" w:bidi="ar"/>
              </w:rPr>
              <w:t>3）提供服务前必须征得最终用户的同意；不能出现服务完成后才告知客户需要收费。</w:t>
            </w:r>
          </w:p>
        </w:tc>
        <w:tc>
          <w:tcPr>
            <w:tcW w:w="1257" w:type="pct"/>
            <w:tcBorders>
              <w:top w:val="single" w:color="000000" w:sz="4" w:space="0"/>
              <w:left w:val="nil"/>
              <w:bottom w:val="single" w:color="000000" w:sz="4" w:space="0"/>
              <w:right w:val="single" w:color="000000" w:sz="4" w:space="0"/>
            </w:tcBorders>
            <w:shd w:val="clear" w:color="auto" w:fill="auto"/>
            <w:vAlign w:val="top"/>
          </w:tcPr>
          <w:p w14:paraId="59CAD6E0">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客户反馈属实。</w:t>
            </w:r>
          </w:p>
        </w:tc>
        <w:tc>
          <w:tcPr>
            <w:tcW w:w="760" w:type="pct"/>
            <w:tcBorders>
              <w:top w:val="single" w:color="000000" w:sz="4" w:space="0"/>
              <w:left w:val="nil"/>
              <w:bottom w:val="single" w:color="000000" w:sz="4" w:space="0"/>
              <w:right w:val="single" w:color="000000" w:sz="4" w:space="0"/>
            </w:tcBorders>
            <w:shd w:val="clear" w:color="auto" w:fill="auto"/>
            <w:vAlign w:val="top"/>
          </w:tcPr>
          <w:p w14:paraId="1D6A5009">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500元/次</w:t>
            </w:r>
          </w:p>
        </w:tc>
      </w:tr>
      <w:tr w14:paraId="21DFA2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46" w:hRule="atLeast"/>
          <w:jc w:val="center"/>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1C17E58F">
            <w:pPr>
              <w:keepNext w:val="0"/>
              <w:keepLines w:val="0"/>
              <w:widowControl/>
              <w:suppressLineNumbers w:val="0"/>
              <w:spacing w:before="0" w:beforeAutospacing="0" w:after="0" w:afterAutospacing="0"/>
              <w:ind w:left="0" w:right="0"/>
              <w:jc w:val="center"/>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20</w:t>
            </w:r>
          </w:p>
        </w:tc>
        <w:tc>
          <w:tcPr>
            <w:tcW w:w="293" w:type="pct"/>
            <w:vMerge w:val="restart"/>
            <w:tcBorders>
              <w:top w:val="nil"/>
              <w:left w:val="nil"/>
              <w:bottom w:val="single" w:color="000000" w:sz="4" w:space="0"/>
              <w:right w:val="single" w:color="000000" w:sz="4" w:space="0"/>
            </w:tcBorders>
            <w:shd w:val="clear" w:color="auto" w:fill="auto"/>
            <w:vAlign w:val="top"/>
          </w:tcPr>
          <w:p w14:paraId="709C7514">
            <w:pPr>
              <w:keepNext w:val="0"/>
              <w:keepLines w:val="0"/>
              <w:widowControl/>
              <w:suppressLineNumbers w:val="0"/>
              <w:spacing w:before="0" w:beforeAutospacing="0" w:after="0" w:afterAutospacing="0"/>
              <w:ind w:left="0" w:right="0"/>
              <w:jc w:val="center"/>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验收报告回收时效</w:t>
            </w:r>
          </w:p>
        </w:tc>
        <w:tc>
          <w:tcPr>
            <w:tcW w:w="486" w:type="pct"/>
            <w:vMerge w:val="restart"/>
            <w:tcBorders>
              <w:top w:val="nil"/>
              <w:left w:val="nil"/>
              <w:bottom w:val="single" w:color="000000" w:sz="4" w:space="0"/>
              <w:right w:val="single" w:color="000000" w:sz="4" w:space="0"/>
            </w:tcBorders>
            <w:shd w:val="clear" w:color="auto" w:fill="auto"/>
            <w:vAlign w:val="top"/>
          </w:tcPr>
          <w:p w14:paraId="7FE22B91">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未按合同规定，安装调试完成后应及时反馈给买方，并按照买方要求由最终用户填写《验收报告》，三个工作日内报送给买方。超过5个工作日仍未回收的，按每逾期一天10元/单的标准追加处罚。</w:t>
            </w:r>
          </w:p>
        </w:tc>
        <w:tc>
          <w:tcPr>
            <w:tcW w:w="363" w:type="pct"/>
            <w:tcBorders>
              <w:top w:val="single" w:color="000000" w:sz="4" w:space="0"/>
              <w:left w:val="nil"/>
              <w:bottom w:val="single" w:color="000000" w:sz="4" w:space="0"/>
              <w:right w:val="single" w:color="000000" w:sz="4" w:space="0"/>
            </w:tcBorders>
            <w:shd w:val="clear" w:color="auto" w:fill="auto"/>
            <w:vAlign w:val="top"/>
          </w:tcPr>
          <w:p w14:paraId="0CBC6924">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提供给最终用户验收报告的时效</w:t>
            </w:r>
          </w:p>
        </w:tc>
        <w:tc>
          <w:tcPr>
            <w:tcW w:w="1524" w:type="pct"/>
            <w:tcBorders>
              <w:top w:val="single" w:color="000000" w:sz="4" w:space="0"/>
              <w:left w:val="nil"/>
              <w:bottom w:val="single" w:color="000000" w:sz="4" w:space="0"/>
              <w:right w:val="single" w:color="000000" w:sz="4" w:space="0"/>
            </w:tcBorders>
            <w:shd w:val="clear" w:color="auto" w:fill="auto"/>
            <w:vAlign w:val="top"/>
          </w:tcPr>
          <w:p w14:paraId="5807F93E">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1）安装完成后及时提供“验收报告”给最终用户，其中“客户联”留给客户，将其他联在2个工作日内（安装调试完毕后，次日算第一天）回收；</w:t>
            </w:r>
          </w:p>
          <w:p w14:paraId="5D5E500D">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2）如验收报告超出约定时间提供，必须提前与最终用户做好沟通并征得最终用户的同意。</w:t>
            </w:r>
          </w:p>
        </w:tc>
        <w:tc>
          <w:tcPr>
            <w:tcW w:w="1257" w:type="pct"/>
            <w:tcBorders>
              <w:top w:val="single" w:color="000000" w:sz="4" w:space="0"/>
              <w:left w:val="nil"/>
              <w:bottom w:val="single" w:color="000000" w:sz="4" w:space="0"/>
              <w:right w:val="single" w:color="000000" w:sz="4" w:space="0"/>
            </w:tcBorders>
            <w:shd w:val="clear" w:color="auto" w:fill="auto"/>
            <w:vAlign w:val="top"/>
          </w:tcPr>
          <w:p w14:paraId="54309CEB">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安装后超过2个工作日客户催验收报告。</w:t>
            </w:r>
          </w:p>
        </w:tc>
        <w:tc>
          <w:tcPr>
            <w:tcW w:w="760" w:type="pct"/>
            <w:tcBorders>
              <w:top w:val="single" w:color="000000" w:sz="4" w:space="0"/>
              <w:left w:val="nil"/>
              <w:bottom w:val="single" w:color="000000" w:sz="4" w:space="0"/>
              <w:right w:val="single" w:color="000000" w:sz="4" w:space="0"/>
            </w:tcBorders>
            <w:shd w:val="clear" w:color="auto" w:fill="auto"/>
            <w:vAlign w:val="top"/>
          </w:tcPr>
          <w:p w14:paraId="125F8331">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200元/次+（N-1）*10元/台/次</w:t>
            </w:r>
          </w:p>
        </w:tc>
      </w:tr>
      <w:tr w14:paraId="5054B5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46" w:hRule="atLeast"/>
          <w:jc w:val="center"/>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0A00E130">
            <w:pPr>
              <w:keepNext w:val="0"/>
              <w:keepLines w:val="0"/>
              <w:widowControl/>
              <w:suppressLineNumbers w:val="0"/>
              <w:spacing w:before="0" w:beforeAutospacing="0" w:after="0" w:afterAutospacing="0"/>
              <w:ind w:left="0" w:right="0"/>
              <w:jc w:val="center"/>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21</w:t>
            </w:r>
          </w:p>
        </w:tc>
        <w:tc>
          <w:tcPr>
            <w:tcW w:w="293" w:type="pct"/>
            <w:vMerge w:val="continue"/>
            <w:tcBorders>
              <w:top w:val="nil"/>
              <w:left w:val="nil"/>
              <w:bottom w:val="single" w:color="000000" w:sz="4" w:space="0"/>
              <w:right w:val="single" w:color="000000" w:sz="4" w:space="0"/>
            </w:tcBorders>
            <w:shd w:val="clear" w:color="auto" w:fill="auto"/>
            <w:vAlign w:val="top"/>
          </w:tcPr>
          <w:p w14:paraId="2F968A17">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486" w:type="pct"/>
            <w:vMerge w:val="continue"/>
            <w:tcBorders>
              <w:top w:val="nil"/>
              <w:left w:val="nil"/>
              <w:bottom w:val="single" w:color="000000" w:sz="4" w:space="0"/>
              <w:right w:val="single" w:color="000000" w:sz="4" w:space="0"/>
            </w:tcBorders>
            <w:shd w:val="clear" w:color="auto" w:fill="auto"/>
            <w:vAlign w:val="top"/>
          </w:tcPr>
          <w:p w14:paraId="7D6352BC">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363" w:type="pct"/>
            <w:tcBorders>
              <w:top w:val="single" w:color="000000" w:sz="4" w:space="0"/>
              <w:left w:val="nil"/>
              <w:bottom w:val="single" w:color="000000" w:sz="4" w:space="0"/>
              <w:right w:val="single" w:color="000000" w:sz="4" w:space="0"/>
            </w:tcBorders>
            <w:shd w:val="clear" w:color="auto" w:fill="auto"/>
            <w:vAlign w:val="top"/>
          </w:tcPr>
          <w:p w14:paraId="16072436">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提供客户签盖的验收报告给万翔</w:t>
            </w:r>
          </w:p>
        </w:tc>
        <w:tc>
          <w:tcPr>
            <w:tcW w:w="1524" w:type="pct"/>
            <w:tcBorders>
              <w:top w:val="single" w:color="000000" w:sz="4" w:space="0"/>
              <w:left w:val="nil"/>
              <w:bottom w:val="single" w:color="000000" w:sz="4" w:space="0"/>
              <w:right w:val="single" w:color="000000" w:sz="4" w:space="0"/>
            </w:tcBorders>
            <w:shd w:val="clear" w:color="auto" w:fill="auto"/>
            <w:vAlign w:val="top"/>
          </w:tcPr>
          <w:p w14:paraId="136DD740">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安装验收后5个工作日内将“验收报告”按要求返回给万翔网商，如超出时间未返回，必须提前向万翔客服说明情况；如万翔网商未收到反馈且在安装后5个工作日内未收到返回的“验收报告”则视为延误。</w:t>
            </w:r>
          </w:p>
        </w:tc>
        <w:tc>
          <w:tcPr>
            <w:tcW w:w="1257" w:type="pct"/>
            <w:tcBorders>
              <w:top w:val="single" w:color="000000" w:sz="4" w:space="0"/>
              <w:left w:val="nil"/>
              <w:bottom w:val="single" w:color="000000" w:sz="4" w:space="0"/>
              <w:right w:val="single" w:color="000000" w:sz="4" w:space="0"/>
            </w:tcBorders>
            <w:shd w:val="clear" w:color="auto" w:fill="auto"/>
            <w:vAlign w:val="top"/>
          </w:tcPr>
          <w:p w14:paraId="771015C9">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安装后超过5个工作日万翔网商未收到验收报告</w:t>
            </w:r>
          </w:p>
        </w:tc>
        <w:tc>
          <w:tcPr>
            <w:tcW w:w="760" w:type="pct"/>
            <w:tcBorders>
              <w:top w:val="single" w:color="000000" w:sz="4" w:space="0"/>
              <w:left w:val="nil"/>
              <w:bottom w:val="single" w:color="000000" w:sz="4" w:space="0"/>
              <w:right w:val="single" w:color="000000" w:sz="4" w:space="0"/>
            </w:tcBorders>
            <w:shd w:val="clear" w:color="auto" w:fill="auto"/>
            <w:vAlign w:val="top"/>
          </w:tcPr>
          <w:p w14:paraId="54D06592">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200元/次+（N-1）*10元/台/次</w:t>
            </w:r>
          </w:p>
        </w:tc>
      </w:tr>
      <w:tr w14:paraId="20AFE9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536" w:hRule="atLeast"/>
          <w:jc w:val="center"/>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32E1E3C9">
            <w:pPr>
              <w:keepNext w:val="0"/>
              <w:keepLines w:val="0"/>
              <w:widowControl/>
              <w:suppressLineNumbers w:val="0"/>
              <w:spacing w:before="0" w:beforeAutospacing="0" w:after="0" w:afterAutospacing="0"/>
              <w:ind w:left="0" w:right="0"/>
              <w:jc w:val="center"/>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22</w:t>
            </w:r>
          </w:p>
        </w:tc>
        <w:tc>
          <w:tcPr>
            <w:tcW w:w="293" w:type="pct"/>
            <w:vMerge w:val="restart"/>
            <w:tcBorders>
              <w:top w:val="nil"/>
              <w:left w:val="nil"/>
              <w:bottom w:val="single" w:color="000000" w:sz="4" w:space="0"/>
              <w:right w:val="single" w:color="000000" w:sz="4" w:space="0"/>
            </w:tcBorders>
            <w:shd w:val="clear" w:color="auto" w:fill="auto"/>
            <w:vAlign w:val="top"/>
          </w:tcPr>
          <w:p w14:paraId="7C8E0AB5">
            <w:pPr>
              <w:keepNext w:val="0"/>
              <w:keepLines w:val="0"/>
              <w:widowControl/>
              <w:suppressLineNumbers w:val="0"/>
              <w:spacing w:before="0" w:beforeAutospacing="0" w:after="0" w:afterAutospacing="0"/>
              <w:ind w:left="0" w:right="0"/>
              <w:jc w:val="center"/>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信息反馈</w:t>
            </w:r>
          </w:p>
        </w:tc>
        <w:tc>
          <w:tcPr>
            <w:tcW w:w="486" w:type="pct"/>
            <w:vMerge w:val="restart"/>
            <w:tcBorders>
              <w:top w:val="nil"/>
              <w:left w:val="nil"/>
              <w:bottom w:val="single" w:color="000000" w:sz="4" w:space="0"/>
              <w:right w:val="single" w:color="000000" w:sz="4" w:space="0"/>
            </w:tcBorders>
            <w:shd w:val="clear" w:color="auto" w:fill="auto"/>
            <w:vAlign w:val="top"/>
          </w:tcPr>
          <w:p w14:paraId="7A5A1285">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未按买方要求反馈所需报表，或所提供报表信息存在虚假的问题。</w:t>
            </w:r>
          </w:p>
        </w:tc>
        <w:tc>
          <w:tcPr>
            <w:tcW w:w="363" w:type="pct"/>
            <w:tcBorders>
              <w:top w:val="single" w:color="000000" w:sz="4" w:space="0"/>
              <w:left w:val="nil"/>
              <w:bottom w:val="single" w:color="000000" w:sz="4" w:space="0"/>
              <w:right w:val="single" w:color="000000" w:sz="4" w:space="0"/>
            </w:tcBorders>
            <w:shd w:val="clear" w:color="auto" w:fill="auto"/>
            <w:vAlign w:val="top"/>
          </w:tcPr>
          <w:p w14:paraId="483B66AA">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大宗售后保障运维平台进度回复</w:t>
            </w:r>
          </w:p>
        </w:tc>
        <w:tc>
          <w:tcPr>
            <w:tcW w:w="1524" w:type="pct"/>
            <w:tcBorders>
              <w:top w:val="single" w:color="000000" w:sz="4" w:space="0"/>
              <w:left w:val="nil"/>
              <w:bottom w:val="single" w:color="000000" w:sz="4" w:space="0"/>
              <w:right w:val="single" w:color="000000" w:sz="4" w:space="0"/>
            </w:tcBorders>
            <w:shd w:val="clear" w:color="auto" w:fill="auto"/>
            <w:vAlign w:val="top"/>
          </w:tcPr>
          <w:p w14:paraId="08A73357">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当收到大宗售后保障运维平台的安装派单或最终用户报修需求，且上门进行安装或维修工作完成后，需在时效内将维修记录上传至平台。（需在当天24:00前上传维修记录，未上传则视为逾期）</w:t>
            </w:r>
          </w:p>
        </w:tc>
        <w:tc>
          <w:tcPr>
            <w:tcW w:w="1257" w:type="pct"/>
            <w:tcBorders>
              <w:top w:val="single" w:color="000000" w:sz="4" w:space="0"/>
              <w:left w:val="nil"/>
              <w:bottom w:val="single" w:color="000000" w:sz="4" w:space="0"/>
              <w:right w:val="single" w:color="000000" w:sz="4" w:space="0"/>
            </w:tcBorders>
            <w:shd w:val="clear" w:color="auto" w:fill="auto"/>
            <w:noWrap/>
            <w:vAlign w:val="top"/>
          </w:tcPr>
          <w:p w14:paraId="4B0E0E2F">
            <w:pPr>
              <w:keepNext w:val="0"/>
              <w:keepLines w:val="0"/>
              <w:widowControl w:val="0"/>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维修记录更新不及时或提供虚假信息等</w:t>
            </w:r>
          </w:p>
          <w:p w14:paraId="68F5ADC3">
            <w:pPr>
              <w:pStyle w:val="12"/>
              <w:keepNext w:val="0"/>
              <w:keepLines w:val="0"/>
              <w:widowControl w:val="0"/>
              <w:suppressLineNumbers w:val="0"/>
              <w:spacing w:before="0" w:beforeAutospacing="1" w:after="120" w:afterAutospacing="0"/>
              <w:ind w:left="0" w:right="0" w:firstLine="210" w:firstLineChars="100"/>
              <w:jc w:val="both"/>
              <w:rPr>
                <w:rFonts w:hint="default" w:ascii="仿宋" w:hAnsi="仿宋" w:eastAsia="仿宋" w:cs="仿宋"/>
                <w:b w:val="0"/>
                <w:bCs w:val="0"/>
                <w:color w:val="auto"/>
                <w:kern w:val="0"/>
                <w:sz w:val="21"/>
                <w:szCs w:val="21"/>
                <w:highlight w:val="none"/>
              </w:rPr>
            </w:pPr>
          </w:p>
        </w:tc>
        <w:tc>
          <w:tcPr>
            <w:tcW w:w="760" w:type="pct"/>
            <w:tcBorders>
              <w:top w:val="single" w:color="000000" w:sz="4" w:space="0"/>
              <w:left w:val="nil"/>
              <w:bottom w:val="single" w:color="000000" w:sz="4" w:space="0"/>
              <w:right w:val="single" w:color="000000" w:sz="4" w:space="0"/>
            </w:tcBorders>
            <w:shd w:val="clear" w:color="auto" w:fill="auto"/>
            <w:vAlign w:val="top"/>
          </w:tcPr>
          <w:p w14:paraId="5CE7A415">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500元/次</w:t>
            </w:r>
          </w:p>
        </w:tc>
      </w:tr>
      <w:tr w14:paraId="242449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76" w:hRule="atLeast"/>
          <w:jc w:val="center"/>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1E3A6F1A">
            <w:pPr>
              <w:keepNext w:val="0"/>
              <w:keepLines w:val="0"/>
              <w:widowControl/>
              <w:suppressLineNumbers w:val="0"/>
              <w:spacing w:before="0" w:beforeAutospacing="0" w:after="0" w:afterAutospacing="0"/>
              <w:ind w:left="0" w:right="0"/>
              <w:jc w:val="center"/>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23</w:t>
            </w:r>
          </w:p>
        </w:tc>
        <w:tc>
          <w:tcPr>
            <w:tcW w:w="293" w:type="pct"/>
            <w:vMerge w:val="continue"/>
            <w:tcBorders>
              <w:top w:val="nil"/>
              <w:left w:val="nil"/>
              <w:bottom w:val="single" w:color="000000" w:sz="4" w:space="0"/>
              <w:right w:val="single" w:color="000000" w:sz="4" w:space="0"/>
            </w:tcBorders>
            <w:shd w:val="clear" w:color="auto" w:fill="auto"/>
            <w:vAlign w:val="top"/>
          </w:tcPr>
          <w:p w14:paraId="7C8B2678">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486" w:type="pct"/>
            <w:vMerge w:val="continue"/>
            <w:tcBorders>
              <w:top w:val="nil"/>
              <w:left w:val="nil"/>
              <w:bottom w:val="single" w:color="000000" w:sz="4" w:space="0"/>
              <w:right w:val="single" w:color="000000" w:sz="4" w:space="0"/>
            </w:tcBorders>
            <w:shd w:val="clear" w:color="auto" w:fill="auto"/>
            <w:vAlign w:val="top"/>
          </w:tcPr>
          <w:p w14:paraId="5835F4A3">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363" w:type="pct"/>
            <w:tcBorders>
              <w:top w:val="single" w:color="000000" w:sz="4" w:space="0"/>
              <w:left w:val="nil"/>
              <w:bottom w:val="single" w:color="000000" w:sz="4" w:space="0"/>
              <w:right w:val="single" w:color="000000" w:sz="4" w:space="0"/>
            </w:tcBorders>
            <w:shd w:val="clear" w:color="auto" w:fill="auto"/>
            <w:vAlign w:val="top"/>
          </w:tcPr>
          <w:p w14:paraId="7295DFE2">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日常售后回复信息</w:t>
            </w:r>
          </w:p>
        </w:tc>
        <w:tc>
          <w:tcPr>
            <w:tcW w:w="1524" w:type="pct"/>
            <w:tcBorders>
              <w:top w:val="single" w:color="000000" w:sz="4" w:space="0"/>
              <w:left w:val="nil"/>
              <w:bottom w:val="single" w:color="000000" w:sz="4" w:space="0"/>
              <w:right w:val="single" w:color="000000" w:sz="4" w:space="0"/>
            </w:tcBorders>
            <w:shd w:val="clear" w:color="auto" w:fill="auto"/>
            <w:vAlign w:val="top"/>
          </w:tcPr>
          <w:p w14:paraId="15400A77">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在收到买方派单后应按照合同要求及时进行回复</w:t>
            </w:r>
          </w:p>
        </w:tc>
        <w:tc>
          <w:tcPr>
            <w:tcW w:w="1257" w:type="pct"/>
            <w:tcBorders>
              <w:top w:val="single" w:color="000000" w:sz="4" w:space="0"/>
              <w:left w:val="nil"/>
              <w:bottom w:val="single" w:color="000000" w:sz="4" w:space="0"/>
              <w:right w:val="single" w:color="000000" w:sz="4" w:space="0"/>
            </w:tcBorders>
            <w:shd w:val="clear" w:color="auto" w:fill="auto"/>
            <w:noWrap/>
            <w:vAlign w:val="top"/>
          </w:tcPr>
          <w:p w14:paraId="7D5D2046">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催安装、报修、退换货等售后需求，处理情况虚假等</w:t>
            </w:r>
          </w:p>
        </w:tc>
        <w:tc>
          <w:tcPr>
            <w:tcW w:w="760" w:type="pct"/>
            <w:tcBorders>
              <w:top w:val="single" w:color="000000" w:sz="4" w:space="0"/>
              <w:left w:val="nil"/>
              <w:bottom w:val="single" w:color="000000" w:sz="4" w:space="0"/>
              <w:right w:val="single" w:color="000000" w:sz="4" w:space="0"/>
            </w:tcBorders>
            <w:shd w:val="clear" w:color="auto" w:fill="auto"/>
            <w:vAlign w:val="top"/>
          </w:tcPr>
          <w:p w14:paraId="281E0BDE">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500元/次</w:t>
            </w:r>
          </w:p>
        </w:tc>
      </w:tr>
      <w:tr w14:paraId="3D9D1F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6" w:hRule="atLeast"/>
          <w:jc w:val="center"/>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3055AC52">
            <w:pPr>
              <w:keepNext w:val="0"/>
              <w:keepLines w:val="0"/>
              <w:widowControl/>
              <w:suppressLineNumbers w:val="0"/>
              <w:spacing w:before="0" w:beforeAutospacing="0" w:after="0" w:afterAutospacing="0"/>
              <w:ind w:left="0" w:right="0"/>
              <w:jc w:val="center"/>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24</w:t>
            </w:r>
          </w:p>
        </w:tc>
        <w:tc>
          <w:tcPr>
            <w:tcW w:w="293" w:type="pct"/>
            <w:vMerge w:val="continue"/>
            <w:tcBorders>
              <w:top w:val="nil"/>
              <w:left w:val="nil"/>
              <w:bottom w:val="single" w:color="000000" w:sz="4" w:space="0"/>
              <w:right w:val="single" w:color="000000" w:sz="4" w:space="0"/>
            </w:tcBorders>
            <w:shd w:val="clear" w:color="auto" w:fill="auto"/>
            <w:vAlign w:val="top"/>
          </w:tcPr>
          <w:p w14:paraId="763C841C">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486" w:type="pct"/>
            <w:vMerge w:val="continue"/>
            <w:tcBorders>
              <w:top w:val="nil"/>
              <w:left w:val="nil"/>
              <w:bottom w:val="single" w:color="000000" w:sz="4" w:space="0"/>
              <w:right w:val="single" w:color="000000" w:sz="4" w:space="0"/>
            </w:tcBorders>
            <w:shd w:val="clear" w:color="auto" w:fill="auto"/>
            <w:vAlign w:val="top"/>
          </w:tcPr>
          <w:p w14:paraId="447F170F">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363" w:type="pct"/>
            <w:tcBorders>
              <w:top w:val="single" w:color="000000" w:sz="4" w:space="0"/>
              <w:left w:val="nil"/>
              <w:bottom w:val="single" w:color="000000" w:sz="4" w:space="0"/>
              <w:right w:val="single" w:color="000000" w:sz="4" w:space="0"/>
            </w:tcBorders>
            <w:shd w:val="clear" w:color="auto" w:fill="auto"/>
            <w:vAlign w:val="top"/>
          </w:tcPr>
          <w:p w14:paraId="3BC5CFA7">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其他万翔要求提供的信息</w:t>
            </w:r>
          </w:p>
        </w:tc>
        <w:tc>
          <w:tcPr>
            <w:tcW w:w="1524" w:type="pct"/>
            <w:tcBorders>
              <w:top w:val="single" w:color="000000" w:sz="4" w:space="0"/>
              <w:left w:val="nil"/>
              <w:bottom w:val="single" w:color="000000" w:sz="4" w:space="0"/>
              <w:right w:val="single" w:color="000000" w:sz="4" w:space="0"/>
            </w:tcBorders>
            <w:shd w:val="clear" w:color="auto" w:fill="auto"/>
            <w:vAlign w:val="top"/>
          </w:tcPr>
          <w:p w14:paraId="48DD74F9">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在收到买方派单后应按照合同要求及时进行回复</w:t>
            </w:r>
          </w:p>
        </w:tc>
        <w:tc>
          <w:tcPr>
            <w:tcW w:w="1257" w:type="pct"/>
            <w:tcBorders>
              <w:top w:val="single" w:color="000000" w:sz="4" w:space="0"/>
              <w:left w:val="nil"/>
              <w:bottom w:val="single" w:color="000000" w:sz="4" w:space="0"/>
              <w:right w:val="single" w:color="000000" w:sz="4" w:space="0"/>
            </w:tcBorders>
            <w:shd w:val="clear" w:color="auto" w:fill="auto"/>
            <w:noWrap/>
            <w:vAlign w:val="top"/>
          </w:tcPr>
          <w:p w14:paraId="2BB6801D">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信息虚假等</w:t>
            </w:r>
          </w:p>
        </w:tc>
        <w:tc>
          <w:tcPr>
            <w:tcW w:w="760" w:type="pct"/>
            <w:tcBorders>
              <w:top w:val="single" w:color="000000" w:sz="4" w:space="0"/>
              <w:left w:val="nil"/>
              <w:bottom w:val="single" w:color="000000" w:sz="4" w:space="0"/>
              <w:right w:val="single" w:color="000000" w:sz="4" w:space="0"/>
            </w:tcBorders>
            <w:shd w:val="clear" w:color="auto" w:fill="auto"/>
            <w:vAlign w:val="top"/>
          </w:tcPr>
          <w:p w14:paraId="4B69EB4A">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500元/次</w:t>
            </w:r>
          </w:p>
        </w:tc>
      </w:tr>
      <w:tr w14:paraId="374BC3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76" w:hRule="atLeast"/>
          <w:jc w:val="center"/>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68C664D1">
            <w:pPr>
              <w:keepNext w:val="0"/>
              <w:keepLines w:val="0"/>
              <w:widowControl/>
              <w:suppressLineNumbers w:val="0"/>
              <w:spacing w:before="0" w:beforeAutospacing="0" w:after="0" w:afterAutospacing="0"/>
              <w:ind w:left="0" w:right="0"/>
              <w:jc w:val="center"/>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25</w:t>
            </w:r>
          </w:p>
        </w:tc>
        <w:tc>
          <w:tcPr>
            <w:tcW w:w="293" w:type="pct"/>
            <w:vMerge w:val="restart"/>
            <w:tcBorders>
              <w:top w:val="nil"/>
              <w:left w:val="nil"/>
              <w:bottom w:val="single" w:color="000000" w:sz="4" w:space="0"/>
              <w:right w:val="single" w:color="000000" w:sz="4" w:space="0"/>
            </w:tcBorders>
            <w:shd w:val="clear" w:color="auto" w:fill="auto"/>
            <w:vAlign w:val="top"/>
          </w:tcPr>
          <w:p w14:paraId="628CA6EA">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投诉（根据卖方产品质量、服务造成用户投诉的层级进行扣罚，当投诉涉及多个层级以最高层级扣罚标准为准）</w:t>
            </w:r>
          </w:p>
        </w:tc>
        <w:tc>
          <w:tcPr>
            <w:tcW w:w="486" w:type="pct"/>
            <w:tcBorders>
              <w:top w:val="single" w:color="000000" w:sz="4" w:space="0"/>
              <w:left w:val="nil"/>
              <w:bottom w:val="single" w:color="000000" w:sz="4" w:space="0"/>
              <w:right w:val="single" w:color="000000" w:sz="4" w:space="0"/>
            </w:tcBorders>
            <w:shd w:val="clear" w:color="auto" w:fill="auto"/>
            <w:vAlign w:val="top"/>
          </w:tcPr>
          <w:p w14:paraId="2AF91491">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 xml:space="preserve">1、投诉至买方售后服务部门并得以证实                                        </w:t>
            </w:r>
          </w:p>
        </w:tc>
        <w:tc>
          <w:tcPr>
            <w:tcW w:w="363" w:type="pct"/>
            <w:tcBorders>
              <w:top w:val="single" w:color="000000" w:sz="4" w:space="0"/>
              <w:left w:val="nil"/>
              <w:bottom w:val="single" w:color="000000" w:sz="4" w:space="0"/>
              <w:right w:val="single" w:color="000000" w:sz="4" w:space="0"/>
            </w:tcBorders>
            <w:shd w:val="clear" w:color="auto" w:fill="auto"/>
            <w:vAlign w:val="top"/>
          </w:tcPr>
          <w:p w14:paraId="08B052ED">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投诉到万翔售后</w:t>
            </w:r>
          </w:p>
        </w:tc>
        <w:tc>
          <w:tcPr>
            <w:tcW w:w="1524" w:type="pct"/>
            <w:tcBorders>
              <w:top w:val="single" w:color="000000" w:sz="4" w:space="0"/>
              <w:left w:val="nil"/>
              <w:bottom w:val="single" w:color="000000" w:sz="4" w:space="0"/>
              <w:right w:val="single" w:color="000000" w:sz="4" w:space="0"/>
            </w:tcBorders>
            <w:shd w:val="clear" w:color="auto" w:fill="auto"/>
            <w:vAlign w:val="top"/>
          </w:tcPr>
          <w:p w14:paraId="3FB930BA">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应妥善处理客户不满或者需求，不应让客户向万翔投诉</w:t>
            </w:r>
          </w:p>
        </w:tc>
        <w:tc>
          <w:tcPr>
            <w:tcW w:w="1257" w:type="pct"/>
            <w:tcBorders>
              <w:top w:val="single" w:color="000000" w:sz="4" w:space="0"/>
              <w:left w:val="nil"/>
              <w:bottom w:val="single" w:color="000000" w:sz="4" w:space="0"/>
              <w:right w:val="single" w:color="000000" w:sz="4" w:space="0"/>
            </w:tcBorders>
            <w:shd w:val="clear" w:color="auto" w:fill="auto"/>
            <w:noWrap/>
            <w:vAlign w:val="top"/>
          </w:tcPr>
          <w:p w14:paraId="1BD474E7">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服务商无法证明情况不属实</w:t>
            </w:r>
          </w:p>
        </w:tc>
        <w:tc>
          <w:tcPr>
            <w:tcW w:w="760" w:type="pct"/>
            <w:tcBorders>
              <w:top w:val="single" w:color="000000" w:sz="4" w:space="0"/>
              <w:left w:val="nil"/>
              <w:bottom w:val="single" w:color="000000" w:sz="4" w:space="0"/>
              <w:right w:val="single" w:color="000000" w:sz="4" w:space="0"/>
            </w:tcBorders>
            <w:shd w:val="clear" w:color="auto" w:fill="auto"/>
            <w:vAlign w:val="top"/>
          </w:tcPr>
          <w:p w14:paraId="2ED4FE07">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10000元/次</w:t>
            </w:r>
          </w:p>
        </w:tc>
      </w:tr>
      <w:tr w14:paraId="0F6753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76" w:hRule="atLeast"/>
          <w:jc w:val="center"/>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1EF7913A">
            <w:pPr>
              <w:keepNext w:val="0"/>
              <w:keepLines w:val="0"/>
              <w:widowControl/>
              <w:suppressLineNumbers w:val="0"/>
              <w:spacing w:before="0" w:beforeAutospacing="0" w:after="0" w:afterAutospacing="0"/>
              <w:ind w:left="0" w:right="0"/>
              <w:jc w:val="center"/>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26</w:t>
            </w:r>
          </w:p>
        </w:tc>
        <w:tc>
          <w:tcPr>
            <w:tcW w:w="293" w:type="pct"/>
            <w:vMerge w:val="continue"/>
            <w:tcBorders>
              <w:top w:val="nil"/>
              <w:left w:val="nil"/>
              <w:bottom w:val="single" w:color="000000" w:sz="4" w:space="0"/>
              <w:right w:val="single" w:color="000000" w:sz="4" w:space="0"/>
            </w:tcBorders>
            <w:shd w:val="clear" w:color="auto" w:fill="auto"/>
            <w:vAlign w:val="top"/>
          </w:tcPr>
          <w:p w14:paraId="05039B13">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486" w:type="pct"/>
            <w:tcBorders>
              <w:top w:val="single" w:color="000000" w:sz="4" w:space="0"/>
              <w:left w:val="nil"/>
              <w:bottom w:val="single" w:color="000000" w:sz="4" w:space="0"/>
              <w:right w:val="single" w:color="000000" w:sz="4" w:space="0"/>
            </w:tcBorders>
            <w:shd w:val="clear" w:color="auto" w:fill="auto"/>
            <w:vAlign w:val="top"/>
          </w:tcPr>
          <w:p w14:paraId="47D82B55">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 xml:space="preserve">2、投诉至厦门翔业集团内部监管部门并得以证实          </w:t>
            </w:r>
          </w:p>
        </w:tc>
        <w:tc>
          <w:tcPr>
            <w:tcW w:w="363" w:type="pct"/>
            <w:tcBorders>
              <w:top w:val="single" w:color="000000" w:sz="4" w:space="0"/>
              <w:left w:val="nil"/>
              <w:bottom w:val="single" w:color="000000" w:sz="4" w:space="0"/>
              <w:right w:val="single" w:color="000000" w:sz="4" w:space="0"/>
            </w:tcBorders>
            <w:shd w:val="clear" w:color="auto" w:fill="auto"/>
            <w:vAlign w:val="top"/>
          </w:tcPr>
          <w:p w14:paraId="4948EF7D">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投诉到翔业集团内部监管部门</w:t>
            </w:r>
          </w:p>
        </w:tc>
        <w:tc>
          <w:tcPr>
            <w:tcW w:w="1524" w:type="pct"/>
            <w:tcBorders>
              <w:top w:val="single" w:color="000000" w:sz="4" w:space="0"/>
              <w:left w:val="nil"/>
              <w:bottom w:val="single" w:color="000000" w:sz="4" w:space="0"/>
              <w:right w:val="single" w:color="000000" w:sz="4" w:space="0"/>
            </w:tcBorders>
            <w:shd w:val="clear" w:color="auto" w:fill="auto"/>
            <w:vAlign w:val="top"/>
          </w:tcPr>
          <w:p w14:paraId="581EA904">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应妥善处理客户不满或者需求，不应让客户向翔业集团监管部门投诉</w:t>
            </w:r>
          </w:p>
        </w:tc>
        <w:tc>
          <w:tcPr>
            <w:tcW w:w="1257" w:type="pct"/>
            <w:tcBorders>
              <w:top w:val="single" w:color="000000" w:sz="4" w:space="0"/>
              <w:left w:val="nil"/>
              <w:bottom w:val="single" w:color="000000" w:sz="4" w:space="0"/>
              <w:right w:val="single" w:color="000000" w:sz="4" w:space="0"/>
            </w:tcBorders>
            <w:shd w:val="clear" w:color="auto" w:fill="auto"/>
            <w:noWrap/>
            <w:vAlign w:val="top"/>
          </w:tcPr>
          <w:p w14:paraId="0F7A136F">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服务商无法证明情况不属实</w:t>
            </w:r>
          </w:p>
        </w:tc>
        <w:tc>
          <w:tcPr>
            <w:tcW w:w="760" w:type="pct"/>
            <w:tcBorders>
              <w:top w:val="single" w:color="000000" w:sz="4" w:space="0"/>
              <w:left w:val="nil"/>
              <w:bottom w:val="single" w:color="000000" w:sz="4" w:space="0"/>
              <w:right w:val="single" w:color="000000" w:sz="4" w:space="0"/>
            </w:tcBorders>
            <w:shd w:val="clear" w:color="auto" w:fill="auto"/>
            <w:vAlign w:val="top"/>
          </w:tcPr>
          <w:p w14:paraId="1F1FF7BB">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20000元/次</w:t>
            </w:r>
          </w:p>
        </w:tc>
      </w:tr>
      <w:tr w14:paraId="6797E9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6" w:hRule="atLeast"/>
          <w:jc w:val="center"/>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4A928966">
            <w:pPr>
              <w:keepNext w:val="0"/>
              <w:keepLines w:val="0"/>
              <w:widowControl/>
              <w:suppressLineNumbers w:val="0"/>
              <w:spacing w:before="0" w:beforeAutospacing="0" w:after="0" w:afterAutospacing="0"/>
              <w:ind w:left="0" w:right="0"/>
              <w:jc w:val="center"/>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27</w:t>
            </w:r>
          </w:p>
        </w:tc>
        <w:tc>
          <w:tcPr>
            <w:tcW w:w="293" w:type="pct"/>
            <w:vMerge w:val="continue"/>
            <w:tcBorders>
              <w:top w:val="nil"/>
              <w:left w:val="nil"/>
              <w:bottom w:val="single" w:color="000000" w:sz="4" w:space="0"/>
              <w:right w:val="single" w:color="000000" w:sz="4" w:space="0"/>
            </w:tcBorders>
            <w:shd w:val="clear" w:color="auto" w:fill="auto"/>
            <w:vAlign w:val="top"/>
          </w:tcPr>
          <w:p w14:paraId="50F4A801">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486" w:type="pct"/>
            <w:tcBorders>
              <w:top w:val="single" w:color="000000" w:sz="4" w:space="0"/>
              <w:left w:val="nil"/>
              <w:bottom w:val="single" w:color="000000" w:sz="4" w:space="0"/>
              <w:right w:val="single" w:color="000000" w:sz="4" w:space="0"/>
            </w:tcBorders>
            <w:shd w:val="clear" w:color="auto" w:fill="auto"/>
            <w:vAlign w:val="top"/>
          </w:tcPr>
          <w:p w14:paraId="243FF675">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3、投诉至社会监管部门（如工商局等）并得到证实</w:t>
            </w:r>
          </w:p>
        </w:tc>
        <w:tc>
          <w:tcPr>
            <w:tcW w:w="363" w:type="pct"/>
            <w:tcBorders>
              <w:top w:val="single" w:color="000000" w:sz="4" w:space="0"/>
              <w:left w:val="nil"/>
              <w:bottom w:val="single" w:color="000000" w:sz="4" w:space="0"/>
              <w:right w:val="single" w:color="000000" w:sz="4" w:space="0"/>
            </w:tcBorders>
            <w:shd w:val="clear" w:color="auto" w:fill="auto"/>
            <w:vAlign w:val="top"/>
          </w:tcPr>
          <w:p w14:paraId="0437101C">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投诉到社会监管部门</w:t>
            </w:r>
          </w:p>
        </w:tc>
        <w:tc>
          <w:tcPr>
            <w:tcW w:w="1524" w:type="pct"/>
            <w:tcBorders>
              <w:top w:val="single" w:color="000000" w:sz="4" w:space="0"/>
              <w:left w:val="nil"/>
              <w:bottom w:val="single" w:color="000000" w:sz="4" w:space="0"/>
              <w:right w:val="single" w:color="000000" w:sz="4" w:space="0"/>
            </w:tcBorders>
            <w:shd w:val="clear" w:color="auto" w:fill="auto"/>
            <w:vAlign w:val="top"/>
          </w:tcPr>
          <w:p w14:paraId="7A48539D">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应妥善处理客户不满或者需求，不应让客户社会监管部门投诉</w:t>
            </w:r>
          </w:p>
        </w:tc>
        <w:tc>
          <w:tcPr>
            <w:tcW w:w="1257" w:type="pct"/>
            <w:tcBorders>
              <w:top w:val="single" w:color="000000" w:sz="4" w:space="0"/>
              <w:left w:val="nil"/>
              <w:bottom w:val="single" w:color="000000" w:sz="4" w:space="0"/>
              <w:right w:val="single" w:color="000000" w:sz="4" w:space="0"/>
            </w:tcBorders>
            <w:shd w:val="clear" w:color="auto" w:fill="auto"/>
            <w:vAlign w:val="top"/>
          </w:tcPr>
          <w:p w14:paraId="109EC379">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服务商无法取得社会监管部门撤诉</w:t>
            </w:r>
          </w:p>
        </w:tc>
        <w:tc>
          <w:tcPr>
            <w:tcW w:w="760" w:type="pct"/>
            <w:tcBorders>
              <w:top w:val="single" w:color="000000" w:sz="4" w:space="0"/>
              <w:left w:val="nil"/>
              <w:bottom w:val="single" w:color="000000" w:sz="4" w:space="0"/>
              <w:right w:val="single" w:color="000000" w:sz="4" w:space="0"/>
            </w:tcBorders>
            <w:shd w:val="clear" w:color="auto" w:fill="auto"/>
            <w:vAlign w:val="top"/>
          </w:tcPr>
          <w:p w14:paraId="4645D114">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40000元/次</w:t>
            </w:r>
          </w:p>
        </w:tc>
      </w:tr>
      <w:tr w14:paraId="5F43A0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154" w:hRule="atLeast"/>
          <w:jc w:val="center"/>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0BC018B5">
            <w:pPr>
              <w:keepNext w:val="0"/>
              <w:keepLines w:val="0"/>
              <w:widowControl/>
              <w:suppressLineNumbers w:val="0"/>
              <w:spacing w:before="0" w:beforeAutospacing="0" w:after="0" w:afterAutospacing="0"/>
              <w:ind w:left="0" w:right="0"/>
              <w:jc w:val="center"/>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28</w:t>
            </w:r>
          </w:p>
        </w:tc>
        <w:tc>
          <w:tcPr>
            <w:tcW w:w="293" w:type="pct"/>
            <w:vMerge w:val="continue"/>
            <w:tcBorders>
              <w:top w:val="nil"/>
              <w:left w:val="nil"/>
              <w:bottom w:val="single" w:color="000000" w:sz="4" w:space="0"/>
              <w:right w:val="single" w:color="000000" w:sz="4" w:space="0"/>
            </w:tcBorders>
            <w:shd w:val="clear" w:color="auto" w:fill="auto"/>
            <w:vAlign w:val="top"/>
          </w:tcPr>
          <w:p w14:paraId="38AAC271">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486" w:type="pct"/>
            <w:tcBorders>
              <w:top w:val="single" w:color="000000" w:sz="4" w:space="0"/>
              <w:left w:val="nil"/>
              <w:bottom w:val="single" w:color="000000" w:sz="4" w:space="0"/>
              <w:right w:val="single" w:color="000000" w:sz="4" w:space="0"/>
            </w:tcBorders>
            <w:shd w:val="clear" w:color="auto" w:fill="auto"/>
            <w:vAlign w:val="top"/>
          </w:tcPr>
          <w:p w14:paraId="136CC4A0">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 xml:space="preserve">4、投诉至社会媒体并被曝光（如报纸、杂志、电视广播、主流官网等）                                       </w:t>
            </w:r>
          </w:p>
        </w:tc>
        <w:tc>
          <w:tcPr>
            <w:tcW w:w="363" w:type="pct"/>
            <w:tcBorders>
              <w:top w:val="single" w:color="000000" w:sz="4" w:space="0"/>
              <w:left w:val="nil"/>
              <w:bottom w:val="single" w:color="000000" w:sz="4" w:space="0"/>
              <w:right w:val="single" w:color="000000" w:sz="4" w:space="0"/>
            </w:tcBorders>
            <w:shd w:val="clear" w:color="auto" w:fill="auto"/>
            <w:vAlign w:val="top"/>
          </w:tcPr>
          <w:p w14:paraId="1B818FB3">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 xml:space="preserve">投诉至社会媒体并被曝光（如报纸、杂志、电视广播、主流官网等）                                       </w:t>
            </w:r>
          </w:p>
        </w:tc>
        <w:tc>
          <w:tcPr>
            <w:tcW w:w="1524" w:type="pct"/>
            <w:tcBorders>
              <w:top w:val="single" w:color="000000" w:sz="4" w:space="0"/>
              <w:left w:val="nil"/>
              <w:bottom w:val="single" w:color="000000" w:sz="4" w:space="0"/>
              <w:right w:val="single" w:color="000000" w:sz="4" w:space="0"/>
            </w:tcBorders>
            <w:shd w:val="clear" w:color="auto" w:fill="auto"/>
            <w:vAlign w:val="top"/>
          </w:tcPr>
          <w:p w14:paraId="1306A1F2">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应妥善处理客户不满或者需求，不应让客户投诉到社会媒体</w:t>
            </w:r>
          </w:p>
        </w:tc>
        <w:tc>
          <w:tcPr>
            <w:tcW w:w="1257" w:type="pct"/>
            <w:tcBorders>
              <w:top w:val="single" w:color="000000" w:sz="4" w:space="0"/>
              <w:left w:val="nil"/>
              <w:bottom w:val="single" w:color="000000" w:sz="4" w:space="0"/>
              <w:right w:val="single" w:color="000000" w:sz="4" w:space="0"/>
            </w:tcBorders>
            <w:shd w:val="clear" w:color="auto" w:fill="auto"/>
            <w:vAlign w:val="top"/>
          </w:tcPr>
          <w:p w14:paraId="1F71BDB3">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报纸、杂志、电视广播、主流官网等曝光了事情</w:t>
            </w:r>
          </w:p>
        </w:tc>
        <w:tc>
          <w:tcPr>
            <w:tcW w:w="760" w:type="pct"/>
            <w:tcBorders>
              <w:top w:val="single" w:color="000000" w:sz="4" w:space="0"/>
              <w:left w:val="nil"/>
              <w:bottom w:val="single" w:color="000000" w:sz="4" w:space="0"/>
              <w:right w:val="single" w:color="000000" w:sz="4" w:space="0"/>
            </w:tcBorders>
            <w:shd w:val="clear" w:color="auto" w:fill="auto"/>
            <w:vAlign w:val="top"/>
          </w:tcPr>
          <w:p w14:paraId="6869A087">
            <w:pPr>
              <w:keepNext w:val="0"/>
              <w:keepLines w:val="0"/>
              <w:widowControl/>
              <w:suppressLineNumbers w:val="0"/>
              <w:spacing w:before="0" w:beforeAutospacing="0" w:after="0" w:afterAutospacing="0"/>
              <w:ind w:left="0" w:right="0"/>
              <w:jc w:val="left"/>
              <w:rPr>
                <w:rFonts w:hint="default"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bidi="ar"/>
              </w:rPr>
              <w:t>200000元/次</w:t>
            </w:r>
          </w:p>
        </w:tc>
      </w:tr>
      <w:tr w14:paraId="07689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9" w:hRule="atLeast"/>
          <w:jc w:val="center"/>
        </w:trPr>
        <w:tc>
          <w:tcPr>
            <w:tcW w:w="314" w:type="pct"/>
            <w:tcBorders>
              <w:top w:val="single" w:color="000000" w:sz="4" w:space="0"/>
              <w:left w:val="single" w:color="000000" w:sz="4" w:space="0"/>
              <w:bottom w:val="single" w:color="000000" w:sz="4" w:space="0"/>
              <w:right w:val="single" w:color="000000" w:sz="4" w:space="0"/>
            </w:tcBorders>
            <w:shd w:val="clear" w:color="auto" w:fill="auto"/>
            <w:vAlign w:val="top"/>
          </w:tcPr>
          <w:p w14:paraId="0BDBAD5A">
            <w:pPr>
              <w:keepNext w:val="0"/>
              <w:keepLines w:val="0"/>
              <w:widowControl w:val="0"/>
              <w:suppressLineNumbers w:val="0"/>
              <w:spacing w:before="0" w:beforeAutospacing="0" w:after="0" w:afterAutospacing="0"/>
              <w:ind w:left="0" w:right="0"/>
              <w:jc w:val="both"/>
              <w:rPr>
                <w:rFonts w:hint="default"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lang w:val="en-US" w:eastAsia="zh-CN" w:bidi="ar"/>
              </w:rPr>
              <w:t>29</w:t>
            </w:r>
          </w:p>
        </w:tc>
        <w:tc>
          <w:tcPr>
            <w:tcW w:w="293" w:type="pct"/>
            <w:tcBorders>
              <w:top w:val="single" w:color="000000" w:sz="4" w:space="0"/>
              <w:left w:val="nil"/>
              <w:bottom w:val="single" w:color="000000" w:sz="4" w:space="0"/>
              <w:right w:val="single" w:color="000000" w:sz="4" w:space="0"/>
            </w:tcBorders>
            <w:shd w:val="clear" w:color="auto" w:fill="auto"/>
            <w:vAlign w:val="top"/>
          </w:tcPr>
          <w:p w14:paraId="6963ED88">
            <w:pPr>
              <w:keepNext w:val="0"/>
              <w:keepLines w:val="0"/>
              <w:widowControl w:val="0"/>
              <w:suppressLineNumbers w:val="0"/>
              <w:spacing w:before="0" w:beforeAutospacing="0" w:after="0" w:afterAutospacing="0"/>
              <w:ind w:left="0" w:right="0"/>
              <w:jc w:val="both"/>
              <w:rPr>
                <w:rFonts w:hint="default"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lang w:val="en-US" w:eastAsia="zh-CN" w:bidi="ar"/>
              </w:rPr>
              <w:t>考核罚款缴交</w:t>
            </w:r>
          </w:p>
        </w:tc>
        <w:tc>
          <w:tcPr>
            <w:tcW w:w="486" w:type="pct"/>
            <w:tcBorders>
              <w:top w:val="single" w:color="000000" w:sz="4" w:space="0"/>
              <w:left w:val="nil"/>
              <w:bottom w:val="single" w:color="000000" w:sz="4" w:space="0"/>
              <w:right w:val="single" w:color="000000" w:sz="4" w:space="0"/>
            </w:tcBorders>
            <w:shd w:val="clear" w:color="auto" w:fill="auto"/>
            <w:vAlign w:val="top"/>
          </w:tcPr>
          <w:p w14:paraId="7FE6C08F">
            <w:pPr>
              <w:keepNext w:val="0"/>
              <w:keepLines w:val="0"/>
              <w:widowControl w:val="0"/>
              <w:suppressLineNumbers w:val="0"/>
              <w:spacing w:before="0" w:beforeAutospacing="0" w:after="0" w:afterAutospacing="0"/>
              <w:ind w:left="0" w:right="-143" w:rightChars="-51"/>
              <w:jc w:val="both"/>
              <w:rPr>
                <w:rFonts w:hint="default"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lang w:val="en-US" w:eastAsia="zh-CN" w:bidi="ar"/>
              </w:rPr>
              <w:t>收到考核表后30个日历日内交清考核款项</w:t>
            </w:r>
          </w:p>
        </w:tc>
        <w:tc>
          <w:tcPr>
            <w:tcW w:w="363" w:type="pct"/>
            <w:tcBorders>
              <w:top w:val="single" w:color="000000" w:sz="4" w:space="0"/>
              <w:left w:val="nil"/>
              <w:bottom w:val="single" w:color="000000" w:sz="4" w:space="0"/>
              <w:right w:val="single" w:color="000000" w:sz="4" w:space="0"/>
            </w:tcBorders>
            <w:shd w:val="clear" w:color="auto" w:fill="auto"/>
            <w:vAlign w:val="top"/>
          </w:tcPr>
          <w:p w14:paraId="67CD1607">
            <w:pPr>
              <w:keepNext w:val="0"/>
              <w:keepLines w:val="0"/>
              <w:widowControl w:val="0"/>
              <w:suppressLineNumbers w:val="0"/>
              <w:spacing w:before="0" w:beforeAutospacing="0" w:after="0" w:afterAutospacing="0"/>
              <w:ind w:left="0" w:right="0"/>
              <w:jc w:val="both"/>
              <w:rPr>
                <w:rFonts w:hint="default"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lang w:val="en-US" w:eastAsia="zh-CN" w:bidi="ar"/>
              </w:rPr>
              <w:t>扣罚缴交</w:t>
            </w:r>
          </w:p>
        </w:tc>
        <w:tc>
          <w:tcPr>
            <w:tcW w:w="1524" w:type="pct"/>
            <w:tcBorders>
              <w:top w:val="single" w:color="000000" w:sz="4" w:space="0"/>
              <w:left w:val="nil"/>
              <w:bottom w:val="single" w:color="000000" w:sz="4" w:space="0"/>
              <w:right w:val="single" w:color="000000" w:sz="4" w:space="0"/>
            </w:tcBorders>
            <w:shd w:val="clear" w:color="auto" w:fill="auto"/>
            <w:vAlign w:val="top"/>
          </w:tcPr>
          <w:p w14:paraId="187486E6">
            <w:pPr>
              <w:keepNext w:val="0"/>
              <w:keepLines w:val="0"/>
              <w:widowControl w:val="0"/>
              <w:suppressLineNumbers w:val="0"/>
              <w:spacing w:before="0" w:beforeAutospacing="0" w:after="0" w:afterAutospacing="0"/>
              <w:ind w:left="0" w:right="0"/>
              <w:jc w:val="both"/>
              <w:rPr>
                <w:rFonts w:hint="default"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lang w:val="en-US" w:eastAsia="zh-CN" w:bidi="ar"/>
              </w:rPr>
              <w:t>服务商应在收到万翔网商发出考核表后的30个日历日内交清罚款，交完后将付款情况告知万翔网商对应的采购专员。</w:t>
            </w:r>
          </w:p>
        </w:tc>
        <w:tc>
          <w:tcPr>
            <w:tcW w:w="1257" w:type="pct"/>
            <w:tcBorders>
              <w:top w:val="single" w:color="000000" w:sz="4" w:space="0"/>
              <w:left w:val="nil"/>
              <w:bottom w:val="single" w:color="000000" w:sz="4" w:space="0"/>
              <w:right w:val="single" w:color="000000" w:sz="4" w:space="0"/>
            </w:tcBorders>
            <w:shd w:val="clear" w:color="auto" w:fill="auto"/>
            <w:vAlign w:val="top"/>
          </w:tcPr>
          <w:p w14:paraId="700F6647">
            <w:pPr>
              <w:keepNext w:val="0"/>
              <w:keepLines w:val="0"/>
              <w:widowControl w:val="0"/>
              <w:suppressLineNumbers w:val="0"/>
              <w:spacing w:before="0" w:beforeAutospacing="0" w:after="0" w:afterAutospacing="0"/>
              <w:ind w:left="0" w:right="0"/>
              <w:jc w:val="both"/>
              <w:rPr>
                <w:rFonts w:hint="default"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lang w:val="en-US" w:eastAsia="zh-CN" w:bidi="ar"/>
              </w:rPr>
              <w:t>未按要求时效和金额缴交罚款</w:t>
            </w:r>
          </w:p>
        </w:tc>
        <w:tc>
          <w:tcPr>
            <w:tcW w:w="760" w:type="pct"/>
            <w:tcBorders>
              <w:top w:val="single" w:color="000000" w:sz="4" w:space="0"/>
              <w:left w:val="nil"/>
              <w:bottom w:val="single" w:color="000000" w:sz="4" w:space="0"/>
              <w:right w:val="single" w:color="000000" w:sz="4" w:space="0"/>
            </w:tcBorders>
            <w:shd w:val="clear" w:color="auto" w:fill="auto"/>
            <w:vAlign w:val="top"/>
          </w:tcPr>
          <w:p w14:paraId="7FEA2C31">
            <w:pPr>
              <w:keepNext w:val="0"/>
              <w:keepLines w:val="0"/>
              <w:widowControl w:val="0"/>
              <w:suppressLineNumbers w:val="0"/>
              <w:spacing w:before="0" w:beforeAutospacing="0" w:after="0" w:afterAutospacing="0"/>
              <w:ind w:left="0" w:right="0"/>
              <w:jc w:val="both"/>
              <w:rPr>
                <w:rFonts w:hint="default"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lang w:val="en-US" w:eastAsia="zh-CN" w:bidi="ar"/>
              </w:rPr>
              <w:t>超过30个日历日按双倍罚款金额扣罚</w:t>
            </w:r>
          </w:p>
        </w:tc>
      </w:tr>
    </w:tbl>
    <w:p w14:paraId="5D31C738">
      <w:pPr>
        <w:suppressAutoHyphens/>
        <w:autoSpaceDE w:val="0"/>
        <w:autoSpaceDN w:val="0"/>
        <w:bidi w:val="0"/>
        <w:adjustRightInd w:val="0"/>
        <w:snapToGrid w:val="0"/>
        <w:spacing w:before="0" w:beforeLines="0" w:line="360" w:lineRule="auto"/>
        <w:ind w:firstLine="560" w:firstLineChars="200"/>
        <w:jc w:val="left"/>
        <w:rPr>
          <w:rFonts w:hint="eastAsia" w:ascii="宋体" w:hAnsi="宋体" w:eastAsia="宋体" w:cs="宋体"/>
          <w:color w:val="auto"/>
          <w:sz w:val="28"/>
          <w:szCs w:val="20"/>
          <w:highlight w:val="none"/>
          <w:lang w:val="en-GB"/>
        </w:rPr>
      </w:pPr>
    </w:p>
    <w:p w14:paraId="1E0E62BF">
      <w:pPr>
        <w:suppressAutoHyphens/>
        <w:autoSpaceDE w:val="0"/>
        <w:autoSpaceDN w:val="0"/>
        <w:bidi w:val="0"/>
        <w:adjustRightInd w:val="0"/>
        <w:snapToGrid w:val="0"/>
        <w:spacing w:before="0" w:beforeLines="0" w:line="360" w:lineRule="auto"/>
        <w:ind w:firstLine="560" w:firstLineChars="200"/>
        <w:jc w:val="left"/>
        <w:rPr>
          <w:rFonts w:hint="eastAsia" w:ascii="宋体" w:hAnsi="宋体" w:eastAsia="宋体" w:cs="宋体"/>
          <w:color w:val="auto"/>
          <w:sz w:val="28"/>
          <w:szCs w:val="20"/>
          <w:highlight w:val="none"/>
          <w:lang w:val="en-GB"/>
        </w:rPr>
      </w:pPr>
    </w:p>
    <w:p w14:paraId="0C66E227">
      <w:pPr>
        <w:suppressAutoHyphens/>
        <w:autoSpaceDE w:val="0"/>
        <w:autoSpaceDN w:val="0"/>
        <w:bidi w:val="0"/>
        <w:adjustRightInd w:val="0"/>
        <w:snapToGrid w:val="0"/>
        <w:spacing w:before="0" w:beforeLines="0" w:line="360" w:lineRule="auto"/>
        <w:ind w:firstLine="560" w:firstLineChars="200"/>
        <w:jc w:val="left"/>
        <w:rPr>
          <w:rFonts w:hint="eastAsia" w:ascii="宋体" w:hAnsi="宋体" w:eastAsia="宋体" w:cs="宋体"/>
          <w:color w:val="auto"/>
          <w:sz w:val="28"/>
          <w:szCs w:val="20"/>
          <w:highlight w:val="none"/>
          <w:lang w:val="en-GB"/>
        </w:rPr>
      </w:pPr>
    </w:p>
    <w:p w14:paraId="0FFC2700">
      <w:pPr>
        <w:autoSpaceDE w:val="0"/>
        <w:autoSpaceDN w:val="0"/>
        <w:adjustRightInd w:val="0"/>
        <w:snapToGrid w:val="0"/>
        <w:spacing w:before="0" w:beforeLines="0" w:line="360" w:lineRule="auto"/>
        <w:ind w:firstLine="560" w:firstLineChars="200"/>
        <w:jc w:val="left"/>
        <w:rPr>
          <w:rFonts w:hint="eastAsia" w:ascii="宋体" w:hAnsi="宋体" w:eastAsia="宋体" w:cs="宋体"/>
          <w:color w:val="auto"/>
          <w:szCs w:val="20"/>
          <w:highlight w:val="none"/>
          <w:lang w:val="en-GB"/>
        </w:rPr>
        <w:sectPr>
          <w:pgSz w:w="11906" w:h="16838"/>
          <w:pgMar w:top="1440" w:right="1800" w:bottom="1440" w:left="1800" w:header="851" w:footer="992" w:gutter="0"/>
          <w:cols w:space="720" w:num="1"/>
          <w:docGrid w:type="lines" w:linePitch="312" w:charSpace="0"/>
        </w:sectPr>
      </w:pPr>
    </w:p>
    <w:p w14:paraId="1CE8924D">
      <w:pPr>
        <w:suppressAutoHyphens/>
        <w:bidi w:val="0"/>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GB"/>
        </w:rPr>
        <w:t>附件4：</w:t>
      </w:r>
      <w:r>
        <w:rPr>
          <w:rFonts w:hint="eastAsia" w:ascii="宋体" w:hAnsi="宋体" w:eastAsia="宋体" w:cs="宋体"/>
          <w:b/>
          <w:bCs/>
          <w:color w:val="auto"/>
          <w:sz w:val="24"/>
          <w:szCs w:val="24"/>
          <w:highlight w:val="none"/>
        </w:rPr>
        <w:t>《安装标准》</w:t>
      </w:r>
    </w:p>
    <w:p w14:paraId="743C9F96">
      <w:pPr>
        <w:keepNext w:val="0"/>
        <w:keepLines w:val="0"/>
        <w:pageBreakBefore w:val="0"/>
        <w:suppressAutoHyphens/>
        <w:kinsoku/>
        <w:wordWrap/>
        <w:overflowPunct/>
        <w:topLinePunct w:val="0"/>
        <w:autoSpaceDE/>
        <w:autoSpaceDN/>
        <w:bidi w:val="0"/>
        <w:adjustRightInd/>
        <w:snapToGrid/>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标准安装投标人所需提供的辅材和耗材</w:t>
      </w:r>
    </w:p>
    <w:p w14:paraId="351C8DE0">
      <w:pPr>
        <w:keepNext w:val="0"/>
        <w:keepLines w:val="0"/>
        <w:pageBreakBefore w:val="0"/>
        <w:suppressAutoHyphens/>
        <w:kinsoku/>
        <w:wordWrap/>
        <w:overflowPunct/>
        <w:topLinePunct w:val="0"/>
        <w:autoSpaceDE/>
        <w:autoSpaceDN/>
        <w:bidi w:val="0"/>
        <w:adjustRightInd/>
        <w:snapToGrid/>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    1</w:t>
      </w:r>
      <w:r>
        <w:rPr>
          <w:rFonts w:hint="eastAsia" w:ascii="宋体" w:hAnsi="宋体" w:eastAsia="宋体" w:cs="宋体"/>
          <w:color w:val="auto"/>
          <w:sz w:val="21"/>
          <w:szCs w:val="21"/>
          <w:highlight w:val="none"/>
        </w:rPr>
        <w:t>.1包括网络线-UTP超</w:t>
      </w:r>
      <w:r>
        <w:rPr>
          <w:rFonts w:hint="eastAsia" w:ascii="宋体" w:hAnsi="宋体" w:eastAsia="宋体" w:cs="宋体"/>
          <w:color w:val="auto"/>
          <w:sz w:val="21"/>
          <w:szCs w:val="21"/>
          <w:highlight w:val="none"/>
          <w:lang w:eastAsia="zh-CN"/>
        </w:rPr>
        <w:t>六</w:t>
      </w:r>
      <w:r>
        <w:rPr>
          <w:rFonts w:hint="eastAsia" w:ascii="宋体" w:hAnsi="宋体" w:eastAsia="宋体" w:cs="宋体"/>
          <w:color w:val="auto"/>
          <w:sz w:val="21"/>
          <w:szCs w:val="21"/>
          <w:highlight w:val="none"/>
        </w:rPr>
        <w:t>类网络线、3+4 VGA线</w:t>
      </w:r>
      <w:r>
        <w:rPr>
          <w:rFonts w:hint="eastAsia" w:ascii="宋体" w:hAnsi="宋体" w:eastAsia="宋体" w:cs="宋体"/>
          <w:color w:val="auto"/>
          <w:sz w:val="21"/>
          <w:szCs w:val="21"/>
          <w:highlight w:val="none"/>
          <w:lang w:eastAsia="zh-CN"/>
        </w:rPr>
        <w:t>（带屏蔽）</w:t>
      </w:r>
      <w:r>
        <w:rPr>
          <w:rFonts w:hint="eastAsia" w:ascii="宋体" w:hAnsi="宋体" w:eastAsia="宋体" w:cs="宋体"/>
          <w:color w:val="auto"/>
          <w:sz w:val="21"/>
          <w:szCs w:val="21"/>
          <w:highlight w:val="none"/>
        </w:rPr>
        <w:t xml:space="preserve">、电源线3×1.0mm、SYV-75-3视频线、音频线、线槽、多功能排插安装辅材。 </w:t>
      </w:r>
    </w:p>
    <w:p w14:paraId="232FFDB0">
      <w:pPr>
        <w:keepNext w:val="0"/>
        <w:keepLines w:val="0"/>
        <w:pageBreakBefore w:val="0"/>
        <w:suppressAutoHyphens/>
        <w:kinsoku/>
        <w:wordWrap/>
        <w:overflowPunct/>
        <w:topLinePunct w:val="0"/>
        <w:autoSpaceDE/>
        <w:autoSpaceDN/>
        <w:bidi w:val="0"/>
        <w:adjustRightInd/>
        <w:snapToGrid/>
        <w:spacing w:line="30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.2所有单种类线材长度不超过25米，安装的层高不超过3.5米，超过部分根据现场实际情况另行结算。</w:t>
      </w:r>
    </w:p>
    <w:p w14:paraId="35ADF72C">
      <w:pPr>
        <w:keepNext w:val="0"/>
        <w:keepLines w:val="0"/>
        <w:pageBreakBefore w:val="0"/>
        <w:suppressAutoHyphens/>
        <w:kinsoku/>
        <w:wordWrap/>
        <w:overflowPunct/>
        <w:topLinePunct w:val="0"/>
        <w:autoSpaceDE/>
        <w:autoSpaceDN/>
        <w:bidi w:val="0"/>
        <w:adjustRightInd/>
        <w:snapToGrid/>
        <w:spacing w:line="30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标准安装外施工安装</w:t>
      </w:r>
    </w:p>
    <w:p w14:paraId="577DF49B">
      <w:pPr>
        <w:keepNext w:val="0"/>
        <w:keepLines w:val="0"/>
        <w:pageBreakBefore w:val="0"/>
        <w:suppressAutoHyphens/>
        <w:kinsoku/>
        <w:wordWrap/>
        <w:overflowPunct/>
        <w:topLinePunct w:val="0"/>
        <w:autoSpaceDE/>
        <w:autoSpaceDN/>
        <w:bidi w:val="0"/>
        <w:adjustRightInd/>
        <w:snapToGrid/>
        <w:spacing w:line="300" w:lineRule="auto"/>
        <w:ind w:firstLine="48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.1迁移开关或电源面板。迁移电源面板、电灯或风扇开关至指定位置（迁移距离不超过1.5米）。限价80元/个。</w:t>
      </w:r>
    </w:p>
    <w:p w14:paraId="013796FB">
      <w:pPr>
        <w:keepNext w:val="0"/>
        <w:keepLines w:val="0"/>
        <w:pageBreakBefore w:val="0"/>
        <w:suppressAutoHyphens/>
        <w:kinsoku/>
        <w:wordWrap/>
        <w:overflowPunct/>
        <w:topLinePunct w:val="0"/>
        <w:autoSpaceDE/>
        <w:autoSpaceDN/>
        <w:bidi w:val="0"/>
        <w:adjustRightInd/>
        <w:snapToGrid/>
        <w:spacing w:line="300" w:lineRule="auto"/>
        <w:ind w:firstLine="48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切割地板槽。切割水泥或木质地板梯台，按条结算（距离为墙壁至讲桌位置1米内）。限价200元/条。</w:t>
      </w:r>
    </w:p>
    <w:p w14:paraId="4357997C">
      <w:pPr>
        <w:keepNext w:val="0"/>
        <w:keepLines w:val="0"/>
        <w:pageBreakBefore w:val="0"/>
        <w:suppressAutoHyphens/>
        <w:kinsoku/>
        <w:wordWrap/>
        <w:overflowPunct/>
        <w:topLinePunct w:val="0"/>
        <w:autoSpaceDE/>
        <w:autoSpaceDN/>
        <w:bidi w:val="0"/>
        <w:adjustRightInd/>
        <w:snapToGrid/>
        <w:spacing w:line="300" w:lineRule="auto"/>
        <w:ind w:firstLine="48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切割中控面板槽。在已有讲桌上切割出放置中控相应尺寸的面板槽（只限于切割与新中控大小相接近的尺寸）。限价95元/个。</w:t>
      </w:r>
    </w:p>
    <w:p w14:paraId="31B6C45E">
      <w:pPr>
        <w:keepNext w:val="0"/>
        <w:keepLines w:val="0"/>
        <w:pageBreakBefore w:val="0"/>
        <w:suppressAutoHyphens/>
        <w:kinsoku/>
        <w:wordWrap/>
        <w:overflowPunct/>
        <w:topLinePunct w:val="0"/>
        <w:autoSpaceDE/>
        <w:autoSpaceDN/>
        <w:bidi w:val="0"/>
        <w:adjustRightInd/>
        <w:snapToGrid/>
        <w:spacing w:line="300" w:lineRule="auto"/>
        <w:ind w:firstLine="48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4推拉</w:t>
      </w:r>
      <w:r>
        <w:rPr>
          <w:rFonts w:hint="eastAsia" w:ascii="宋体" w:hAnsi="宋体" w:eastAsia="宋体" w:cs="宋体"/>
          <w:color w:val="auto"/>
          <w:sz w:val="21"/>
          <w:szCs w:val="21"/>
          <w:highlight w:val="none"/>
          <w:lang w:eastAsia="zh-CN"/>
        </w:rPr>
        <w:t>黑板和触控一体机</w:t>
      </w:r>
      <w:r>
        <w:rPr>
          <w:rFonts w:hint="eastAsia" w:ascii="宋体" w:hAnsi="宋体" w:cs="宋体"/>
          <w:color w:val="auto"/>
          <w:sz w:val="21"/>
          <w:szCs w:val="21"/>
          <w:highlight w:val="none"/>
          <w:lang w:eastAsia="zh-CN"/>
        </w:rPr>
        <w:t>或智慧黑板</w:t>
      </w:r>
      <w:r>
        <w:rPr>
          <w:rFonts w:hint="eastAsia" w:ascii="宋体" w:hAnsi="宋体" w:eastAsia="宋体" w:cs="宋体"/>
          <w:color w:val="auto"/>
          <w:sz w:val="21"/>
          <w:szCs w:val="21"/>
          <w:highlight w:val="none"/>
          <w:lang w:eastAsia="zh-CN"/>
        </w:rPr>
        <w:t>固定支架。教室内需要安装推拉黑板或者触控一体机</w:t>
      </w:r>
      <w:r>
        <w:rPr>
          <w:rFonts w:hint="eastAsia" w:ascii="宋体" w:hAnsi="宋体" w:cs="宋体"/>
          <w:color w:val="auto"/>
          <w:sz w:val="21"/>
          <w:szCs w:val="21"/>
          <w:highlight w:val="none"/>
          <w:lang w:eastAsia="zh-CN"/>
        </w:rPr>
        <w:t>或智慧黑板</w:t>
      </w:r>
      <w:r>
        <w:rPr>
          <w:rFonts w:hint="eastAsia" w:ascii="宋体" w:hAnsi="宋体" w:eastAsia="宋体" w:cs="宋体"/>
          <w:color w:val="auto"/>
          <w:sz w:val="21"/>
          <w:szCs w:val="21"/>
          <w:highlight w:val="none"/>
          <w:lang w:eastAsia="zh-CN"/>
        </w:rPr>
        <w:t>的墙面有凸出承重柱的情况下需要定制整面与承重柱一样厚度的固定支架才能在水平位置上安装</w:t>
      </w:r>
      <w:r>
        <w:rPr>
          <w:rFonts w:hint="eastAsia" w:ascii="宋体" w:hAnsi="宋体" w:eastAsia="宋体" w:cs="宋体"/>
          <w:color w:val="auto"/>
          <w:sz w:val="21"/>
          <w:szCs w:val="21"/>
          <w:highlight w:val="none"/>
          <w:lang w:val="en-US" w:eastAsia="zh-CN"/>
        </w:rPr>
        <w:t>推拉</w:t>
      </w:r>
      <w:r>
        <w:rPr>
          <w:rFonts w:hint="eastAsia" w:ascii="宋体" w:hAnsi="宋体" w:eastAsia="宋体" w:cs="宋体"/>
          <w:color w:val="auto"/>
          <w:sz w:val="21"/>
          <w:szCs w:val="21"/>
          <w:highlight w:val="none"/>
          <w:lang w:eastAsia="zh-CN"/>
        </w:rPr>
        <w:t>黑板和触控一体机</w:t>
      </w:r>
      <w:r>
        <w:rPr>
          <w:rFonts w:hint="eastAsia" w:ascii="宋体" w:hAnsi="宋体" w:cs="宋体"/>
          <w:color w:val="auto"/>
          <w:sz w:val="21"/>
          <w:szCs w:val="21"/>
          <w:highlight w:val="none"/>
          <w:lang w:eastAsia="zh-CN"/>
        </w:rPr>
        <w:t>或智慧黑板</w:t>
      </w:r>
      <w:r>
        <w:rPr>
          <w:rFonts w:hint="eastAsia" w:ascii="宋体" w:hAnsi="宋体" w:eastAsia="宋体" w:cs="宋体"/>
          <w:color w:val="auto"/>
          <w:sz w:val="21"/>
          <w:szCs w:val="21"/>
          <w:highlight w:val="none"/>
          <w:lang w:eastAsia="zh-CN"/>
        </w:rPr>
        <w:t>。限价550元/套。</w:t>
      </w:r>
    </w:p>
    <w:p w14:paraId="79F7D081">
      <w:pPr>
        <w:keepNext w:val="0"/>
        <w:keepLines w:val="0"/>
        <w:pageBreakBefore w:val="0"/>
        <w:suppressAutoHyphens/>
        <w:kinsoku/>
        <w:wordWrap/>
        <w:overflowPunct/>
        <w:topLinePunct w:val="0"/>
        <w:autoSpaceDE/>
        <w:autoSpaceDN/>
        <w:bidi w:val="0"/>
        <w:adjustRightInd/>
        <w:snapToGrid/>
        <w:spacing w:line="300" w:lineRule="auto"/>
        <w:ind w:firstLine="48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墙面加固安装。针对触控一体机</w:t>
      </w:r>
      <w:r>
        <w:rPr>
          <w:rFonts w:hint="eastAsia" w:ascii="宋体" w:hAnsi="宋体" w:cs="宋体"/>
          <w:color w:val="auto"/>
          <w:sz w:val="21"/>
          <w:szCs w:val="21"/>
          <w:highlight w:val="none"/>
          <w:lang w:eastAsia="zh-CN"/>
        </w:rPr>
        <w:t>或智慧黑板</w:t>
      </w:r>
      <w:r>
        <w:rPr>
          <w:rFonts w:hint="eastAsia" w:ascii="宋体" w:hAnsi="宋体" w:eastAsia="宋体" w:cs="宋体"/>
          <w:color w:val="auto"/>
          <w:sz w:val="21"/>
          <w:szCs w:val="21"/>
          <w:highlight w:val="none"/>
          <w:lang w:eastAsia="zh-CN"/>
        </w:rPr>
        <w:t>安装位置的墙面材质，进行承重螺杆穿墙加固安装；（不包含拆除或挖空墙体，注入水泥或混合砂浆或钢筋等构筑工程）。限价325元/套。</w:t>
      </w:r>
    </w:p>
    <w:p w14:paraId="56C8E0CE">
      <w:pPr>
        <w:keepNext w:val="0"/>
        <w:keepLines w:val="0"/>
        <w:pageBreakBefore w:val="0"/>
        <w:suppressAutoHyphens/>
        <w:kinsoku/>
        <w:wordWrap/>
        <w:overflowPunct/>
        <w:topLinePunct w:val="0"/>
        <w:autoSpaceDE/>
        <w:autoSpaceDN/>
        <w:bidi w:val="0"/>
        <w:adjustRightInd/>
        <w:snapToGrid/>
        <w:spacing w:line="300" w:lineRule="auto"/>
        <w:ind w:firstLine="48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线槽加固。将原有的塑料线槽更改为金属线槽。限价537元/间。</w:t>
      </w:r>
    </w:p>
    <w:p w14:paraId="7C667A1E">
      <w:pPr>
        <w:keepNext w:val="0"/>
        <w:keepLines w:val="0"/>
        <w:pageBreakBefore w:val="0"/>
        <w:suppressAutoHyphens/>
        <w:kinsoku/>
        <w:wordWrap/>
        <w:overflowPunct/>
        <w:topLinePunct w:val="0"/>
        <w:autoSpaceDE/>
        <w:autoSpaceDN/>
        <w:bidi w:val="0"/>
        <w:adjustRightInd/>
        <w:snapToGrid/>
        <w:spacing w:line="30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标准安装外辅材</w:t>
      </w:r>
    </w:p>
    <w:p w14:paraId="77598C32">
      <w:pPr>
        <w:keepNext w:val="0"/>
        <w:keepLines w:val="0"/>
        <w:pageBreakBefore w:val="0"/>
        <w:suppressAutoHyphens/>
        <w:kinsoku/>
        <w:wordWrap/>
        <w:overflowPunct/>
        <w:topLinePunct w:val="0"/>
        <w:autoSpaceDE/>
        <w:autoSpaceDN/>
        <w:bidi w:val="0"/>
        <w:adjustRightInd/>
        <w:snapToGrid/>
        <w:spacing w:line="300" w:lineRule="auto"/>
        <w:ind w:firstLine="48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.1 VGA分频器（一拖二，保修三年）。限价49元/个。</w:t>
      </w:r>
    </w:p>
    <w:p w14:paraId="0766A94A">
      <w:pPr>
        <w:keepNext w:val="0"/>
        <w:keepLines w:val="0"/>
        <w:pageBreakBefore w:val="0"/>
        <w:suppressAutoHyphens/>
        <w:kinsoku/>
        <w:wordWrap/>
        <w:overflowPunct/>
        <w:topLinePunct w:val="0"/>
        <w:autoSpaceDE/>
        <w:autoSpaceDN/>
        <w:bidi w:val="0"/>
        <w:adjustRightInd/>
        <w:snapToGrid/>
        <w:spacing w:line="300" w:lineRule="auto"/>
        <w:ind w:firstLine="48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.2高速HDMI数字高清线（接口宽度1.4CM，保修三年）。5米限价29元/条；10米限价99元/条；15米限价150元/条；20米限价269元/条。</w:t>
      </w:r>
    </w:p>
    <w:p w14:paraId="38044E83">
      <w:pPr>
        <w:suppressAutoHyphens/>
        <w:autoSpaceDE w:val="0"/>
        <w:autoSpaceDN w:val="0"/>
        <w:bidi w:val="0"/>
        <w:adjustRightInd w:val="0"/>
        <w:snapToGrid w:val="0"/>
        <w:spacing w:beforeLines="0" w:line="360" w:lineRule="auto"/>
        <w:ind w:firstLine="0"/>
        <w:jc w:val="left"/>
        <w:rPr>
          <w:rFonts w:hint="eastAsia" w:ascii="宋体" w:hAnsi="宋体" w:eastAsia="宋体" w:cs="宋体"/>
          <w:b/>
          <w:bCs/>
          <w:color w:val="auto"/>
          <w:sz w:val="21"/>
          <w:szCs w:val="20"/>
          <w:highlight w:val="none"/>
        </w:rPr>
      </w:pPr>
    </w:p>
    <w:p w14:paraId="18B8AB82">
      <w:pPr>
        <w:suppressAutoHyphens/>
        <w:autoSpaceDE w:val="0"/>
        <w:autoSpaceDN w:val="0"/>
        <w:bidi w:val="0"/>
        <w:adjustRightInd w:val="0"/>
        <w:snapToGrid w:val="0"/>
        <w:spacing w:beforeLines="0" w:line="360" w:lineRule="auto"/>
        <w:ind w:firstLine="0"/>
        <w:jc w:val="left"/>
        <w:rPr>
          <w:rFonts w:hint="eastAsia" w:ascii="宋体" w:hAnsi="宋体" w:eastAsia="宋体" w:cs="宋体"/>
          <w:b/>
          <w:bCs/>
          <w:color w:val="auto"/>
          <w:sz w:val="21"/>
          <w:szCs w:val="20"/>
          <w:highlight w:val="none"/>
        </w:rPr>
      </w:pPr>
    </w:p>
    <w:p w14:paraId="4D3D63ED">
      <w:pPr>
        <w:suppressAutoHyphens/>
        <w:autoSpaceDE w:val="0"/>
        <w:autoSpaceDN w:val="0"/>
        <w:bidi w:val="0"/>
        <w:adjustRightInd w:val="0"/>
        <w:snapToGrid w:val="0"/>
        <w:spacing w:beforeLines="0" w:line="360" w:lineRule="auto"/>
        <w:ind w:firstLine="0"/>
        <w:jc w:val="left"/>
        <w:rPr>
          <w:rFonts w:hint="eastAsia" w:ascii="宋体" w:hAnsi="宋体" w:eastAsia="宋体" w:cs="宋体"/>
          <w:b/>
          <w:bCs/>
          <w:color w:val="auto"/>
          <w:sz w:val="21"/>
          <w:szCs w:val="20"/>
          <w:highlight w:val="none"/>
        </w:rPr>
      </w:pPr>
    </w:p>
    <w:p w14:paraId="08F8452C">
      <w:pPr>
        <w:suppressAutoHyphens/>
        <w:autoSpaceDE w:val="0"/>
        <w:autoSpaceDN w:val="0"/>
        <w:bidi w:val="0"/>
        <w:adjustRightInd w:val="0"/>
        <w:snapToGrid w:val="0"/>
        <w:spacing w:beforeLines="0" w:line="360" w:lineRule="auto"/>
        <w:ind w:firstLine="0"/>
        <w:jc w:val="left"/>
        <w:rPr>
          <w:rFonts w:hint="eastAsia" w:ascii="宋体" w:hAnsi="宋体" w:eastAsia="宋体" w:cs="宋体"/>
          <w:b/>
          <w:bCs/>
          <w:color w:val="auto"/>
          <w:sz w:val="21"/>
          <w:szCs w:val="20"/>
          <w:highlight w:val="none"/>
        </w:rPr>
      </w:pPr>
    </w:p>
    <w:p w14:paraId="5EB77419">
      <w:pPr>
        <w:suppressAutoHyphens/>
        <w:autoSpaceDE w:val="0"/>
        <w:autoSpaceDN w:val="0"/>
        <w:bidi w:val="0"/>
        <w:adjustRightInd w:val="0"/>
        <w:snapToGrid w:val="0"/>
        <w:spacing w:beforeLines="0" w:line="360" w:lineRule="auto"/>
        <w:ind w:firstLine="0"/>
        <w:jc w:val="left"/>
        <w:rPr>
          <w:rFonts w:hint="eastAsia" w:ascii="宋体" w:hAnsi="宋体" w:eastAsia="宋体" w:cs="宋体"/>
          <w:b/>
          <w:bCs/>
          <w:color w:val="auto"/>
          <w:sz w:val="21"/>
          <w:szCs w:val="20"/>
          <w:highlight w:val="none"/>
        </w:rPr>
      </w:pPr>
    </w:p>
    <w:p w14:paraId="0E9687FD">
      <w:pPr>
        <w:suppressAutoHyphens/>
        <w:autoSpaceDE w:val="0"/>
        <w:autoSpaceDN w:val="0"/>
        <w:bidi w:val="0"/>
        <w:adjustRightInd w:val="0"/>
        <w:snapToGrid w:val="0"/>
        <w:spacing w:beforeLines="0" w:line="360" w:lineRule="auto"/>
        <w:ind w:firstLine="0"/>
        <w:jc w:val="left"/>
        <w:rPr>
          <w:rFonts w:hint="eastAsia" w:ascii="宋体" w:hAnsi="宋体" w:eastAsia="宋体" w:cs="宋体"/>
          <w:b/>
          <w:bCs/>
          <w:color w:val="auto"/>
          <w:sz w:val="21"/>
          <w:szCs w:val="20"/>
          <w:highlight w:val="none"/>
        </w:rPr>
      </w:pPr>
    </w:p>
    <w:p w14:paraId="50F13032">
      <w:pPr>
        <w:suppressAutoHyphens/>
        <w:autoSpaceDE w:val="0"/>
        <w:autoSpaceDN w:val="0"/>
        <w:bidi w:val="0"/>
        <w:adjustRightInd w:val="0"/>
        <w:snapToGrid w:val="0"/>
        <w:spacing w:beforeLines="0" w:line="360" w:lineRule="auto"/>
        <w:ind w:firstLine="0"/>
        <w:jc w:val="left"/>
        <w:rPr>
          <w:rFonts w:hint="eastAsia" w:ascii="宋体" w:hAnsi="宋体" w:eastAsia="宋体" w:cs="宋体"/>
          <w:b/>
          <w:bCs/>
          <w:color w:val="auto"/>
          <w:sz w:val="21"/>
          <w:szCs w:val="20"/>
          <w:highlight w:val="none"/>
        </w:rPr>
      </w:pPr>
    </w:p>
    <w:p w14:paraId="6AD8DE23">
      <w:pPr>
        <w:suppressAutoHyphens/>
        <w:autoSpaceDE w:val="0"/>
        <w:autoSpaceDN w:val="0"/>
        <w:bidi w:val="0"/>
        <w:adjustRightInd w:val="0"/>
        <w:snapToGrid w:val="0"/>
        <w:spacing w:beforeLines="0" w:line="360" w:lineRule="auto"/>
        <w:ind w:firstLine="0"/>
        <w:jc w:val="left"/>
        <w:rPr>
          <w:rFonts w:hint="eastAsia" w:ascii="宋体" w:hAnsi="宋体" w:eastAsia="宋体" w:cs="宋体"/>
          <w:b/>
          <w:bCs/>
          <w:color w:val="auto"/>
          <w:sz w:val="21"/>
          <w:szCs w:val="20"/>
          <w:highlight w:val="none"/>
        </w:rPr>
      </w:pPr>
    </w:p>
    <w:p w14:paraId="213D6ECA">
      <w:pPr>
        <w:suppressAutoHyphens/>
        <w:autoSpaceDE w:val="0"/>
        <w:autoSpaceDN w:val="0"/>
        <w:bidi w:val="0"/>
        <w:adjustRightInd w:val="0"/>
        <w:snapToGrid w:val="0"/>
        <w:spacing w:beforeLines="0" w:line="360" w:lineRule="auto"/>
        <w:ind w:firstLine="0"/>
        <w:jc w:val="left"/>
        <w:rPr>
          <w:rFonts w:hint="eastAsia" w:ascii="宋体" w:hAnsi="宋体" w:eastAsia="宋体" w:cs="宋体"/>
          <w:b/>
          <w:bCs/>
          <w:color w:val="auto"/>
          <w:sz w:val="21"/>
          <w:szCs w:val="20"/>
          <w:highlight w:val="none"/>
        </w:rPr>
      </w:pPr>
    </w:p>
    <w:p w14:paraId="1B21C43C">
      <w:pPr>
        <w:suppressAutoHyphens/>
        <w:autoSpaceDE w:val="0"/>
        <w:autoSpaceDN w:val="0"/>
        <w:bidi w:val="0"/>
        <w:adjustRightInd w:val="0"/>
        <w:snapToGrid w:val="0"/>
        <w:spacing w:beforeLines="0" w:line="360" w:lineRule="auto"/>
        <w:ind w:firstLine="0"/>
        <w:jc w:val="left"/>
        <w:rPr>
          <w:rFonts w:hint="eastAsia" w:ascii="宋体" w:hAnsi="宋体" w:eastAsia="宋体" w:cs="宋体"/>
          <w:b/>
          <w:bCs/>
          <w:color w:val="auto"/>
          <w:sz w:val="21"/>
          <w:szCs w:val="20"/>
          <w:highlight w:val="none"/>
        </w:rPr>
      </w:pPr>
    </w:p>
    <w:p w14:paraId="55FDF209">
      <w:pPr>
        <w:suppressAutoHyphens/>
        <w:autoSpaceDE w:val="0"/>
        <w:autoSpaceDN w:val="0"/>
        <w:bidi w:val="0"/>
        <w:adjustRightInd w:val="0"/>
        <w:snapToGrid w:val="0"/>
        <w:spacing w:beforeLines="0" w:line="360" w:lineRule="auto"/>
        <w:ind w:firstLine="0"/>
        <w:jc w:val="left"/>
        <w:rPr>
          <w:rFonts w:hint="eastAsia" w:ascii="宋体" w:hAnsi="宋体" w:eastAsia="宋体" w:cs="宋体"/>
          <w:b/>
          <w:bCs/>
          <w:color w:val="auto"/>
          <w:sz w:val="21"/>
          <w:szCs w:val="20"/>
          <w:highlight w:val="none"/>
        </w:rPr>
      </w:pPr>
    </w:p>
    <w:p w14:paraId="07A92E62">
      <w:pPr>
        <w:suppressAutoHyphens/>
        <w:autoSpaceDE w:val="0"/>
        <w:autoSpaceDN w:val="0"/>
        <w:bidi w:val="0"/>
        <w:adjustRightInd w:val="0"/>
        <w:snapToGrid w:val="0"/>
        <w:spacing w:beforeLines="0" w:line="360" w:lineRule="auto"/>
        <w:ind w:firstLine="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附件</w:t>
      </w: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w:t>
      </w:r>
      <w:r>
        <w:rPr>
          <w:rFonts w:hint="eastAsia" w:ascii="宋体" w:hAnsi="宋体" w:eastAsia="宋体" w:cs="宋体"/>
          <w:b/>
          <w:bCs/>
          <w:i w:val="0"/>
          <w:iCs w:val="0"/>
          <w:caps w:val="0"/>
          <w:color w:val="auto"/>
          <w:spacing w:val="0"/>
          <w:sz w:val="24"/>
          <w:szCs w:val="24"/>
          <w:highlight w:val="none"/>
          <w:shd w:val="clear" w:color="auto" w:fill="auto"/>
        </w:rPr>
        <w:t>实施安装验收标准</w:t>
      </w:r>
      <w:r>
        <w:rPr>
          <w:rFonts w:hint="eastAsia" w:ascii="宋体" w:hAnsi="宋体" w:eastAsia="宋体" w:cs="宋体"/>
          <w:b/>
          <w:bCs/>
          <w:color w:val="auto"/>
          <w:sz w:val="24"/>
          <w:szCs w:val="24"/>
          <w:highlight w:val="none"/>
        </w:rPr>
        <w:t>》</w:t>
      </w:r>
    </w:p>
    <w:p w14:paraId="3647F067">
      <w:pPr>
        <w:suppressAutoHyphens/>
        <w:bidi w:val="0"/>
        <w:spacing w:line="300" w:lineRule="auto"/>
        <w:ind w:firstLine="480"/>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1、在安装前应确认安装环境，教室若有旧投影机或旧触控一体机</w:t>
      </w:r>
      <w:r>
        <w:rPr>
          <w:rFonts w:hint="default" w:ascii="宋体" w:hAnsi="宋体" w:cs="宋体"/>
          <w:bCs w:val="0"/>
          <w:color w:val="auto"/>
          <w:sz w:val="21"/>
          <w:szCs w:val="21"/>
          <w:highlight w:val="none"/>
        </w:rPr>
        <w:t>或智慧黑板</w:t>
      </w:r>
      <w:r>
        <w:rPr>
          <w:rFonts w:hint="eastAsia" w:ascii="宋体" w:hAnsi="宋体" w:eastAsia="宋体" w:cs="宋体"/>
          <w:bCs w:val="0"/>
          <w:color w:val="auto"/>
          <w:sz w:val="21"/>
          <w:szCs w:val="21"/>
          <w:highlight w:val="none"/>
        </w:rPr>
        <w:t>以及配套的旧投影幕布、旧黑板、旧讲台、旧音响设备、旧功放设备、旧电脑主机及显示器、旧话筒及话筒主机设备、旧中控设备、旧实物展台等设备，经</w:t>
      </w:r>
      <w:r>
        <w:rPr>
          <w:rFonts w:hint="eastAsia" w:ascii="宋体" w:hAnsi="宋体" w:eastAsia="宋体" w:cs="宋体"/>
          <w:bCs w:val="0"/>
          <w:color w:val="auto"/>
          <w:sz w:val="21"/>
          <w:szCs w:val="21"/>
          <w:highlight w:val="none"/>
          <w:lang w:eastAsia="zh-CN"/>
        </w:rPr>
        <w:t>最终用户</w:t>
      </w:r>
      <w:r>
        <w:rPr>
          <w:rFonts w:hint="eastAsia" w:ascii="宋体" w:hAnsi="宋体" w:eastAsia="宋体" w:cs="宋体"/>
          <w:bCs w:val="0"/>
          <w:color w:val="auto"/>
          <w:sz w:val="21"/>
          <w:szCs w:val="21"/>
          <w:highlight w:val="none"/>
        </w:rPr>
        <w:t>确认需要拆除，需免费协助客户拆除并运输至</w:t>
      </w:r>
      <w:r>
        <w:rPr>
          <w:rFonts w:hint="eastAsia" w:ascii="宋体" w:hAnsi="宋体" w:eastAsia="宋体" w:cs="宋体"/>
          <w:bCs w:val="0"/>
          <w:color w:val="auto"/>
          <w:sz w:val="21"/>
          <w:szCs w:val="21"/>
          <w:highlight w:val="none"/>
          <w:lang w:eastAsia="zh-CN"/>
        </w:rPr>
        <w:t>最终用户</w:t>
      </w:r>
      <w:r>
        <w:rPr>
          <w:rFonts w:hint="eastAsia" w:ascii="宋体" w:hAnsi="宋体" w:eastAsia="宋体" w:cs="宋体"/>
          <w:bCs w:val="0"/>
          <w:color w:val="auto"/>
          <w:sz w:val="21"/>
          <w:szCs w:val="21"/>
          <w:highlight w:val="none"/>
        </w:rPr>
        <w:t>指定的位置。拆除的旧设备</w:t>
      </w:r>
      <w:r>
        <w:rPr>
          <w:rFonts w:hint="eastAsia" w:ascii="宋体" w:hAnsi="宋体" w:eastAsia="宋体" w:cs="宋体"/>
          <w:bCs w:val="0"/>
          <w:color w:val="auto"/>
          <w:sz w:val="21"/>
          <w:szCs w:val="21"/>
          <w:highlight w:val="none"/>
          <w:lang w:eastAsia="zh-CN"/>
        </w:rPr>
        <w:t>最终用户</w:t>
      </w:r>
      <w:r>
        <w:rPr>
          <w:rFonts w:hint="eastAsia" w:ascii="宋体" w:hAnsi="宋体" w:eastAsia="宋体" w:cs="宋体"/>
          <w:bCs w:val="0"/>
          <w:color w:val="auto"/>
          <w:sz w:val="21"/>
          <w:szCs w:val="21"/>
          <w:highlight w:val="none"/>
        </w:rPr>
        <w:t>需要利旧并在新的位置安装，需免费协助客户在新的位置安装需要利旧的设备，并提供安装所需的所有辅材。</w:t>
      </w:r>
    </w:p>
    <w:p w14:paraId="484AC041">
      <w:pPr>
        <w:suppressAutoHyphens/>
        <w:bidi w:val="0"/>
        <w:spacing w:line="300" w:lineRule="auto"/>
        <w:ind w:firstLine="480"/>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2、采用壁挂支架固定触控一体机</w:t>
      </w:r>
      <w:r>
        <w:rPr>
          <w:rFonts w:hint="default" w:ascii="宋体" w:hAnsi="宋体" w:cs="宋体"/>
          <w:bCs w:val="0"/>
          <w:color w:val="auto"/>
          <w:sz w:val="21"/>
          <w:szCs w:val="21"/>
          <w:highlight w:val="none"/>
        </w:rPr>
        <w:t>或智慧黑板</w:t>
      </w:r>
      <w:r>
        <w:rPr>
          <w:rFonts w:hint="eastAsia" w:ascii="宋体" w:hAnsi="宋体" w:eastAsia="宋体" w:cs="宋体"/>
          <w:bCs w:val="0"/>
          <w:color w:val="auto"/>
          <w:sz w:val="21"/>
          <w:szCs w:val="21"/>
          <w:highlight w:val="none"/>
        </w:rPr>
        <w:t>时，要求提供至少4个受力性能在240KG以上的膨胀螺栓进行固定支架，触控一体机</w:t>
      </w:r>
      <w:r>
        <w:rPr>
          <w:rFonts w:hint="default" w:ascii="宋体" w:hAnsi="宋体" w:cs="宋体"/>
          <w:bCs w:val="0"/>
          <w:color w:val="auto"/>
          <w:sz w:val="21"/>
          <w:szCs w:val="21"/>
          <w:highlight w:val="none"/>
        </w:rPr>
        <w:t>或智慧黑板</w:t>
      </w:r>
      <w:r>
        <w:rPr>
          <w:rFonts w:hint="eastAsia" w:ascii="宋体" w:hAnsi="宋体" w:eastAsia="宋体" w:cs="宋体"/>
          <w:bCs w:val="0"/>
          <w:color w:val="auto"/>
          <w:sz w:val="21"/>
          <w:szCs w:val="21"/>
          <w:highlight w:val="none"/>
        </w:rPr>
        <w:t>安装至墙面时要求稳定，不晃动，且与地面保持平行。安装完成后要求提供现场图片，并编入验收报告中。</w:t>
      </w:r>
    </w:p>
    <w:p w14:paraId="4FA734D2">
      <w:pPr>
        <w:suppressAutoHyphens/>
        <w:bidi w:val="0"/>
        <w:spacing w:line="300" w:lineRule="auto"/>
        <w:ind w:firstLine="480"/>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t>3、与触控一体机</w:t>
      </w:r>
      <w:r>
        <w:rPr>
          <w:rFonts w:hint="default" w:ascii="宋体" w:hAnsi="宋体" w:cs="宋体"/>
          <w:bCs w:val="0"/>
          <w:color w:val="auto"/>
          <w:sz w:val="21"/>
          <w:szCs w:val="21"/>
          <w:highlight w:val="none"/>
        </w:rPr>
        <w:t>或智慧黑板</w:t>
      </w:r>
      <w:r>
        <w:rPr>
          <w:rFonts w:hint="eastAsia" w:ascii="宋体" w:hAnsi="宋体" w:eastAsia="宋体" w:cs="宋体"/>
          <w:bCs w:val="0"/>
          <w:color w:val="auto"/>
          <w:sz w:val="21"/>
          <w:szCs w:val="21"/>
          <w:highlight w:val="none"/>
        </w:rPr>
        <w:t>连接的线</w:t>
      </w:r>
      <w:r>
        <w:rPr>
          <w:rFonts w:hint="eastAsia" w:ascii="宋体" w:hAnsi="宋体" w:eastAsia="宋体" w:cs="宋体"/>
          <w:color w:val="auto"/>
          <w:sz w:val="21"/>
          <w:szCs w:val="21"/>
          <w:highlight w:val="none"/>
        </w:rPr>
        <w:t>缆如网线、VGA线、电源线、USB线等，不允许出现裸线悬挂的情况，要求使用线槽进行收敛。安装完成后要求提供现场图片，并编入验收报告中。</w:t>
      </w:r>
    </w:p>
    <w:p w14:paraId="279BE4EB">
      <w:pPr>
        <w:suppressAutoHyphens/>
        <w:bidi w:val="0"/>
        <w:spacing w:line="30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4、触控一体机</w:t>
      </w:r>
      <w:r>
        <w:rPr>
          <w:rFonts w:hint="default" w:ascii="宋体" w:hAnsi="宋体" w:cs="宋体"/>
          <w:bCs w:val="0"/>
          <w:color w:val="auto"/>
          <w:sz w:val="21"/>
          <w:szCs w:val="21"/>
          <w:highlight w:val="none"/>
        </w:rPr>
        <w:t>或智慧黑板</w:t>
      </w:r>
      <w:r>
        <w:rPr>
          <w:rFonts w:hint="eastAsia" w:ascii="宋体" w:hAnsi="宋体" w:eastAsia="宋体" w:cs="宋体"/>
          <w:color w:val="auto"/>
          <w:sz w:val="21"/>
          <w:szCs w:val="21"/>
          <w:highlight w:val="none"/>
        </w:rPr>
        <w:t>配置的插拔式模块化电脑要求安装正版</w:t>
      </w:r>
      <w:r>
        <w:rPr>
          <w:rFonts w:hint="eastAsia" w:ascii="宋体" w:hAnsi="宋体" w:eastAsia="宋体" w:cs="宋体"/>
          <w:b w:val="0"/>
          <w:bCs w:val="0"/>
          <w:color w:val="auto"/>
          <w:kern w:val="2"/>
          <w:sz w:val="21"/>
          <w:szCs w:val="21"/>
          <w:highlight w:val="none"/>
          <w:lang w:bidi="ar"/>
        </w:rPr>
        <w:t>符合安全可靠测评要求的</w:t>
      </w:r>
      <w:r>
        <w:rPr>
          <w:rFonts w:hint="eastAsia" w:ascii="宋体" w:hAnsi="宋体" w:eastAsia="宋体" w:cs="宋体"/>
          <w:color w:val="auto"/>
          <w:sz w:val="21"/>
          <w:szCs w:val="21"/>
          <w:highlight w:val="none"/>
        </w:rPr>
        <w:t>操作系统并激活。在操作系统中要求安装触控一体机</w:t>
      </w:r>
      <w:r>
        <w:rPr>
          <w:rFonts w:hint="default" w:ascii="宋体" w:hAnsi="宋体" w:cs="宋体"/>
          <w:bCs w:val="0"/>
          <w:color w:val="auto"/>
          <w:sz w:val="21"/>
          <w:szCs w:val="21"/>
          <w:highlight w:val="none"/>
        </w:rPr>
        <w:t>或智慧黑板</w:t>
      </w:r>
      <w:r>
        <w:rPr>
          <w:rFonts w:hint="eastAsia" w:ascii="宋体" w:hAnsi="宋体" w:eastAsia="宋体" w:cs="宋体"/>
          <w:color w:val="auto"/>
          <w:sz w:val="21"/>
          <w:szCs w:val="21"/>
          <w:highlight w:val="none"/>
        </w:rPr>
        <w:t>配套的软件，软件包含但不限于白板软件、集中管理软件等，要求所安装的软件可以正常运行。</w:t>
      </w:r>
    </w:p>
    <w:p w14:paraId="513DF9D1">
      <w:pPr>
        <w:suppressAutoHyphens/>
        <w:bidi w:val="0"/>
        <w:spacing w:line="30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5、触控一体机</w:t>
      </w:r>
      <w:r>
        <w:rPr>
          <w:rFonts w:hint="default" w:ascii="宋体" w:hAnsi="宋体" w:cs="宋体"/>
          <w:bCs w:val="0"/>
          <w:color w:val="auto"/>
          <w:sz w:val="21"/>
          <w:szCs w:val="21"/>
          <w:highlight w:val="none"/>
        </w:rPr>
        <w:t>或智慧黑板</w:t>
      </w:r>
      <w:r>
        <w:rPr>
          <w:rFonts w:hint="eastAsia" w:ascii="宋体" w:hAnsi="宋体" w:eastAsia="宋体" w:cs="宋体"/>
          <w:color w:val="auto"/>
          <w:sz w:val="21"/>
          <w:szCs w:val="21"/>
          <w:highlight w:val="none"/>
        </w:rPr>
        <w:t>安装完成后，需要进行WIFI模块、风扇、主机运行情况的检查，要求WIFI模块能够正常连接无线信号；要求风扇运行无异常声响；要求主机运行过程无卡顿、死机和重启的现象。</w:t>
      </w:r>
    </w:p>
    <w:p w14:paraId="3FA92856">
      <w:pPr>
        <w:suppressAutoHyphens/>
        <w:bidi w:val="0"/>
        <w:spacing w:line="30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6、要求触控一体机</w:t>
      </w:r>
      <w:r>
        <w:rPr>
          <w:rFonts w:hint="default" w:ascii="宋体" w:hAnsi="宋体" w:cs="宋体"/>
          <w:bCs w:val="0"/>
          <w:color w:val="auto"/>
          <w:sz w:val="21"/>
          <w:szCs w:val="21"/>
          <w:highlight w:val="none"/>
        </w:rPr>
        <w:t>或智慧黑板</w:t>
      </w:r>
      <w:r>
        <w:rPr>
          <w:rFonts w:hint="eastAsia" w:ascii="宋体" w:hAnsi="宋体" w:eastAsia="宋体" w:cs="宋体"/>
          <w:color w:val="auto"/>
          <w:sz w:val="21"/>
          <w:szCs w:val="21"/>
          <w:highlight w:val="none"/>
        </w:rPr>
        <w:t>外观完好，液晶屏表面不允许有划痕；触控一体机</w:t>
      </w:r>
      <w:r>
        <w:rPr>
          <w:rFonts w:hint="default" w:ascii="宋体" w:hAnsi="宋体" w:cs="宋体"/>
          <w:bCs w:val="0"/>
          <w:color w:val="auto"/>
          <w:sz w:val="21"/>
          <w:szCs w:val="21"/>
          <w:highlight w:val="none"/>
        </w:rPr>
        <w:t>或智慧黑板</w:t>
      </w:r>
      <w:r>
        <w:rPr>
          <w:rFonts w:hint="eastAsia" w:ascii="宋体" w:hAnsi="宋体" w:eastAsia="宋体" w:cs="宋体"/>
          <w:color w:val="auto"/>
          <w:sz w:val="21"/>
          <w:szCs w:val="21"/>
          <w:highlight w:val="none"/>
        </w:rPr>
        <w:t>边框不允许有磨损或者掉漆的现象。安装完成后要求提供现场图片，并编入验收报告中。若存在外观受损的情况，</w:t>
      </w:r>
      <w:r>
        <w:rPr>
          <w:rFonts w:hint="eastAsia" w:ascii="宋体" w:hAnsi="宋体" w:eastAsia="宋体" w:cs="宋体"/>
          <w:color w:val="auto"/>
          <w:sz w:val="21"/>
          <w:szCs w:val="21"/>
          <w:highlight w:val="none"/>
          <w:lang w:eastAsia="zh-CN"/>
        </w:rPr>
        <w:t>征集人</w:t>
      </w:r>
      <w:r>
        <w:rPr>
          <w:rFonts w:hint="eastAsia" w:ascii="宋体" w:hAnsi="宋体" w:eastAsia="宋体" w:cs="宋体"/>
          <w:color w:val="auto"/>
          <w:sz w:val="21"/>
          <w:szCs w:val="21"/>
          <w:highlight w:val="none"/>
        </w:rPr>
        <w:t>有权要求更换一台同型号的新机器。</w:t>
      </w:r>
    </w:p>
    <w:p w14:paraId="5F4E2948">
      <w:pPr>
        <w:suppressAutoHyphens/>
        <w:bidi w:val="0"/>
        <w:spacing w:line="30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7、触控一体机</w:t>
      </w:r>
      <w:r>
        <w:rPr>
          <w:rFonts w:hint="default" w:ascii="宋体" w:hAnsi="宋体" w:cs="宋体"/>
          <w:bCs w:val="0"/>
          <w:color w:val="auto"/>
          <w:sz w:val="21"/>
          <w:szCs w:val="21"/>
          <w:highlight w:val="none"/>
        </w:rPr>
        <w:t>或智慧黑板</w:t>
      </w:r>
      <w:r>
        <w:rPr>
          <w:rFonts w:hint="eastAsia" w:ascii="宋体" w:hAnsi="宋体" w:eastAsia="宋体" w:cs="宋体"/>
          <w:color w:val="auto"/>
          <w:sz w:val="21"/>
          <w:szCs w:val="21"/>
          <w:highlight w:val="none"/>
        </w:rPr>
        <w:t>安装完成后，需要组织最终用户进行触控一体机</w:t>
      </w:r>
      <w:r>
        <w:rPr>
          <w:rFonts w:hint="default" w:ascii="宋体" w:hAnsi="宋体" w:cs="宋体"/>
          <w:bCs w:val="0"/>
          <w:color w:val="auto"/>
          <w:sz w:val="21"/>
          <w:szCs w:val="21"/>
          <w:highlight w:val="none"/>
        </w:rPr>
        <w:t>或智慧黑板</w:t>
      </w:r>
      <w:r>
        <w:rPr>
          <w:rFonts w:hint="eastAsia" w:ascii="宋体" w:hAnsi="宋体" w:eastAsia="宋体" w:cs="宋体"/>
          <w:color w:val="auto"/>
          <w:sz w:val="21"/>
          <w:szCs w:val="21"/>
          <w:highlight w:val="none"/>
        </w:rPr>
        <w:t>硬件及软件的使用培训，并提供硬件使用说明书或使用手册、软件使用说明书或使用手册。</w:t>
      </w:r>
    </w:p>
    <w:p w14:paraId="2ED25192">
      <w:pPr>
        <w:suppressAutoHyphens/>
        <w:bidi w:val="0"/>
        <w:spacing w:line="30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8、如有绿板、高拍仪或实物展台、钢制讲台、音箱或其他扩声设备等触控一体机</w:t>
      </w:r>
      <w:r>
        <w:rPr>
          <w:rFonts w:hint="default" w:ascii="宋体" w:hAnsi="宋体" w:cs="宋体"/>
          <w:bCs w:val="0"/>
          <w:color w:val="auto"/>
          <w:sz w:val="21"/>
          <w:szCs w:val="21"/>
          <w:highlight w:val="none"/>
        </w:rPr>
        <w:t>或智慧黑板</w:t>
      </w:r>
      <w:r>
        <w:rPr>
          <w:rFonts w:hint="eastAsia" w:ascii="宋体" w:hAnsi="宋体" w:eastAsia="宋体" w:cs="宋体"/>
          <w:color w:val="auto"/>
          <w:sz w:val="21"/>
          <w:szCs w:val="21"/>
          <w:highlight w:val="none"/>
        </w:rPr>
        <w:t>配套产品一起安装时，需免费提供安装调试服务。</w:t>
      </w:r>
    </w:p>
    <w:p w14:paraId="5DF0742A">
      <w:pPr>
        <w:suppressAutoHyphens/>
        <w:bidi w:val="0"/>
        <w:spacing w:line="30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9、在最终用户验收合格前，最终用户若要求安装除触控一体机</w:t>
      </w:r>
      <w:r>
        <w:rPr>
          <w:rFonts w:hint="default" w:ascii="宋体" w:hAnsi="宋体" w:cs="宋体"/>
          <w:bCs w:val="0"/>
          <w:color w:val="auto"/>
          <w:sz w:val="21"/>
          <w:szCs w:val="21"/>
          <w:highlight w:val="none"/>
        </w:rPr>
        <w:t>或智慧黑板</w:t>
      </w:r>
      <w:r>
        <w:rPr>
          <w:rFonts w:hint="eastAsia" w:ascii="宋体" w:hAnsi="宋体" w:eastAsia="宋体" w:cs="宋体"/>
          <w:color w:val="auto"/>
          <w:sz w:val="21"/>
          <w:szCs w:val="21"/>
          <w:highlight w:val="none"/>
        </w:rPr>
        <w:t>配套软件外的第三方软件，在最终用户提供安装软件的前提下，需免费协助安装。</w:t>
      </w:r>
    </w:p>
    <w:p w14:paraId="59B3A2BE">
      <w:pPr>
        <w:suppressAutoHyphens/>
        <w:bidi w:val="0"/>
        <w:spacing w:line="30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10、在触控一体机</w:t>
      </w:r>
      <w:r>
        <w:rPr>
          <w:rFonts w:hint="default" w:ascii="宋体" w:hAnsi="宋体" w:cs="宋体"/>
          <w:bCs w:val="0"/>
          <w:color w:val="auto"/>
          <w:sz w:val="21"/>
          <w:szCs w:val="21"/>
          <w:highlight w:val="none"/>
        </w:rPr>
        <w:t>或智慧黑板</w:t>
      </w:r>
      <w:r>
        <w:rPr>
          <w:rFonts w:hint="eastAsia" w:ascii="宋体" w:hAnsi="宋体" w:eastAsia="宋体" w:cs="宋体"/>
          <w:color w:val="auto"/>
          <w:sz w:val="21"/>
          <w:szCs w:val="21"/>
          <w:highlight w:val="none"/>
        </w:rPr>
        <w:t>硬件和配套软件安装完成后，应向最终用户免费提供还原软件，辅助最终用户设置还原节点并指导最终用户使用还原软件。</w:t>
      </w:r>
    </w:p>
    <w:p w14:paraId="6D5B0846">
      <w:pPr>
        <w:suppressAutoHyphens/>
        <w:bidi w:val="0"/>
        <w:spacing w:line="30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11、触控一体机</w:t>
      </w:r>
      <w:r>
        <w:rPr>
          <w:rFonts w:hint="default" w:ascii="宋体" w:hAnsi="宋体" w:cs="宋体"/>
          <w:bCs w:val="0"/>
          <w:color w:val="auto"/>
          <w:sz w:val="21"/>
          <w:szCs w:val="21"/>
          <w:highlight w:val="none"/>
        </w:rPr>
        <w:t>或智慧黑板</w:t>
      </w:r>
      <w:r>
        <w:rPr>
          <w:rFonts w:hint="eastAsia" w:ascii="宋体" w:hAnsi="宋体" w:eastAsia="宋体" w:cs="宋体"/>
          <w:color w:val="auto"/>
          <w:sz w:val="21"/>
          <w:szCs w:val="21"/>
          <w:highlight w:val="none"/>
        </w:rPr>
        <w:t>安装完成后，需要在设备合适的地方填(贴)上万翔网商售后服务标签。</w:t>
      </w:r>
    </w:p>
    <w:p w14:paraId="78B3660E">
      <w:pPr>
        <w:suppressAutoHyphens/>
        <w:bidi w:val="0"/>
        <w:spacing w:line="360" w:lineRule="auto"/>
        <w:rPr>
          <w:rFonts w:hint="eastAsia" w:ascii="宋体" w:hAnsi="宋体" w:eastAsia="宋体" w:cs="Times New Roman"/>
          <w:b/>
          <w:bCs w:val="0"/>
          <w:color w:val="auto"/>
          <w:sz w:val="24"/>
          <w:szCs w:val="24"/>
          <w:highlight w:val="none"/>
        </w:rPr>
      </w:pPr>
    </w:p>
    <w:p w14:paraId="58D8EAA0">
      <w:pPr>
        <w:suppressAutoHyphens/>
        <w:autoSpaceDE w:val="0"/>
        <w:autoSpaceDN w:val="0"/>
        <w:bidi w:val="0"/>
        <w:adjustRightInd w:val="0"/>
        <w:snapToGrid w:val="0"/>
        <w:spacing w:before="0" w:beforeLines="0" w:line="360" w:lineRule="auto"/>
        <w:ind w:firstLine="0" w:firstLineChars="0"/>
        <w:jc w:val="left"/>
        <w:rPr>
          <w:rFonts w:hint="eastAsia" w:ascii="宋体" w:hAnsi="宋体" w:eastAsia="宋体" w:cs="宋体"/>
          <w:b/>
          <w:bCs/>
          <w:color w:val="auto"/>
          <w:sz w:val="28"/>
          <w:szCs w:val="20"/>
          <w:highlight w:val="none"/>
          <w:lang w:val="en-US" w:eastAsia="zh-CN"/>
        </w:rPr>
      </w:pPr>
    </w:p>
    <w:p w14:paraId="5A26347D">
      <w:pPr>
        <w:suppressAutoHyphens/>
        <w:autoSpaceDE w:val="0"/>
        <w:autoSpaceDN w:val="0"/>
        <w:bidi w:val="0"/>
        <w:adjustRightInd w:val="0"/>
        <w:snapToGrid w:val="0"/>
        <w:spacing w:before="0" w:beforeLines="0" w:line="360" w:lineRule="auto"/>
        <w:ind w:firstLine="0" w:firstLineChars="0"/>
        <w:jc w:val="left"/>
        <w:rPr>
          <w:rFonts w:hint="eastAsia" w:ascii="宋体" w:hAnsi="宋体" w:eastAsia="宋体" w:cs="宋体"/>
          <w:b/>
          <w:bCs/>
          <w:color w:val="auto"/>
          <w:sz w:val="28"/>
          <w:szCs w:val="20"/>
          <w:highlight w:val="none"/>
          <w:lang w:val="en-US" w:eastAsia="zh-CN"/>
        </w:rPr>
      </w:pPr>
    </w:p>
    <w:p w14:paraId="6401C32A">
      <w:pPr>
        <w:suppressAutoHyphens/>
        <w:autoSpaceDE w:val="0"/>
        <w:autoSpaceDN w:val="0"/>
        <w:bidi w:val="0"/>
        <w:adjustRightInd w:val="0"/>
        <w:snapToGrid w:val="0"/>
        <w:spacing w:before="0" w:beforeLines="0" w:line="360" w:lineRule="auto"/>
        <w:ind w:firstLine="0" w:firstLineChars="0"/>
        <w:jc w:val="left"/>
        <w:rPr>
          <w:rFonts w:hint="eastAsia" w:ascii="宋体" w:hAnsi="宋体" w:eastAsia="宋体" w:cs="宋体"/>
          <w:b/>
          <w:bCs/>
          <w:color w:val="auto"/>
          <w:sz w:val="28"/>
          <w:szCs w:val="20"/>
          <w:highlight w:val="none"/>
          <w:lang w:val="en-GB"/>
        </w:rPr>
      </w:pPr>
      <w:r>
        <w:rPr>
          <w:rFonts w:hint="eastAsia" w:ascii="宋体" w:hAnsi="宋体" w:eastAsia="宋体" w:cs="宋体"/>
          <w:b/>
          <w:bCs/>
          <w:color w:val="auto"/>
          <w:sz w:val="24"/>
          <w:szCs w:val="24"/>
          <w:highlight w:val="none"/>
          <w:lang w:val="en-GB"/>
        </w:rPr>
        <w:t>附件</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lang w:val="en-GB"/>
        </w:rPr>
        <w:t>：定货单样单</w:t>
      </w:r>
    </w:p>
    <w:p w14:paraId="5082BB3C">
      <w:pPr>
        <w:suppressAutoHyphens/>
        <w:bidi w:val="0"/>
        <w:ind w:firstLineChars="200"/>
        <w:jc w:val="center"/>
        <w:rPr>
          <w:rFonts w:ascii="宋体" w:hAnsi="宋体" w:eastAsia="宋体" w:cs="Times New Roman"/>
          <w:b/>
          <w:bCs/>
          <w:color w:val="auto"/>
          <w:sz w:val="32"/>
          <w:szCs w:val="32"/>
          <w:highlight w:val="none"/>
        </w:rPr>
      </w:pPr>
      <w:r>
        <w:rPr>
          <w:rFonts w:hint="eastAsia" w:ascii="宋体" w:hAnsi="宋体" w:eastAsia="宋体" w:cs="Times New Roman"/>
          <w:b/>
          <w:bCs/>
          <w:color w:val="auto"/>
          <w:sz w:val="28"/>
          <w:szCs w:val="28"/>
          <w:highlight w:val="none"/>
        </w:rPr>
        <w:t>定货单</w:t>
      </w:r>
    </w:p>
    <w:p w14:paraId="111BAD68">
      <w:pPr>
        <w:widowControl/>
        <w:suppressAutoHyphens/>
        <w:bidi w:val="0"/>
        <w:spacing w:line="440" w:lineRule="exact"/>
        <w:ind w:firstLine="420" w:firstLineChars="200"/>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（定货单编号：           ）</w:t>
      </w:r>
    </w:p>
    <w:p w14:paraId="75B42125">
      <w:pPr>
        <w:suppressAutoHyphens/>
        <w:bidi w:val="0"/>
        <w:jc w:val="center"/>
        <w:rPr>
          <w:rFonts w:ascii="宋体" w:hAnsi="宋体" w:eastAsia="宋体" w:cs="Times New Roman"/>
          <w:color w:val="auto"/>
          <w:sz w:val="21"/>
          <w:szCs w:val="21"/>
          <w:highlight w:val="none"/>
        </w:rPr>
      </w:pPr>
    </w:p>
    <w:p w14:paraId="4DE714CD">
      <w:pPr>
        <w:widowControl/>
        <w:suppressAutoHyphens/>
        <w:bidi w:val="0"/>
        <w:spacing w:line="440" w:lineRule="exact"/>
        <w:ind w:firstLine="840" w:firstLineChars="4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公司：</w:t>
      </w:r>
    </w:p>
    <w:p w14:paraId="1D5BF695">
      <w:pPr>
        <w:widowControl/>
        <w:suppressAutoHyphens/>
        <w:bidi w:val="0"/>
        <w:spacing w:line="240" w:lineRule="auto"/>
        <w:ind w:right="0" w:rightChars="0"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根据我司与贵司[]年[  ]月[  ]日签订的[              ]号《 大宗采购合同》，现我司向贵司确认本次采购产品明细如下：</w:t>
      </w:r>
    </w:p>
    <w:p w14:paraId="395DBEEA">
      <w:pPr>
        <w:suppressAutoHyphens/>
        <w:autoSpaceDE w:val="0"/>
        <w:autoSpaceDN w:val="0"/>
        <w:bidi w:val="0"/>
        <w:adjustRightInd w:val="0"/>
        <w:snapToGrid w:val="0"/>
        <w:spacing w:before="0" w:beforeLines="0" w:line="360" w:lineRule="auto"/>
        <w:ind w:firstLine="560" w:firstLineChars="200"/>
        <w:jc w:val="left"/>
        <w:rPr>
          <w:rFonts w:hint="default" w:ascii="宋体" w:hAnsi="宋体" w:eastAsia="宋体" w:cs="宋体"/>
          <w:color w:val="auto"/>
          <w:sz w:val="28"/>
          <w:szCs w:val="20"/>
          <w:highlight w:val="none"/>
          <w:lang w:val="en-US" w:eastAsia="zh-CN"/>
        </w:rPr>
      </w:pPr>
    </w:p>
    <w:tbl>
      <w:tblPr>
        <w:tblStyle w:val="14"/>
        <w:tblW w:w="91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8"/>
        <w:gridCol w:w="1571"/>
        <w:gridCol w:w="1734"/>
        <w:gridCol w:w="1538"/>
        <w:gridCol w:w="1430"/>
        <w:gridCol w:w="1612"/>
      </w:tblGrid>
      <w:tr w14:paraId="31B80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1298" w:type="dxa"/>
            <w:noWrap w:val="0"/>
            <w:vAlign w:val="center"/>
          </w:tcPr>
          <w:p w14:paraId="1D3C8F65">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center"/>
              <w:rPr>
                <w:rFonts w:hint="eastAsia" w:ascii="宋体" w:hAnsi="宋体" w:eastAsia="宋体" w:cs="宋体"/>
                <w:color w:val="auto"/>
                <w:sz w:val="28"/>
                <w:szCs w:val="20"/>
                <w:highlight w:val="none"/>
                <w:lang w:val="en-GB"/>
              </w:rPr>
            </w:pPr>
            <w:r>
              <w:rPr>
                <w:rFonts w:hint="eastAsia" w:ascii="宋体" w:hAnsi="宋体" w:eastAsia="宋体" w:cs="宋体"/>
                <w:color w:val="auto"/>
                <w:sz w:val="28"/>
                <w:szCs w:val="20"/>
                <w:highlight w:val="none"/>
                <w:lang w:val="en-GB"/>
              </w:rPr>
              <w:t>产品名称</w:t>
            </w:r>
          </w:p>
        </w:tc>
        <w:tc>
          <w:tcPr>
            <w:tcW w:w="1571" w:type="dxa"/>
            <w:noWrap w:val="0"/>
            <w:vAlign w:val="center"/>
          </w:tcPr>
          <w:p w14:paraId="0D9B95D9">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center"/>
              <w:rPr>
                <w:rFonts w:hint="eastAsia" w:ascii="宋体" w:hAnsi="宋体" w:eastAsia="宋体" w:cs="宋体"/>
                <w:color w:val="auto"/>
                <w:sz w:val="28"/>
                <w:szCs w:val="20"/>
                <w:highlight w:val="none"/>
                <w:lang w:val="en-GB"/>
              </w:rPr>
            </w:pPr>
            <w:r>
              <w:rPr>
                <w:rFonts w:hint="eastAsia" w:ascii="宋体" w:hAnsi="宋体" w:eastAsia="宋体" w:cs="宋体"/>
                <w:color w:val="auto"/>
                <w:sz w:val="28"/>
                <w:szCs w:val="20"/>
                <w:highlight w:val="none"/>
                <w:lang w:val="en-GB"/>
              </w:rPr>
              <w:t>规格型号</w:t>
            </w:r>
          </w:p>
        </w:tc>
        <w:tc>
          <w:tcPr>
            <w:tcW w:w="1734" w:type="dxa"/>
            <w:noWrap w:val="0"/>
            <w:vAlign w:val="center"/>
          </w:tcPr>
          <w:p w14:paraId="031F670A">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center"/>
              <w:rPr>
                <w:rFonts w:hint="eastAsia" w:ascii="宋体" w:hAnsi="宋体" w:eastAsia="宋体" w:cs="宋体"/>
                <w:color w:val="auto"/>
                <w:sz w:val="28"/>
                <w:szCs w:val="20"/>
                <w:highlight w:val="none"/>
                <w:lang w:val="en-GB"/>
              </w:rPr>
            </w:pPr>
            <w:r>
              <w:rPr>
                <w:rFonts w:hint="eastAsia" w:ascii="宋体" w:hAnsi="宋体" w:eastAsia="宋体" w:cs="宋体"/>
                <w:color w:val="auto"/>
                <w:sz w:val="28"/>
                <w:szCs w:val="20"/>
                <w:highlight w:val="none"/>
                <w:lang w:val="en-GB"/>
              </w:rPr>
              <w:t>制造商</w:t>
            </w:r>
          </w:p>
        </w:tc>
        <w:tc>
          <w:tcPr>
            <w:tcW w:w="1538" w:type="dxa"/>
            <w:noWrap w:val="0"/>
            <w:vAlign w:val="center"/>
          </w:tcPr>
          <w:p w14:paraId="1E8C4343">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center"/>
              <w:rPr>
                <w:rFonts w:hint="eastAsia" w:ascii="宋体" w:hAnsi="宋体" w:eastAsia="宋体" w:cs="宋体"/>
                <w:color w:val="auto"/>
                <w:sz w:val="28"/>
                <w:szCs w:val="20"/>
                <w:highlight w:val="none"/>
                <w:lang w:val="en-GB"/>
              </w:rPr>
            </w:pPr>
            <w:r>
              <w:rPr>
                <w:rFonts w:hint="eastAsia" w:ascii="宋体" w:hAnsi="宋体" w:eastAsia="宋体" w:cs="宋体"/>
                <w:color w:val="auto"/>
                <w:sz w:val="28"/>
                <w:szCs w:val="20"/>
                <w:highlight w:val="none"/>
                <w:lang w:val="en-GB"/>
              </w:rPr>
              <w:t>单价（元）</w:t>
            </w:r>
          </w:p>
        </w:tc>
        <w:tc>
          <w:tcPr>
            <w:tcW w:w="1430" w:type="dxa"/>
            <w:noWrap w:val="0"/>
            <w:vAlign w:val="center"/>
          </w:tcPr>
          <w:p w14:paraId="2561AD23">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center"/>
              <w:rPr>
                <w:rFonts w:hint="eastAsia" w:ascii="宋体" w:hAnsi="宋体" w:eastAsia="宋体" w:cs="宋体"/>
                <w:color w:val="auto"/>
                <w:sz w:val="28"/>
                <w:szCs w:val="20"/>
                <w:highlight w:val="none"/>
                <w:lang w:val="en-GB"/>
              </w:rPr>
            </w:pPr>
            <w:r>
              <w:rPr>
                <w:rFonts w:hint="eastAsia" w:ascii="宋体" w:hAnsi="宋体" w:eastAsia="宋体" w:cs="宋体"/>
                <w:color w:val="auto"/>
                <w:sz w:val="28"/>
                <w:szCs w:val="20"/>
                <w:highlight w:val="none"/>
                <w:lang w:val="en-GB"/>
              </w:rPr>
              <w:t>数量</w:t>
            </w:r>
          </w:p>
        </w:tc>
        <w:tc>
          <w:tcPr>
            <w:tcW w:w="1612" w:type="dxa"/>
            <w:noWrap w:val="0"/>
            <w:vAlign w:val="center"/>
          </w:tcPr>
          <w:p w14:paraId="6A45F2D5">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center"/>
              <w:rPr>
                <w:rFonts w:hint="eastAsia" w:ascii="宋体" w:hAnsi="宋体" w:eastAsia="宋体" w:cs="宋体"/>
                <w:color w:val="auto"/>
                <w:sz w:val="28"/>
                <w:szCs w:val="20"/>
                <w:highlight w:val="none"/>
                <w:lang w:val="en-GB"/>
              </w:rPr>
            </w:pPr>
            <w:r>
              <w:rPr>
                <w:rFonts w:hint="eastAsia" w:ascii="宋体" w:hAnsi="宋体" w:eastAsia="宋体" w:cs="宋体"/>
                <w:color w:val="auto"/>
                <w:sz w:val="28"/>
                <w:szCs w:val="20"/>
                <w:highlight w:val="none"/>
                <w:lang w:val="en-GB"/>
              </w:rPr>
              <w:t>总金</w:t>
            </w:r>
            <w:r>
              <w:rPr>
                <w:rFonts w:hint="eastAsia" w:ascii="宋体" w:hAnsi="宋体" w:eastAsia="宋体" w:cs="宋体"/>
                <w:color w:val="auto"/>
                <w:sz w:val="28"/>
                <w:szCs w:val="20"/>
                <w:highlight w:val="none"/>
                <w:lang w:val="en-GB" w:eastAsia="zh-CN"/>
              </w:rPr>
              <w:t>额</w:t>
            </w:r>
            <w:r>
              <w:rPr>
                <w:rFonts w:hint="eastAsia" w:ascii="宋体" w:hAnsi="宋体" w:eastAsia="宋体" w:cs="宋体"/>
                <w:color w:val="auto"/>
                <w:sz w:val="28"/>
                <w:szCs w:val="20"/>
                <w:highlight w:val="none"/>
                <w:lang w:val="en-GB"/>
              </w:rPr>
              <w:t>（元）</w:t>
            </w:r>
          </w:p>
        </w:tc>
      </w:tr>
      <w:tr w14:paraId="3326B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98" w:type="dxa"/>
            <w:noWrap w:val="0"/>
            <w:vAlign w:val="center"/>
          </w:tcPr>
          <w:p w14:paraId="022E1990">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560" w:firstLineChars="200"/>
              <w:jc w:val="left"/>
              <w:rPr>
                <w:rFonts w:hint="eastAsia" w:ascii="宋体" w:hAnsi="宋体" w:eastAsia="宋体" w:cs="宋体"/>
                <w:color w:val="auto"/>
                <w:sz w:val="28"/>
                <w:szCs w:val="20"/>
                <w:highlight w:val="none"/>
                <w:lang w:val="en-GB"/>
              </w:rPr>
            </w:pPr>
          </w:p>
        </w:tc>
        <w:tc>
          <w:tcPr>
            <w:tcW w:w="1571" w:type="dxa"/>
            <w:noWrap w:val="0"/>
            <w:vAlign w:val="center"/>
          </w:tcPr>
          <w:p w14:paraId="6B6C03F0">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560" w:firstLineChars="200"/>
              <w:jc w:val="left"/>
              <w:rPr>
                <w:rFonts w:hint="eastAsia" w:ascii="宋体" w:hAnsi="宋体" w:eastAsia="宋体" w:cs="宋体"/>
                <w:color w:val="auto"/>
                <w:sz w:val="28"/>
                <w:szCs w:val="20"/>
                <w:highlight w:val="none"/>
                <w:lang w:val="en-GB"/>
              </w:rPr>
            </w:pPr>
          </w:p>
        </w:tc>
        <w:tc>
          <w:tcPr>
            <w:tcW w:w="1734" w:type="dxa"/>
            <w:noWrap w:val="0"/>
            <w:vAlign w:val="center"/>
          </w:tcPr>
          <w:p w14:paraId="0276A2E3">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560" w:firstLineChars="200"/>
              <w:jc w:val="left"/>
              <w:rPr>
                <w:rFonts w:hint="eastAsia" w:ascii="宋体" w:hAnsi="宋体" w:eastAsia="宋体" w:cs="宋体"/>
                <w:color w:val="auto"/>
                <w:sz w:val="28"/>
                <w:szCs w:val="20"/>
                <w:highlight w:val="none"/>
                <w:lang w:val="en-GB"/>
              </w:rPr>
            </w:pPr>
          </w:p>
        </w:tc>
        <w:tc>
          <w:tcPr>
            <w:tcW w:w="1538" w:type="dxa"/>
            <w:noWrap w:val="0"/>
            <w:vAlign w:val="center"/>
          </w:tcPr>
          <w:p w14:paraId="0C06B451">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560" w:firstLineChars="200"/>
              <w:jc w:val="left"/>
              <w:rPr>
                <w:rFonts w:hint="eastAsia" w:ascii="宋体" w:hAnsi="宋体" w:eastAsia="宋体" w:cs="宋体"/>
                <w:color w:val="auto"/>
                <w:sz w:val="28"/>
                <w:szCs w:val="20"/>
                <w:highlight w:val="none"/>
                <w:lang w:val="en-GB"/>
              </w:rPr>
            </w:pPr>
          </w:p>
        </w:tc>
        <w:tc>
          <w:tcPr>
            <w:tcW w:w="1430" w:type="dxa"/>
            <w:noWrap w:val="0"/>
            <w:vAlign w:val="center"/>
          </w:tcPr>
          <w:p w14:paraId="252CAE7A">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560" w:firstLineChars="200"/>
              <w:jc w:val="left"/>
              <w:rPr>
                <w:rFonts w:hint="eastAsia" w:ascii="宋体" w:hAnsi="宋体" w:eastAsia="宋体" w:cs="宋体"/>
                <w:color w:val="auto"/>
                <w:sz w:val="28"/>
                <w:szCs w:val="20"/>
                <w:highlight w:val="none"/>
                <w:lang w:val="en-GB"/>
              </w:rPr>
            </w:pPr>
          </w:p>
        </w:tc>
        <w:tc>
          <w:tcPr>
            <w:tcW w:w="1612" w:type="dxa"/>
            <w:noWrap w:val="0"/>
            <w:vAlign w:val="center"/>
          </w:tcPr>
          <w:p w14:paraId="1D342AC0">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560" w:firstLineChars="200"/>
              <w:jc w:val="left"/>
              <w:rPr>
                <w:rFonts w:hint="eastAsia" w:ascii="宋体" w:hAnsi="宋体" w:eastAsia="宋体" w:cs="宋体"/>
                <w:color w:val="auto"/>
                <w:sz w:val="28"/>
                <w:szCs w:val="20"/>
                <w:highlight w:val="none"/>
                <w:lang w:val="en-GB"/>
              </w:rPr>
            </w:pPr>
          </w:p>
        </w:tc>
      </w:tr>
      <w:tr w14:paraId="62BC0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98" w:type="dxa"/>
            <w:noWrap w:val="0"/>
            <w:vAlign w:val="center"/>
          </w:tcPr>
          <w:p w14:paraId="261B119D">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560" w:firstLineChars="200"/>
              <w:jc w:val="left"/>
              <w:rPr>
                <w:rFonts w:hint="eastAsia" w:ascii="宋体" w:hAnsi="宋体" w:eastAsia="宋体" w:cs="宋体"/>
                <w:color w:val="auto"/>
                <w:sz w:val="28"/>
                <w:szCs w:val="20"/>
                <w:highlight w:val="none"/>
                <w:lang w:val="en-GB"/>
              </w:rPr>
            </w:pPr>
          </w:p>
        </w:tc>
        <w:tc>
          <w:tcPr>
            <w:tcW w:w="1571" w:type="dxa"/>
            <w:noWrap w:val="0"/>
            <w:vAlign w:val="center"/>
          </w:tcPr>
          <w:p w14:paraId="3FC03548">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560" w:firstLineChars="200"/>
              <w:jc w:val="left"/>
              <w:rPr>
                <w:rFonts w:hint="eastAsia" w:ascii="宋体" w:hAnsi="宋体" w:eastAsia="宋体" w:cs="宋体"/>
                <w:color w:val="auto"/>
                <w:sz w:val="28"/>
                <w:szCs w:val="20"/>
                <w:highlight w:val="none"/>
                <w:lang w:val="en-GB"/>
              </w:rPr>
            </w:pPr>
          </w:p>
        </w:tc>
        <w:tc>
          <w:tcPr>
            <w:tcW w:w="1734" w:type="dxa"/>
            <w:noWrap w:val="0"/>
            <w:vAlign w:val="center"/>
          </w:tcPr>
          <w:p w14:paraId="437D9C04">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560" w:firstLineChars="200"/>
              <w:jc w:val="left"/>
              <w:rPr>
                <w:rFonts w:hint="eastAsia" w:ascii="宋体" w:hAnsi="宋体" w:eastAsia="宋体" w:cs="宋体"/>
                <w:color w:val="auto"/>
                <w:sz w:val="28"/>
                <w:szCs w:val="20"/>
                <w:highlight w:val="none"/>
                <w:lang w:val="en-GB"/>
              </w:rPr>
            </w:pPr>
          </w:p>
        </w:tc>
        <w:tc>
          <w:tcPr>
            <w:tcW w:w="1538" w:type="dxa"/>
            <w:noWrap w:val="0"/>
            <w:vAlign w:val="center"/>
          </w:tcPr>
          <w:p w14:paraId="7E4F3287">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560" w:firstLineChars="200"/>
              <w:jc w:val="left"/>
              <w:rPr>
                <w:rFonts w:hint="eastAsia" w:ascii="宋体" w:hAnsi="宋体" w:eastAsia="宋体" w:cs="宋体"/>
                <w:color w:val="auto"/>
                <w:sz w:val="28"/>
                <w:szCs w:val="20"/>
                <w:highlight w:val="none"/>
                <w:lang w:val="en-GB"/>
              </w:rPr>
            </w:pPr>
          </w:p>
        </w:tc>
        <w:tc>
          <w:tcPr>
            <w:tcW w:w="1430" w:type="dxa"/>
            <w:noWrap w:val="0"/>
            <w:vAlign w:val="center"/>
          </w:tcPr>
          <w:p w14:paraId="3E856852">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560" w:firstLineChars="200"/>
              <w:jc w:val="left"/>
              <w:rPr>
                <w:rFonts w:hint="eastAsia" w:ascii="宋体" w:hAnsi="宋体" w:eastAsia="宋体" w:cs="宋体"/>
                <w:color w:val="auto"/>
                <w:sz w:val="28"/>
                <w:szCs w:val="20"/>
                <w:highlight w:val="none"/>
                <w:lang w:val="en-GB"/>
              </w:rPr>
            </w:pPr>
          </w:p>
        </w:tc>
        <w:tc>
          <w:tcPr>
            <w:tcW w:w="1612" w:type="dxa"/>
            <w:noWrap w:val="0"/>
            <w:vAlign w:val="center"/>
          </w:tcPr>
          <w:p w14:paraId="6C1DC94D">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560" w:firstLineChars="200"/>
              <w:jc w:val="left"/>
              <w:rPr>
                <w:rFonts w:hint="eastAsia" w:ascii="宋体" w:hAnsi="宋体" w:eastAsia="宋体" w:cs="宋体"/>
                <w:color w:val="auto"/>
                <w:sz w:val="28"/>
                <w:szCs w:val="20"/>
                <w:highlight w:val="none"/>
                <w:lang w:val="en-GB"/>
              </w:rPr>
            </w:pPr>
          </w:p>
        </w:tc>
      </w:tr>
      <w:tr w14:paraId="6BC2D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141" w:type="dxa"/>
            <w:gridSpan w:val="4"/>
            <w:noWrap w:val="0"/>
            <w:vAlign w:val="center"/>
          </w:tcPr>
          <w:p w14:paraId="70CC6A7E">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560" w:firstLineChars="200"/>
              <w:jc w:val="left"/>
              <w:rPr>
                <w:rFonts w:hint="eastAsia" w:ascii="宋体" w:hAnsi="宋体" w:eastAsia="宋体" w:cs="宋体"/>
                <w:color w:val="auto"/>
                <w:sz w:val="28"/>
                <w:szCs w:val="20"/>
                <w:highlight w:val="none"/>
                <w:lang w:val="en-GB"/>
              </w:rPr>
            </w:pPr>
            <w:r>
              <w:rPr>
                <w:rFonts w:hint="eastAsia" w:ascii="宋体" w:hAnsi="宋体" w:eastAsia="宋体" w:cs="宋体"/>
                <w:color w:val="auto"/>
                <w:sz w:val="28"/>
                <w:szCs w:val="20"/>
                <w:highlight w:val="none"/>
                <w:lang w:val="en-GB"/>
              </w:rPr>
              <w:t>合计：</w:t>
            </w:r>
          </w:p>
        </w:tc>
        <w:tc>
          <w:tcPr>
            <w:tcW w:w="1430" w:type="dxa"/>
            <w:noWrap w:val="0"/>
            <w:vAlign w:val="center"/>
          </w:tcPr>
          <w:p w14:paraId="6A6F3C36">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560" w:firstLineChars="200"/>
              <w:jc w:val="left"/>
              <w:rPr>
                <w:rFonts w:hint="eastAsia" w:ascii="宋体" w:hAnsi="宋体" w:eastAsia="宋体" w:cs="宋体"/>
                <w:color w:val="auto"/>
                <w:sz w:val="28"/>
                <w:szCs w:val="20"/>
                <w:highlight w:val="none"/>
                <w:lang w:val="en-GB"/>
              </w:rPr>
            </w:pPr>
          </w:p>
        </w:tc>
        <w:tc>
          <w:tcPr>
            <w:tcW w:w="1612" w:type="dxa"/>
            <w:noWrap w:val="0"/>
            <w:vAlign w:val="bottom"/>
          </w:tcPr>
          <w:p w14:paraId="142796C9">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firstLine="560" w:firstLineChars="200"/>
              <w:jc w:val="left"/>
              <w:rPr>
                <w:rFonts w:hint="eastAsia" w:ascii="宋体" w:hAnsi="宋体" w:eastAsia="宋体" w:cs="宋体"/>
                <w:color w:val="auto"/>
                <w:sz w:val="28"/>
                <w:szCs w:val="20"/>
                <w:highlight w:val="none"/>
                <w:lang w:val="en-GB"/>
              </w:rPr>
            </w:pPr>
          </w:p>
        </w:tc>
      </w:tr>
      <w:tr w14:paraId="1C9DC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183" w:type="dxa"/>
            <w:gridSpan w:val="6"/>
            <w:noWrap w:val="0"/>
            <w:vAlign w:val="center"/>
          </w:tcPr>
          <w:p w14:paraId="4F6C70F3">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left"/>
              <w:rPr>
                <w:rFonts w:hint="eastAsia" w:ascii="宋体" w:hAnsi="宋体" w:eastAsia="宋体" w:cs="宋体"/>
                <w:color w:val="auto"/>
                <w:sz w:val="28"/>
                <w:szCs w:val="20"/>
                <w:highlight w:val="none"/>
                <w:lang w:val="en-GB"/>
              </w:rPr>
            </w:pPr>
            <w:r>
              <w:rPr>
                <w:rFonts w:hint="eastAsia" w:ascii="宋体" w:hAnsi="宋体" w:eastAsia="宋体" w:cs="宋体"/>
                <w:color w:val="auto"/>
                <w:sz w:val="28"/>
                <w:szCs w:val="20"/>
                <w:highlight w:val="none"/>
                <w:lang w:val="en-GB"/>
              </w:rPr>
              <w:t>定货单总价： 元整</w:t>
            </w:r>
          </w:p>
          <w:p w14:paraId="5A9652E7">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left"/>
              <w:rPr>
                <w:rFonts w:hint="eastAsia" w:ascii="宋体" w:hAnsi="宋体" w:eastAsia="宋体" w:cs="宋体"/>
                <w:color w:val="auto"/>
                <w:sz w:val="28"/>
                <w:szCs w:val="20"/>
                <w:highlight w:val="none"/>
                <w:lang w:val="en-GB"/>
              </w:rPr>
            </w:pPr>
            <w:r>
              <w:rPr>
                <w:rFonts w:hint="eastAsia" w:ascii="宋体" w:hAnsi="宋体" w:eastAsia="宋体" w:cs="宋体"/>
                <w:color w:val="auto"/>
                <w:sz w:val="28"/>
                <w:szCs w:val="20"/>
                <w:highlight w:val="none"/>
                <w:lang w:val="en-GB"/>
              </w:rPr>
              <w:t>收货单位：</w:t>
            </w:r>
          </w:p>
          <w:p w14:paraId="2D156B4C">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left"/>
              <w:rPr>
                <w:rFonts w:hint="eastAsia" w:ascii="宋体" w:hAnsi="宋体" w:eastAsia="宋体" w:cs="宋体"/>
                <w:color w:val="auto"/>
                <w:sz w:val="28"/>
                <w:szCs w:val="20"/>
                <w:highlight w:val="none"/>
                <w:lang w:val="en-GB"/>
              </w:rPr>
            </w:pPr>
            <w:r>
              <w:rPr>
                <w:rFonts w:hint="eastAsia" w:ascii="宋体" w:hAnsi="宋体" w:eastAsia="宋体" w:cs="宋体"/>
                <w:color w:val="auto"/>
                <w:sz w:val="28"/>
                <w:szCs w:val="20"/>
                <w:highlight w:val="none"/>
                <w:lang w:val="en-GB"/>
              </w:rPr>
              <w:t>交货地址：</w:t>
            </w:r>
          </w:p>
          <w:p w14:paraId="2BAFEA50">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left"/>
              <w:rPr>
                <w:rFonts w:hint="eastAsia" w:ascii="宋体" w:hAnsi="宋体" w:eastAsia="宋体" w:cs="宋体"/>
                <w:color w:val="auto"/>
                <w:sz w:val="28"/>
                <w:szCs w:val="20"/>
                <w:highlight w:val="none"/>
                <w:lang w:val="en-GB"/>
              </w:rPr>
            </w:pPr>
            <w:r>
              <w:rPr>
                <w:rFonts w:hint="eastAsia" w:ascii="宋体" w:hAnsi="宋体" w:eastAsia="宋体" w:cs="宋体"/>
                <w:color w:val="auto"/>
                <w:sz w:val="28"/>
                <w:szCs w:val="20"/>
                <w:highlight w:val="none"/>
                <w:lang w:val="en-GB"/>
              </w:rPr>
              <w:t>交货时间：</w:t>
            </w:r>
          </w:p>
          <w:p w14:paraId="7F729E29">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left"/>
              <w:rPr>
                <w:rFonts w:hint="eastAsia" w:ascii="宋体" w:hAnsi="宋体" w:eastAsia="宋体" w:cs="宋体"/>
                <w:color w:val="auto"/>
                <w:sz w:val="28"/>
                <w:szCs w:val="20"/>
                <w:highlight w:val="none"/>
                <w:lang w:val="en-GB"/>
              </w:rPr>
            </w:pPr>
            <w:r>
              <w:rPr>
                <w:rFonts w:hint="eastAsia" w:ascii="宋体" w:hAnsi="宋体" w:eastAsia="宋体" w:cs="宋体"/>
                <w:color w:val="auto"/>
                <w:sz w:val="28"/>
                <w:szCs w:val="20"/>
                <w:highlight w:val="none"/>
                <w:lang w:val="en-GB"/>
              </w:rPr>
              <w:t>安装时间：贵司应负责货物（设备）的安装，在接到我司或最终用户的安装要求后4个小时内安排安装服务人员到达指定地点进行安装调试，安装调试完成后三日内将最终用户确认的最终验收合格交付单及时反馈给我司。</w:t>
            </w:r>
          </w:p>
          <w:p w14:paraId="02F91EFA">
            <w:pPr>
              <w:keepNext w:val="0"/>
              <w:keepLines w:val="0"/>
              <w:suppressLineNumbers w:val="0"/>
              <w:suppressAutoHyphens/>
              <w:autoSpaceDE w:val="0"/>
              <w:autoSpaceDN w:val="0"/>
              <w:bidi w:val="0"/>
              <w:adjustRightInd w:val="0"/>
              <w:snapToGrid w:val="0"/>
              <w:spacing w:before="0" w:beforeLines="0" w:beforeAutospacing="0" w:after="0" w:afterAutospacing="0" w:line="360" w:lineRule="auto"/>
              <w:ind w:left="0" w:right="0"/>
              <w:jc w:val="left"/>
              <w:rPr>
                <w:rFonts w:hint="eastAsia" w:ascii="宋体" w:hAnsi="宋体" w:eastAsia="宋体" w:cs="宋体"/>
                <w:color w:val="auto"/>
                <w:sz w:val="28"/>
                <w:szCs w:val="20"/>
                <w:highlight w:val="none"/>
                <w:lang w:val="en-GB"/>
              </w:rPr>
            </w:pPr>
            <w:r>
              <w:rPr>
                <w:rFonts w:hint="eastAsia" w:ascii="宋体" w:hAnsi="宋体" w:eastAsia="宋体" w:cs="宋体"/>
                <w:color w:val="auto"/>
                <w:sz w:val="28"/>
                <w:szCs w:val="20"/>
                <w:highlight w:val="none"/>
                <w:lang w:val="en-GB"/>
              </w:rPr>
              <w:t>收货联系人及联系方式：</w:t>
            </w:r>
          </w:p>
        </w:tc>
      </w:tr>
    </w:tbl>
    <w:p w14:paraId="1835DA0B">
      <w:pPr>
        <w:suppressAutoHyphens/>
        <w:autoSpaceDE w:val="0"/>
        <w:autoSpaceDN w:val="0"/>
        <w:bidi w:val="0"/>
        <w:adjustRightInd w:val="0"/>
        <w:snapToGrid w:val="0"/>
        <w:spacing w:before="0" w:beforeLines="0" w:line="360" w:lineRule="auto"/>
        <w:ind w:firstLine="560" w:firstLineChars="200"/>
        <w:jc w:val="left"/>
        <w:rPr>
          <w:rFonts w:hint="eastAsia" w:ascii="宋体" w:hAnsi="宋体" w:eastAsia="宋体" w:cs="宋体"/>
          <w:color w:val="auto"/>
          <w:sz w:val="28"/>
          <w:szCs w:val="20"/>
          <w:highlight w:val="none"/>
          <w:lang w:val="en-US" w:eastAsia="zh-CN"/>
        </w:rPr>
      </w:pPr>
      <w:r>
        <w:rPr>
          <w:rFonts w:hint="default" w:ascii="宋体" w:hAnsi="宋体" w:eastAsia="宋体" w:cs="宋体"/>
          <w:color w:val="auto"/>
          <w:sz w:val="28"/>
          <w:szCs w:val="20"/>
          <w:highlight w:val="none"/>
          <w:lang w:val="en-US" w:eastAsia="zh-CN"/>
        </w:rPr>
        <w:t>  </w:t>
      </w:r>
    </w:p>
    <w:p w14:paraId="193F0571">
      <w:pPr>
        <w:suppressAutoHyphens/>
        <w:autoSpaceDE w:val="0"/>
        <w:autoSpaceDN w:val="0"/>
        <w:bidi w:val="0"/>
        <w:adjustRightInd w:val="0"/>
        <w:snapToGrid w:val="0"/>
        <w:spacing w:before="0" w:beforeLines="0" w:line="360" w:lineRule="auto"/>
        <w:ind w:firstLine="560" w:firstLineChars="200"/>
        <w:jc w:val="left"/>
        <w:rPr>
          <w:rFonts w:hint="eastAsia" w:ascii="宋体" w:hAnsi="宋体" w:eastAsia="宋体" w:cs="宋体"/>
          <w:color w:val="auto"/>
          <w:sz w:val="28"/>
          <w:szCs w:val="20"/>
          <w:highlight w:val="none"/>
          <w:lang w:val="en-GB"/>
        </w:rPr>
      </w:pPr>
      <w:r>
        <w:rPr>
          <w:rFonts w:hint="eastAsia" w:ascii="宋体" w:hAnsi="宋体" w:eastAsia="宋体" w:cs="宋体"/>
          <w:color w:val="auto"/>
          <w:sz w:val="28"/>
          <w:szCs w:val="20"/>
          <w:highlight w:val="none"/>
          <w:lang w:val="en-GB"/>
        </w:rPr>
        <w:t>注：授权经办指定邮箱发送的扫描件与原件具有同等法律效力。</w:t>
      </w:r>
    </w:p>
    <w:p w14:paraId="0A44D346">
      <w:pPr>
        <w:suppressAutoHyphens/>
        <w:autoSpaceDE w:val="0"/>
        <w:autoSpaceDN w:val="0"/>
        <w:bidi w:val="0"/>
        <w:adjustRightInd w:val="0"/>
        <w:snapToGrid w:val="0"/>
        <w:spacing w:before="0" w:beforeLines="0" w:line="360" w:lineRule="auto"/>
        <w:ind w:firstLine="560" w:firstLineChars="200"/>
        <w:jc w:val="left"/>
        <w:rPr>
          <w:rFonts w:hint="eastAsia" w:ascii="宋体" w:hAnsi="宋体" w:eastAsia="宋体" w:cs="宋体"/>
          <w:color w:val="auto"/>
          <w:sz w:val="28"/>
          <w:szCs w:val="20"/>
          <w:highlight w:val="none"/>
          <w:lang w:val="en-GB"/>
        </w:rPr>
      </w:pPr>
    </w:p>
    <w:p w14:paraId="6CFB5EBC">
      <w:pPr>
        <w:suppressAutoHyphens/>
        <w:autoSpaceDE w:val="0"/>
        <w:autoSpaceDN w:val="0"/>
        <w:bidi w:val="0"/>
        <w:adjustRightInd w:val="0"/>
        <w:snapToGrid w:val="0"/>
        <w:spacing w:before="0" w:beforeLines="0" w:line="360" w:lineRule="auto"/>
        <w:ind w:firstLine="560" w:firstLineChars="200"/>
        <w:jc w:val="left"/>
        <w:rPr>
          <w:rFonts w:hint="eastAsia" w:ascii="宋体" w:hAnsi="宋体" w:eastAsia="宋体" w:cs="宋体"/>
          <w:color w:val="auto"/>
          <w:sz w:val="28"/>
          <w:szCs w:val="20"/>
          <w:highlight w:val="none"/>
          <w:lang w:val="en-GB"/>
        </w:rPr>
      </w:pPr>
    </w:p>
    <w:p w14:paraId="1E3AB446">
      <w:pPr>
        <w:suppressAutoHyphens/>
        <w:autoSpaceDE w:val="0"/>
        <w:autoSpaceDN w:val="0"/>
        <w:bidi w:val="0"/>
        <w:adjustRightInd w:val="0"/>
        <w:snapToGrid w:val="0"/>
        <w:spacing w:before="0" w:beforeLines="0" w:line="360" w:lineRule="auto"/>
        <w:ind w:firstLine="560" w:firstLineChars="200"/>
        <w:jc w:val="right"/>
        <w:rPr>
          <w:rFonts w:hint="eastAsia" w:ascii="宋体" w:hAnsi="宋体" w:eastAsia="宋体" w:cs="宋体"/>
          <w:color w:val="auto"/>
          <w:sz w:val="28"/>
          <w:szCs w:val="20"/>
          <w:highlight w:val="none"/>
          <w:lang w:val="en-GB"/>
        </w:rPr>
      </w:pPr>
      <w:r>
        <w:rPr>
          <w:rFonts w:hint="eastAsia" w:ascii="宋体" w:hAnsi="宋体" w:eastAsia="宋体" w:cs="宋体"/>
          <w:color w:val="auto"/>
          <w:sz w:val="28"/>
          <w:szCs w:val="20"/>
          <w:highlight w:val="none"/>
          <w:lang w:val="en-GB"/>
        </w:rPr>
        <w:t>采购单位：厦门万翔网络商务有限公司</w:t>
      </w:r>
    </w:p>
    <w:p w14:paraId="6D6D4EE7">
      <w:pPr>
        <w:suppressAutoHyphens/>
        <w:autoSpaceDE w:val="0"/>
        <w:autoSpaceDN w:val="0"/>
        <w:bidi w:val="0"/>
        <w:adjustRightInd w:val="0"/>
        <w:snapToGrid w:val="0"/>
        <w:spacing w:before="0" w:beforeLines="0" w:line="360" w:lineRule="auto"/>
        <w:ind w:firstLine="560" w:firstLineChars="200"/>
        <w:jc w:val="right"/>
        <w:rPr>
          <w:rFonts w:hint="eastAsia" w:ascii="宋体" w:hAnsi="宋体" w:eastAsia="宋体" w:cs="宋体"/>
          <w:color w:val="auto"/>
          <w:sz w:val="28"/>
          <w:szCs w:val="20"/>
          <w:highlight w:val="none"/>
          <w:lang w:val="en-GB"/>
        </w:rPr>
      </w:pPr>
      <w:r>
        <w:rPr>
          <w:rFonts w:hint="eastAsia" w:ascii="宋体" w:hAnsi="宋体" w:eastAsia="宋体" w:cs="宋体"/>
          <w:color w:val="auto"/>
          <w:sz w:val="28"/>
          <w:szCs w:val="20"/>
          <w:highlight w:val="none"/>
          <w:lang w:val="en-GB"/>
        </w:rPr>
        <w:t>日期： 年 月 日</w:t>
      </w:r>
    </w:p>
    <w:p w14:paraId="49929DE3">
      <w:pPr>
        <w:keepNext w:val="0"/>
        <w:keepLines w:val="0"/>
        <w:pageBreakBefore w:val="0"/>
        <w:suppressAutoHyphens/>
        <w:kinsoku/>
        <w:wordWrap/>
        <w:overflowPunct/>
        <w:topLinePunct w:val="0"/>
        <w:autoSpaceDE/>
        <w:autoSpaceDN/>
        <w:bidi w:val="0"/>
        <w:adjustRightInd/>
        <w:snapToGrid/>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GB"/>
        </w:rPr>
        <w:t>附件</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lang w:val="en-GB"/>
        </w:rPr>
        <w:t>：</w:t>
      </w:r>
      <w:r>
        <w:rPr>
          <w:rFonts w:hint="eastAsia" w:ascii="宋体" w:hAnsi="宋体" w:eastAsia="宋体" w:cs="宋体"/>
          <w:b/>
          <w:bCs/>
          <w:color w:val="auto"/>
          <w:sz w:val="24"/>
          <w:szCs w:val="24"/>
          <w:highlight w:val="none"/>
          <w:lang w:val="en-GB" w:eastAsia="zh-CN"/>
        </w:rPr>
        <w:t>《供货签收单》</w:t>
      </w:r>
    </w:p>
    <w:tbl>
      <w:tblPr>
        <w:tblStyle w:val="14"/>
        <w:tblW w:w="5407" w:type="pct"/>
        <w:tblInd w:w="-50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13"/>
        <w:gridCol w:w="1177"/>
        <w:gridCol w:w="239"/>
        <w:gridCol w:w="787"/>
        <w:gridCol w:w="1157"/>
        <w:gridCol w:w="68"/>
        <w:gridCol w:w="1129"/>
        <w:gridCol w:w="986"/>
        <w:gridCol w:w="137"/>
        <w:gridCol w:w="2024"/>
      </w:tblGrid>
      <w:tr w14:paraId="02D98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820" w:type="pct"/>
            <w:tcBorders>
              <w:top w:val="single" w:color="000000" w:sz="4" w:space="0"/>
              <w:left w:val="single" w:color="000000" w:sz="4" w:space="0"/>
              <w:bottom w:val="single" w:color="000000" w:sz="4" w:space="0"/>
              <w:right w:val="single" w:color="000000" w:sz="4" w:space="0"/>
              <w:tl2br w:val="single" w:color="000000" w:sz="4" w:space="0"/>
            </w:tcBorders>
            <w:shd w:val="clear" w:color="auto" w:fill="FFFFFF"/>
            <w:noWrap/>
            <w:vAlign w:val="bottom"/>
          </w:tcPr>
          <w:p w14:paraId="7E5B6204">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p>
        </w:tc>
        <w:tc>
          <w:tcPr>
            <w:tcW w:w="3081" w:type="pct"/>
            <w:gridSpan w:val="8"/>
            <w:vMerge w:val="restart"/>
            <w:tcBorders>
              <w:top w:val="single" w:color="000000" w:sz="4" w:space="0"/>
              <w:left w:val="single" w:color="000000" w:sz="4" w:space="0"/>
              <w:right w:val="single" w:color="000000" w:sz="4" w:space="0"/>
            </w:tcBorders>
            <w:shd w:val="clear" w:color="auto" w:fill="FFFFFF"/>
            <w:noWrap/>
            <w:vAlign w:val="center"/>
          </w:tcPr>
          <w:p w14:paraId="47C8D6D1">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厦门万翔网络商务有限公司送货单</w:t>
            </w:r>
          </w:p>
        </w:tc>
        <w:tc>
          <w:tcPr>
            <w:tcW w:w="10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C15B63">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送货日期：</w:t>
            </w:r>
          </w:p>
        </w:tc>
      </w:tr>
      <w:tr w14:paraId="579AF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820" w:type="pct"/>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46A32F7">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p>
        </w:tc>
        <w:tc>
          <w:tcPr>
            <w:tcW w:w="3081" w:type="pct"/>
            <w:gridSpan w:val="8"/>
            <w:vMerge w:val="continue"/>
            <w:tcBorders>
              <w:left w:val="single" w:color="000000" w:sz="4" w:space="0"/>
              <w:bottom w:val="single" w:color="000000" w:sz="4" w:space="0"/>
              <w:right w:val="single" w:color="000000" w:sz="4" w:space="0"/>
            </w:tcBorders>
            <w:shd w:val="clear" w:color="auto" w:fill="FFFFFF"/>
            <w:noWrap/>
            <w:vAlign w:val="bottom"/>
          </w:tcPr>
          <w:p w14:paraId="70087B70">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p>
        </w:tc>
        <w:tc>
          <w:tcPr>
            <w:tcW w:w="10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066454">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销售单号：</w:t>
            </w:r>
          </w:p>
        </w:tc>
      </w:tr>
      <w:tr w14:paraId="35413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552963">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客户名称：</w:t>
            </w:r>
          </w:p>
        </w:tc>
        <w:tc>
          <w:tcPr>
            <w:tcW w:w="1195"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AA8CFA">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p>
        </w:tc>
        <w:tc>
          <w:tcPr>
            <w:tcW w:w="66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9CD8CA">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地址：</w:t>
            </w:r>
          </w:p>
        </w:tc>
        <w:tc>
          <w:tcPr>
            <w:tcW w:w="2319"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726983">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p>
        </w:tc>
      </w:tr>
      <w:tr w14:paraId="558E0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0F54CC">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客户电话：</w:t>
            </w:r>
          </w:p>
        </w:tc>
        <w:tc>
          <w:tcPr>
            <w:tcW w:w="1195"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5E1377">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p>
        </w:tc>
        <w:tc>
          <w:tcPr>
            <w:tcW w:w="66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1F3DC04">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 xml:space="preserve">客户手机：    </w:t>
            </w:r>
          </w:p>
        </w:tc>
        <w:tc>
          <w:tcPr>
            <w:tcW w:w="1221"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75747D">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p>
        </w:tc>
        <w:tc>
          <w:tcPr>
            <w:tcW w:w="10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669EBA">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联系人：</w:t>
            </w:r>
          </w:p>
        </w:tc>
      </w:tr>
      <w:tr w14:paraId="4D540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8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E66EB7">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序号</w:t>
            </w:r>
          </w:p>
        </w:tc>
        <w:tc>
          <w:tcPr>
            <w:tcW w:w="76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87EDD8">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商品编码</w:t>
            </w:r>
          </w:p>
        </w:tc>
        <w:tc>
          <w:tcPr>
            <w:tcW w:w="1091"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EEA112">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商品名称</w:t>
            </w:r>
          </w:p>
        </w:tc>
        <w:tc>
          <w:tcPr>
            <w:tcW w:w="61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F49626">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单位</w:t>
            </w:r>
          </w:p>
        </w:tc>
        <w:tc>
          <w:tcPr>
            <w:tcW w:w="60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F09F8F">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数量</w:t>
            </w:r>
          </w:p>
        </w:tc>
        <w:tc>
          <w:tcPr>
            <w:tcW w:w="10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6A30DC">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备注</w:t>
            </w:r>
          </w:p>
        </w:tc>
      </w:tr>
      <w:tr w14:paraId="3EDCD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trPr>
        <w:tc>
          <w:tcPr>
            <w:tcW w:w="8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4A26A8">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1</w:t>
            </w:r>
          </w:p>
        </w:tc>
        <w:tc>
          <w:tcPr>
            <w:tcW w:w="76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34BBE4">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p>
        </w:tc>
        <w:tc>
          <w:tcPr>
            <w:tcW w:w="1091"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F39A8C">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p>
        </w:tc>
        <w:tc>
          <w:tcPr>
            <w:tcW w:w="61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23EB3F">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p>
        </w:tc>
        <w:tc>
          <w:tcPr>
            <w:tcW w:w="60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7AC599">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p>
        </w:tc>
        <w:tc>
          <w:tcPr>
            <w:tcW w:w="10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93628F">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p>
        </w:tc>
      </w:tr>
      <w:tr w14:paraId="0382E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8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86B691">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2</w:t>
            </w:r>
          </w:p>
        </w:tc>
        <w:tc>
          <w:tcPr>
            <w:tcW w:w="76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F988AA">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p>
        </w:tc>
        <w:tc>
          <w:tcPr>
            <w:tcW w:w="1091"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095B66">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p>
        </w:tc>
        <w:tc>
          <w:tcPr>
            <w:tcW w:w="61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6FDAD8">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p>
        </w:tc>
        <w:tc>
          <w:tcPr>
            <w:tcW w:w="60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C6F7E1">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p>
        </w:tc>
        <w:tc>
          <w:tcPr>
            <w:tcW w:w="10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67764A">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p>
        </w:tc>
      </w:tr>
      <w:tr w14:paraId="0A277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8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F9D7C2">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3</w:t>
            </w:r>
          </w:p>
        </w:tc>
        <w:tc>
          <w:tcPr>
            <w:tcW w:w="76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660EDC">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p>
        </w:tc>
        <w:tc>
          <w:tcPr>
            <w:tcW w:w="1091"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EE56AB">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p>
        </w:tc>
        <w:tc>
          <w:tcPr>
            <w:tcW w:w="61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A6BD6A">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p>
        </w:tc>
        <w:tc>
          <w:tcPr>
            <w:tcW w:w="60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EC71BA">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p>
        </w:tc>
        <w:tc>
          <w:tcPr>
            <w:tcW w:w="10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43AFC3">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p>
        </w:tc>
      </w:tr>
      <w:tr w14:paraId="6B104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8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8F26C3">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4</w:t>
            </w:r>
          </w:p>
        </w:tc>
        <w:tc>
          <w:tcPr>
            <w:tcW w:w="76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062F04">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p>
        </w:tc>
        <w:tc>
          <w:tcPr>
            <w:tcW w:w="1091"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8CF269">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p>
        </w:tc>
        <w:tc>
          <w:tcPr>
            <w:tcW w:w="61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16E4F9">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p>
        </w:tc>
        <w:tc>
          <w:tcPr>
            <w:tcW w:w="60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FA0215">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p>
        </w:tc>
        <w:tc>
          <w:tcPr>
            <w:tcW w:w="10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ADCB91">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p>
        </w:tc>
      </w:tr>
      <w:tr w14:paraId="79B30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8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4B22EB">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5</w:t>
            </w:r>
          </w:p>
        </w:tc>
        <w:tc>
          <w:tcPr>
            <w:tcW w:w="76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F18EBE">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p>
        </w:tc>
        <w:tc>
          <w:tcPr>
            <w:tcW w:w="1091"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EBE5A8">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p>
        </w:tc>
        <w:tc>
          <w:tcPr>
            <w:tcW w:w="61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62440E">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p>
        </w:tc>
        <w:tc>
          <w:tcPr>
            <w:tcW w:w="60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A4B22C">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p>
        </w:tc>
        <w:tc>
          <w:tcPr>
            <w:tcW w:w="10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EC2F06">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p>
        </w:tc>
      </w:tr>
      <w:tr w14:paraId="46687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8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DAD7CB">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6</w:t>
            </w:r>
          </w:p>
        </w:tc>
        <w:tc>
          <w:tcPr>
            <w:tcW w:w="76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3120F3">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p>
        </w:tc>
        <w:tc>
          <w:tcPr>
            <w:tcW w:w="1091"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0F206D">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p>
        </w:tc>
        <w:tc>
          <w:tcPr>
            <w:tcW w:w="61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DEE011">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p>
        </w:tc>
        <w:tc>
          <w:tcPr>
            <w:tcW w:w="60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E56C20">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p>
        </w:tc>
        <w:tc>
          <w:tcPr>
            <w:tcW w:w="10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F06577">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p>
        </w:tc>
      </w:tr>
      <w:tr w14:paraId="46235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8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AFC7CF">
            <w:pPr>
              <w:keepNext w:val="0"/>
              <w:keepLines w:val="0"/>
              <w:suppressLineNumbers w:val="0"/>
              <w:suppressAutoHyphens/>
              <w:bidi w:val="0"/>
              <w:spacing w:before="0" w:beforeAutospacing="0" w:after="0" w:afterAutospacing="0"/>
              <w:ind w:left="0" w:right="0"/>
              <w:rPr>
                <w:rFonts w:hint="eastAsia" w:ascii="宋体" w:hAnsi="宋体" w:eastAsia="宋体" w:cs="宋体"/>
                <w:color w:val="auto"/>
                <w:sz w:val="28"/>
                <w:szCs w:val="21"/>
                <w:highlight w:val="none"/>
              </w:rPr>
            </w:pPr>
          </w:p>
        </w:tc>
        <w:tc>
          <w:tcPr>
            <w:tcW w:w="76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53A566">
            <w:pPr>
              <w:keepNext w:val="0"/>
              <w:keepLines w:val="0"/>
              <w:suppressLineNumbers w:val="0"/>
              <w:suppressAutoHyphens/>
              <w:bidi w:val="0"/>
              <w:spacing w:before="0" w:beforeAutospacing="0" w:after="0" w:afterAutospacing="0"/>
              <w:ind w:left="0" w:right="0"/>
              <w:rPr>
                <w:rFonts w:hint="eastAsia" w:ascii="宋体" w:hAnsi="宋体" w:eastAsia="宋体" w:cs="宋体"/>
                <w:color w:val="auto"/>
                <w:sz w:val="28"/>
                <w:szCs w:val="21"/>
                <w:highlight w:val="none"/>
              </w:rPr>
            </w:pPr>
          </w:p>
        </w:tc>
        <w:tc>
          <w:tcPr>
            <w:tcW w:w="1091"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1057F1">
            <w:pPr>
              <w:keepNext w:val="0"/>
              <w:keepLines w:val="0"/>
              <w:suppressLineNumbers w:val="0"/>
              <w:suppressAutoHyphens/>
              <w:bidi w:val="0"/>
              <w:spacing w:before="0" w:beforeAutospacing="0" w:after="0" w:afterAutospacing="0"/>
              <w:ind w:left="0" w:right="0"/>
              <w:rPr>
                <w:rFonts w:hint="eastAsia" w:ascii="宋体" w:hAnsi="宋体" w:eastAsia="宋体" w:cs="宋体"/>
                <w:color w:val="auto"/>
                <w:sz w:val="28"/>
                <w:szCs w:val="21"/>
                <w:highlight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AE49F1">
            <w:pPr>
              <w:keepNext w:val="0"/>
              <w:keepLines w:val="0"/>
              <w:suppressLineNumbers w:val="0"/>
              <w:suppressAutoHyphens/>
              <w:bidi w:val="0"/>
              <w:spacing w:before="0" w:beforeAutospacing="0" w:after="0" w:afterAutospacing="0"/>
              <w:ind w:left="0" w:right="0"/>
              <w:rPr>
                <w:rFonts w:hint="eastAsia" w:ascii="宋体" w:hAnsi="宋体" w:eastAsia="宋体" w:cs="宋体"/>
                <w:color w:val="auto"/>
                <w:sz w:val="28"/>
                <w:szCs w:val="21"/>
                <w:highlight w:val="none"/>
              </w:rPr>
            </w:pPr>
          </w:p>
        </w:tc>
        <w:tc>
          <w:tcPr>
            <w:tcW w:w="60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B2F767">
            <w:pPr>
              <w:keepNext w:val="0"/>
              <w:keepLines w:val="0"/>
              <w:suppressLineNumbers w:val="0"/>
              <w:suppressAutoHyphens/>
              <w:bidi w:val="0"/>
              <w:spacing w:before="0" w:beforeAutospacing="0" w:after="0" w:afterAutospacing="0"/>
              <w:ind w:left="0" w:right="0"/>
              <w:rPr>
                <w:rFonts w:hint="eastAsia" w:ascii="宋体" w:hAnsi="宋体" w:eastAsia="宋体" w:cs="宋体"/>
                <w:color w:val="auto"/>
                <w:sz w:val="28"/>
                <w:szCs w:val="21"/>
                <w:highlight w:val="none"/>
              </w:rPr>
            </w:pPr>
          </w:p>
        </w:tc>
        <w:tc>
          <w:tcPr>
            <w:tcW w:w="10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33AB2A">
            <w:pPr>
              <w:keepNext w:val="0"/>
              <w:keepLines w:val="0"/>
              <w:suppressLineNumbers w:val="0"/>
              <w:suppressAutoHyphens/>
              <w:bidi w:val="0"/>
              <w:spacing w:before="0" w:beforeAutospacing="0" w:after="0" w:afterAutospacing="0"/>
              <w:ind w:left="0" w:right="0"/>
              <w:rPr>
                <w:rFonts w:hint="eastAsia" w:ascii="宋体" w:hAnsi="宋体" w:eastAsia="宋体" w:cs="宋体"/>
                <w:color w:val="auto"/>
                <w:sz w:val="28"/>
                <w:szCs w:val="21"/>
                <w:highlight w:val="none"/>
              </w:rPr>
            </w:pPr>
          </w:p>
        </w:tc>
      </w:tr>
      <w:tr w14:paraId="1EA5A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8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36CAD4">
            <w:pPr>
              <w:keepNext w:val="0"/>
              <w:keepLines w:val="0"/>
              <w:suppressLineNumbers w:val="0"/>
              <w:suppressAutoHyphens/>
              <w:bidi w:val="0"/>
              <w:spacing w:before="0" w:beforeAutospacing="0" w:after="0" w:afterAutospacing="0"/>
              <w:ind w:left="0" w:right="0"/>
              <w:rPr>
                <w:rFonts w:hint="eastAsia" w:ascii="宋体" w:hAnsi="宋体" w:eastAsia="宋体" w:cs="宋体"/>
                <w:color w:val="auto"/>
                <w:sz w:val="28"/>
                <w:szCs w:val="21"/>
                <w:highlight w:val="none"/>
              </w:rPr>
            </w:pPr>
          </w:p>
        </w:tc>
        <w:tc>
          <w:tcPr>
            <w:tcW w:w="76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7CB8D7">
            <w:pPr>
              <w:keepNext w:val="0"/>
              <w:keepLines w:val="0"/>
              <w:suppressLineNumbers w:val="0"/>
              <w:suppressAutoHyphens/>
              <w:bidi w:val="0"/>
              <w:spacing w:before="0" w:beforeAutospacing="0" w:after="0" w:afterAutospacing="0"/>
              <w:ind w:left="0" w:right="0"/>
              <w:rPr>
                <w:rFonts w:hint="eastAsia" w:ascii="宋体" w:hAnsi="宋体" w:eastAsia="宋体" w:cs="宋体"/>
                <w:color w:val="auto"/>
                <w:sz w:val="28"/>
                <w:szCs w:val="21"/>
                <w:highlight w:val="none"/>
              </w:rPr>
            </w:pPr>
          </w:p>
        </w:tc>
        <w:tc>
          <w:tcPr>
            <w:tcW w:w="1091"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395D78">
            <w:pPr>
              <w:keepNext w:val="0"/>
              <w:keepLines w:val="0"/>
              <w:suppressLineNumbers w:val="0"/>
              <w:suppressAutoHyphens/>
              <w:bidi w:val="0"/>
              <w:spacing w:before="0" w:beforeAutospacing="0" w:after="0" w:afterAutospacing="0"/>
              <w:ind w:left="0" w:right="0"/>
              <w:rPr>
                <w:rFonts w:hint="eastAsia" w:ascii="宋体" w:hAnsi="宋体" w:eastAsia="宋体" w:cs="宋体"/>
                <w:color w:val="auto"/>
                <w:sz w:val="28"/>
                <w:szCs w:val="21"/>
                <w:highlight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FF05CC">
            <w:pPr>
              <w:keepNext w:val="0"/>
              <w:keepLines w:val="0"/>
              <w:suppressLineNumbers w:val="0"/>
              <w:suppressAutoHyphens/>
              <w:bidi w:val="0"/>
              <w:spacing w:before="0" w:beforeAutospacing="0" w:after="0" w:afterAutospacing="0"/>
              <w:ind w:left="0" w:right="0"/>
              <w:rPr>
                <w:rFonts w:hint="eastAsia" w:ascii="宋体" w:hAnsi="宋体" w:eastAsia="宋体" w:cs="宋体"/>
                <w:color w:val="auto"/>
                <w:sz w:val="28"/>
                <w:szCs w:val="21"/>
                <w:highlight w:val="none"/>
              </w:rPr>
            </w:pPr>
          </w:p>
        </w:tc>
        <w:tc>
          <w:tcPr>
            <w:tcW w:w="60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C690D3">
            <w:pPr>
              <w:keepNext w:val="0"/>
              <w:keepLines w:val="0"/>
              <w:suppressLineNumbers w:val="0"/>
              <w:suppressAutoHyphens/>
              <w:bidi w:val="0"/>
              <w:spacing w:before="0" w:beforeAutospacing="0" w:after="0" w:afterAutospacing="0"/>
              <w:ind w:left="0" w:right="0"/>
              <w:rPr>
                <w:rFonts w:hint="eastAsia" w:ascii="宋体" w:hAnsi="宋体" w:eastAsia="宋体" w:cs="宋体"/>
                <w:color w:val="auto"/>
                <w:sz w:val="28"/>
                <w:szCs w:val="21"/>
                <w:highlight w:val="none"/>
              </w:rPr>
            </w:pPr>
          </w:p>
        </w:tc>
        <w:tc>
          <w:tcPr>
            <w:tcW w:w="10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264992">
            <w:pPr>
              <w:keepNext w:val="0"/>
              <w:keepLines w:val="0"/>
              <w:suppressLineNumbers w:val="0"/>
              <w:suppressAutoHyphens/>
              <w:bidi w:val="0"/>
              <w:spacing w:before="0" w:beforeAutospacing="0" w:after="0" w:afterAutospacing="0"/>
              <w:ind w:left="0" w:right="0"/>
              <w:rPr>
                <w:rFonts w:hint="eastAsia" w:ascii="宋体" w:hAnsi="宋体" w:eastAsia="宋体" w:cs="宋体"/>
                <w:color w:val="auto"/>
                <w:sz w:val="28"/>
                <w:szCs w:val="21"/>
                <w:highlight w:val="none"/>
              </w:rPr>
            </w:pPr>
          </w:p>
        </w:tc>
      </w:tr>
      <w:tr w14:paraId="47BCB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292" w:type="pct"/>
            <w:gridSpan w:val="7"/>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9563AA">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总计数量:</w:t>
            </w:r>
          </w:p>
        </w:tc>
        <w:tc>
          <w:tcPr>
            <w:tcW w:w="1707"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A573E9">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p>
        </w:tc>
      </w:tr>
      <w:tr w14:paraId="7015E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2" w:hRule="atLeast"/>
        </w:trPr>
        <w:tc>
          <w:tcPr>
            <w:tcW w:w="145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177DFB">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经手人：</w:t>
            </w:r>
          </w:p>
        </w:tc>
        <w:tc>
          <w:tcPr>
            <w:tcW w:w="1184"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B4D9B6">
            <w:pPr>
              <w:keepNext w:val="0"/>
              <w:keepLines w:val="0"/>
              <w:suppressLineNumbers w:val="0"/>
              <w:suppressAutoHyphens/>
              <w:bidi w:val="0"/>
              <w:spacing w:before="0" w:beforeAutospacing="0" w:after="0" w:afterAutospacing="0"/>
              <w:ind w:left="0" w:right="0"/>
              <w:rPr>
                <w:rFonts w:hint="eastAsia" w:ascii="宋体" w:hAnsi="宋体" w:eastAsia="宋体" w:cs="宋体"/>
                <w:color w:val="auto"/>
                <w:sz w:val="28"/>
                <w:szCs w:val="21"/>
                <w:highlight w:val="none"/>
              </w:rPr>
            </w:pPr>
            <w:r>
              <w:rPr>
                <w:rFonts w:hint="eastAsia" w:ascii="宋体" w:hAnsi="宋体" w:eastAsia="宋体" w:cs="宋体"/>
                <w:b w:val="0"/>
                <w:color w:val="auto"/>
                <w:kern w:val="2"/>
                <w:sz w:val="21"/>
                <w:szCs w:val="21"/>
                <w:highlight w:val="none"/>
                <w:lang w:val="en-US" w:eastAsia="zh-CN" w:bidi="ar-SA"/>
              </w:rPr>
              <w:t>配货人：</w:t>
            </w:r>
          </w:p>
          <w:p w14:paraId="66546EA9">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p>
        </w:tc>
        <w:tc>
          <w:tcPr>
            <w:tcW w:w="1184"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9C49B3">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送货人：</w:t>
            </w:r>
          </w:p>
        </w:tc>
        <w:tc>
          <w:tcPr>
            <w:tcW w:w="117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8E3210">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收货人：</w:t>
            </w:r>
          </w:p>
        </w:tc>
      </w:tr>
      <w:tr w14:paraId="6502D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902" w:type="pct"/>
            <w:gridSpan w:val="9"/>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101F1D">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both"/>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备注：签收时请仔细清点确认货物的名称、规格型号、数量、生产日期、保质期及外观完好程度等，清点无误后再签字确认签收，签字后视同货物完好；验收时货物出现异常请联系经办，协商调换货事宜，否则视同货物合格。</w:t>
            </w:r>
          </w:p>
        </w:tc>
        <w:tc>
          <w:tcPr>
            <w:tcW w:w="10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FAD460">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both"/>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共1页，第1页</w:t>
            </w:r>
          </w:p>
        </w:tc>
      </w:tr>
    </w:tbl>
    <w:p w14:paraId="49F24AC1">
      <w:pPr>
        <w:widowControl w:val="0"/>
        <w:spacing w:before="100" w:beforeAutospacing="1" w:after="100" w:afterAutospacing="1"/>
        <w:jc w:val="left"/>
        <w:outlineLvl w:val="9"/>
        <w:rPr>
          <w:rFonts w:hint="eastAsia" w:ascii="宋体" w:hAnsi="宋体" w:eastAsia="宋体" w:cs="宋体"/>
          <w:b/>
          <w:bCs/>
          <w:color w:val="auto"/>
          <w:kern w:val="0"/>
          <w:sz w:val="36"/>
          <w:szCs w:val="20"/>
          <w:highlight w:val="none"/>
          <w:lang w:val="en-US" w:eastAsia="zh-CN" w:bidi="ar-SA"/>
        </w:rPr>
      </w:pPr>
    </w:p>
    <w:p w14:paraId="6B1393D8">
      <w:pPr>
        <w:suppressAutoHyphens/>
        <w:bidi w:val="0"/>
        <w:jc w:val="left"/>
        <w:rPr>
          <w:rFonts w:hint="eastAsia" w:eastAsia="宋体" w:cs="Times New Roman"/>
          <w:color w:val="auto"/>
          <w:sz w:val="28"/>
          <w:highlight w:val="none"/>
          <w:lang w:val="en-GB"/>
        </w:rPr>
      </w:pPr>
    </w:p>
    <w:p w14:paraId="7691A337">
      <w:pPr>
        <w:rPr>
          <w:rFonts w:hint="eastAsia"/>
          <w:color w:val="auto"/>
          <w:highlight w:val="none"/>
          <w:lang w:val="en-GB"/>
        </w:rPr>
        <w:sectPr>
          <w:pgSz w:w="11906" w:h="16838"/>
          <w:pgMar w:top="1440" w:right="1800" w:bottom="1440" w:left="1800" w:header="851" w:footer="992" w:gutter="0"/>
          <w:cols w:space="720" w:num="1"/>
          <w:docGrid w:type="lines" w:linePitch="312" w:charSpace="0"/>
        </w:sectPr>
      </w:pPr>
    </w:p>
    <w:p w14:paraId="75504390">
      <w:pPr>
        <w:suppressAutoHyphens/>
        <w:autoSpaceDE w:val="0"/>
        <w:autoSpaceDN w:val="0"/>
        <w:bidi w:val="0"/>
        <w:adjustRightInd w:val="0"/>
        <w:snapToGrid w:val="0"/>
        <w:spacing w:before="0" w:beforeLines="0" w:line="360" w:lineRule="auto"/>
        <w:ind w:firstLine="482" w:firstLineChars="200"/>
        <w:jc w:val="left"/>
        <w:rPr>
          <w:rFonts w:hint="eastAsia" w:ascii="宋体" w:hAnsi="宋体" w:eastAsia="宋体" w:cs="宋体"/>
          <w:color w:val="auto"/>
          <w:sz w:val="28"/>
          <w:szCs w:val="20"/>
          <w:highlight w:val="none"/>
          <w:lang w:val="en-GB"/>
        </w:rPr>
      </w:pPr>
      <w:r>
        <w:rPr>
          <w:rFonts w:hint="eastAsia" w:ascii="宋体" w:hAnsi="宋体" w:eastAsia="宋体" w:cs="宋体"/>
          <w:b/>
          <w:bCs/>
          <w:color w:val="auto"/>
          <w:sz w:val="24"/>
          <w:szCs w:val="24"/>
          <w:highlight w:val="none"/>
          <w:lang w:val="en-GB"/>
        </w:rPr>
        <w:t>附件</w:t>
      </w:r>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lang w:val="en-GB"/>
        </w:rPr>
        <w:t>：验收单样单</w:t>
      </w:r>
    </w:p>
    <w:p w14:paraId="3CFA2E00">
      <w:pPr>
        <w:suppressAutoHyphens/>
        <w:autoSpaceDE w:val="0"/>
        <w:autoSpaceDN w:val="0"/>
        <w:bidi w:val="0"/>
        <w:adjustRightInd w:val="0"/>
        <w:snapToGrid w:val="0"/>
        <w:spacing w:before="0" w:beforeLines="0" w:line="360" w:lineRule="auto"/>
        <w:ind w:firstLine="0" w:firstLineChars="0"/>
        <w:jc w:val="left"/>
        <w:rPr>
          <w:rFonts w:hint="eastAsia" w:ascii="宋体" w:hAnsi="宋体" w:eastAsia="宋体" w:cs="宋体"/>
          <w:color w:val="auto"/>
          <w:sz w:val="28"/>
          <w:szCs w:val="20"/>
          <w:highlight w:val="none"/>
          <w:lang w:val="en-GB"/>
        </w:rPr>
      </w:pPr>
      <w:r>
        <w:rPr>
          <w:rFonts w:hint="eastAsia" w:ascii="宋体" w:hAnsi="宋体" w:eastAsia="宋体" w:cs="宋体"/>
          <w:color w:val="auto"/>
          <w:sz w:val="28"/>
          <w:szCs w:val="20"/>
          <w:highlight w:val="none"/>
          <w:lang w:val="en-GB"/>
        </w:rPr>
        <w:drawing>
          <wp:inline distT="0" distB="0" distL="114300" distR="114300">
            <wp:extent cx="5274310" cy="7529195"/>
            <wp:effectExtent l="0" t="0" r="2540" b="14605"/>
            <wp:docPr id="5" name="图片 2" descr="副本验收报告格式(最终稿）(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副本验收报告格式(最终稿）(2)"/>
                    <pic:cNvPicPr>
                      <a:picLocks noChangeAspect="1"/>
                    </pic:cNvPicPr>
                  </pic:nvPicPr>
                  <pic:blipFill>
                    <a:blip r:embed="rId7"/>
                    <a:stretch>
                      <a:fillRect/>
                    </a:stretch>
                  </pic:blipFill>
                  <pic:spPr>
                    <a:xfrm>
                      <a:off x="0" y="0"/>
                      <a:ext cx="5274310" cy="7529195"/>
                    </a:xfrm>
                    <a:prstGeom prst="rect">
                      <a:avLst/>
                    </a:prstGeom>
                    <a:noFill/>
                    <a:ln>
                      <a:noFill/>
                    </a:ln>
                  </pic:spPr>
                </pic:pic>
              </a:graphicData>
            </a:graphic>
          </wp:inline>
        </w:drawing>
      </w:r>
    </w:p>
    <w:p w14:paraId="4B6ACA13">
      <w:pPr>
        <w:keepNext w:val="0"/>
        <w:keepLines w:val="0"/>
        <w:pageBreakBefore w:val="0"/>
        <w:widowControl w:val="0"/>
        <w:suppressAutoHyphens/>
        <w:kinsoku/>
        <w:wordWrap/>
        <w:overflowPunct/>
        <w:topLinePunct w:val="0"/>
        <w:autoSpaceDE/>
        <w:autoSpaceDN/>
        <w:bidi w:val="0"/>
        <w:adjustRightInd/>
        <w:snapToGrid/>
        <w:spacing w:line="360" w:lineRule="auto"/>
        <w:jc w:val="left"/>
        <w:textAlignment w:val="auto"/>
        <w:rPr>
          <w:rFonts w:hint="default" w:eastAsia="宋体" w:cs="Times New Roman"/>
          <w:color w:val="auto"/>
          <w:sz w:val="28"/>
          <w:highlight w:val="none"/>
          <w:lang w:val="en-US" w:eastAsia="zh-CN"/>
        </w:rPr>
      </w:pPr>
    </w:p>
    <w:p w14:paraId="19B2C528">
      <w:pPr>
        <w:keepNext w:val="0"/>
        <w:keepLines w:val="0"/>
        <w:pageBreakBefore w:val="0"/>
        <w:widowControl/>
        <w:suppressAutoHyphens/>
        <w:kinsoku/>
        <w:wordWrap/>
        <w:overflowPunct/>
        <w:topLinePunct w:val="0"/>
        <w:autoSpaceDE w:val="0"/>
        <w:autoSpaceDN w:val="0"/>
        <w:bidi w:val="0"/>
        <w:adjustRightInd w:val="0"/>
        <w:snapToGrid w:val="0"/>
        <w:spacing w:beforeLines="0" w:line="360" w:lineRule="auto"/>
        <w:ind w:firstLine="422" w:firstLineChars="200"/>
        <w:jc w:val="left"/>
        <w:rPr>
          <w:rFonts w:hint="eastAsia" w:ascii="宋体" w:hAnsi="宋体" w:eastAsia="宋体" w:cs="宋体"/>
          <w:b/>
          <w:bCs/>
          <w:color w:val="auto"/>
          <w:kern w:val="2"/>
          <w:sz w:val="21"/>
          <w:szCs w:val="20"/>
          <w:highlight w:val="none"/>
          <w:lang w:val="en-GB" w:eastAsia="zh-CN" w:bidi="ar-SA"/>
        </w:rPr>
      </w:pPr>
    </w:p>
    <w:p w14:paraId="76754FB0">
      <w:pPr>
        <w:keepNext w:val="0"/>
        <w:keepLines w:val="0"/>
        <w:pageBreakBefore w:val="0"/>
        <w:widowControl/>
        <w:suppressAutoHyphens/>
        <w:kinsoku/>
        <w:wordWrap/>
        <w:overflowPunct/>
        <w:topLinePunct w:val="0"/>
        <w:autoSpaceDE w:val="0"/>
        <w:autoSpaceDN w:val="0"/>
        <w:bidi w:val="0"/>
        <w:adjustRightInd w:val="0"/>
        <w:snapToGrid w:val="0"/>
        <w:spacing w:beforeLines="0" w:line="360" w:lineRule="auto"/>
        <w:ind w:firstLine="482" w:firstLineChars="200"/>
        <w:jc w:val="left"/>
        <w:rPr>
          <w:rFonts w:hint="eastAsia" w:ascii="宋体" w:hAnsi="宋体" w:eastAsia="宋体" w:cs="宋体"/>
          <w:b/>
          <w:bCs/>
          <w:color w:val="auto"/>
          <w:kern w:val="2"/>
          <w:sz w:val="24"/>
          <w:szCs w:val="24"/>
          <w:highlight w:val="none"/>
          <w:lang w:val="en-GB" w:eastAsia="zh-CN" w:bidi="ar-SA"/>
        </w:rPr>
      </w:pPr>
    </w:p>
    <w:p w14:paraId="30E88619">
      <w:pPr>
        <w:keepNext w:val="0"/>
        <w:keepLines w:val="0"/>
        <w:pageBreakBefore w:val="0"/>
        <w:widowControl/>
        <w:suppressAutoHyphens/>
        <w:kinsoku/>
        <w:wordWrap/>
        <w:overflowPunct/>
        <w:topLinePunct w:val="0"/>
        <w:autoSpaceDE w:val="0"/>
        <w:autoSpaceDN w:val="0"/>
        <w:bidi w:val="0"/>
        <w:adjustRightInd w:val="0"/>
        <w:snapToGrid w:val="0"/>
        <w:spacing w:beforeLines="0" w:line="360" w:lineRule="auto"/>
        <w:ind w:firstLine="482" w:firstLineChars="200"/>
        <w:jc w:val="left"/>
        <w:rPr>
          <w:rFonts w:hint="eastAsia" w:ascii="宋体" w:hAnsi="宋体" w:eastAsia="宋体" w:cs="宋体"/>
          <w:b/>
          <w:bCs/>
          <w:color w:val="auto"/>
          <w:kern w:val="2"/>
          <w:sz w:val="24"/>
          <w:szCs w:val="24"/>
          <w:highlight w:val="none"/>
          <w:lang w:val="en-GB" w:eastAsia="zh-CN" w:bidi="ar-SA"/>
        </w:rPr>
      </w:pPr>
      <w:r>
        <w:rPr>
          <w:rFonts w:hint="eastAsia" w:ascii="宋体" w:hAnsi="宋体" w:eastAsia="宋体" w:cs="宋体"/>
          <w:b/>
          <w:bCs/>
          <w:color w:val="auto"/>
          <w:kern w:val="2"/>
          <w:sz w:val="24"/>
          <w:szCs w:val="24"/>
          <w:highlight w:val="none"/>
          <w:lang w:val="en-GB" w:eastAsia="zh-CN" w:bidi="ar-SA"/>
        </w:rPr>
        <w:t>附件</w:t>
      </w:r>
      <w:r>
        <w:rPr>
          <w:rFonts w:hint="eastAsia" w:ascii="宋体" w:hAnsi="宋体" w:eastAsia="宋体" w:cs="宋体"/>
          <w:b/>
          <w:bCs/>
          <w:color w:val="auto"/>
          <w:kern w:val="2"/>
          <w:sz w:val="24"/>
          <w:szCs w:val="24"/>
          <w:highlight w:val="none"/>
          <w:lang w:val="en-US" w:eastAsia="zh-CN" w:bidi="ar-SA"/>
        </w:rPr>
        <w:t>9</w:t>
      </w:r>
      <w:r>
        <w:rPr>
          <w:rFonts w:hint="eastAsia" w:ascii="宋体" w:hAnsi="宋体" w:eastAsia="宋体" w:cs="宋体"/>
          <w:b/>
          <w:bCs/>
          <w:color w:val="auto"/>
          <w:kern w:val="2"/>
          <w:sz w:val="24"/>
          <w:szCs w:val="24"/>
          <w:highlight w:val="none"/>
          <w:lang w:val="en-GB" w:eastAsia="zh-CN" w:bidi="ar-SA"/>
        </w:rPr>
        <w:t>：《降价款确认函》</w:t>
      </w:r>
    </w:p>
    <w:p w14:paraId="4F193257">
      <w:pPr>
        <w:keepNext w:val="0"/>
        <w:keepLines w:val="0"/>
        <w:pageBreakBefore w:val="0"/>
        <w:suppressAutoHyphens/>
        <w:kinsoku/>
        <w:wordWrap/>
        <w:overflowPunct/>
        <w:topLinePunct w:val="0"/>
        <w:autoSpaceDE/>
        <w:autoSpaceDN/>
        <w:bidi w:val="0"/>
        <w:adjustRightInd/>
        <w:snapToGrid/>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降价款确认函</w:t>
      </w:r>
    </w:p>
    <w:p w14:paraId="581BE7F4">
      <w:pPr>
        <w:keepNext w:val="0"/>
        <w:keepLines w:val="0"/>
        <w:pageBreakBefore w:val="0"/>
        <w:suppressAutoHyphens/>
        <w:kinsoku/>
        <w:wordWrap/>
        <w:overflowPunct/>
        <w:topLinePunct w:val="0"/>
        <w:autoSpaceDE/>
        <w:autoSpaceDN/>
        <w:bidi w:val="0"/>
        <w:adjustRightInd/>
        <w:snapToGrid/>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厦门万翔网络商务有限公司：</w:t>
      </w:r>
    </w:p>
    <w:p w14:paraId="0EEE69B5">
      <w:pPr>
        <w:keepNext w:val="0"/>
        <w:keepLines w:val="0"/>
        <w:pageBreakBefore w:val="0"/>
        <w:suppressAutoHyphens/>
        <w:kinsoku/>
        <w:wordWrap/>
        <w:overflowPunct/>
        <w:topLinePunct w:val="0"/>
        <w:autoSpaceDE/>
        <w:autoSpaceDN/>
        <w:bidi w:val="0"/>
        <w:adjustRightInd/>
        <w:snapToGrid/>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 xml:space="preserve">     据</w:t>
      </w:r>
      <w:r>
        <w:rPr>
          <w:rFonts w:hint="eastAsia" w:ascii="宋体" w:hAnsi="宋体" w:eastAsia="宋体" w:cs="宋体"/>
          <w:color w:val="auto"/>
          <w:kern w:val="0"/>
          <w:sz w:val="21"/>
          <w:szCs w:val="21"/>
          <w:highlight w:val="none"/>
        </w:rPr>
        <w:t>双方</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号合同约定，我司于</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年</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月</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日对部份产品下调价格，现就本次降价款进行确认，明细如下，我司将按合同约定如期兑付。</w:t>
      </w:r>
    </w:p>
    <w:p w14:paraId="5935C88C">
      <w:pPr>
        <w:keepNext w:val="0"/>
        <w:keepLines w:val="0"/>
        <w:pageBreakBefore w:val="0"/>
        <w:suppressAutoHyphens/>
        <w:kinsoku/>
        <w:wordWrap/>
        <w:overflowPunct/>
        <w:topLinePunct w:val="0"/>
        <w:autoSpaceDE/>
        <w:autoSpaceDN/>
        <w:bidi w:val="0"/>
        <w:adjustRightInd/>
        <w:snapToGrid/>
        <w:spacing w:line="360" w:lineRule="auto"/>
        <w:rPr>
          <w:rFonts w:hint="eastAsia" w:ascii="宋体" w:hAnsi="宋体" w:eastAsia="宋体" w:cs="宋体"/>
          <w:color w:val="auto"/>
          <w:kern w:val="0"/>
          <w:sz w:val="21"/>
          <w:szCs w:val="21"/>
          <w:highlight w:val="none"/>
        </w:rPr>
      </w:pPr>
    </w:p>
    <w:tbl>
      <w:tblPr>
        <w:tblStyle w:val="14"/>
        <w:tblW w:w="8590" w:type="dxa"/>
        <w:jc w:val="center"/>
        <w:tblLayout w:type="fixed"/>
        <w:tblCellMar>
          <w:top w:w="0" w:type="dxa"/>
          <w:left w:w="108" w:type="dxa"/>
          <w:bottom w:w="0" w:type="dxa"/>
          <w:right w:w="108" w:type="dxa"/>
        </w:tblCellMar>
      </w:tblPr>
      <w:tblGrid>
        <w:gridCol w:w="936"/>
        <w:gridCol w:w="1436"/>
        <w:gridCol w:w="1448"/>
        <w:gridCol w:w="1654"/>
        <w:gridCol w:w="1757"/>
        <w:gridCol w:w="1359"/>
      </w:tblGrid>
      <w:tr w14:paraId="053334EA">
        <w:tblPrEx>
          <w:tblCellMar>
            <w:top w:w="0" w:type="dxa"/>
            <w:left w:w="108" w:type="dxa"/>
            <w:bottom w:w="0" w:type="dxa"/>
            <w:right w:w="108" w:type="dxa"/>
          </w:tblCellMar>
        </w:tblPrEx>
        <w:trPr>
          <w:trHeight w:val="409" w:hRule="atLeast"/>
          <w:jc w:val="center"/>
        </w:trPr>
        <w:tc>
          <w:tcPr>
            <w:tcW w:w="936" w:type="dxa"/>
            <w:tcBorders>
              <w:top w:val="single" w:color="auto" w:sz="12" w:space="0"/>
              <w:left w:val="single" w:color="auto" w:sz="12" w:space="0"/>
              <w:bottom w:val="single" w:color="auto" w:sz="4" w:space="0"/>
              <w:right w:val="single" w:color="auto" w:sz="4" w:space="0"/>
            </w:tcBorders>
            <w:noWrap/>
            <w:vAlign w:val="center"/>
          </w:tcPr>
          <w:p w14:paraId="578C65C4">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型号</w:t>
            </w:r>
          </w:p>
        </w:tc>
        <w:tc>
          <w:tcPr>
            <w:tcW w:w="1436" w:type="dxa"/>
            <w:tcBorders>
              <w:top w:val="single" w:color="auto" w:sz="12" w:space="0"/>
              <w:left w:val="nil"/>
              <w:bottom w:val="single" w:color="auto" w:sz="4" w:space="0"/>
              <w:right w:val="single" w:color="auto" w:sz="4" w:space="0"/>
            </w:tcBorders>
            <w:noWrap/>
            <w:vAlign w:val="center"/>
          </w:tcPr>
          <w:p w14:paraId="3B288B1A">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数量</w:t>
            </w:r>
          </w:p>
        </w:tc>
        <w:tc>
          <w:tcPr>
            <w:tcW w:w="1448" w:type="dxa"/>
            <w:tcBorders>
              <w:top w:val="single" w:color="auto" w:sz="12" w:space="0"/>
              <w:left w:val="nil"/>
              <w:bottom w:val="single" w:color="auto" w:sz="4" w:space="0"/>
              <w:right w:val="single" w:color="auto" w:sz="4" w:space="0"/>
            </w:tcBorders>
            <w:noWrap/>
            <w:vAlign w:val="center"/>
          </w:tcPr>
          <w:p w14:paraId="0B1FFA19">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原供价</w:t>
            </w:r>
          </w:p>
        </w:tc>
        <w:tc>
          <w:tcPr>
            <w:tcW w:w="1654" w:type="dxa"/>
            <w:tcBorders>
              <w:top w:val="single" w:color="auto" w:sz="12" w:space="0"/>
              <w:left w:val="nil"/>
              <w:bottom w:val="single" w:color="auto" w:sz="4" w:space="0"/>
              <w:right w:val="single" w:color="auto" w:sz="4" w:space="0"/>
            </w:tcBorders>
            <w:noWrap/>
            <w:vAlign w:val="center"/>
          </w:tcPr>
          <w:p w14:paraId="3FAF84B3">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现供价</w:t>
            </w:r>
          </w:p>
        </w:tc>
        <w:tc>
          <w:tcPr>
            <w:tcW w:w="1757" w:type="dxa"/>
            <w:tcBorders>
              <w:top w:val="single" w:color="auto" w:sz="12" w:space="0"/>
              <w:left w:val="nil"/>
              <w:bottom w:val="single" w:color="auto" w:sz="4" w:space="0"/>
              <w:right w:val="single" w:color="auto" w:sz="4" w:space="0"/>
            </w:tcBorders>
            <w:noWrap/>
            <w:vAlign w:val="center"/>
          </w:tcPr>
          <w:p w14:paraId="211DAF3C">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单台差价</w:t>
            </w:r>
          </w:p>
        </w:tc>
        <w:tc>
          <w:tcPr>
            <w:tcW w:w="1359" w:type="dxa"/>
            <w:tcBorders>
              <w:top w:val="single" w:color="auto" w:sz="12" w:space="0"/>
              <w:left w:val="nil"/>
              <w:bottom w:val="single" w:color="auto" w:sz="4" w:space="0"/>
              <w:right w:val="single" w:color="auto" w:sz="12" w:space="0"/>
            </w:tcBorders>
            <w:noWrap/>
            <w:vAlign w:val="center"/>
          </w:tcPr>
          <w:p w14:paraId="24D09FDA">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补差金额</w:t>
            </w:r>
          </w:p>
        </w:tc>
      </w:tr>
      <w:tr w14:paraId="3BEAFF99">
        <w:tblPrEx>
          <w:tblCellMar>
            <w:top w:w="0" w:type="dxa"/>
            <w:left w:w="108" w:type="dxa"/>
            <w:bottom w:w="0" w:type="dxa"/>
            <w:right w:w="108" w:type="dxa"/>
          </w:tblCellMar>
        </w:tblPrEx>
        <w:trPr>
          <w:trHeight w:val="285" w:hRule="atLeast"/>
          <w:jc w:val="center"/>
        </w:trPr>
        <w:tc>
          <w:tcPr>
            <w:tcW w:w="936" w:type="dxa"/>
            <w:tcBorders>
              <w:top w:val="nil"/>
              <w:left w:val="single" w:color="auto" w:sz="12" w:space="0"/>
              <w:bottom w:val="single" w:color="auto" w:sz="4" w:space="0"/>
              <w:right w:val="single" w:color="auto" w:sz="4" w:space="0"/>
            </w:tcBorders>
            <w:noWrap/>
            <w:vAlign w:val="center"/>
          </w:tcPr>
          <w:p w14:paraId="376870FC">
            <w:pPr>
              <w:keepNext w:val="0"/>
              <w:keepLines w:val="0"/>
              <w:suppressLineNumbers w:val="0"/>
              <w:suppressAutoHyphens/>
              <w:bidi w:val="0"/>
              <w:spacing w:before="0" w:beforeAutospacing="0" w:after="0" w:afterAutospacing="0"/>
              <w:ind w:left="0" w:right="0"/>
              <w:rPr>
                <w:rFonts w:hint="default" w:eastAsia="宋体" w:cs="Times New Roman"/>
                <w:color w:val="auto"/>
                <w:sz w:val="28"/>
                <w:szCs w:val="21"/>
                <w:highlight w:val="none"/>
              </w:rPr>
            </w:pPr>
          </w:p>
        </w:tc>
        <w:tc>
          <w:tcPr>
            <w:tcW w:w="1436" w:type="dxa"/>
            <w:tcBorders>
              <w:top w:val="nil"/>
              <w:left w:val="nil"/>
              <w:bottom w:val="single" w:color="auto" w:sz="4" w:space="0"/>
              <w:right w:val="single" w:color="auto" w:sz="4" w:space="0"/>
            </w:tcBorders>
            <w:noWrap/>
            <w:vAlign w:val="center"/>
          </w:tcPr>
          <w:p w14:paraId="22A5E910">
            <w:pPr>
              <w:keepNext w:val="0"/>
              <w:keepLines w:val="0"/>
              <w:suppressLineNumbers w:val="0"/>
              <w:suppressAutoHyphens/>
              <w:bidi w:val="0"/>
              <w:spacing w:before="0" w:beforeAutospacing="0" w:after="0" w:afterAutospacing="0"/>
              <w:ind w:left="0" w:right="0"/>
              <w:rPr>
                <w:rFonts w:hint="default" w:eastAsia="宋体" w:cs="Times New Roman"/>
                <w:color w:val="auto"/>
                <w:sz w:val="28"/>
                <w:szCs w:val="21"/>
                <w:highlight w:val="none"/>
              </w:rPr>
            </w:pPr>
          </w:p>
        </w:tc>
        <w:tc>
          <w:tcPr>
            <w:tcW w:w="1448" w:type="dxa"/>
            <w:tcBorders>
              <w:top w:val="nil"/>
              <w:left w:val="nil"/>
              <w:bottom w:val="single" w:color="auto" w:sz="4" w:space="0"/>
              <w:right w:val="single" w:color="auto" w:sz="4" w:space="0"/>
            </w:tcBorders>
            <w:noWrap/>
            <w:vAlign w:val="center"/>
          </w:tcPr>
          <w:p w14:paraId="78CCA7E8">
            <w:pPr>
              <w:keepNext w:val="0"/>
              <w:keepLines w:val="0"/>
              <w:suppressLineNumbers w:val="0"/>
              <w:suppressAutoHyphens/>
              <w:bidi w:val="0"/>
              <w:spacing w:before="0" w:beforeAutospacing="0" w:after="0" w:afterAutospacing="0"/>
              <w:ind w:left="0" w:right="0"/>
              <w:rPr>
                <w:rFonts w:hint="default" w:eastAsia="宋体" w:cs="Times New Roman"/>
                <w:color w:val="auto"/>
                <w:sz w:val="28"/>
                <w:szCs w:val="21"/>
                <w:highlight w:val="none"/>
              </w:rPr>
            </w:pPr>
          </w:p>
        </w:tc>
        <w:tc>
          <w:tcPr>
            <w:tcW w:w="1654" w:type="dxa"/>
            <w:tcBorders>
              <w:top w:val="nil"/>
              <w:left w:val="nil"/>
              <w:bottom w:val="single" w:color="auto" w:sz="4" w:space="0"/>
              <w:right w:val="single" w:color="auto" w:sz="4" w:space="0"/>
            </w:tcBorders>
            <w:noWrap/>
            <w:vAlign w:val="center"/>
          </w:tcPr>
          <w:p w14:paraId="1CD5875D">
            <w:pPr>
              <w:keepNext w:val="0"/>
              <w:keepLines w:val="0"/>
              <w:suppressLineNumbers w:val="0"/>
              <w:suppressAutoHyphens/>
              <w:bidi w:val="0"/>
              <w:spacing w:before="0" w:beforeAutospacing="0" w:after="0" w:afterAutospacing="0"/>
              <w:ind w:left="0" w:right="0"/>
              <w:rPr>
                <w:rFonts w:hint="default" w:eastAsia="宋体" w:cs="Times New Roman"/>
                <w:color w:val="auto"/>
                <w:sz w:val="28"/>
                <w:szCs w:val="21"/>
                <w:highlight w:val="none"/>
              </w:rPr>
            </w:pPr>
          </w:p>
        </w:tc>
        <w:tc>
          <w:tcPr>
            <w:tcW w:w="1757" w:type="dxa"/>
            <w:tcBorders>
              <w:top w:val="nil"/>
              <w:left w:val="nil"/>
              <w:bottom w:val="single" w:color="auto" w:sz="4" w:space="0"/>
              <w:right w:val="single" w:color="auto" w:sz="4" w:space="0"/>
            </w:tcBorders>
            <w:noWrap/>
            <w:vAlign w:val="center"/>
          </w:tcPr>
          <w:p w14:paraId="3481D20B">
            <w:pPr>
              <w:keepNext w:val="0"/>
              <w:keepLines w:val="0"/>
              <w:suppressLineNumbers w:val="0"/>
              <w:suppressAutoHyphens/>
              <w:bidi w:val="0"/>
              <w:spacing w:before="0" w:beforeAutospacing="0" w:after="0" w:afterAutospacing="0"/>
              <w:ind w:left="0" w:right="0"/>
              <w:rPr>
                <w:rFonts w:hint="default" w:eastAsia="宋体" w:cs="Times New Roman"/>
                <w:color w:val="auto"/>
                <w:sz w:val="28"/>
                <w:szCs w:val="21"/>
                <w:highlight w:val="none"/>
              </w:rPr>
            </w:pPr>
          </w:p>
        </w:tc>
        <w:tc>
          <w:tcPr>
            <w:tcW w:w="1359" w:type="dxa"/>
            <w:tcBorders>
              <w:top w:val="nil"/>
              <w:left w:val="nil"/>
              <w:bottom w:val="single" w:color="auto" w:sz="4" w:space="0"/>
              <w:right w:val="single" w:color="auto" w:sz="12" w:space="0"/>
            </w:tcBorders>
            <w:noWrap/>
            <w:vAlign w:val="center"/>
          </w:tcPr>
          <w:p w14:paraId="48B2B5E0">
            <w:pPr>
              <w:keepNext w:val="0"/>
              <w:keepLines w:val="0"/>
              <w:suppressLineNumbers w:val="0"/>
              <w:suppressAutoHyphens/>
              <w:bidi w:val="0"/>
              <w:spacing w:before="0" w:beforeAutospacing="0" w:after="0" w:afterAutospacing="0"/>
              <w:ind w:left="0" w:right="0"/>
              <w:rPr>
                <w:rFonts w:hint="default" w:eastAsia="宋体" w:cs="Times New Roman"/>
                <w:color w:val="auto"/>
                <w:sz w:val="28"/>
                <w:szCs w:val="21"/>
                <w:highlight w:val="none"/>
              </w:rPr>
            </w:pPr>
          </w:p>
        </w:tc>
      </w:tr>
      <w:tr w14:paraId="480DA923">
        <w:tblPrEx>
          <w:tblCellMar>
            <w:top w:w="0" w:type="dxa"/>
            <w:left w:w="108" w:type="dxa"/>
            <w:bottom w:w="0" w:type="dxa"/>
            <w:right w:w="108" w:type="dxa"/>
          </w:tblCellMar>
        </w:tblPrEx>
        <w:trPr>
          <w:trHeight w:val="285" w:hRule="atLeast"/>
          <w:jc w:val="center"/>
        </w:trPr>
        <w:tc>
          <w:tcPr>
            <w:tcW w:w="936" w:type="dxa"/>
            <w:tcBorders>
              <w:top w:val="nil"/>
              <w:left w:val="single" w:color="auto" w:sz="12" w:space="0"/>
              <w:bottom w:val="single" w:color="auto" w:sz="4" w:space="0"/>
              <w:right w:val="single" w:color="auto" w:sz="4" w:space="0"/>
            </w:tcBorders>
            <w:noWrap/>
            <w:vAlign w:val="center"/>
          </w:tcPr>
          <w:p w14:paraId="7D345900">
            <w:pPr>
              <w:keepNext w:val="0"/>
              <w:keepLines w:val="0"/>
              <w:suppressLineNumbers w:val="0"/>
              <w:suppressAutoHyphens/>
              <w:bidi w:val="0"/>
              <w:spacing w:before="0" w:beforeAutospacing="0" w:after="0" w:afterAutospacing="0"/>
              <w:ind w:left="0" w:right="0"/>
              <w:rPr>
                <w:rFonts w:hint="default" w:eastAsia="宋体" w:cs="Times New Roman"/>
                <w:color w:val="auto"/>
                <w:sz w:val="28"/>
                <w:szCs w:val="21"/>
                <w:highlight w:val="none"/>
              </w:rPr>
            </w:pPr>
          </w:p>
        </w:tc>
        <w:tc>
          <w:tcPr>
            <w:tcW w:w="1436" w:type="dxa"/>
            <w:tcBorders>
              <w:top w:val="nil"/>
              <w:left w:val="nil"/>
              <w:bottom w:val="single" w:color="auto" w:sz="4" w:space="0"/>
              <w:right w:val="single" w:color="auto" w:sz="4" w:space="0"/>
            </w:tcBorders>
            <w:noWrap/>
            <w:vAlign w:val="center"/>
          </w:tcPr>
          <w:p w14:paraId="3BFF1341">
            <w:pPr>
              <w:keepNext w:val="0"/>
              <w:keepLines w:val="0"/>
              <w:suppressLineNumbers w:val="0"/>
              <w:suppressAutoHyphens/>
              <w:bidi w:val="0"/>
              <w:spacing w:before="0" w:beforeAutospacing="0" w:after="0" w:afterAutospacing="0"/>
              <w:ind w:left="0" w:right="0"/>
              <w:rPr>
                <w:rFonts w:hint="default" w:eastAsia="宋体" w:cs="Times New Roman"/>
                <w:color w:val="auto"/>
                <w:sz w:val="28"/>
                <w:szCs w:val="21"/>
                <w:highlight w:val="none"/>
              </w:rPr>
            </w:pPr>
          </w:p>
        </w:tc>
        <w:tc>
          <w:tcPr>
            <w:tcW w:w="1448" w:type="dxa"/>
            <w:tcBorders>
              <w:top w:val="nil"/>
              <w:left w:val="nil"/>
              <w:bottom w:val="single" w:color="auto" w:sz="4" w:space="0"/>
              <w:right w:val="single" w:color="auto" w:sz="4" w:space="0"/>
            </w:tcBorders>
            <w:noWrap/>
            <w:vAlign w:val="center"/>
          </w:tcPr>
          <w:p w14:paraId="74DABBB0">
            <w:pPr>
              <w:keepNext w:val="0"/>
              <w:keepLines w:val="0"/>
              <w:suppressLineNumbers w:val="0"/>
              <w:suppressAutoHyphens/>
              <w:bidi w:val="0"/>
              <w:spacing w:before="0" w:beforeAutospacing="0" w:after="0" w:afterAutospacing="0"/>
              <w:ind w:left="0" w:right="0"/>
              <w:rPr>
                <w:rFonts w:hint="default" w:eastAsia="宋体" w:cs="Times New Roman"/>
                <w:color w:val="auto"/>
                <w:sz w:val="28"/>
                <w:szCs w:val="21"/>
                <w:highlight w:val="none"/>
              </w:rPr>
            </w:pPr>
          </w:p>
        </w:tc>
        <w:tc>
          <w:tcPr>
            <w:tcW w:w="1654" w:type="dxa"/>
            <w:tcBorders>
              <w:top w:val="nil"/>
              <w:left w:val="nil"/>
              <w:bottom w:val="single" w:color="auto" w:sz="4" w:space="0"/>
              <w:right w:val="single" w:color="auto" w:sz="4" w:space="0"/>
            </w:tcBorders>
            <w:noWrap/>
            <w:vAlign w:val="center"/>
          </w:tcPr>
          <w:p w14:paraId="17302AF0">
            <w:pPr>
              <w:keepNext w:val="0"/>
              <w:keepLines w:val="0"/>
              <w:suppressLineNumbers w:val="0"/>
              <w:suppressAutoHyphens/>
              <w:bidi w:val="0"/>
              <w:spacing w:before="0" w:beforeAutospacing="0" w:after="0" w:afterAutospacing="0"/>
              <w:ind w:left="0" w:right="0"/>
              <w:rPr>
                <w:rFonts w:hint="default" w:eastAsia="宋体" w:cs="Times New Roman"/>
                <w:color w:val="auto"/>
                <w:sz w:val="28"/>
                <w:szCs w:val="21"/>
                <w:highlight w:val="none"/>
              </w:rPr>
            </w:pPr>
          </w:p>
        </w:tc>
        <w:tc>
          <w:tcPr>
            <w:tcW w:w="1757" w:type="dxa"/>
            <w:tcBorders>
              <w:top w:val="nil"/>
              <w:left w:val="nil"/>
              <w:bottom w:val="single" w:color="auto" w:sz="4" w:space="0"/>
              <w:right w:val="single" w:color="auto" w:sz="4" w:space="0"/>
            </w:tcBorders>
            <w:noWrap/>
            <w:vAlign w:val="center"/>
          </w:tcPr>
          <w:p w14:paraId="0D2A9271">
            <w:pPr>
              <w:keepNext w:val="0"/>
              <w:keepLines w:val="0"/>
              <w:suppressLineNumbers w:val="0"/>
              <w:suppressAutoHyphens/>
              <w:bidi w:val="0"/>
              <w:spacing w:before="0" w:beforeAutospacing="0" w:after="0" w:afterAutospacing="0"/>
              <w:ind w:left="0" w:right="0"/>
              <w:rPr>
                <w:rFonts w:hint="default" w:eastAsia="宋体" w:cs="Times New Roman"/>
                <w:color w:val="auto"/>
                <w:sz w:val="28"/>
                <w:szCs w:val="21"/>
                <w:highlight w:val="none"/>
              </w:rPr>
            </w:pPr>
          </w:p>
        </w:tc>
        <w:tc>
          <w:tcPr>
            <w:tcW w:w="1359" w:type="dxa"/>
            <w:tcBorders>
              <w:top w:val="nil"/>
              <w:left w:val="nil"/>
              <w:bottom w:val="single" w:color="auto" w:sz="4" w:space="0"/>
              <w:right w:val="single" w:color="auto" w:sz="12" w:space="0"/>
            </w:tcBorders>
            <w:noWrap/>
            <w:vAlign w:val="center"/>
          </w:tcPr>
          <w:p w14:paraId="2BF0331D">
            <w:pPr>
              <w:keepNext w:val="0"/>
              <w:keepLines w:val="0"/>
              <w:suppressLineNumbers w:val="0"/>
              <w:suppressAutoHyphens/>
              <w:bidi w:val="0"/>
              <w:spacing w:before="0" w:beforeAutospacing="0" w:after="0" w:afterAutospacing="0"/>
              <w:ind w:left="0" w:right="0"/>
              <w:rPr>
                <w:rFonts w:hint="default" w:eastAsia="宋体" w:cs="Times New Roman"/>
                <w:color w:val="auto"/>
                <w:sz w:val="28"/>
                <w:szCs w:val="21"/>
                <w:highlight w:val="none"/>
              </w:rPr>
            </w:pPr>
          </w:p>
        </w:tc>
      </w:tr>
      <w:tr w14:paraId="7858F8D1">
        <w:trPr>
          <w:trHeight w:val="285" w:hRule="atLeast"/>
          <w:jc w:val="center"/>
        </w:trPr>
        <w:tc>
          <w:tcPr>
            <w:tcW w:w="936" w:type="dxa"/>
            <w:tcBorders>
              <w:top w:val="nil"/>
              <w:left w:val="single" w:color="auto" w:sz="12" w:space="0"/>
              <w:bottom w:val="single" w:color="auto" w:sz="4" w:space="0"/>
              <w:right w:val="single" w:color="auto" w:sz="4" w:space="0"/>
            </w:tcBorders>
            <w:noWrap/>
            <w:vAlign w:val="center"/>
          </w:tcPr>
          <w:p w14:paraId="386EEC58">
            <w:pPr>
              <w:keepNext w:val="0"/>
              <w:keepLines w:val="0"/>
              <w:suppressLineNumbers w:val="0"/>
              <w:suppressAutoHyphens/>
              <w:bidi w:val="0"/>
              <w:spacing w:before="0" w:beforeAutospacing="0" w:after="0" w:afterAutospacing="0"/>
              <w:ind w:left="0" w:right="0"/>
              <w:rPr>
                <w:rFonts w:hint="default" w:eastAsia="宋体" w:cs="Times New Roman"/>
                <w:color w:val="auto"/>
                <w:sz w:val="28"/>
                <w:szCs w:val="21"/>
                <w:highlight w:val="none"/>
              </w:rPr>
            </w:pPr>
          </w:p>
        </w:tc>
        <w:tc>
          <w:tcPr>
            <w:tcW w:w="1436" w:type="dxa"/>
            <w:tcBorders>
              <w:top w:val="nil"/>
              <w:left w:val="nil"/>
              <w:bottom w:val="single" w:color="auto" w:sz="4" w:space="0"/>
              <w:right w:val="single" w:color="auto" w:sz="4" w:space="0"/>
            </w:tcBorders>
            <w:noWrap/>
            <w:vAlign w:val="center"/>
          </w:tcPr>
          <w:p w14:paraId="02D3C137">
            <w:pPr>
              <w:keepNext w:val="0"/>
              <w:keepLines w:val="0"/>
              <w:suppressLineNumbers w:val="0"/>
              <w:suppressAutoHyphens/>
              <w:bidi w:val="0"/>
              <w:spacing w:before="0" w:beforeAutospacing="0" w:after="0" w:afterAutospacing="0"/>
              <w:ind w:left="0" w:right="0"/>
              <w:rPr>
                <w:rFonts w:hint="default" w:eastAsia="宋体" w:cs="Times New Roman"/>
                <w:color w:val="auto"/>
                <w:sz w:val="28"/>
                <w:szCs w:val="21"/>
                <w:highlight w:val="none"/>
              </w:rPr>
            </w:pPr>
          </w:p>
        </w:tc>
        <w:tc>
          <w:tcPr>
            <w:tcW w:w="1448" w:type="dxa"/>
            <w:tcBorders>
              <w:top w:val="nil"/>
              <w:left w:val="nil"/>
              <w:bottom w:val="single" w:color="auto" w:sz="4" w:space="0"/>
              <w:right w:val="single" w:color="auto" w:sz="4" w:space="0"/>
            </w:tcBorders>
            <w:noWrap/>
            <w:vAlign w:val="center"/>
          </w:tcPr>
          <w:p w14:paraId="08ED0DAD">
            <w:pPr>
              <w:keepNext w:val="0"/>
              <w:keepLines w:val="0"/>
              <w:suppressLineNumbers w:val="0"/>
              <w:suppressAutoHyphens/>
              <w:bidi w:val="0"/>
              <w:spacing w:before="0" w:beforeAutospacing="0" w:after="0" w:afterAutospacing="0"/>
              <w:ind w:left="0" w:right="0"/>
              <w:rPr>
                <w:rFonts w:hint="default" w:eastAsia="宋体" w:cs="Times New Roman"/>
                <w:color w:val="auto"/>
                <w:sz w:val="28"/>
                <w:szCs w:val="21"/>
                <w:highlight w:val="none"/>
              </w:rPr>
            </w:pPr>
          </w:p>
        </w:tc>
        <w:tc>
          <w:tcPr>
            <w:tcW w:w="1654" w:type="dxa"/>
            <w:tcBorders>
              <w:top w:val="nil"/>
              <w:left w:val="nil"/>
              <w:bottom w:val="single" w:color="auto" w:sz="4" w:space="0"/>
              <w:right w:val="single" w:color="auto" w:sz="4" w:space="0"/>
            </w:tcBorders>
            <w:noWrap/>
            <w:vAlign w:val="center"/>
          </w:tcPr>
          <w:p w14:paraId="44A66993">
            <w:pPr>
              <w:keepNext w:val="0"/>
              <w:keepLines w:val="0"/>
              <w:suppressLineNumbers w:val="0"/>
              <w:suppressAutoHyphens/>
              <w:bidi w:val="0"/>
              <w:spacing w:before="0" w:beforeAutospacing="0" w:after="0" w:afterAutospacing="0"/>
              <w:ind w:left="0" w:right="0"/>
              <w:rPr>
                <w:rFonts w:hint="default" w:eastAsia="宋体" w:cs="Times New Roman"/>
                <w:color w:val="auto"/>
                <w:sz w:val="28"/>
                <w:szCs w:val="21"/>
                <w:highlight w:val="none"/>
              </w:rPr>
            </w:pPr>
          </w:p>
        </w:tc>
        <w:tc>
          <w:tcPr>
            <w:tcW w:w="1757" w:type="dxa"/>
            <w:tcBorders>
              <w:top w:val="nil"/>
              <w:left w:val="nil"/>
              <w:bottom w:val="single" w:color="auto" w:sz="4" w:space="0"/>
              <w:right w:val="single" w:color="auto" w:sz="4" w:space="0"/>
            </w:tcBorders>
            <w:noWrap/>
            <w:vAlign w:val="center"/>
          </w:tcPr>
          <w:p w14:paraId="68FF1137">
            <w:pPr>
              <w:keepNext w:val="0"/>
              <w:keepLines w:val="0"/>
              <w:suppressLineNumbers w:val="0"/>
              <w:suppressAutoHyphens/>
              <w:bidi w:val="0"/>
              <w:spacing w:before="0" w:beforeAutospacing="0" w:after="0" w:afterAutospacing="0"/>
              <w:ind w:left="0" w:right="0"/>
              <w:rPr>
                <w:rFonts w:hint="default" w:eastAsia="宋体" w:cs="Times New Roman"/>
                <w:color w:val="auto"/>
                <w:sz w:val="28"/>
                <w:szCs w:val="21"/>
                <w:highlight w:val="none"/>
              </w:rPr>
            </w:pPr>
          </w:p>
        </w:tc>
        <w:tc>
          <w:tcPr>
            <w:tcW w:w="1359" w:type="dxa"/>
            <w:tcBorders>
              <w:top w:val="nil"/>
              <w:left w:val="nil"/>
              <w:bottom w:val="single" w:color="auto" w:sz="4" w:space="0"/>
              <w:right w:val="single" w:color="auto" w:sz="12" w:space="0"/>
            </w:tcBorders>
            <w:noWrap/>
            <w:vAlign w:val="center"/>
          </w:tcPr>
          <w:p w14:paraId="6BAE3F62">
            <w:pPr>
              <w:keepNext w:val="0"/>
              <w:keepLines w:val="0"/>
              <w:suppressLineNumbers w:val="0"/>
              <w:suppressAutoHyphens/>
              <w:bidi w:val="0"/>
              <w:spacing w:before="0" w:beforeAutospacing="0" w:after="0" w:afterAutospacing="0"/>
              <w:ind w:left="0" w:right="0"/>
              <w:rPr>
                <w:rFonts w:hint="default" w:eastAsia="宋体" w:cs="Times New Roman"/>
                <w:color w:val="auto"/>
                <w:sz w:val="28"/>
                <w:szCs w:val="21"/>
                <w:highlight w:val="none"/>
              </w:rPr>
            </w:pPr>
          </w:p>
        </w:tc>
      </w:tr>
      <w:tr w14:paraId="593C9FBB">
        <w:tblPrEx>
          <w:tblCellMar>
            <w:top w:w="0" w:type="dxa"/>
            <w:left w:w="108" w:type="dxa"/>
            <w:bottom w:w="0" w:type="dxa"/>
            <w:right w:w="108" w:type="dxa"/>
          </w:tblCellMar>
        </w:tblPrEx>
        <w:trPr>
          <w:trHeight w:val="285" w:hRule="atLeast"/>
          <w:jc w:val="center"/>
        </w:trPr>
        <w:tc>
          <w:tcPr>
            <w:tcW w:w="936" w:type="dxa"/>
            <w:tcBorders>
              <w:top w:val="nil"/>
              <w:left w:val="single" w:color="auto" w:sz="12" w:space="0"/>
              <w:bottom w:val="single" w:color="auto" w:sz="4" w:space="0"/>
              <w:right w:val="single" w:color="auto" w:sz="4" w:space="0"/>
            </w:tcBorders>
            <w:noWrap/>
            <w:vAlign w:val="center"/>
          </w:tcPr>
          <w:p w14:paraId="62216E17">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436" w:type="dxa"/>
            <w:tcBorders>
              <w:top w:val="nil"/>
              <w:left w:val="nil"/>
              <w:bottom w:val="single" w:color="auto" w:sz="4" w:space="0"/>
              <w:right w:val="single" w:color="auto" w:sz="4" w:space="0"/>
            </w:tcBorders>
            <w:noWrap/>
            <w:vAlign w:val="center"/>
          </w:tcPr>
          <w:p w14:paraId="70D564B0">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448" w:type="dxa"/>
            <w:tcBorders>
              <w:top w:val="nil"/>
              <w:left w:val="nil"/>
              <w:bottom w:val="single" w:color="auto" w:sz="4" w:space="0"/>
              <w:right w:val="single" w:color="auto" w:sz="4" w:space="0"/>
            </w:tcBorders>
            <w:noWrap/>
            <w:vAlign w:val="center"/>
          </w:tcPr>
          <w:p w14:paraId="0EC7EBB2">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654" w:type="dxa"/>
            <w:tcBorders>
              <w:top w:val="nil"/>
              <w:left w:val="nil"/>
              <w:bottom w:val="single" w:color="auto" w:sz="4" w:space="0"/>
              <w:right w:val="single" w:color="auto" w:sz="4" w:space="0"/>
            </w:tcBorders>
            <w:noWrap/>
            <w:vAlign w:val="center"/>
          </w:tcPr>
          <w:p w14:paraId="76EA6F97">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757" w:type="dxa"/>
            <w:tcBorders>
              <w:top w:val="nil"/>
              <w:left w:val="nil"/>
              <w:bottom w:val="single" w:color="auto" w:sz="4" w:space="0"/>
              <w:right w:val="single" w:color="auto" w:sz="4" w:space="0"/>
            </w:tcBorders>
            <w:noWrap/>
            <w:vAlign w:val="center"/>
          </w:tcPr>
          <w:p w14:paraId="68DDE8BF">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359" w:type="dxa"/>
            <w:tcBorders>
              <w:top w:val="nil"/>
              <w:left w:val="nil"/>
              <w:bottom w:val="single" w:color="auto" w:sz="4" w:space="0"/>
              <w:right w:val="single" w:color="auto" w:sz="12" w:space="0"/>
            </w:tcBorders>
            <w:noWrap/>
            <w:vAlign w:val="center"/>
          </w:tcPr>
          <w:p w14:paraId="4679F786">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r>
      <w:tr w14:paraId="0C0E8B89">
        <w:tblPrEx>
          <w:tblCellMar>
            <w:top w:w="0" w:type="dxa"/>
            <w:left w:w="108" w:type="dxa"/>
            <w:bottom w:w="0" w:type="dxa"/>
            <w:right w:w="108" w:type="dxa"/>
          </w:tblCellMar>
        </w:tblPrEx>
        <w:trPr>
          <w:trHeight w:val="285" w:hRule="atLeast"/>
          <w:jc w:val="center"/>
        </w:trPr>
        <w:tc>
          <w:tcPr>
            <w:tcW w:w="936" w:type="dxa"/>
            <w:tcBorders>
              <w:top w:val="nil"/>
              <w:left w:val="single" w:color="auto" w:sz="12" w:space="0"/>
              <w:bottom w:val="single" w:color="auto" w:sz="4" w:space="0"/>
              <w:right w:val="single" w:color="auto" w:sz="4" w:space="0"/>
            </w:tcBorders>
            <w:noWrap/>
            <w:vAlign w:val="center"/>
          </w:tcPr>
          <w:p w14:paraId="0C37CF30">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436" w:type="dxa"/>
            <w:tcBorders>
              <w:top w:val="nil"/>
              <w:left w:val="nil"/>
              <w:bottom w:val="single" w:color="auto" w:sz="4" w:space="0"/>
              <w:right w:val="single" w:color="auto" w:sz="4" w:space="0"/>
            </w:tcBorders>
            <w:noWrap/>
            <w:vAlign w:val="center"/>
          </w:tcPr>
          <w:p w14:paraId="626ED558">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448" w:type="dxa"/>
            <w:tcBorders>
              <w:top w:val="nil"/>
              <w:left w:val="nil"/>
              <w:bottom w:val="single" w:color="auto" w:sz="4" w:space="0"/>
              <w:right w:val="single" w:color="auto" w:sz="4" w:space="0"/>
            </w:tcBorders>
            <w:noWrap/>
            <w:vAlign w:val="center"/>
          </w:tcPr>
          <w:p w14:paraId="75EE9878">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654" w:type="dxa"/>
            <w:tcBorders>
              <w:top w:val="nil"/>
              <w:left w:val="nil"/>
              <w:bottom w:val="single" w:color="auto" w:sz="4" w:space="0"/>
              <w:right w:val="single" w:color="auto" w:sz="4" w:space="0"/>
            </w:tcBorders>
            <w:noWrap/>
            <w:vAlign w:val="center"/>
          </w:tcPr>
          <w:p w14:paraId="5AD0C3C4">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757" w:type="dxa"/>
            <w:tcBorders>
              <w:top w:val="nil"/>
              <w:left w:val="nil"/>
              <w:bottom w:val="single" w:color="auto" w:sz="4" w:space="0"/>
              <w:right w:val="single" w:color="auto" w:sz="4" w:space="0"/>
            </w:tcBorders>
            <w:noWrap/>
            <w:vAlign w:val="center"/>
          </w:tcPr>
          <w:p w14:paraId="6B56CECB">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359" w:type="dxa"/>
            <w:tcBorders>
              <w:top w:val="nil"/>
              <w:left w:val="nil"/>
              <w:bottom w:val="single" w:color="auto" w:sz="4" w:space="0"/>
              <w:right w:val="single" w:color="auto" w:sz="12" w:space="0"/>
            </w:tcBorders>
            <w:noWrap/>
            <w:vAlign w:val="center"/>
          </w:tcPr>
          <w:p w14:paraId="17B1A478">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r>
      <w:tr w14:paraId="117A3FA5">
        <w:tblPrEx>
          <w:tblCellMar>
            <w:top w:w="0" w:type="dxa"/>
            <w:left w:w="108" w:type="dxa"/>
            <w:bottom w:w="0" w:type="dxa"/>
            <w:right w:w="108" w:type="dxa"/>
          </w:tblCellMar>
        </w:tblPrEx>
        <w:trPr>
          <w:trHeight w:val="285" w:hRule="atLeast"/>
          <w:jc w:val="center"/>
        </w:trPr>
        <w:tc>
          <w:tcPr>
            <w:tcW w:w="936" w:type="dxa"/>
            <w:tcBorders>
              <w:top w:val="nil"/>
              <w:left w:val="single" w:color="auto" w:sz="12" w:space="0"/>
              <w:bottom w:val="single" w:color="auto" w:sz="4" w:space="0"/>
              <w:right w:val="single" w:color="auto" w:sz="4" w:space="0"/>
            </w:tcBorders>
            <w:noWrap/>
            <w:vAlign w:val="center"/>
          </w:tcPr>
          <w:p w14:paraId="2530BE95">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436" w:type="dxa"/>
            <w:tcBorders>
              <w:top w:val="nil"/>
              <w:left w:val="nil"/>
              <w:bottom w:val="single" w:color="auto" w:sz="4" w:space="0"/>
              <w:right w:val="single" w:color="auto" w:sz="4" w:space="0"/>
            </w:tcBorders>
            <w:noWrap/>
            <w:vAlign w:val="center"/>
          </w:tcPr>
          <w:p w14:paraId="0BC608B0">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448" w:type="dxa"/>
            <w:tcBorders>
              <w:top w:val="nil"/>
              <w:left w:val="nil"/>
              <w:bottom w:val="single" w:color="auto" w:sz="4" w:space="0"/>
              <w:right w:val="single" w:color="auto" w:sz="4" w:space="0"/>
            </w:tcBorders>
            <w:noWrap/>
            <w:vAlign w:val="center"/>
          </w:tcPr>
          <w:p w14:paraId="3B63DA2B">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654" w:type="dxa"/>
            <w:tcBorders>
              <w:top w:val="nil"/>
              <w:left w:val="nil"/>
              <w:bottom w:val="single" w:color="auto" w:sz="4" w:space="0"/>
              <w:right w:val="single" w:color="auto" w:sz="4" w:space="0"/>
            </w:tcBorders>
            <w:noWrap/>
            <w:vAlign w:val="center"/>
          </w:tcPr>
          <w:p w14:paraId="7367B954">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757" w:type="dxa"/>
            <w:tcBorders>
              <w:top w:val="nil"/>
              <w:left w:val="nil"/>
              <w:bottom w:val="single" w:color="auto" w:sz="4" w:space="0"/>
              <w:right w:val="single" w:color="auto" w:sz="4" w:space="0"/>
            </w:tcBorders>
            <w:noWrap/>
            <w:vAlign w:val="center"/>
          </w:tcPr>
          <w:p w14:paraId="49F2EE55">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359" w:type="dxa"/>
            <w:tcBorders>
              <w:top w:val="nil"/>
              <w:left w:val="nil"/>
              <w:bottom w:val="single" w:color="auto" w:sz="4" w:space="0"/>
              <w:right w:val="single" w:color="auto" w:sz="12" w:space="0"/>
            </w:tcBorders>
            <w:noWrap/>
            <w:vAlign w:val="center"/>
          </w:tcPr>
          <w:p w14:paraId="5AD8C683">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r>
      <w:tr w14:paraId="51347992">
        <w:tblPrEx>
          <w:tblCellMar>
            <w:top w:w="0" w:type="dxa"/>
            <w:left w:w="108" w:type="dxa"/>
            <w:bottom w:w="0" w:type="dxa"/>
            <w:right w:w="108" w:type="dxa"/>
          </w:tblCellMar>
        </w:tblPrEx>
        <w:trPr>
          <w:trHeight w:val="285" w:hRule="atLeast"/>
          <w:jc w:val="center"/>
        </w:trPr>
        <w:tc>
          <w:tcPr>
            <w:tcW w:w="936" w:type="dxa"/>
            <w:tcBorders>
              <w:top w:val="nil"/>
              <w:left w:val="single" w:color="auto" w:sz="12" w:space="0"/>
              <w:bottom w:val="single" w:color="auto" w:sz="4" w:space="0"/>
              <w:right w:val="single" w:color="auto" w:sz="4" w:space="0"/>
            </w:tcBorders>
            <w:noWrap/>
            <w:vAlign w:val="center"/>
          </w:tcPr>
          <w:p w14:paraId="350992F0">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436" w:type="dxa"/>
            <w:tcBorders>
              <w:top w:val="nil"/>
              <w:left w:val="nil"/>
              <w:bottom w:val="single" w:color="auto" w:sz="4" w:space="0"/>
              <w:right w:val="single" w:color="auto" w:sz="4" w:space="0"/>
            </w:tcBorders>
            <w:noWrap/>
            <w:vAlign w:val="center"/>
          </w:tcPr>
          <w:p w14:paraId="5779FD42">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448" w:type="dxa"/>
            <w:tcBorders>
              <w:top w:val="nil"/>
              <w:left w:val="nil"/>
              <w:bottom w:val="single" w:color="auto" w:sz="4" w:space="0"/>
              <w:right w:val="single" w:color="auto" w:sz="4" w:space="0"/>
            </w:tcBorders>
            <w:noWrap/>
            <w:vAlign w:val="center"/>
          </w:tcPr>
          <w:p w14:paraId="5FF2C267">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654" w:type="dxa"/>
            <w:tcBorders>
              <w:top w:val="nil"/>
              <w:left w:val="nil"/>
              <w:bottom w:val="single" w:color="auto" w:sz="4" w:space="0"/>
              <w:right w:val="single" w:color="auto" w:sz="4" w:space="0"/>
            </w:tcBorders>
            <w:noWrap/>
            <w:vAlign w:val="center"/>
          </w:tcPr>
          <w:p w14:paraId="48C248BC">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757" w:type="dxa"/>
            <w:tcBorders>
              <w:top w:val="nil"/>
              <w:left w:val="nil"/>
              <w:bottom w:val="single" w:color="auto" w:sz="4" w:space="0"/>
              <w:right w:val="single" w:color="auto" w:sz="4" w:space="0"/>
            </w:tcBorders>
            <w:noWrap/>
            <w:vAlign w:val="center"/>
          </w:tcPr>
          <w:p w14:paraId="31420BAC">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359" w:type="dxa"/>
            <w:tcBorders>
              <w:top w:val="nil"/>
              <w:left w:val="nil"/>
              <w:bottom w:val="single" w:color="auto" w:sz="4" w:space="0"/>
              <w:right w:val="single" w:color="auto" w:sz="12" w:space="0"/>
            </w:tcBorders>
            <w:noWrap/>
            <w:vAlign w:val="center"/>
          </w:tcPr>
          <w:p w14:paraId="631F9B27">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r>
      <w:tr w14:paraId="53BE81B1">
        <w:tblPrEx>
          <w:tblCellMar>
            <w:top w:w="0" w:type="dxa"/>
            <w:left w:w="108" w:type="dxa"/>
            <w:bottom w:w="0" w:type="dxa"/>
            <w:right w:w="108" w:type="dxa"/>
          </w:tblCellMar>
        </w:tblPrEx>
        <w:trPr>
          <w:trHeight w:val="285" w:hRule="atLeast"/>
          <w:jc w:val="center"/>
        </w:trPr>
        <w:tc>
          <w:tcPr>
            <w:tcW w:w="936" w:type="dxa"/>
            <w:tcBorders>
              <w:top w:val="nil"/>
              <w:left w:val="single" w:color="auto" w:sz="12" w:space="0"/>
              <w:bottom w:val="single" w:color="auto" w:sz="4" w:space="0"/>
              <w:right w:val="single" w:color="auto" w:sz="4" w:space="0"/>
            </w:tcBorders>
            <w:noWrap/>
            <w:vAlign w:val="center"/>
          </w:tcPr>
          <w:p w14:paraId="7C4D6BAF">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436" w:type="dxa"/>
            <w:tcBorders>
              <w:top w:val="nil"/>
              <w:left w:val="nil"/>
              <w:bottom w:val="single" w:color="auto" w:sz="4" w:space="0"/>
              <w:right w:val="single" w:color="auto" w:sz="4" w:space="0"/>
            </w:tcBorders>
            <w:noWrap/>
            <w:vAlign w:val="center"/>
          </w:tcPr>
          <w:p w14:paraId="719DB8E7">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448" w:type="dxa"/>
            <w:tcBorders>
              <w:top w:val="nil"/>
              <w:left w:val="nil"/>
              <w:bottom w:val="single" w:color="auto" w:sz="4" w:space="0"/>
              <w:right w:val="single" w:color="auto" w:sz="4" w:space="0"/>
            </w:tcBorders>
            <w:noWrap/>
            <w:vAlign w:val="center"/>
          </w:tcPr>
          <w:p w14:paraId="54448DD2">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654" w:type="dxa"/>
            <w:tcBorders>
              <w:top w:val="nil"/>
              <w:left w:val="nil"/>
              <w:bottom w:val="single" w:color="auto" w:sz="4" w:space="0"/>
              <w:right w:val="single" w:color="auto" w:sz="4" w:space="0"/>
            </w:tcBorders>
            <w:noWrap/>
            <w:vAlign w:val="center"/>
          </w:tcPr>
          <w:p w14:paraId="7F2DE02D">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757" w:type="dxa"/>
            <w:tcBorders>
              <w:top w:val="nil"/>
              <w:left w:val="nil"/>
              <w:bottom w:val="single" w:color="auto" w:sz="4" w:space="0"/>
              <w:right w:val="single" w:color="auto" w:sz="4" w:space="0"/>
            </w:tcBorders>
            <w:noWrap/>
            <w:vAlign w:val="center"/>
          </w:tcPr>
          <w:p w14:paraId="5176D6D4">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359" w:type="dxa"/>
            <w:tcBorders>
              <w:top w:val="nil"/>
              <w:left w:val="nil"/>
              <w:bottom w:val="single" w:color="auto" w:sz="4" w:space="0"/>
              <w:right w:val="single" w:color="auto" w:sz="12" w:space="0"/>
            </w:tcBorders>
            <w:noWrap/>
            <w:vAlign w:val="center"/>
          </w:tcPr>
          <w:p w14:paraId="2DA337A6">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r>
      <w:tr w14:paraId="42FE42E9">
        <w:tblPrEx>
          <w:tblCellMar>
            <w:top w:w="0" w:type="dxa"/>
            <w:left w:w="108" w:type="dxa"/>
            <w:bottom w:w="0" w:type="dxa"/>
            <w:right w:w="108" w:type="dxa"/>
          </w:tblCellMar>
        </w:tblPrEx>
        <w:trPr>
          <w:trHeight w:val="285" w:hRule="atLeast"/>
          <w:jc w:val="center"/>
        </w:trPr>
        <w:tc>
          <w:tcPr>
            <w:tcW w:w="936" w:type="dxa"/>
            <w:tcBorders>
              <w:top w:val="nil"/>
              <w:left w:val="single" w:color="auto" w:sz="12" w:space="0"/>
              <w:bottom w:val="single" w:color="auto" w:sz="4" w:space="0"/>
              <w:right w:val="single" w:color="auto" w:sz="4" w:space="0"/>
            </w:tcBorders>
            <w:noWrap/>
            <w:vAlign w:val="center"/>
          </w:tcPr>
          <w:p w14:paraId="307695DF">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436" w:type="dxa"/>
            <w:tcBorders>
              <w:top w:val="nil"/>
              <w:left w:val="nil"/>
              <w:bottom w:val="single" w:color="auto" w:sz="4" w:space="0"/>
              <w:right w:val="single" w:color="auto" w:sz="4" w:space="0"/>
            </w:tcBorders>
            <w:noWrap/>
            <w:vAlign w:val="center"/>
          </w:tcPr>
          <w:p w14:paraId="093E037E">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448" w:type="dxa"/>
            <w:tcBorders>
              <w:top w:val="nil"/>
              <w:left w:val="nil"/>
              <w:bottom w:val="single" w:color="auto" w:sz="4" w:space="0"/>
              <w:right w:val="single" w:color="auto" w:sz="4" w:space="0"/>
            </w:tcBorders>
            <w:noWrap/>
            <w:vAlign w:val="center"/>
          </w:tcPr>
          <w:p w14:paraId="2F171776">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654" w:type="dxa"/>
            <w:tcBorders>
              <w:top w:val="nil"/>
              <w:left w:val="nil"/>
              <w:bottom w:val="single" w:color="auto" w:sz="4" w:space="0"/>
              <w:right w:val="single" w:color="auto" w:sz="4" w:space="0"/>
            </w:tcBorders>
            <w:noWrap/>
            <w:vAlign w:val="center"/>
          </w:tcPr>
          <w:p w14:paraId="79D9CF16">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757" w:type="dxa"/>
            <w:tcBorders>
              <w:top w:val="nil"/>
              <w:left w:val="nil"/>
              <w:bottom w:val="single" w:color="auto" w:sz="4" w:space="0"/>
              <w:right w:val="single" w:color="auto" w:sz="4" w:space="0"/>
            </w:tcBorders>
            <w:noWrap/>
            <w:vAlign w:val="center"/>
          </w:tcPr>
          <w:p w14:paraId="259A0C44">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359" w:type="dxa"/>
            <w:tcBorders>
              <w:top w:val="nil"/>
              <w:left w:val="nil"/>
              <w:bottom w:val="single" w:color="auto" w:sz="4" w:space="0"/>
              <w:right w:val="single" w:color="auto" w:sz="12" w:space="0"/>
            </w:tcBorders>
            <w:noWrap/>
            <w:vAlign w:val="center"/>
          </w:tcPr>
          <w:p w14:paraId="5E41BDC7">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r>
      <w:tr w14:paraId="4F9A277D">
        <w:tblPrEx>
          <w:tblCellMar>
            <w:top w:w="0" w:type="dxa"/>
            <w:left w:w="108" w:type="dxa"/>
            <w:bottom w:w="0" w:type="dxa"/>
            <w:right w:w="108" w:type="dxa"/>
          </w:tblCellMar>
        </w:tblPrEx>
        <w:trPr>
          <w:trHeight w:val="90" w:hRule="atLeast"/>
          <w:jc w:val="center"/>
        </w:trPr>
        <w:tc>
          <w:tcPr>
            <w:tcW w:w="936" w:type="dxa"/>
            <w:tcBorders>
              <w:top w:val="nil"/>
              <w:left w:val="single" w:color="auto" w:sz="12" w:space="0"/>
              <w:bottom w:val="single" w:color="auto" w:sz="4" w:space="0"/>
              <w:right w:val="single" w:color="auto" w:sz="4" w:space="0"/>
            </w:tcBorders>
            <w:noWrap/>
            <w:vAlign w:val="center"/>
          </w:tcPr>
          <w:p w14:paraId="429510E2">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436" w:type="dxa"/>
            <w:tcBorders>
              <w:top w:val="nil"/>
              <w:left w:val="nil"/>
              <w:bottom w:val="single" w:color="auto" w:sz="4" w:space="0"/>
              <w:right w:val="single" w:color="auto" w:sz="4" w:space="0"/>
            </w:tcBorders>
            <w:noWrap/>
            <w:vAlign w:val="center"/>
          </w:tcPr>
          <w:p w14:paraId="02FF5583">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448" w:type="dxa"/>
            <w:tcBorders>
              <w:top w:val="nil"/>
              <w:left w:val="nil"/>
              <w:bottom w:val="single" w:color="auto" w:sz="4" w:space="0"/>
              <w:right w:val="single" w:color="auto" w:sz="4" w:space="0"/>
            </w:tcBorders>
            <w:noWrap/>
            <w:vAlign w:val="center"/>
          </w:tcPr>
          <w:p w14:paraId="6349AAB4">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654" w:type="dxa"/>
            <w:tcBorders>
              <w:top w:val="nil"/>
              <w:left w:val="nil"/>
              <w:bottom w:val="single" w:color="auto" w:sz="4" w:space="0"/>
              <w:right w:val="single" w:color="auto" w:sz="4" w:space="0"/>
            </w:tcBorders>
            <w:noWrap/>
            <w:vAlign w:val="center"/>
          </w:tcPr>
          <w:p w14:paraId="0B32A1E0">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757" w:type="dxa"/>
            <w:tcBorders>
              <w:top w:val="nil"/>
              <w:left w:val="nil"/>
              <w:bottom w:val="single" w:color="auto" w:sz="4" w:space="0"/>
              <w:right w:val="single" w:color="auto" w:sz="4" w:space="0"/>
            </w:tcBorders>
            <w:noWrap/>
            <w:vAlign w:val="center"/>
          </w:tcPr>
          <w:p w14:paraId="42EE05D3">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359" w:type="dxa"/>
            <w:tcBorders>
              <w:top w:val="nil"/>
              <w:left w:val="nil"/>
              <w:bottom w:val="single" w:color="auto" w:sz="4" w:space="0"/>
              <w:right w:val="single" w:color="auto" w:sz="12" w:space="0"/>
            </w:tcBorders>
            <w:noWrap/>
            <w:vAlign w:val="center"/>
          </w:tcPr>
          <w:p w14:paraId="2A1169EF">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r>
      <w:tr w14:paraId="3902E8A8">
        <w:tblPrEx>
          <w:tblCellMar>
            <w:top w:w="0" w:type="dxa"/>
            <w:left w:w="108" w:type="dxa"/>
            <w:bottom w:w="0" w:type="dxa"/>
            <w:right w:w="108" w:type="dxa"/>
          </w:tblCellMar>
        </w:tblPrEx>
        <w:trPr>
          <w:trHeight w:val="470" w:hRule="atLeast"/>
          <w:jc w:val="center"/>
        </w:trPr>
        <w:tc>
          <w:tcPr>
            <w:tcW w:w="936" w:type="dxa"/>
            <w:tcBorders>
              <w:top w:val="nil"/>
              <w:left w:val="single" w:color="auto" w:sz="12" w:space="0"/>
              <w:bottom w:val="single" w:color="auto" w:sz="4" w:space="0"/>
              <w:right w:val="single" w:color="auto" w:sz="4" w:space="0"/>
            </w:tcBorders>
            <w:noWrap/>
            <w:vAlign w:val="center"/>
          </w:tcPr>
          <w:p w14:paraId="30B689ED">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436" w:type="dxa"/>
            <w:tcBorders>
              <w:top w:val="nil"/>
              <w:left w:val="nil"/>
              <w:bottom w:val="single" w:color="auto" w:sz="4" w:space="0"/>
              <w:right w:val="single" w:color="auto" w:sz="4" w:space="0"/>
            </w:tcBorders>
            <w:noWrap/>
            <w:vAlign w:val="center"/>
          </w:tcPr>
          <w:p w14:paraId="30A14FE1">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448" w:type="dxa"/>
            <w:tcBorders>
              <w:top w:val="nil"/>
              <w:left w:val="nil"/>
              <w:bottom w:val="single" w:color="auto" w:sz="4" w:space="0"/>
              <w:right w:val="single" w:color="auto" w:sz="4" w:space="0"/>
            </w:tcBorders>
            <w:noWrap/>
            <w:vAlign w:val="center"/>
          </w:tcPr>
          <w:p w14:paraId="0BE70E99">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654" w:type="dxa"/>
            <w:tcBorders>
              <w:top w:val="nil"/>
              <w:left w:val="nil"/>
              <w:bottom w:val="single" w:color="auto" w:sz="4" w:space="0"/>
              <w:right w:val="single" w:color="auto" w:sz="4" w:space="0"/>
            </w:tcBorders>
            <w:noWrap/>
            <w:vAlign w:val="center"/>
          </w:tcPr>
          <w:p w14:paraId="59C7373C">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757" w:type="dxa"/>
            <w:tcBorders>
              <w:top w:val="nil"/>
              <w:left w:val="nil"/>
              <w:bottom w:val="single" w:color="auto" w:sz="4" w:space="0"/>
              <w:right w:val="single" w:color="auto" w:sz="4" w:space="0"/>
            </w:tcBorders>
            <w:noWrap/>
            <w:vAlign w:val="center"/>
          </w:tcPr>
          <w:p w14:paraId="1520D5D2">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359" w:type="dxa"/>
            <w:tcBorders>
              <w:top w:val="nil"/>
              <w:left w:val="nil"/>
              <w:bottom w:val="single" w:color="auto" w:sz="4" w:space="0"/>
              <w:right w:val="single" w:color="auto" w:sz="12" w:space="0"/>
            </w:tcBorders>
            <w:noWrap/>
            <w:vAlign w:val="center"/>
          </w:tcPr>
          <w:p w14:paraId="17833317">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r>
      <w:tr w14:paraId="31ACCA95">
        <w:tblPrEx>
          <w:tblCellMar>
            <w:top w:w="0" w:type="dxa"/>
            <w:left w:w="108" w:type="dxa"/>
            <w:bottom w:w="0" w:type="dxa"/>
            <w:right w:w="108" w:type="dxa"/>
          </w:tblCellMar>
        </w:tblPrEx>
        <w:trPr>
          <w:trHeight w:val="330" w:hRule="atLeast"/>
          <w:jc w:val="center"/>
        </w:trPr>
        <w:tc>
          <w:tcPr>
            <w:tcW w:w="936" w:type="dxa"/>
            <w:tcBorders>
              <w:top w:val="nil"/>
              <w:left w:val="single" w:color="auto" w:sz="12" w:space="0"/>
              <w:bottom w:val="single" w:color="auto" w:sz="4" w:space="0"/>
              <w:right w:val="single" w:color="auto" w:sz="4" w:space="0"/>
            </w:tcBorders>
            <w:noWrap/>
            <w:vAlign w:val="center"/>
          </w:tcPr>
          <w:p w14:paraId="0255A6A3">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合计</w:t>
            </w:r>
          </w:p>
        </w:tc>
        <w:tc>
          <w:tcPr>
            <w:tcW w:w="2884" w:type="dxa"/>
            <w:gridSpan w:val="2"/>
            <w:tcBorders>
              <w:top w:val="single" w:color="auto" w:sz="4" w:space="0"/>
              <w:left w:val="nil"/>
              <w:bottom w:val="single" w:color="auto" w:sz="4" w:space="0"/>
              <w:right w:val="single" w:color="auto" w:sz="4" w:space="0"/>
            </w:tcBorders>
            <w:noWrap/>
            <w:vAlign w:val="center"/>
          </w:tcPr>
          <w:p w14:paraId="77E07E69">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p>
        </w:tc>
        <w:tc>
          <w:tcPr>
            <w:tcW w:w="4770" w:type="dxa"/>
            <w:gridSpan w:val="3"/>
            <w:tcBorders>
              <w:top w:val="single" w:color="auto" w:sz="4" w:space="0"/>
              <w:left w:val="nil"/>
              <w:bottom w:val="single" w:color="auto" w:sz="4" w:space="0"/>
              <w:right w:val="single" w:color="000000" w:sz="12" w:space="0"/>
            </w:tcBorders>
            <w:noWrap/>
            <w:vAlign w:val="center"/>
          </w:tcPr>
          <w:p w14:paraId="29B95751">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大写</w:t>
            </w:r>
          </w:p>
        </w:tc>
      </w:tr>
      <w:tr w14:paraId="74CB733D">
        <w:tblPrEx>
          <w:tblCellMar>
            <w:top w:w="0" w:type="dxa"/>
            <w:left w:w="108" w:type="dxa"/>
            <w:bottom w:w="0" w:type="dxa"/>
            <w:right w:w="108" w:type="dxa"/>
          </w:tblCellMar>
        </w:tblPrEx>
        <w:trPr>
          <w:trHeight w:val="312" w:hRule="atLeast"/>
          <w:jc w:val="center"/>
        </w:trPr>
        <w:tc>
          <w:tcPr>
            <w:tcW w:w="8590" w:type="dxa"/>
            <w:gridSpan w:val="6"/>
            <w:vMerge w:val="restart"/>
            <w:tcBorders>
              <w:top w:val="single" w:color="auto" w:sz="4" w:space="0"/>
              <w:left w:val="single" w:color="auto" w:sz="12" w:space="0"/>
              <w:bottom w:val="single" w:color="000000" w:sz="12" w:space="0"/>
              <w:right w:val="single" w:color="000000" w:sz="12" w:space="0"/>
            </w:tcBorders>
            <w:noWrap/>
            <w:vAlign w:val="center"/>
          </w:tcPr>
          <w:p w14:paraId="0CE2AA26">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调价补差款补偿方式:</w:t>
            </w:r>
          </w:p>
        </w:tc>
      </w:tr>
      <w:tr w14:paraId="3098A71C">
        <w:tblPrEx>
          <w:tblCellMar>
            <w:top w:w="0" w:type="dxa"/>
            <w:left w:w="108" w:type="dxa"/>
            <w:bottom w:w="0" w:type="dxa"/>
            <w:right w:w="108" w:type="dxa"/>
          </w:tblCellMar>
        </w:tblPrEx>
        <w:trPr>
          <w:trHeight w:val="312" w:hRule="atLeast"/>
          <w:jc w:val="center"/>
        </w:trPr>
        <w:tc>
          <w:tcPr>
            <w:tcW w:w="8590" w:type="dxa"/>
            <w:gridSpan w:val="6"/>
            <w:vMerge w:val="continue"/>
            <w:tcBorders>
              <w:top w:val="single" w:color="auto" w:sz="4" w:space="0"/>
              <w:left w:val="single" w:color="auto" w:sz="12" w:space="0"/>
              <w:bottom w:val="single" w:color="000000" w:sz="12" w:space="0"/>
              <w:right w:val="single" w:color="000000" w:sz="12" w:space="0"/>
            </w:tcBorders>
            <w:noWrap w:val="0"/>
            <w:vAlign w:val="center"/>
          </w:tcPr>
          <w:p w14:paraId="5A307245">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p>
        </w:tc>
      </w:tr>
      <w:tr w14:paraId="4B7500EF">
        <w:tblPrEx>
          <w:tblCellMar>
            <w:top w:w="0" w:type="dxa"/>
            <w:left w:w="108" w:type="dxa"/>
            <w:bottom w:w="0" w:type="dxa"/>
            <w:right w:w="108" w:type="dxa"/>
          </w:tblCellMar>
        </w:tblPrEx>
        <w:trPr>
          <w:trHeight w:val="312" w:hRule="atLeast"/>
          <w:jc w:val="center"/>
        </w:trPr>
        <w:tc>
          <w:tcPr>
            <w:tcW w:w="8590" w:type="dxa"/>
            <w:gridSpan w:val="6"/>
            <w:vMerge w:val="continue"/>
            <w:tcBorders>
              <w:top w:val="single" w:color="auto" w:sz="4" w:space="0"/>
              <w:left w:val="single" w:color="auto" w:sz="12" w:space="0"/>
              <w:bottom w:val="single" w:color="000000" w:sz="12" w:space="0"/>
              <w:right w:val="single" w:color="000000" w:sz="12" w:space="0"/>
            </w:tcBorders>
            <w:noWrap w:val="0"/>
            <w:vAlign w:val="center"/>
          </w:tcPr>
          <w:p w14:paraId="3CD6D22A">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color w:val="auto"/>
                <w:kern w:val="0"/>
                <w:sz w:val="21"/>
                <w:szCs w:val="21"/>
                <w:highlight w:val="none"/>
              </w:rPr>
            </w:pPr>
          </w:p>
        </w:tc>
      </w:tr>
    </w:tbl>
    <w:p w14:paraId="320F5EAC">
      <w:pPr>
        <w:keepNext w:val="0"/>
        <w:keepLines w:val="0"/>
        <w:pageBreakBefore w:val="0"/>
        <w:suppressAutoHyphens/>
        <w:kinsoku/>
        <w:wordWrap/>
        <w:overflowPunct/>
        <w:topLinePunct w:val="0"/>
        <w:autoSpaceDE/>
        <w:autoSpaceDN/>
        <w:bidi w:val="0"/>
        <w:adjustRightInd/>
        <w:snapToGrid/>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0EBACD26">
      <w:pPr>
        <w:keepNext w:val="0"/>
        <w:keepLines w:val="0"/>
        <w:pageBreakBefore w:val="0"/>
        <w:suppressAutoHyphens/>
        <w:kinsoku/>
        <w:wordWrap/>
        <w:overflowPunct/>
        <w:topLinePunct w:val="0"/>
        <w:autoSpaceDE/>
        <w:autoSpaceDN/>
        <w:bidi w:val="0"/>
        <w:adjustRightInd/>
        <w:snapToGrid/>
        <w:spacing w:line="360" w:lineRule="auto"/>
        <w:rPr>
          <w:rFonts w:hint="eastAsia" w:ascii="宋体" w:hAnsi="宋体" w:eastAsia="宋体" w:cs="宋体"/>
          <w:color w:val="auto"/>
          <w:sz w:val="21"/>
          <w:szCs w:val="21"/>
          <w:highlight w:val="none"/>
        </w:rPr>
      </w:pPr>
    </w:p>
    <w:p w14:paraId="3841395E">
      <w:pPr>
        <w:keepNext w:val="0"/>
        <w:keepLines w:val="0"/>
        <w:pageBreakBefore w:val="0"/>
        <w:suppressAutoHyphens/>
        <w:kinsoku/>
        <w:wordWrap/>
        <w:overflowPunct/>
        <w:topLinePunct w:val="0"/>
        <w:autoSpaceDE/>
        <w:autoSpaceDN/>
        <w:bidi w:val="0"/>
        <w:adjustRightInd/>
        <w:snapToGrid/>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供应商：</w:t>
      </w:r>
    </w:p>
    <w:p w14:paraId="398E746E">
      <w:pPr>
        <w:keepNext w:val="0"/>
        <w:keepLines w:val="0"/>
        <w:pageBreakBefore w:val="0"/>
        <w:suppressAutoHyphens/>
        <w:kinsoku/>
        <w:wordWrap/>
        <w:overflowPunct/>
        <w:topLinePunct w:val="0"/>
        <w:autoSpaceDE/>
        <w:autoSpaceDN/>
        <w:bidi w:val="0"/>
        <w:adjustRightInd/>
        <w:snapToGrid/>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盖章或授权人签字：</w:t>
      </w:r>
    </w:p>
    <w:p w14:paraId="75FB243B">
      <w:pPr>
        <w:keepNext w:val="0"/>
        <w:keepLines w:val="0"/>
        <w:pageBreakBefore w:val="0"/>
        <w:suppressAutoHyphens/>
        <w:kinsoku/>
        <w:wordWrap/>
        <w:overflowPunct/>
        <w:topLinePunct w:val="0"/>
        <w:autoSpaceDE/>
        <w:autoSpaceDN/>
        <w:bidi w:val="0"/>
        <w:adjustRightInd/>
        <w:snapToGrid/>
        <w:spacing w:line="360" w:lineRule="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1"/>
          <w:szCs w:val="21"/>
          <w:highlight w:val="none"/>
        </w:rPr>
        <w:t xml:space="preserve">                                           日期</w:t>
      </w:r>
      <w:r>
        <w:rPr>
          <w:rFonts w:hint="eastAsia" w:ascii="宋体" w:hAnsi="宋体" w:eastAsia="宋体" w:cs="宋体"/>
          <w:color w:val="auto"/>
          <w:sz w:val="28"/>
          <w:szCs w:val="28"/>
          <w:highlight w:val="none"/>
        </w:rPr>
        <w:t>：</w:t>
      </w:r>
    </w:p>
    <w:p w14:paraId="7A5C1A87">
      <w:pPr>
        <w:suppressAutoHyphens/>
        <w:bidi w:val="0"/>
        <w:rPr>
          <w:rFonts w:eastAsia="宋体" w:cs="Times New Roman"/>
          <w:color w:val="auto"/>
          <w:sz w:val="28"/>
          <w:highlight w:val="none"/>
        </w:rPr>
      </w:pPr>
    </w:p>
    <w:p w14:paraId="46DE4584">
      <w:pPr>
        <w:widowControl/>
        <w:suppressAutoHyphens/>
        <w:autoSpaceDE w:val="0"/>
        <w:autoSpaceDN w:val="0"/>
        <w:bidi w:val="0"/>
        <w:adjustRightInd w:val="0"/>
        <w:snapToGrid w:val="0"/>
        <w:spacing w:beforeLines="0" w:line="360" w:lineRule="auto"/>
        <w:ind w:left="0" w:leftChars="0" w:firstLine="482" w:firstLineChars="200"/>
        <w:jc w:val="left"/>
        <w:rPr>
          <w:rFonts w:hint="eastAsia" w:ascii="宋体" w:hAnsi="宋体" w:eastAsia="宋体" w:cs="宋体"/>
          <w:b/>
          <w:bCs/>
          <w:color w:val="auto"/>
          <w:sz w:val="24"/>
          <w:szCs w:val="24"/>
          <w:highlight w:val="none"/>
          <w:lang w:eastAsia="zh-CN"/>
        </w:rPr>
      </w:pPr>
    </w:p>
    <w:p w14:paraId="536DCA9A">
      <w:pPr>
        <w:widowControl/>
        <w:suppressAutoHyphens/>
        <w:autoSpaceDE w:val="0"/>
        <w:autoSpaceDN w:val="0"/>
        <w:bidi w:val="0"/>
        <w:adjustRightInd w:val="0"/>
        <w:snapToGrid w:val="0"/>
        <w:spacing w:beforeLines="0" w:line="360" w:lineRule="auto"/>
        <w:ind w:left="0" w:leftChars="0" w:firstLine="482" w:firstLineChars="200"/>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eastAsia="zh-CN"/>
        </w:rPr>
        <w:t>附件</w:t>
      </w:r>
      <w:r>
        <w:rPr>
          <w:rFonts w:hint="eastAsia" w:ascii="宋体" w:hAnsi="宋体" w:eastAsia="宋体" w:cs="宋体"/>
          <w:b/>
          <w:bCs/>
          <w:color w:val="auto"/>
          <w:sz w:val="24"/>
          <w:szCs w:val="24"/>
          <w:highlight w:val="none"/>
          <w:lang w:val="en-US" w:eastAsia="zh-CN"/>
        </w:rPr>
        <w:t>10：</w:t>
      </w:r>
      <w:r>
        <w:rPr>
          <w:rFonts w:hint="eastAsia" w:ascii="宋体" w:hAnsi="宋体" w:eastAsia="宋体" w:cs="宋体"/>
          <w:b/>
          <w:bCs/>
          <w:color w:val="auto"/>
          <w:kern w:val="2"/>
          <w:sz w:val="24"/>
          <w:szCs w:val="24"/>
          <w:highlight w:val="none"/>
        </w:rPr>
        <w:t>安装费用和上门售后服务费收费标准</w:t>
      </w:r>
    </w:p>
    <w:tbl>
      <w:tblPr>
        <w:tblStyle w:val="14"/>
        <w:tblW w:w="0" w:type="auto"/>
        <w:jc w:val="center"/>
        <w:tblLayout w:type="fixed"/>
        <w:tblCellMar>
          <w:top w:w="0" w:type="dxa"/>
          <w:left w:w="108" w:type="dxa"/>
          <w:bottom w:w="0" w:type="dxa"/>
          <w:right w:w="108" w:type="dxa"/>
        </w:tblCellMar>
      </w:tblPr>
      <w:tblGrid>
        <w:gridCol w:w="1078"/>
        <w:gridCol w:w="1914"/>
        <w:gridCol w:w="4110"/>
        <w:gridCol w:w="1194"/>
      </w:tblGrid>
      <w:tr w14:paraId="06F9D835">
        <w:tblPrEx>
          <w:tblCellMar>
            <w:top w:w="0" w:type="dxa"/>
            <w:left w:w="108" w:type="dxa"/>
            <w:bottom w:w="0" w:type="dxa"/>
            <w:right w:w="108" w:type="dxa"/>
          </w:tblCellMar>
        </w:tblPrEx>
        <w:trPr>
          <w:trHeight w:val="555" w:hRule="atLeast"/>
          <w:jc w:val="center"/>
        </w:trPr>
        <w:tc>
          <w:tcPr>
            <w:tcW w:w="1078" w:type="dxa"/>
            <w:tcBorders>
              <w:top w:val="single" w:color="auto" w:sz="4" w:space="0"/>
              <w:left w:val="single" w:color="auto" w:sz="4" w:space="0"/>
              <w:bottom w:val="single" w:color="auto" w:sz="4" w:space="0"/>
              <w:right w:val="single" w:color="auto" w:sz="4" w:space="0"/>
            </w:tcBorders>
            <w:noWrap w:val="0"/>
            <w:vAlign w:val="center"/>
          </w:tcPr>
          <w:p w14:paraId="3108B7CB">
            <w:pPr>
              <w:keepNext w:val="0"/>
              <w:keepLines w:val="0"/>
              <w:suppressLineNumbers w:val="0"/>
              <w:shd w:val="clear" w:color="auto" w:fill="auto"/>
              <w:suppressAutoHyphens/>
              <w:bidi w:val="0"/>
              <w:spacing w:before="0" w:beforeAutospacing="0" w:after="0" w:afterAutospacing="0"/>
              <w:ind w:left="-36" w:leftChars="-13" w:right="0"/>
              <w:jc w:val="center"/>
              <w:rPr>
                <w:rFonts w:hint="default" w:ascii="宋体" w:hAnsi="宋体" w:eastAsia="宋体" w:cs="Arial"/>
                <w:b/>
                <w:bCs/>
                <w:color w:val="auto"/>
                <w:sz w:val="21"/>
                <w:szCs w:val="21"/>
                <w:highlight w:val="none"/>
              </w:rPr>
            </w:pPr>
            <w:r>
              <w:rPr>
                <w:rFonts w:hint="eastAsia" w:ascii="宋体" w:hAnsi="宋体" w:eastAsia="宋体" w:cs="Arial"/>
                <w:b/>
                <w:bCs/>
                <w:color w:val="auto"/>
                <w:sz w:val="21"/>
                <w:szCs w:val="21"/>
                <w:highlight w:val="none"/>
              </w:rPr>
              <w:t>序号</w:t>
            </w:r>
          </w:p>
        </w:tc>
        <w:tc>
          <w:tcPr>
            <w:tcW w:w="1914" w:type="dxa"/>
            <w:tcBorders>
              <w:top w:val="single" w:color="auto" w:sz="4" w:space="0"/>
              <w:left w:val="nil"/>
              <w:bottom w:val="single" w:color="auto" w:sz="4" w:space="0"/>
              <w:right w:val="single" w:color="auto" w:sz="4" w:space="0"/>
            </w:tcBorders>
            <w:noWrap w:val="0"/>
            <w:vAlign w:val="center"/>
          </w:tcPr>
          <w:p w14:paraId="65BA277C">
            <w:pPr>
              <w:keepNext w:val="0"/>
              <w:keepLines w:val="0"/>
              <w:suppressLineNumbers w:val="0"/>
              <w:shd w:val="clear" w:color="auto" w:fill="auto"/>
              <w:suppressAutoHyphens/>
              <w:bidi w:val="0"/>
              <w:spacing w:before="0" w:beforeAutospacing="0" w:after="0" w:afterAutospacing="0"/>
              <w:ind w:left="0" w:right="0"/>
              <w:jc w:val="center"/>
              <w:rPr>
                <w:rFonts w:hint="default" w:ascii="宋体" w:hAnsi="宋体" w:eastAsia="宋体" w:cs="Arial"/>
                <w:b/>
                <w:bCs/>
                <w:color w:val="auto"/>
                <w:sz w:val="21"/>
                <w:szCs w:val="21"/>
                <w:highlight w:val="none"/>
              </w:rPr>
            </w:pPr>
            <w:r>
              <w:rPr>
                <w:rFonts w:hint="eastAsia" w:ascii="宋体" w:hAnsi="宋体" w:eastAsia="宋体" w:cs="Arial"/>
                <w:b/>
                <w:bCs/>
                <w:color w:val="auto"/>
                <w:sz w:val="21"/>
                <w:szCs w:val="21"/>
                <w:highlight w:val="none"/>
              </w:rPr>
              <w:t>费用名称</w:t>
            </w:r>
          </w:p>
        </w:tc>
        <w:tc>
          <w:tcPr>
            <w:tcW w:w="4110" w:type="dxa"/>
            <w:tcBorders>
              <w:top w:val="single" w:color="auto" w:sz="4" w:space="0"/>
              <w:left w:val="nil"/>
              <w:bottom w:val="single" w:color="auto" w:sz="4" w:space="0"/>
              <w:right w:val="single" w:color="auto" w:sz="4" w:space="0"/>
            </w:tcBorders>
            <w:noWrap w:val="0"/>
            <w:vAlign w:val="center"/>
          </w:tcPr>
          <w:p w14:paraId="557C00DE">
            <w:pPr>
              <w:keepNext w:val="0"/>
              <w:keepLines w:val="0"/>
              <w:suppressLineNumbers w:val="0"/>
              <w:shd w:val="clear" w:color="auto" w:fill="auto"/>
              <w:suppressAutoHyphens/>
              <w:bidi w:val="0"/>
              <w:spacing w:before="0" w:beforeAutospacing="0" w:after="0" w:afterAutospacing="0"/>
              <w:ind w:left="0" w:right="0"/>
              <w:jc w:val="center"/>
              <w:rPr>
                <w:rFonts w:hint="default" w:ascii="宋体" w:hAnsi="宋体" w:eastAsia="宋体" w:cs="Arial"/>
                <w:b/>
                <w:bCs/>
                <w:color w:val="auto"/>
                <w:sz w:val="21"/>
                <w:szCs w:val="21"/>
                <w:highlight w:val="none"/>
              </w:rPr>
            </w:pPr>
            <w:r>
              <w:rPr>
                <w:rFonts w:hint="eastAsia" w:ascii="宋体" w:hAnsi="宋体" w:eastAsia="宋体" w:cs="Arial"/>
                <w:b/>
                <w:bCs/>
                <w:color w:val="auto"/>
                <w:sz w:val="21"/>
                <w:szCs w:val="21"/>
                <w:highlight w:val="none"/>
              </w:rPr>
              <w:t>区域范围</w:t>
            </w:r>
          </w:p>
        </w:tc>
        <w:tc>
          <w:tcPr>
            <w:tcW w:w="1194" w:type="dxa"/>
            <w:tcBorders>
              <w:top w:val="single" w:color="auto" w:sz="4" w:space="0"/>
              <w:left w:val="nil"/>
              <w:bottom w:val="single" w:color="auto" w:sz="4" w:space="0"/>
              <w:right w:val="single" w:color="auto" w:sz="4" w:space="0"/>
            </w:tcBorders>
            <w:noWrap w:val="0"/>
            <w:vAlign w:val="center"/>
          </w:tcPr>
          <w:p w14:paraId="18D9F0A6">
            <w:pPr>
              <w:keepNext w:val="0"/>
              <w:keepLines w:val="0"/>
              <w:suppressLineNumbers w:val="0"/>
              <w:shd w:val="clear" w:color="auto" w:fill="auto"/>
              <w:suppressAutoHyphens/>
              <w:bidi w:val="0"/>
              <w:spacing w:before="0" w:beforeAutospacing="0" w:after="0" w:afterAutospacing="0"/>
              <w:ind w:left="0" w:right="0"/>
              <w:jc w:val="center"/>
              <w:rPr>
                <w:rFonts w:hint="default" w:ascii="宋体" w:hAnsi="宋体" w:eastAsia="宋体" w:cs="Arial"/>
                <w:b/>
                <w:bCs/>
                <w:color w:val="auto"/>
                <w:sz w:val="21"/>
                <w:szCs w:val="21"/>
                <w:highlight w:val="none"/>
              </w:rPr>
            </w:pPr>
            <w:r>
              <w:rPr>
                <w:rFonts w:hint="eastAsia" w:ascii="宋体" w:hAnsi="宋体" w:eastAsia="宋体" w:cs="Arial"/>
                <w:b/>
                <w:bCs/>
                <w:color w:val="auto"/>
                <w:sz w:val="21"/>
                <w:szCs w:val="21"/>
                <w:highlight w:val="none"/>
              </w:rPr>
              <w:t>收费标准</w:t>
            </w:r>
          </w:p>
        </w:tc>
      </w:tr>
      <w:tr w14:paraId="107B6E13">
        <w:tblPrEx>
          <w:tblCellMar>
            <w:top w:w="0" w:type="dxa"/>
            <w:left w:w="108" w:type="dxa"/>
            <w:bottom w:w="0" w:type="dxa"/>
            <w:right w:w="108" w:type="dxa"/>
          </w:tblCellMar>
        </w:tblPrEx>
        <w:trPr>
          <w:trHeight w:val="332" w:hRule="atLeast"/>
          <w:jc w:val="center"/>
        </w:trPr>
        <w:tc>
          <w:tcPr>
            <w:tcW w:w="1078" w:type="dxa"/>
            <w:vMerge w:val="restart"/>
            <w:tcBorders>
              <w:top w:val="nil"/>
              <w:left w:val="single" w:color="auto" w:sz="4" w:space="0"/>
              <w:bottom w:val="single" w:color="auto" w:sz="4" w:space="0"/>
              <w:right w:val="single" w:color="auto" w:sz="4" w:space="0"/>
            </w:tcBorders>
            <w:noWrap w:val="0"/>
            <w:vAlign w:val="center"/>
          </w:tcPr>
          <w:p w14:paraId="5342DB25">
            <w:pPr>
              <w:keepNext w:val="0"/>
              <w:keepLines w:val="0"/>
              <w:suppressLineNumbers w:val="0"/>
              <w:shd w:val="clear" w:color="auto" w:fill="auto"/>
              <w:suppressAutoHyphens/>
              <w:bidi w:val="0"/>
              <w:spacing w:before="0" w:beforeAutospacing="0" w:after="0" w:afterAutospacing="0"/>
              <w:ind w:left="-36" w:leftChars="-13" w:right="0"/>
              <w:jc w:val="center"/>
              <w:rPr>
                <w:rFonts w:hint="default" w:ascii="宋体" w:hAnsi="宋体" w:eastAsia="宋体" w:cs="Arial"/>
                <w:b/>
                <w:bCs/>
                <w:color w:val="auto"/>
                <w:sz w:val="21"/>
                <w:szCs w:val="21"/>
                <w:highlight w:val="none"/>
              </w:rPr>
            </w:pPr>
            <w:r>
              <w:rPr>
                <w:rFonts w:hint="eastAsia" w:ascii="宋体" w:hAnsi="宋体" w:eastAsia="宋体" w:cs="Arial"/>
                <w:b/>
                <w:bCs/>
                <w:color w:val="auto"/>
                <w:sz w:val="21"/>
                <w:szCs w:val="21"/>
                <w:highlight w:val="none"/>
              </w:rPr>
              <w:t>1</w:t>
            </w:r>
          </w:p>
        </w:tc>
        <w:tc>
          <w:tcPr>
            <w:tcW w:w="1914" w:type="dxa"/>
            <w:vMerge w:val="restart"/>
            <w:tcBorders>
              <w:top w:val="nil"/>
              <w:left w:val="nil"/>
              <w:bottom w:val="single" w:color="auto" w:sz="4" w:space="0"/>
              <w:right w:val="single" w:color="auto" w:sz="4" w:space="0"/>
            </w:tcBorders>
            <w:noWrap w:val="0"/>
            <w:vAlign w:val="center"/>
          </w:tcPr>
          <w:p w14:paraId="1222DFC5">
            <w:pPr>
              <w:keepNext w:val="0"/>
              <w:keepLines w:val="0"/>
              <w:suppressLineNumbers w:val="0"/>
              <w:shd w:val="clear" w:color="auto" w:fill="auto"/>
              <w:suppressAutoHyphens/>
              <w:bidi w:val="0"/>
              <w:spacing w:before="0" w:beforeAutospacing="0" w:after="0" w:afterAutospacing="0"/>
              <w:ind w:left="0" w:right="0"/>
              <w:rPr>
                <w:rFonts w:hint="default" w:ascii="宋体" w:hAnsi="宋体" w:eastAsia="宋体" w:cs="Arial"/>
                <w:b/>
                <w:bCs/>
                <w:color w:val="auto"/>
                <w:sz w:val="21"/>
                <w:szCs w:val="21"/>
                <w:highlight w:val="none"/>
              </w:rPr>
            </w:pPr>
            <w:r>
              <w:rPr>
                <w:rFonts w:hint="eastAsia" w:ascii="宋体" w:hAnsi="宋体" w:eastAsia="宋体" w:cs="Arial"/>
                <w:b/>
                <w:bCs/>
                <w:color w:val="auto"/>
                <w:sz w:val="21"/>
                <w:szCs w:val="21"/>
                <w:highlight w:val="none"/>
              </w:rPr>
              <w:t>触控一体机</w:t>
            </w:r>
            <w:r>
              <w:rPr>
                <w:rFonts w:hint="eastAsia" w:ascii="宋体" w:hAnsi="宋体" w:cs="Arial"/>
                <w:b/>
                <w:bCs/>
                <w:color w:val="auto"/>
                <w:sz w:val="21"/>
                <w:szCs w:val="21"/>
                <w:highlight w:val="none"/>
              </w:rPr>
              <w:t>/智慧黑板</w:t>
            </w:r>
            <w:r>
              <w:rPr>
                <w:rFonts w:hint="eastAsia" w:ascii="宋体" w:hAnsi="宋体" w:eastAsia="宋体" w:cs="Arial"/>
                <w:b/>
                <w:bCs/>
                <w:color w:val="auto"/>
                <w:sz w:val="21"/>
                <w:szCs w:val="21"/>
                <w:highlight w:val="none"/>
              </w:rPr>
              <w:t>安装费用</w:t>
            </w:r>
          </w:p>
        </w:tc>
        <w:tc>
          <w:tcPr>
            <w:tcW w:w="4110" w:type="dxa"/>
            <w:tcBorders>
              <w:top w:val="nil"/>
              <w:left w:val="nil"/>
              <w:bottom w:val="single" w:color="auto" w:sz="4" w:space="0"/>
              <w:right w:val="single" w:color="auto" w:sz="4" w:space="0"/>
            </w:tcBorders>
            <w:noWrap w:val="0"/>
            <w:vAlign w:val="center"/>
          </w:tcPr>
          <w:p w14:paraId="7F629927">
            <w:pPr>
              <w:keepNext w:val="0"/>
              <w:keepLines w:val="0"/>
              <w:suppressLineNumbers w:val="0"/>
              <w:shd w:val="clear" w:color="auto" w:fill="auto"/>
              <w:suppressAutoHyphens/>
              <w:bidi w:val="0"/>
              <w:spacing w:before="0" w:beforeAutospacing="0" w:after="0" w:afterAutospacing="0"/>
              <w:ind w:left="0" w:right="0"/>
              <w:rPr>
                <w:rFonts w:hint="default" w:ascii="宋体" w:hAnsi="宋体" w:eastAsia="宋体" w:cs="Arial"/>
                <w:b/>
                <w:bCs/>
                <w:color w:val="auto"/>
                <w:sz w:val="21"/>
                <w:szCs w:val="21"/>
                <w:highlight w:val="none"/>
              </w:rPr>
            </w:pPr>
            <w:r>
              <w:rPr>
                <w:rFonts w:hint="eastAsia" w:ascii="宋体" w:hAnsi="宋体" w:eastAsia="宋体" w:cs="Arial"/>
                <w:b/>
                <w:bCs/>
                <w:color w:val="auto"/>
                <w:sz w:val="21"/>
                <w:szCs w:val="21"/>
                <w:highlight w:val="none"/>
              </w:rPr>
              <w:t>厦门市全区、福州市区内、莆田市区内、泉州市区内、漳州市区内、龙岩市区内、三明市区内、南平市区内和宁德市区内（福建省各地市区外划分详见该表格备注栏）</w:t>
            </w:r>
          </w:p>
        </w:tc>
        <w:tc>
          <w:tcPr>
            <w:tcW w:w="1194" w:type="dxa"/>
            <w:tcBorders>
              <w:top w:val="nil"/>
              <w:left w:val="nil"/>
              <w:bottom w:val="single" w:color="auto" w:sz="4" w:space="0"/>
              <w:right w:val="single" w:color="auto" w:sz="4" w:space="0"/>
            </w:tcBorders>
            <w:noWrap w:val="0"/>
            <w:vAlign w:val="center"/>
          </w:tcPr>
          <w:p w14:paraId="15809B3E">
            <w:pPr>
              <w:keepNext w:val="0"/>
              <w:keepLines w:val="0"/>
              <w:suppressLineNumbers w:val="0"/>
              <w:shd w:val="clear" w:color="auto" w:fill="auto"/>
              <w:suppressAutoHyphens/>
              <w:bidi w:val="0"/>
              <w:spacing w:before="0" w:beforeAutospacing="0" w:after="0" w:afterAutospacing="0"/>
              <w:ind w:left="0" w:right="0"/>
              <w:rPr>
                <w:rFonts w:hint="default" w:ascii="宋体" w:hAnsi="宋体" w:eastAsia="宋体" w:cs="Arial"/>
                <w:b/>
                <w:bCs/>
                <w:color w:val="auto"/>
                <w:sz w:val="21"/>
                <w:szCs w:val="21"/>
                <w:highlight w:val="none"/>
              </w:rPr>
            </w:pPr>
            <w:r>
              <w:rPr>
                <w:rFonts w:hint="eastAsia" w:ascii="宋体" w:hAnsi="宋体" w:eastAsia="宋体" w:cs="Arial"/>
                <w:b/>
                <w:bCs/>
                <w:color w:val="auto"/>
                <w:sz w:val="21"/>
                <w:szCs w:val="21"/>
                <w:highlight w:val="none"/>
              </w:rPr>
              <w:t>免费</w:t>
            </w:r>
          </w:p>
        </w:tc>
      </w:tr>
      <w:tr w14:paraId="75C469ED">
        <w:tblPrEx>
          <w:tblCellMar>
            <w:top w:w="0" w:type="dxa"/>
            <w:left w:w="108" w:type="dxa"/>
            <w:bottom w:w="0" w:type="dxa"/>
            <w:right w:w="108" w:type="dxa"/>
          </w:tblCellMar>
        </w:tblPrEx>
        <w:trPr>
          <w:trHeight w:val="332" w:hRule="atLeast"/>
          <w:jc w:val="center"/>
        </w:trPr>
        <w:tc>
          <w:tcPr>
            <w:tcW w:w="1078" w:type="dxa"/>
            <w:vMerge w:val="continue"/>
            <w:tcBorders>
              <w:top w:val="nil"/>
              <w:left w:val="single" w:color="auto" w:sz="4" w:space="0"/>
              <w:bottom w:val="single" w:color="auto" w:sz="4" w:space="0"/>
              <w:right w:val="single" w:color="auto" w:sz="4" w:space="0"/>
            </w:tcBorders>
            <w:noWrap w:val="0"/>
            <w:vAlign w:val="center"/>
          </w:tcPr>
          <w:p w14:paraId="1FC67822">
            <w:pPr>
              <w:keepNext w:val="0"/>
              <w:keepLines w:val="0"/>
              <w:widowControl/>
              <w:suppressLineNumbers w:val="0"/>
              <w:shd w:val="clear" w:color="auto" w:fill="auto"/>
              <w:suppressAutoHyphens/>
              <w:bidi w:val="0"/>
              <w:spacing w:before="0" w:beforeAutospacing="0" w:after="0" w:afterAutospacing="0"/>
              <w:ind w:left="0" w:right="0"/>
              <w:jc w:val="left"/>
              <w:rPr>
                <w:rFonts w:hint="default" w:ascii="宋体" w:hAnsi="宋体" w:eastAsia="宋体" w:cs="Arial"/>
                <w:b/>
                <w:bCs/>
                <w:color w:val="auto"/>
                <w:sz w:val="21"/>
                <w:szCs w:val="21"/>
                <w:highlight w:val="none"/>
              </w:rPr>
            </w:pPr>
          </w:p>
        </w:tc>
        <w:tc>
          <w:tcPr>
            <w:tcW w:w="1914" w:type="dxa"/>
            <w:vMerge w:val="continue"/>
            <w:tcBorders>
              <w:top w:val="nil"/>
              <w:left w:val="nil"/>
              <w:bottom w:val="single" w:color="auto" w:sz="4" w:space="0"/>
              <w:right w:val="single" w:color="auto" w:sz="4" w:space="0"/>
            </w:tcBorders>
            <w:noWrap w:val="0"/>
            <w:vAlign w:val="center"/>
          </w:tcPr>
          <w:p w14:paraId="1963D652">
            <w:pPr>
              <w:keepNext w:val="0"/>
              <w:keepLines w:val="0"/>
              <w:widowControl/>
              <w:suppressLineNumbers w:val="0"/>
              <w:shd w:val="clear" w:color="auto" w:fill="auto"/>
              <w:suppressAutoHyphens/>
              <w:bidi w:val="0"/>
              <w:spacing w:before="0" w:beforeAutospacing="0" w:after="0" w:afterAutospacing="0"/>
              <w:ind w:left="0" w:right="0"/>
              <w:jc w:val="left"/>
              <w:rPr>
                <w:rFonts w:hint="default" w:ascii="宋体" w:hAnsi="宋体" w:eastAsia="宋体" w:cs="Arial"/>
                <w:b/>
                <w:bCs/>
                <w:color w:val="auto"/>
                <w:sz w:val="21"/>
                <w:szCs w:val="21"/>
                <w:highlight w:val="none"/>
              </w:rPr>
            </w:pPr>
          </w:p>
        </w:tc>
        <w:tc>
          <w:tcPr>
            <w:tcW w:w="4110" w:type="dxa"/>
            <w:tcBorders>
              <w:top w:val="nil"/>
              <w:left w:val="nil"/>
              <w:bottom w:val="single" w:color="auto" w:sz="4" w:space="0"/>
              <w:right w:val="single" w:color="auto" w:sz="4" w:space="0"/>
            </w:tcBorders>
            <w:noWrap w:val="0"/>
            <w:vAlign w:val="center"/>
          </w:tcPr>
          <w:p w14:paraId="270B3852">
            <w:pPr>
              <w:keepNext w:val="0"/>
              <w:keepLines w:val="0"/>
              <w:suppressLineNumbers w:val="0"/>
              <w:shd w:val="clear" w:color="auto" w:fill="auto"/>
              <w:suppressAutoHyphens/>
              <w:bidi w:val="0"/>
              <w:spacing w:before="0" w:beforeAutospacing="0" w:after="0" w:afterAutospacing="0"/>
              <w:ind w:left="0" w:right="0"/>
              <w:rPr>
                <w:rFonts w:hint="default" w:ascii="宋体" w:hAnsi="宋体" w:eastAsia="宋体" w:cs="Arial"/>
                <w:b/>
                <w:bCs/>
                <w:color w:val="auto"/>
                <w:sz w:val="21"/>
                <w:szCs w:val="21"/>
                <w:highlight w:val="none"/>
              </w:rPr>
            </w:pPr>
            <w:r>
              <w:rPr>
                <w:rFonts w:hint="eastAsia" w:ascii="宋体" w:hAnsi="宋体" w:eastAsia="宋体" w:cs="Arial"/>
                <w:b/>
                <w:bCs/>
                <w:color w:val="auto"/>
                <w:sz w:val="21"/>
                <w:szCs w:val="21"/>
                <w:highlight w:val="none"/>
              </w:rPr>
              <w:t>福州市区外、莆田市区外、泉州市区外、漳州市区外、龙岩市区外、三明市区外、南平市区外和宁德市区外（福建省各地市区外划分详见该表格备注栏）</w:t>
            </w:r>
          </w:p>
        </w:tc>
        <w:tc>
          <w:tcPr>
            <w:tcW w:w="1194" w:type="dxa"/>
            <w:tcBorders>
              <w:top w:val="nil"/>
              <w:left w:val="nil"/>
              <w:bottom w:val="single" w:color="auto" w:sz="4" w:space="0"/>
              <w:right w:val="single" w:color="auto" w:sz="4" w:space="0"/>
            </w:tcBorders>
            <w:noWrap w:val="0"/>
            <w:vAlign w:val="center"/>
          </w:tcPr>
          <w:p w14:paraId="222482E9">
            <w:pPr>
              <w:keepNext w:val="0"/>
              <w:keepLines w:val="0"/>
              <w:suppressLineNumbers w:val="0"/>
              <w:shd w:val="clear" w:color="auto" w:fill="auto"/>
              <w:suppressAutoHyphens/>
              <w:bidi w:val="0"/>
              <w:spacing w:before="0" w:beforeAutospacing="0" w:after="0" w:afterAutospacing="0"/>
              <w:ind w:left="0" w:right="0"/>
              <w:rPr>
                <w:rFonts w:hint="default" w:ascii="宋体" w:hAnsi="宋体" w:eastAsia="宋体" w:cs="Arial"/>
                <w:b/>
                <w:bCs/>
                <w:color w:val="auto"/>
                <w:sz w:val="21"/>
                <w:szCs w:val="21"/>
                <w:highlight w:val="none"/>
              </w:rPr>
            </w:pPr>
            <w:r>
              <w:rPr>
                <w:rFonts w:hint="eastAsia" w:ascii="宋体" w:hAnsi="宋体" w:eastAsia="宋体" w:cs="Arial"/>
                <w:b/>
                <w:bCs/>
                <w:color w:val="auto"/>
                <w:sz w:val="21"/>
                <w:szCs w:val="21"/>
                <w:highlight w:val="none"/>
              </w:rPr>
              <w:t>350元/台</w:t>
            </w:r>
          </w:p>
        </w:tc>
      </w:tr>
      <w:tr w14:paraId="2219771C">
        <w:tblPrEx>
          <w:tblCellMar>
            <w:top w:w="0" w:type="dxa"/>
            <w:left w:w="108" w:type="dxa"/>
            <w:bottom w:w="0" w:type="dxa"/>
            <w:right w:w="108" w:type="dxa"/>
          </w:tblCellMar>
        </w:tblPrEx>
        <w:trPr>
          <w:trHeight w:val="416" w:hRule="atLeast"/>
          <w:jc w:val="center"/>
        </w:trPr>
        <w:tc>
          <w:tcPr>
            <w:tcW w:w="1078" w:type="dxa"/>
            <w:vMerge w:val="restart"/>
            <w:tcBorders>
              <w:top w:val="nil"/>
              <w:left w:val="single" w:color="auto" w:sz="4" w:space="0"/>
              <w:bottom w:val="single" w:color="auto" w:sz="4" w:space="0"/>
              <w:right w:val="single" w:color="auto" w:sz="4" w:space="0"/>
            </w:tcBorders>
            <w:noWrap w:val="0"/>
            <w:vAlign w:val="center"/>
          </w:tcPr>
          <w:p w14:paraId="39286D32">
            <w:pPr>
              <w:keepNext w:val="0"/>
              <w:keepLines w:val="0"/>
              <w:suppressLineNumbers w:val="0"/>
              <w:shd w:val="clear" w:color="auto" w:fill="auto"/>
              <w:suppressAutoHyphens/>
              <w:bidi w:val="0"/>
              <w:spacing w:before="0" w:beforeAutospacing="0" w:after="0" w:afterAutospacing="0"/>
              <w:ind w:left="-36" w:leftChars="-13" w:right="0"/>
              <w:jc w:val="center"/>
              <w:rPr>
                <w:rFonts w:hint="default" w:ascii="宋体" w:hAnsi="宋体" w:eastAsia="宋体" w:cs="Arial"/>
                <w:b/>
                <w:bCs/>
                <w:color w:val="auto"/>
                <w:sz w:val="21"/>
                <w:szCs w:val="21"/>
                <w:highlight w:val="none"/>
              </w:rPr>
            </w:pPr>
            <w:r>
              <w:rPr>
                <w:rFonts w:hint="eastAsia" w:ascii="宋体" w:hAnsi="宋体" w:eastAsia="宋体" w:cs="Arial"/>
                <w:b/>
                <w:bCs/>
                <w:color w:val="auto"/>
                <w:sz w:val="21"/>
                <w:szCs w:val="21"/>
                <w:highlight w:val="none"/>
              </w:rPr>
              <w:t>3</w:t>
            </w:r>
          </w:p>
        </w:tc>
        <w:tc>
          <w:tcPr>
            <w:tcW w:w="1914" w:type="dxa"/>
            <w:vMerge w:val="restart"/>
            <w:tcBorders>
              <w:top w:val="nil"/>
              <w:left w:val="nil"/>
              <w:bottom w:val="single" w:color="auto" w:sz="4" w:space="0"/>
              <w:right w:val="single" w:color="auto" w:sz="4" w:space="0"/>
            </w:tcBorders>
            <w:noWrap w:val="0"/>
            <w:vAlign w:val="center"/>
          </w:tcPr>
          <w:p w14:paraId="394CBA22">
            <w:pPr>
              <w:keepNext w:val="0"/>
              <w:keepLines w:val="0"/>
              <w:suppressLineNumbers w:val="0"/>
              <w:shd w:val="clear" w:color="auto" w:fill="auto"/>
              <w:suppressAutoHyphens/>
              <w:bidi w:val="0"/>
              <w:spacing w:before="0" w:beforeAutospacing="0" w:after="0" w:afterAutospacing="0"/>
              <w:ind w:left="0" w:right="0"/>
              <w:rPr>
                <w:rFonts w:hint="default" w:ascii="宋体" w:hAnsi="宋体" w:eastAsia="宋体" w:cs="Arial"/>
                <w:b/>
                <w:bCs/>
                <w:color w:val="auto"/>
                <w:sz w:val="21"/>
                <w:szCs w:val="21"/>
                <w:highlight w:val="none"/>
              </w:rPr>
            </w:pPr>
            <w:r>
              <w:rPr>
                <w:rFonts w:hint="eastAsia" w:ascii="宋体" w:hAnsi="宋体" w:eastAsia="宋体" w:cs="Arial"/>
                <w:b/>
                <w:bCs/>
                <w:color w:val="auto"/>
                <w:sz w:val="21"/>
                <w:szCs w:val="21"/>
                <w:highlight w:val="none"/>
              </w:rPr>
              <w:t>触控一体机</w:t>
            </w:r>
            <w:r>
              <w:rPr>
                <w:rFonts w:hint="eastAsia" w:ascii="宋体" w:hAnsi="宋体" w:cs="Arial"/>
                <w:b/>
                <w:bCs/>
                <w:color w:val="auto"/>
                <w:sz w:val="21"/>
                <w:szCs w:val="21"/>
                <w:highlight w:val="none"/>
              </w:rPr>
              <w:t>/智慧黑板</w:t>
            </w:r>
            <w:r>
              <w:rPr>
                <w:rFonts w:hint="eastAsia" w:ascii="宋体" w:hAnsi="宋体" w:eastAsia="宋体" w:cs="Arial"/>
                <w:b/>
                <w:bCs/>
                <w:color w:val="auto"/>
                <w:sz w:val="21"/>
                <w:szCs w:val="21"/>
                <w:highlight w:val="none"/>
              </w:rPr>
              <w:t>上门售后服务费用</w:t>
            </w:r>
          </w:p>
        </w:tc>
        <w:tc>
          <w:tcPr>
            <w:tcW w:w="4110" w:type="dxa"/>
            <w:tcBorders>
              <w:top w:val="nil"/>
              <w:left w:val="nil"/>
              <w:bottom w:val="single" w:color="auto" w:sz="4" w:space="0"/>
              <w:right w:val="single" w:color="auto" w:sz="4" w:space="0"/>
            </w:tcBorders>
            <w:noWrap w:val="0"/>
            <w:vAlign w:val="center"/>
          </w:tcPr>
          <w:p w14:paraId="24D0ECC6">
            <w:pPr>
              <w:keepNext w:val="0"/>
              <w:keepLines w:val="0"/>
              <w:suppressLineNumbers w:val="0"/>
              <w:shd w:val="clear" w:color="auto" w:fill="auto"/>
              <w:suppressAutoHyphens/>
              <w:bidi w:val="0"/>
              <w:spacing w:before="0" w:beforeAutospacing="0" w:after="0" w:afterAutospacing="0"/>
              <w:ind w:left="0" w:right="0"/>
              <w:rPr>
                <w:rFonts w:hint="default" w:ascii="宋体" w:hAnsi="宋体" w:eastAsia="宋体" w:cs="Arial"/>
                <w:b/>
                <w:bCs/>
                <w:color w:val="auto"/>
                <w:sz w:val="21"/>
                <w:szCs w:val="21"/>
                <w:highlight w:val="none"/>
              </w:rPr>
            </w:pPr>
            <w:r>
              <w:rPr>
                <w:rFonts w:hint="eastAsia" w:ascii="宋体" w:hAnsi="宋体" w:eastAsia="宋体" w:cs="Arial"/>
                <w:b/>
                <w:bCs/>
                <w:color w:val="auto"/>
                <w:sz w:val="21"/>
                <w:szCs w:val="21"/>
                <w:highlight w:val="none"/>
              </w:rPr>
              <w:t>厦门市全区、福州市区内、莆田市区内、泉州市区内、漳州市区内、龙岩市区内、三明市区内、南平市区内和宁德市区内（福建省各地市区外划分详见该表格备注栏）</w:t>
            </w:r>
          </w:p>
        </w:tc>
        <w:tc>
          <w:tcPr>
            <w:tcW w:w="1194" w:type="dxa"/>
            <w:tcBorders>
              <w:top w:val="nil"/>
              <w:left w:val="nil"/>
              <w:bottom w:val="single" w:color="auto" w:sz="4" w:space="0"/>
              <w:right w:val="single" w:color="auto" w:sz="4" w:space="0"/>
            </w:tcBorders>
            <w:noWrap w:val="0"/>
            <w:vAlign w:val="center"/>
          </w:tcPr>
          <w:p w14:paraId="64E9A65D">
            <w:pPr>
              <w:keepNext w:val="0"/>
              <w:keepLines w:val="0"/>
              <w:suppressLineNumbers w:val="0"/>
              <w:shd w:val="clear" w:color="auto" w:fill="auto"/>
              <w:suppressAutoHyphens/>
              <w:bidi w:val="0"/>
              <w:spacing w:before="0" w:beforeAutospacing="0" w:after="0" w:afterAutospacing="0"/>
              <w:ind w:left="0" w:right="0"/>
              <w:rPr>
                <w:rFonts w:hint="default" w:ascii="宋体" w:hAnsi="宋体" w:eastAsia="宋体" w:cs="Arial"/>
                <w:b/>
                <w:bCs/>
                <w:color w:val="auto"/>
                <w:sz w:val="21"/>
                <w:szCs w:val="21"/>
                <w:highlight w:val="none"/>
              </w:rPr>
            </w:pPr>
            <w:r>
              <w:rPr>
                <w:rFonts w:hint="eastAsia" w:ascii="宋体" w:hAnsi="宋体" w:eastAsia="宋体" w:cs="Arial"/>
                <w:b/>
                <w:bCs/>
                <w:color w:val="auto"/>
                <w:sz w:val="21"/>
                <w:szCs w:val="21"/>
                <w:highlight w:val="none"/>
              </w:rPr>
              <w:t>免费</w:t>
            </w:r>
          </w:p>
        </w:tc>
      </w:tr>
      <w:tr w14:paraId="122FDCD4">
        <w:tblPrEx>
          <w:tblCellMar>
            <w:top w:w="0" w:type="dxa"/>
            <w:left w:w="108" w:type="dxa"/>
            <w:bottom w:w="0" w:type="dxa"/>
            <w:right w:w="108" w:type="dxa"/>
          </w:tblCellMar>
        </w:tblPrEx>
        <w:trPr>
          <w:trHeight w:val="416" w:hRule="atLeast"/>
          <w:jc w:val="center"/>
        </w:trPr>
        <w:tc>
          <w:tcPr>
            <w:tcW w:w="1078" w:type="dxa"/>
            <w:vMerge w:val="continue"/>
            <w:tcBorders>
              <w:top w:val="nil"/>
              <w:left w:val="single" w:color="auto" w:sz="4" w:space="0"/>
              <w:bottom w:val="single" w:color="auto" w:sz="4" w:space="0"/>
              <w:right w:val="single" w:color="auto" w:sz="4" w:space="0"/>
            </w:tcBorders>
            <w:noWrap w:val="0"/>
            <w:vAlign w:val="center"/>
          </w:tcPr>
          <w:p w14:paraId="2E811EE4">
            <w:pPr>
              <w:keepNext w:val="0"/>
              <w:keepLines w:val="0"/>
              <w:widowControl/>
              <w:suppressLineNumbers w:val="0"/>
              <w:shd w:val="clear" w:color="auto" w:fill="auto"/>
              <w:suppressAutoHyphens/>
              <w:bidi w:val="0"/>
              <w:spacing w:before="0" w:beforeAutospacing="0" w:after="0" w:afterAutospacing="0"/>
              <w:ind w:left="0" w:right="0"/>
              <w:jc w:val="left"/>
              <w:rPr>
                <w:rFonts w:hint="default" w:ascii="宋体" w:hAnsi="宋体" w:eastAsia="宋体" w:cs="Arial"/>
                <w:b/>
                <w:bCs/>
                <w:color w:val="auto"/>
                <w:sz w:val="21"/>
                <w:szCs w:val="21"/>
                <w:highlight w:val="none"/>
              </w:rPr>
            </w:pPr>
          </w:p>
        </w:tc>
        <w:tc>
          <w:tcPr>
            <w:tcW w:w="1914" w:type="dxa"/>
            <w:vMerge w:val="continue"/>
            <w:tcBorders>
              <w:top w:val="nil"/>
              <w:left w:val="nil"/>
              <w:bottom w:val="single" w:color="auto" w:sz="4" w:space="0"/>
              <w:right w:val="single" w:color="auto" w:sz="4" w:space="0"/>
            </w:tcBorders>
            <w:noWrap w:val="0"/>
            <w:vAlign w:val="center"/>
          </w:tcPr>
          <w:p w14:paraId="55B7A39F">
            <w:pPr>
              <w:keepNext w:val="0"/>
              <w:keepLines w:val="0"/>
              <w:widowControl/>
              <w:suppressLineNumbers w:val="0"/>
              <w:shd w:val="clear" w:color="auto" w:fill="auto"/>
              <w:suppressAutoHyphens/>
              <w:bidi w:val="0"/>
              <w:spacing w:before="0" w:beforeAutospacing="0" w:after="0" w:afterAutospacing="0"/>
              <w:ind w:left="0" w:right="0"/>
              <w:jc w:val="left"/>
              <w:rPr>
                <w:rFonts w:hint="default" w:ascii="宋体" w:hAnsi="宋体" w:eastAsia="宋体" w:cs="Arial"/>
                <w:b/>
                <w:bCs/>
                <w:color w:val="auto"/>
                <w:sz w:val="21"/>
                <w:szCs w:val="21"/>
                <w:highlight w:val="none"/>
              </w:rPr>
            </w:pPr>
          </w:p>
        </w:tc>
        <w:tc>
          <w:tcPr>
            <w:tcW w:w="4110" w:type="dxa"/>
            <w:tcBorders>
              <w:top w:val="nil"/>
              <w:left w:val="nil"/>
              <w:bottom w:val="single" w:color="auto" w:sz="4" w:space="0"/>
              <w:right w:val="single" w:color="auto" w:sz="4" w:space="0"/>
            </w:tcBorders>
            <w:noWrap w:val="0"/>
            <w:vAlign w:val="center"/>
          </w:tcPr>
          <w:p w14:paraId="1F6617EA">
            <w:pPr>
              <w:keepNext w:val="0"/>
              <w:keepLines w:val="0"/>
              <w:suppressLineNumbers w:val="0"/>
              <w:shd w:val="clear" w:color="auto" w:fill="auto"/>
              <w:suppressAutoHyphens/>
              <w:bidi w:val="0"/>
              <w:spacing w:before="0" w:beforeAutospacing="0" w:after="0" w:afterAutospacing="0"/>
              <w:ind w:left="0" w:right="0"/>
              <w:rPr>
                <w:rFonts w:hint="default" w:ascii="宋体" w:hAnsi="宋体" w:eastAsia="宋体" w:cs="Arial"/>
                <w:b/>
                <w:bCs/>
                <w:color w:val="auto"/>
                <w:sz w:val="21"/>
                <w:szCs w:val="21"/>
                <w:highlight w:val="none"/>
              </w:rPr>
            </w:pPr>
            <w:r>
              <w:rPr>
                <w:rFonts w:hint="eastAsia" w:ascii="宋体" w:hAnsi="宋体" w:eastAsia="宋体" w:cs="Arial"/>
                <w:b/>
                <w:bCs/>
                <w:color w:val="auto"/>
                <w:sz w:val="21"/>
                <w:szCs w:val="21"/>
                <w:highlight w:val="none"/>
              </w:rPr>
              <w:t>福州市区外、莆田市区外、泉州市区外、漳州市区外、龙岩市区外、三明市区外、南平市区外和宁德市区外（福建省各地市区外划分详见该表格备注栏）</w:t>
            </w:r>
          </w:p>
        </w:tc>
        <w:tc>
          <w:tcPr>
            <w:tcW w:w="1194" w:type="dxa"/>
            <w:tcBorders>
              <w:top w:val="nil"/>
              <w:left w:val="nil"/>
              <w:bottom w:val="single" w:color="auto" w:sz="4" w:space="0"/>
              <w:right w:val="single" w:color="auto" w:sz="4" w:space="0"/>
            </w:tcBorders>
            <w:noWrap w:val="0"/>
            <w:vAlign w:val="center"/>
          </w:tcPr>
          <w:p w14:paraId="31C0FA86">
            <w:pPr>
              <w:keepNext w:val="0"/>
              <w:keepLines w:val="0"/>
              <w:suppressLineNumbers w:val="0"/>
              <w:shd w:val="clear" w:color="auto" w:fill="auto"/>
              <w:suppressAutoHyphens/>
              <w:bidi w:val="0"/>
              <w:spacing w:before="0" w:beforeAutospacing="0" w:after="0" w:afterAutospacing="0"/>
              <w:ind w:left="0" w:right="0"/>
              <w:rPr>
                <w:rFonts w:hint="default" w:ascii="宋体" w:hAnsi="宋体" w:eastAsia="宋体" w:cs="Arial"/>
                <w:b/>
                <w:bCs/>
                <w:color w:val="auto"/>
                <w:sz w:val="21"/>
                <w:szCs w:val="21"/>
                <w:highlight w:val="none"/>
              </w:rPr>
            </w:pPr>
            <w:r>
              <w:rPr>
                <w:rFonts w:hint="eastAsia" w:ascii="宋体" w:hAnsi="宋体" w:eastAsia="宋体" w:cs="Arial"/>
                <w:b/>
                <w:bCs/>
                <w:color w:val="auto"/>
                <w:sz w:val="21"/>
                <w:szCs w:val="21"/>
                <w:highlight w:val="none"/>
              </w:rPr>
              <w:t>100元/台</w:t>
            </w:r>
          </w:p>
        </w:tc>
      </w:tr>
      <w:tr w14:paraId="4FC4C3B7">
        <w:tblPrEx>
          <w:tblCellMar>
            <w:top w:w="0" w:type="dxa"/>
            <w:left w:w="108" w:type="dxa"/>
            <w:bottom w:w="0" w:type="dxa"/>
            <w:right w:w="108" w:type="dxa"/>
          </w:tblCellMar>
        </w:tblPrEx>
        <w:trPr>
          <w:trHeight w:val="1140" w:hRule="atLeast"/>
          <w:jc w:val="center"/>
        </w:trPr>
        <w:tc>
          <w:tcPr>
            <w:tcW w:w="8296" w:type="dxa"/>
            <w:gridSpan w:val="4"/>
            <w:tcBorders>
              <w:top w:val="single" w:color="auto" w:sz="4" w:space="0"/>
              <w:left w:val="single" w:color="auto" w:sz="4" w:space="0"/>
              <w:bottom w:val="single" w:color="auto" w:sz="4" w:space="0"/>
              <w:right w:val="single" w:color="auto" w:sz="4" w:space="0"/>
            </w:tcBorders>
            <w:noWrap w:val="0"/>
            <w:vAlign w:val="center"/>
          </w:tcPr>
          <w:p w14:paraId="74463062">
            <w:pPr>
              <w:keepNext w:val="0"/>
              <w:keepLines w:val="0"/>
              <w:suppressLineNumbers w:val="0"/>
              <w:shd w:val="clear" w:color="auto" w:fill="auto"/>
              <w:suppressAutoHyphens/>
              <w:bidi w:val="0"/>
              <w:spacing w:before="0" w:beforeAutospacing="0" w:after="0" w:afterAutospacing="0"/>
              <w:ind w:left="0" w:right="0"/>
              <w:rPr>
                <w:rFonts w:hint="default" w:ascii="宋体" w:hAnsi="宋体" w:eastAsia="宋体" w:cs="Arial"/>
                <w:b/>
                <w:bCs/>
                <w:color w:val="auto"/>
                <w:sz w:val="21"/>
                <w:szCs w:val="21"/>
                <w:highlight w:val="none"/>
              </w:rPr>
            </w:pPr>
            <w:r>
              <w:rPr>
                <w:rFonts w:hint="eastAsia" w:ascii="宋体" w:hAnsi="宋体" w:eastAsia="宋体" w:cs="Arial"/>
                <w:b/>
                <w:bCs/>
                <w:color w:val="auto"/>
                <w:sz w:val="21"/>
                <w:szCs w:val="21"/>
                <w:highlight w:val="none"/>
              </w:rPr>
              <w:t>备注：福建省各地市的区内/区外划分</w:t>
            </w:r>
          </w:p>
          <w:tbl>
            <w:tblPr>
              <w:tblStyle w:val="14"/>
              <w:tblW w:w="0" w:type="auto"/>
              <w:tblInd w:w="0" w:type="dxa"/>
              <w:tblLayout w:type="fixed"/>
              <w:tblCellMar>
                <w:top w:w="0" w:type="dxa"/>
                <w:left w:w="108" w:type="dxa"/>
                <w:bottom w:w="0" w:type="dxa"/>
                <w:right w:w="108" w:type="dxa"/>
              </w:tblCellMar>
            </w:tblPr>
            <w:tblGrid>
              <w:gridCol w:w="1014"/>
              <w:gridCol w:w="993"/>
              <w:gridCol w:w="6053"/>
            </w:tblGrid>
            <w:tr w14:paraId="1CDE1D73">
              <w:tblPrEx>
                <w:tblCellMar>
                  <w:top w:w="0" w:type="dxa"/>
                  <w:left w:w="108" w:type="dxa"/>
                  <w:bottom w:w="0" w:type="dxa"/>
                  <w:right w:w="108" w:type="dxa"/>
                </w:tblCellMar>
              </w:tblPrEx>
              <w:trPr>
                <w:trHeight w:val="615" w:hRule="atLeast"/>
              </w:trPr>
              <w:tc>
                <w:tcPr>
                  <w:tcW w:w="1014" w:type="dxa"/>
                  <w:vMerge w:val="restart"/>
                  <w:tcBorders>
                    <w:top w:val="single" w:color="auto" w:sz="8" w:space="0"/>
                    <w:left w:val="single" w:color="auto" w:sz="8" w:space="0"/>
                    <w:bottom w:val="single" w:color="auto" w:sz="8" w:space="0"/>
                    <w:right w:val="single" w:color="auto" w:sz="8" w:space="0"/>
                  </w:tcBorders>
                  <w:noWrap w:val="0"/>
                  <w:vAlign w:val="center"/>
                </w:tcPr>
                <w:p w14:paraId="1CE33525">
                  <w:pPr>
                    <w:keepNext w:val="0"/>
                    <w:keepLines w:val="0"/>
                    <w:widowControl/>
                    <w:suppressLineNumbers w:val="0"/>
                    <w:shd w:val="clear" w:color="auto" w:fill="auto"/>
                    <w:suppressAutoHyphens/>
                    <w:bidi w:val="0"/>
                    <w:spacing w:before="0" w:beforeAutospacing="0" w:after="0" w:afterAutospacing="0" w:line="315" w:lineRule="atLeast"/>
                    <w:ind w:left="0" w:right="0"/>
                    <w:jc w:val="center"/>
                    <w:rPr>
                      <w:rFonts w:hint="default"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厦门</w:t>
                  </w:r>
                </w:p>
              </w:tc>
              <w:tc>
                <w:tcPr>
                  <w:tcW w:w="993" w:type="dxa"/>
                  <w:tcBorders>
                    <w:top w:val="single" w:color="auto" w:sz="8" w:space="0"/>
                    <w:left w:val="nil"/>
                    <w:bottom w:val="single" w:color="auto" w:sz="8" w:space="0"/>
                    <w:right w:val="single" w:color="auto" w:sz="8" w:space="0"/>
                  </w:tcBorders>
                  <w:noWrap w:val="0"/>
                  <w:vAlign w:val="center"/>
                </w:tcPr>
                <w:p w14:paraId="4A2A5950">
                  <w:pPr>
                    <w:keepNext w:val="0"/>
                    <w:keepLines w:val="0"/>
                    <w:widowControl/>
                    <w:suppressLineNumbers w:val="0"/>
                    <w:shd w:val="clear" w:color="auto" w:fill="auto"/>
                    <w:suppressAutoHyphens/>
                    <w:bidi w:val="0"/>
                    <w:spacing w:before="0" w:beforeAutospacing="0" w:after="0" w:afterAutospacing="0" w:line="315" w:lineRule="atLeast"/>
                    <w:ind w:left="0" w:right="0"/>
                    <w:jc w:val="center"/>
                    <w:rPr>
                      <w:rFonts w:hint="default"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岛内</w:t>
                  </w:r>
                </w:p>
              </w:tc>
              <w:tc>
                <w:tcPr>
                  <w:tcW w:w="6053" w:type="dxa"/>
                  <w:tcBorders>
                    <w:top w:val="single" w:color="auto" w:sz="8" w:space="0"/>
                    <w:left w:val="nil"/>
                    <w:bottom w:val="single" w:color="auto" w:sz="8" w:space="0"/>
                    <w:right w:val="single" w:color="auto" w:sz="8" w:space="0"/>
                  </w:tcBorders>
                  <w:noWrap w:val="0"/>
                  <w:vAlign w:val="center"/>
                </w:tcPr>
                <w:p w14:paraId="3C704EC8">
                  <w:pPr>
                    <w:keepNext w:val="0"/>
                    <w:keepLines w:val="0"/>
                    <w:widowControl/>
                    <w:suppressLineNumbers w:val="0"/>
                    <w:shd w:val="clear" w:color="auto" w:fill="auto"/>
                    <w:suppressAutoHyphens/>
                    <w:bidi w:val="0"/>
                    <w:spacing w:before="0" w:beforeAutospacing="0" w:after="0" w:afterAutospacing="0" w:line="315" w:lineRule="atLeast"/>
                    <w:ind w:left="0" w:right="0"/>
                    <w:rPr>
                      <w:rFonts w:hint="default"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思明区、湖里区</w:t>
                  </w:r>
                </w:p>
              </w:tc>
            </w:tr>
            <w:tr w14:paraId="661AA6E2">
              <w:tblPrEx>
                <w:tblCellMar>
                  <w:top w:w="0" w:type="dxa"/>
                  <w:left w:w="108" w:type="dxa"/>
                  <w:bottom w:w="0" w:type="dxa"/>
                  <w:right w:w="108" w:type="dxa"/>
                </w:tblCellMar>
              </w:tblPrEx>
              <w:trPr>
                <w:trHeight w:val="615" w:hRule="atLeast"/>
              </w:trPr>
              <w:tc>
                <w:tcPr>
                  <w:tcW w:w="1014" w:type="dxa"/>
                  <w:vMerge w:val="continue"/>
                  <w:tcBorders>
                    <w:top w:val="single" w:color="auto" w:sz="8" w:space="0"/>
                    <w:left w:val="single" w:color="auto" w:sz="8" w:space="0"/>
                    <w:bottom w:val="single" w:color="auto" w:sz="8" w:space="0"/>
                    <w:right w:val="single" w:color="auto" w:sz="8" w:space="0"/>
                  </w:tcBorders>
                  <w:noWrap w:val="0"/>
                  <w:vAlign w:val="center"/>
                </w:tcPr>
                <w:p w14:paraId="5FFE740B">
                  <w:pPr>
                    <w:keepNext w:val="0"/>
                    <w:keepLines w:val="0"/>
                    <w:widowControl/>
                    <w:suppressLineNumbers w:val="0"/>
                    <w:shd w:val="clear" w:color="auto" w:fill="auto"/>
                    <w:suppressAutoHyphens/>
                    <w:bidi w:val="0"/>
                    <w:spacing w:before="0" w:beforeAutospacing="0" w:after="0" w:afterAutospacing="0"/>
                    <w:ind w:left="0" w:right="0"/>
                    <w:jc w:val="left"/>
                    <w:rPr>
                      <w:rFonts w:hint="default" w:ascii="宋体" w:hAnsi="宋体" w:eastAsia="宋体" w:cs="宋体"/>
                      <w:color w:val="auto"/>
                      <w:kern w:val="0"/>
                      <w:sz w:val="21"/>
                      <w:szCs w:val="21"/>
                      <w:highlight w:val="none"/>
                    </w:rPr>
                  </w:pPr>
                </w:p>
              </w:tc>
              <w:tc>
                <w:tcPr>
                  <w:tcW w:w="993" w:type="dxa"/>
                  <w:tcBorders>
                    <w:top w:val="single" w:color="auto" w:sz="8" w:space="0"/>
                    <w:left w:val="nil"/>
                    <w:bottom w:val="single" w:color="auto" w:sz="8" w:space="0"/>
                    <w:right w:val="single" w:color="auto" w:sz="8" w:space="0"/>
                  </w:tcBorders>
                  <w:noWrap w:val="0"/>
                  <w:vAlign w:val="center"/>
                </w:tcPr>
                <w:p w14:paraId="5D578652">
                  <w:pPr>
                    <w:keepNext w:val="0"/>
                    <w:keepLines w:val="0"/>
                    <w:widowControl/>
                    <w:suppressLineNumbers w:val="0"/>
                    <w:shd w:val="clear" w:color="auto" w:fill="auto"/>
                    <w:suppressAutoHyphens/>
                    <w:bidi w:val="0"/>
                    <w:spacing w:before="0" w:beforeAutospacing="0" w:after="0" w:afterAutospacing="0" w:line="315" w:lineRule="atLeast"/>
                    <w:ind w:left="0" w:right="0"/>
                    <w:jc w:val="center"/>
                    <w:rPr>
                      <w:rFonts w:hint="default"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岛外</w:t>
                  </w:r>
                </w:p>
              </w:tc>
              <w:tc>
                <w:tcPr>
                  <w:tcW w:w="6053" w:type="dxa"/>
                  <w:tcBorders>
                    <w:top w:val="single" w:color="auto" w:sz="8" w:space="0"/>
                    <w:left w:val="nil"/>
                    <w:bottom w:val="single" w:color="auto" w:sz="8" w:space="0"/>
                    <w:right w:val="single" w:color="auto" w:sz="8" w:space="0"/>
                  </w:tcBorders>
                  <w:noWrap w:val="0"/>
                  <w:vAlign w:val="center"/>
                </w:tcPr>
                <w:p w14:paraId="7CA18B32">
                  <w:pPr>
                    <w:keepNext w:val="0"/>
                    <w:keepLines w:val="0"/>
                    <w:widowControl/>
                    <w:suppressLineNumbers w:val="0"/>
                    <w:shd w:val="clear" w:color="auto" w:fill="auto"/>
                    <w:suppressAutoHyphens/>
                    <w:bidi w:val="0"/>
                    <w:spacing w:before="0" w:beforeAutospacing="0" w:after="0" w:afterAutospacing="0" w:line="315" w:lineRule="atLeast"/>
                    <w:ind w:left="0" w:right="0"/>
                    <w:rPr>
                      <w:rFonts w:hint="default"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海沧区、集美区、同安区、翔安区等厦门市非岛内范围</w:t>
                  </w:r>
                </w:p>
              </w:tc>
            </w:tr>
            <w:tr w14:paraId="6457A31D">
              <w:tblPrEx>
                <w:tblCellMar>
                  <w:top w:w="0" w:type="dxa"/>
                  <w:left w:w="108" w:type="dxa"/>
                  <w:bottom w:w="0" w:type="dxa"/>
                  <w:right w:w="108" w:type="dxa"/>
                </w:tblCellMar>
              </w:tblPrEx>
              <w:trPr>
                <w:trHeight w:val="615" w:hRule="atLeast"/>
              </w:trPr>
              <w:tc>
                <w:tcPr>
                  <w:tcW w:w="1014" w:type="dxa"/>
                  <w:vMerge w:val="restart"/>
                  <w:tcBorders>
                    <w:top w:val="single" w:color="auto" w:sz="8" w:space="0"/>
                    <w:left w:val="single" w:color="auto" w:sz="8" w:space="0"/>
                    <w:bottom w:val="single" w:color="auto" w:sz="8" w:space="0"/>
                    <w:right w:val="single" w:color="auto" w:sz="8" w:space="0"/>
                  </w:tcBorders>
                  <w:noWrap w:val="0"/>
                  <w:vAlign w:val="center"/>
                </w:tcPr>
                <w:p w14:paraId="69F7B020">
                  <w:pPr>
                    <w:keepNext w:val="0"/>
                    <w:keepLines w:val="0"/>
                    <w:widowControl/>
                    <w:suppressLineNumbers w:val="0"/>
                    <w:shd w:val="clear" w:color="auto" w:fill="auto"/>
                    <w:suppressAutoHyphens/>
                    <w:bidi w:val="0"/>
                    <w:spacing w:before="0" w:beforeAutospacing="0" w:after="0" w:afterAutospacing="0" w:line="315" w:lineRule="atLeast"/>
                    <w:ind w:left="0" w:right="0"/>
                    <w:jc w:val="center"/>
                    <w:rPr>
                      <w:rFonts w:hint="default" w:ascii="宋体" w:hAnsi="宋体" w:eastAsia="宋体" w:cs="Calibri"/>
                      <w:color w:val="auto"/>
                      <w:sz w:val="21"/>
                      <w:szCs w:val="21"/>
                      <w:highlight w:val="none"/>
                    </w:rPr>
                  </w:pPr>
                  <w:r>
                    <w:rPr>
                      <w:rFonts w:hint="eastAsia" w:ascii="宋体" w:hAnsi="宋体" w:eastAsia="宋体" w:cs="宋体"/>
                      <w:color w:val="auto"/>
                      <w:kern w:val="0"/>
                      <w:sz w:val="21"/>
                      <w:szCs w:val="21"/>
                      <w:highlight w:val="none"/>
                    </w:rPr>
                    <w:t>福州市</w:t>
                  </w:r>
                </w:p>
              </w:tc>
              <w:tc>
                <w:tcPr>
                  <w:tcW w:w="993" w:type="dxa"/>
                  <w:tcBorders>
                    <w:top w:val="single" w:color="auto" w:sz="8" w:space="0"/>
                    <w:left w:val="nil"/>
                    <w:bottom w:val="single" w:color="auto" w:sz="8" w:space="0"/>
                    <w:right w:val="single" w:color="auto" w:sz="8" w:space="0"/>
                  </w:tcBorders>
                  <w:noWrap w:val="0"/>
                  <w:vAlign w:val="center"/>
                </w:tcPr>
                <w:p w14:paraId="381C5EBB">
                  <w:pPr>
                    <w:keepNext w:val="0"/>
                    <w:keepLines w:val="0"/>
                    <w:widowControl/>
                    <w:suppressLineNumbers w:val="0"/>
                    <w:shd w:val="clear" w:color="auto" w:fill="auto"/>
                    <w:suppressAutoHyphens/>
                    <w:bidi w:val="0"/>
                    <w:spacing w:before="0" w:beforeAutospacing="0" w:after="0" w:afterAutospacing="0" w:line="315" w:lineRule="atLeast"/>
                    <w:ind w:left="0" w:right="0"/>
                    <w:jc w:val="center"/>
                    <w:rPr>
                      <w:rFonts w:hint="default" w:ascii="宋体" w:hAnsi="宋体" w:eastAsia="宋体" w:cs="Calibri"/>
                      <w:color w:val="auto"/>
                      <w:sz w:val="21"/>
                      <w:szCs w:val="21"/>
                      <w:highlight w:val="none"/>
                    </w:rPr>
                  </w:pPr>
                  <w:r>
                    <w:rPr>
                      <w:rFonts w:hint="eastAsia" w:ascii="宋体" w:hAnsi="宋体" w:eastAsia="宋体" w:cs="宋体"/>
                      <w:color w:val="auto"/>
                      <w:kern w:val="0"/>
                      <w:sz w:val="21"/>
                      <w:szCs w:val="21"/>
                      <w:highlight w:val="none"/>
                    </w:rPr>
                    <w:t>区内</w:t>
                  </w:r>
                </w:p>
              </w:tc>
              <w:tc>
                <w:tcPr>
                  <w:tcW w:w="6053" w:type="dxa"/>
                  <w:tcBorders>
                    <w:top w:val="single" w:color="auto" w:sz="8" w:space="0"/>
                    <w:left w:val="nil"/>
                    <w:bottom w:val="single" w:color="auto" w:sz="8" w:space="0"/>
                    <w:right w:val="single" w:color="auto" w:sz="8" w:space="0"/>
                  </w:tcBorders>
                  <w:noWrap w:val="0"/>
                  <w:vAlign w:val="center"/>
                </w:tcPr>
                <w:p w14:paraId="5F2B7004">
                  <w:pPr>
                    <w:keepNext w:val="0"/>
                    <w:keepLines w:val="0"/>
                    <w:widowControl/>
                    <w:suppressLineNumbers w:val="0"/>
                    <w:shd w:val="clear" w:color="auto" w:fill="auto"/>
                    <w:suppressAutoHyphens/>
                    <w:bidi w:val="0"/>
                    <w:spacing w:before="0" w:beforeAutospacing="0" w:after="0" w:afterAutospacing="0" w:line="315" w:lineRule="atLeast"/>
                    <w:ind w:left="0" w:right="0"/>
                    <w:rPr>
                      <w:rFonts w:hint="default" w:ascii="宋体" w:hAnsi="宋体" w:eastAsia="宋体" w:cs="Calibri"/>
                      <w:color w:val="auto"/>
                      <w:sz w:val="21"/>
                      <w:szCs w:val="21"/>
                      <w:highlight w:val="none"/>
                    </w:rPr>
                  </w:pPr>
                  <w:r>
                    <w:rPr>
                      <w:rFonts w:hint="eastAsia" w:ascii="宋体" w:hAnsi="宋体" w:eastAsia="宋体" w:cs="宋体"/>
                      <w:color w:val="auto"/>
                      <w:kern w:val="0"/>
                      <w:sz w:val="21"/>
                      <w:szCs w:val="21"/>
                      <w:highlight w:val="none"/>
                    </w:rPr>
                    <w:t>鼓楼区、台江区、仓山区、晋安区、马尾区</w:t>
                  </w:r>
                </w:p>
              </w:tc>
            </w:tr>
            <w:tr w14:paraId="6F8DBEF3">
              <w:tblPrEx>
                <w:tblCellMar>
                  <w:top w:w="0" w:type="dxa"/>
                  <w:left w:w="108" w:type="dxa"/>
                  <w:bottom w:w="0" w:type="dxa"/>
                  <w:right w:w="108" w:type="dxa"/>
                </w:tblCellMar>
              </w:tblPrEx>
              <w:trPr>
                <w:trHeight w:val="615" w:hRule="atLeast"/>
              </w:trPr>
              <w:tc>
                <w:tcPr>
                  <w:tcW w:w="1014" w:type="dxa"/>
                  <w:vMerge w:val="continue"/>
                  <w:tcBorders>
                    <w:top w:val="single" w:color="auto" w:sz="8" w:space="0"/>
                    <w:left w:val="single" w:color="auto" w:sz="8" w:space="0"/>
                    <w:bottom w:val="single" w:color="auto" w:sz="8" w:space="0"/>
                    <w:right w:val="single" w:color="auto" w:sz="8" w:space="0"/>
                  </w:tcBorders>
                  <w:noWrap w:val="0"/>
                  <w:vAlign w:val="center"/>
                </w:tcPr>
                <w:p w14:paraId="04489A1F">
                  <w:pPr>
                    <w:keepNext w:val="0"/>
                    <w:keepLines w:val="0"/>
                    <w:widowControl/>
                    <w:suppressLineNumbers w:val="0"/>
                    <w:shd w:val="clear" w:color="auto" w:fill="auto"/>
                    <w:suppressAutoHyphens/>
                    <w:bidi w:val="0"/>
                    <w:spacing w:before="0" w:beforeAutospacing="0" w:after="0" w:afterAutospacing="0"/>
                    <w:ind w:left="0" w:right="0"/>
                    <w:jc w:val="left"/>
                    <w:rPr>
                      <w:rFonts w:hint="default" w:ascii="宋体" w:hAnsi="宋体" w:eastAsia="宋体" w:cs="Calibri"/>
                      <w:color w:val="auto"/>
                      <w:sz w:val="21"/>
                      <w:szCs w:val="21"/>
                      <w:highlight w:val="none"/>
                    </w:rPr>
                  </w:pPr>
                </w:p>
              </w:tc>
              <w:tc>
                <w:tcPr>
                  <w:tcW w:w="993" w:type="dxa"/>
                  <w:tcBorders>
                    <w:top w:val="nil"/>
                    <w:left w:val="nil"/>
                    <w:bottom w:val="single" w:color="auto" w:sz="8" w:space="0"/>
                    <w:right w:val="single" w:color="auto" w:sz="8" w:space="0"/>
                  </w:tcBorders>
                  <w:noWrap w:val="0"/>
                  <w:vAlign w:val="center"/>
                </w:tcPr>
                <w:p w14:paraId="65E8CE48">
                  <w:pPr>
                    <w:keepNext w:val="0"/>
                    <w:keepLines w:val="0"/>
                    <w:widowControl/>
                    <w:suppressLineNumbers w:val="0"/>
                    <w:shd w:val="clear" w:color="auto" w:fill="auto"/>
                    <w:suppressAutoHyphens/>
                    <w:bidi w:val="0"/>
                    <w:spacing w:before="0" w:beforeAutospacing="0" w:after="0" w:afterAutospacing="0" w:line="315" w:lineRule="atLeast"/>
                    <w:ind w:left="0" w:right="0"/>
                    <w:jc w:val="center"/>
                    <w:rPr>
                      <w:rFonts w:hint="default" w:ascii="宋体" w:hAnsi="宋体" w:eastAsia="宋体" w:cs="Calibri"/>
                      <w:color w:val="auto"/>
                      <w:sz w:val="21"/>
                      <w:szCs w:val="21"/>
                      <w:highlight w:val="none"/>
                    </w:rPr>
                  </w:pPr>
                  <w:r>
                    <w:rPr>
                      <w:rFonts w:hint="eastAsia" w:ascii="宋体" w:hAnsi="宋体" w:eastAsia="宋体" w:cs="宋体"/>
                      <w:color w:val="auto"/>
                      <w:kern w:val="0"/>
                      <w:sz w:val="21"/>
                      <w:szCs w:val="21"/>
                      <w:highlight w:val="none"/>
                    </w:rPr>
                    <w:t>区外</w:t>
                  </w:r>
                </w:p>
              </w:tc>
              <w:tc>
                <w:tcPr>
                  <w:tcW w:w="6053" w:type="dxa"/>
                  <w:tcBorders>
                    <w:top w:val="nil"/>
                    <w:left w:val="nil"/>
                    <w:bottom w:val="single" w:color="auto" w:sz="8" w:space="0"/>
                    <w:right w:val="single" w:color="auto" w:sz="8" w:space="0"/>
                  </w:tcBorders>
                  <w:noWrap w:val="0"/>
                  <w:vAlign w:val="center"/>
                </w:tcPr>
                <w:p w14:paraId="4D3FDEC7">
                  <w:pPr>
                    <w:keepNext w:val="0"/>
                    <w:keepLines w:val="0"/>
                    <w:widowControl/>
                    <w:suppressLineNumbers w:val="0"/>
                    <w:shd w:val="clear" w:color="auto" w:fill="auto"/>
                    <w:suppressAutoHyphens/>
                    <w:bidi w:val="0"/>
                    <w:spacing w:before="0" w:beforeAutospacing="0" w:after="0" w:afterAutospacing="0" w:line="315" w:lineRule="atLeast"/>
                    <w:ind w:left="0" w:right="0"/>
                    <w:rPr>
                      <w:rFonts w:hint="default" w:ascii="宋体" w:hAnsi="宋体" w:eastAsia="宋体" w:cs="Calibri"/>
                      <w:color w:val="auto"/>
                      <w:sz w:val="21"/>
                      <w:szCs w:val="21"/>
                      <w:highlight w:val="none"/>
                    </w:rPr>
                  </w:pPr>
                  <w:r>
                    <w:rPr>
                      <w:rFonts w:hint="eastAsia" w:ascii="宋体" w:hAnsi="宋体" w:eastAsia="宋体" w:cs="宋体"/>
                      <w:color w:val="auto"/>
                      <w:kern w:val="0"/>
                      <w:sz w:val="21"/>
                      <w:szCs w:val="21"/>
                      <w:highlight w:val="none"/>
                    </w:rPr>
                    <w:t>福清市、长乐市、闽侯县、连江县、罗源县、闽清县、永泰县、平潭县等福州市非区内范围</w:t>
                  </w:r>
                </w:p>
              </w:tc>
            </w:tr>
            <w:tr w14:paraId="1D780F37">
              <w:tblPrEx>
                <w:tblCellMar>
                  <w:top w:w="0" w:type="dxa"/>
                  <w:left w:w="108" w:type="dxa"/>
                  <w:bottom w:w="0" w:type="dxa"/>
                  <w:right w:w="108" w:type="dxa"/>
                </w:tblCellMar>
              </w:tblPrEx>
              <w:trPr>
                <w:trHeight w:val="615" w:hRule="atLeast"/>
              </w:trPr>
              <w:tc>
                <w:tcPr>
                  <w:tcW w:w="1014" w:type="dxa"/>
                  <w:vMerge w:val="restart"/>
                  <w:tcBorders>
                    <w:top w:val="nil"/>
                    <w:left w:val="single" w:color="auto" w:sz="8" w:space="0"/>
                    <w:bottom w:val="single" w:color="auto" w:sz="8" w:space="0"/>
                    <w:right w:val="single" w:color="auto" w:sz="8" w:space="0"/>
                  </w:tcBorders>
                  <w:noWrap w:val="0"/>
                  <w:vAlign w:val="center"/>
                </w:tcPr>
                <w:p w14:paraId="5C466DE3">
                  <w:pPr>
                    <w:keepNext w:val="0"/>
                    <w:keepLines w:val="0"/>
                    <w:widowControl/>
                    <w:suppressLineNumbers w:val="0"/>
                    <w:shd w:val="clear" w:color="auto" w:fill="auto"/>
                    <w:suppressAutoHyphens/>
                    <w:bidi w:val="0"/>
                    <w:spacing w:before="0" w:beforeAutospacing="0" w:after="0" w:afterAutospacing="0" w:line="315" w:lineRule="atLeast"/>
                    <w:ind w:left="0" w:right="0"/>
                    <w:jc w:val="center"/>
                    <w:rPr>
                      <w:rFonts w:hint="default" w:ascii="宋体" w:hAnsi="宋体" w:eastAsia="宋体" w:cs="Calibri"/>
                      <w:color w:val="auto"/>
                      <w:sz w:val="21"/>
                      <w:szCs w:val="21"/>
                      <w:highlight w:val="none"/>
                    </w:rPr>
                  </w:pPr>
                  <w:r>
                    <w:rPr>
                      <w:rFonts w:hint="eastAsia" w:ascii="宋体" w:hAnsi="宋体" w:eastAsia="宋体" w:cs="宋体"/>
                      <w:color w:val="auto"/>
                      <w:kern w:val="0"/>
                      <w:sz w:val="21"/>
                      <w:szCs w:val="21"/>
                      <w:highlight w:val="none"/>
                    </w:rPr>
                    <w:t>莆田市</w:t>
                  </w:r>
                </w:p>
              </w:tc>
              <w:tc>
                <w:tcPr>
                  <w:tcW w:w="993" w:type="dxa"/>
                  <w:tcBorders>
                    <w:top w:val="nil"/>
                    <w:left w:val="nil"/>
                    <w:bottom w:val="single" w:color="auto" w:sz="8" w:space="0"/>
                    <w:right w:val="single" w:color="auto" w:sz="8" w:space="0"/>
                  </w:tcBorders>
                  <w:noWrap w:val="0"/>
                  <w:vAlign w:val="center"/>
                </w:tcPr>
                <w:p w14:paraId="2583763C">
                  <w:pPr>
                    <w:keepNext w:val="0"/>
                    <w:keepLines w:val="0"/>
                    <w:widowControl/>
                    <w:suppressLineNumbers w:val="0"/>
                    <w:shd w:val="clear" w:color="auto" w:fill="auto"/>
                    <w:suppressAutoHyphens/>
                    <w:bidi w:val="0"/>
                    <w:spacing w:before="0" w:beforeAutospacing="0" w:after="0" w:afterAutospacing="0" w:line="315" w:lineRule="atLeast"/>
                    <w:ind w:left="0" w:right="0"/>
                    <w:jc w:val="center"/>
                    <w:rPr>
                      <w:rFonts w:hint="default" w:ascii="宋体" w:hAnsi="宋体" w:eastAsia="宋体" w:cs="Calibri"/>
                      <w:color w:val="auto"/>
                      <w:sz w:val="21"/>
                      <w:szCs w:val="21"/>
                      <w:highlight w:val="none"/>
                    </w:rPr>
                  </w:pPr>
                  <w:r>
                    <w:rPr>
                      <w:rFonts w:hint="eastAsia" w:ascii="宋体" w:hAnsi="宋体" w:eastAsia="宋体" w:cs="宋体"/>
                      <w:color w:val="auto"/>
                      <w:kern w:val="0"/>
                      <w:sz w:val="21"/>
                      <w:szCs w:val="21"/>
                      <w:highlight w:val="none"/>
                    </w:rPr>
                    <w:t>区内</w:t>
                  </w:r>
                </w:p>
              </w:tc>
              <w:tc>
                <w:tcPr>
                  <w:tcW w:w="6053" w:type="dxa"/>
                  <w:tcBorders>
                    <w:top w:val="nil"/>
                    <w:left w:val="nil"/>
                    <w:bottom w:val="single" w:color="auto" w:sz="8" w:space="0"/>
                    <w:right w:val="single" w:color="auto" w:sz="8" w:space="0"/>
                  </w:tcBorders>
                  <w:noWrap w:val="0"/>
                  <w:vAlign w:val="center"/>
                </w:tcPr>
                <w:p w14:paraId="6C04ACA8">
                  <w:pPr>
                    <w:keepNext w:val="0"/>
                    <w:keepLines w:val="0"/>
                    <w:widowControl/>
                    <w:suppressLineNumbers w:val="0"/>
                    <w:shd w:val="clear" w:color="auto" w:fill="auto"/>
                    <w:suppressAutoHyphens/>
                    <w:bidi w:val="0"/>
                    <w:spacing w:before="0" w:beforeAutospacing="0" w:after="0" w:afterAutospacing="0" w:line="315" w:lineRule="atLeast"/>
                    <w:ind w:left="0" w:right="0"/>
                    <w:rPr>
                      <w:rFonts w:hint="default" w:ascii="宋体" w:hAnsi="宋体" w:eastAsia="宋体" w:cs="Calibri"/>
                      <w:color w:val="auto"/>
                      <w:sz w:val="21"/>
                      <w:szCs w:val="21"/>
                      <w:highlight w:val="none"/>
                    </w:rPr>
                  </w:pPr>
                  <w:r>
                    <w:rPr>
                      <w:rFonts w:hint="eastAsia" w:ascii="宋体" w:hAnsi="宋体" w:eastAsia="宋体" w:cs="宋体"/>
                      <w:color w:val="auto"/>
                      <w:kern w:val="0"/>
                      <w:sz w:val="21"/>
                      <w:szCs w:val="21"/>
                      <w:highlight w:val="none"/>
                    </w:rPr>
                    <w:t>城厢区、荔城区、涵江区</w:t>
                  </w:r>
                </w:p>
              </w:tc>
            </w:tr>
            <w:tr w14:paraId="5F3E1ACA">
              <w:tblPrEx>
                <w:tblCellMar>
                  <w:top w:w="0" w:type="dxa"/>
                  <w:left w:w="108" w:type="dxa"/>
                  <w:bottom w:w="0" w:type="dxa"/>
                  <w:right w:w="108" w:type="dxa"/>
                </w:tblCellMar>
              </w:tblPrEx>
              <w:trPr>
                <w:trHeight w:val="615" w:hRule="atLeast"/>
              </w:trPr>
              <w:tc>
                <w:tcPr>
                  <w:tcW w:w="1014" w:type="dxa"/>
                  <w:vMerge w:val="continue"/>
                  <w:tcBorders>
                    <w:top w:val="nil"/>
                    <w:left w:val="single" w:color="auto" w:sz="8" w:space="0"/>
                    <w:bottom w:val="single" w:color="auto" w:sz="8" w:space="0"/>
                    <w:right w:val="single" w:color="auto" w:sz="8" w:space="0"/>
                  </w:tcBorders>
                  <w:noWrap w:val="0"/>
                  <w:vAlign w:val="center"/>
                </w:tcPr>
                <w:p w14:paraId="06FB2D45">
                  <w:pPr>
                    <w:keepNext w:val="0"/>
                    <w:keepLines w:val="0"/>
                    <w:widowControl/>
                    <w:suppressLineNumbers w:val="0"/>
                    <w:shd w:val="clear" w:color="auto" w:fill="auto"/>
                    <w:suppressAutoHyphens/>
                    <w:bidi w:val="0"/>
                    <w:spacing w:before="0" w:beforeAutospacing="0" w:after="0" w:afterAutospacing="0"/>
                    <w:ind w:left="0" w:right="0"/>
                    <w:jc w:val="left"/>
                    <w:rPr>
                      <w:rFonts w:hint="default" w:ascii="宋体" w:hAnsi="宋体" w:eastAsia="宋体" w:cs="Calibri"/>
                      <w:color w:val="auto"/>
                      <w:sz w:val="21"/>
                      <w:szCs w:val="21"/>
                      <w:highlight w:val="none"/>
                    </w:rPr>
                  </w:pPr>
                </w:p>
              </w:tc>
              <w:tc>
                <w:tcPr>
                  <w:tcW w:w="993" w:type="dxa"/>
                  <w:tcBorders>
                    <w:top w:val="nil"/>
                    <w:left w:val="nil"/>
                    <w:bottom w:val="single" w:color="auto" w:sz="8" w:space="0"/>
                    <w:right w:val="single" w:color="auto" w:sz="8" w:space="0"/>
                  </w:tcBorders>
                  <w:noWrap w:val="0"/>
                  <w:vAlign w:val="center"/>
                </w:tcPr>
                <w:p w14:paraId="5246F6E8">
                  <w:pPr>
                    <w:keepNext w:val="0"/>
                    <w:keepLines w:val="0"/>
                    <w:widowControl/>
                    <w:suppressLineNumbers w:val="0"/>
                    <w:shd w:val="clear" w:color="auto" w:fill="auto"/>
                    <w:suppressAutoHyphens/>
                    <w:bidi w:val="0"/>
                    <w:spacing w:before="0" w:beforeAutospacing="0" w:after="0" w:afterAutospacing="0" w:line="315" w:lineRule="atLeast"/>
                    <w:ind w:left="0" w:right="0"/>
                    <w:jc w:val="center"/>
                    <w:rPr>
                      <w:rFonts w:hint="default" w:ascii="宋体" w:hAnsi="宋体" w:eastAsia="宋体" w:cs="Calibri"/>
                      <w:color w:val="auto"/>
                      <w:sz w:val="21"/>
                      <w:szCs w:val="21"/>
                      <w:highlight w:val="none"/>
                    </w:rPr>
                  </w:pPr>
                  <w:r>
                    <w:rPr>
                      <w:rFonts w:hint="eastAsia" w:ascii="宋体" w:hAnsi="宋体" w:eastAsia="宋体" w:cs="宋体"/>
                      <w:color w:val="auto"/>
                      <w:kern w:val="0"/>
                      <w:sz w:val="21"/>
                      <w:szCs w:val="21"/>
                      <w:highlight w:val="none"/>
                    </w:rPr>
                    <w:t>区外</w:t>
                  </w:r>
                </w:p>
              </w:tc>
              <w:tc>
                <w:tcPr>
                  <w:tcW w:w="6053" w:type="dxa"/>
                  <w:tcBorders>
                    <w:top w:val="nil"/>
                    <w:left w:val="nil"/>
                    <w:bottom w:val="single" w:color="auto" w:sz="8" w:space="0"/>
                    <w:right w:val="single" w:color="auto" w:sz="8" w:space="0"/>
                  </w:tcBorders>
                  <w:noWrap w:val="0"/>
                  <w:vAlign w:val="center"/>
                </w:tcPr>
                <w:p w14:paraId="69D39B0A">
                  <w:pPr>
                    <w:keepNext w:val="0"/>
                    <w:keepLines w:val="0"/>
                    <w:widowControl/>
                    <w:suppressLineNumbers w:val="0"/>
                    <w:shd w:val="clear" w:color="auto" w:fill="auto"/>
                    <w:suppressAutoHyphens/>
                    <w:bidi w:val="0"/>
                    <w:spacing w:before="0" w:beforeAutospacing="0" w:after="0" w:afterAutospacing="0" w:line="315" w:lineRule="atLeast"/>
                    <w:ind w:left="0" w:right="0"/>
                    <w:rPr>
                      <w:rFonts w:hint="default" w:ascii="宋体" w:hAnsi="宋体" w:eastAsia="宋体" w:cs="Calibri"/>
                      <w:color w:val="auto"/>
                      <w:sz w:val="21"/>
                      <w:szCs w:val="21"/>
                      <w:highlight w:val="none"/>
                    </w:rPr>
                  </w:pPr>
                  <w:r>
                    <w:rPr>
                      <w:rFonts w:hint="eastAsia" w:ascii="宋体" w:hAnsi="宋体" w:eastAsia="宋体" w:cs="宋体"/>
                      <w:color w:val="auto"/>
                      <w:kern w:val="0"/>
                      <w:sz w:val="21"/>
                      <w:szCs w:val="21"/>
                      <w:highlight w:val="none"/>
                    </w:rPr>
                    <w:t>秀屿区、湄洲岛、仙游县、湄洲湾北岸开发区等莆田市非区内范围</w:t>
                  </w:r>
                </w:p>
              </w:tc>
            </w:tr>
            <w:tr w14:paraId="311345B5">
              <w:tblPrEx>
                <w:tblCellMar>
                  <w:top w:w="0" w:type="dxa"/>
                  <w:left w:w="108" w:type="dxa"/>
                  <w:bottom w:w="0" w:type="dxa"/>
                  <w:right w:w="108" w:type="dxa"/>
                </w:tblCellMar>
              </w:tblPrEx>
              <w:trPr>
                <w:trHeight w:val="615" w:hRule="atLeast"/>
              </w:trPr>
              <w:tc>
                <w:tcPr>
                  <w:tcW w:w="1014" w:type="dxa"/>
                  <w:vMerge w:val="restart"/>
                  <w:tcBorders>
                    <w:top w:val="nil"/>
                    <w:left w:val="single" w:color="auto" w:sz="8" w:space="0"/>
                    <w:bottom w:val="single" w:color="auto" w:sz="8" w:space="0"/>
                    <w:right w:val="single" w:color="auto" w:sz="8" w:space="0"/>
                  </w:tcBorders>
                  <w:noWrap w:val="0"/>
                  <w:vAlign w:val="center"/>
                </w:tcPr>
                <w:p w14:paraId="16ED5836">
                  <w:pPr>
                    <w:keepNext w:val="0"/>
                    <w:keepLines w:val="0"/>
                    <w:widowControl/>
                    <w:suppressLineNumbers w:val="0"/>
                    <w:shd w:val="clear" w:color="auto" w:fill="auto"/>
                    <w:suppressAutoHyphens/>
                    <w:bidi w:val="0"/>
                    <w:spacing w:before="0" w:beforeAutospacing="0" w:after="0" w:afterAutospacing="0" w:line="315" w:lineRule="atLeast"/>
                    <w:ind w:left="0" w:right="0"/>
                    <w:jc w:val="center"/>
                    <w:rPr>
                      <w:rFonts w:hint="default" w:ascii="宋体" w:hAnsi="宋体" w:eastAsia="宋体" w:cs="Calibri"/>
                      <w:color w:val="auto"/>
                      <w:sz w:val="21"/>
                      <w:szCs w:val="21"/>
                      <w:highlight w:val="none"/>
                    </w:rPr>
                  </w:pPr>
                  <w:r>
                    <w:rPr>
                      <w:rFonts w:hint="eastAsia" w:ascii="宋体" w:hAnsi="宋体" w:eastAsia="宋体" w:cs="宋体"/>
                      <w:color w:val="auto"/>
                      <w:kern w:val="0"/>
                      <w:sz w:val="21"/>
                      <w:szCs w:val="21"/>
                      <w:highlight w:val="none"/>
                    </w:rPr>
                    <w:t>泉州市</w:t>
                  </w:r>
                </w:p>
              </w:tc>
              <w:tc>
                <w:tcPr>
                  <w:tcW w:w="993" w:type="dxa"/>
                  <w:tcBorders>
                    <w:top w:val="nil"/>
                    <w:left w:val="nil"/>
                    <w:bottom w:val="single" w:color="auto" w:sz="8" w:space="0"/>
                    <w:right w:val="single" w:color="auto" w:sz="8" w:space="0"/>
                  </w:tcBorders>
                  <w:noWrap w:val="0"/>
                  <w:vAlign w:val="center"/>
                </w:tcPr>
                <w:p w14:paraId="5B2C5728">
                  <w:pPr>
                    <w:keepNext w:val="0"/>
                    <w:keepLines w:val="0"/>
                    <w:widowControl/>
                    <w:suppressLineNumbers w:val="0"/>
                    <w:shd w:val="clear" w:color="auto" w:fill="auto"/>
                    <w:suppressAutoHyphens/>
                    <w:bidi w:val="0"/>
                    <w:spacing w:before="0" w:beforeAutospacing="0" w:after="0" w:afterAutospacing="0" w:line="315" w:lineRule="atLeast"/>
                    <w:ind w:left="0" w:right="0"/>
                    <w:jc w:val="center"/>
                    <w:rPr>
                      <w:rFonts w:hint="default" w:ascii="宋体" w:hAnsi="宋体" w:eastAsia="宋体" w:cs="Calibri"/>
                      <w:color w:val="auto"/>
                      <w:sz w:val="21"/>
                      <w:szCs w:val="21"/>
                      <w:highlight w:val="none"/>
                    </w:rPr>
                  </w:pPr>
                  <w:r>
                    <w:rPr>
                      <w:rFonts w:hint="eastAsia" w:ascii="宋体" w:hAnsi="宋体" w:eastAsia="宋体" w:cs="宋体"/>
                      <w:color w:val="auto"/>
                      <w:kern w:val="0"/>
                      <w:sz w:val="21"/>
                      <w:szCs w:val="21"/>
                      <w:highlight w:val="none"/>
                    </w:rPr>
                    <w:t>区内</w:t>
                  </w:r>
                </w:p>
              </w:tc>
              <w:tc>
                <w:tcPr>
                  <w:tcW w:w="6053" w:type="dxa"/>
                  <w:tcBorders>
                    <w:top w:val="nil"/>
                    <w:left w:val="nil"/>
                    <w:bottom w:val="single" w:color="auto" w:sz="8" w:space="0"/>
                    <w:right w:val="single" w:color="auto" w:sz="8" w:space="0"/>
                  </w:tcBorders>
                  <w:noWrap w:val="0"/>
                  <w:vAlign w:val="center"/>
                </w:tcPr>
                <w:p w14:paraId="1974908A">
                  <w:pPr>
                    <w:keepNext w:val="0"/>
                    <w:keepLines w:val="0"/>
                    <w:widowControl/>
                    <w:suppressLineNumbers w:val="0"/>
                    <w:shd w:val="clear" w:color="auto" w:fill="auto"/>
                    <w:suppressAutoHyphens/>
                    <w:bidi w:val="0"/>
                    <w:spacing w:before="0" w:beforeAutospacing="0" w:after="0" w:afterAutospacing="0" w:line="315" w:lineRule="atLeast"/>
                    <w:ind w:left="0" w:right="0"/>
                    <w:rPr>
                      <w:rFonts w:hint="default" w:ascii="宋体" w:hAnsi="宋体" w:eastAsia="宋体" w:cs="Calibri"/>
                      <w:color w:val="auto"/>
                      <w:sz w:val="21"/>
                      <w:szCs w:val="21"/>
                      <w:highlight w:val="none"/>
                    </w:rPr>
                  </w:pPr>
                  <w:r>
                    <w:rPr>
                      <w:rFonts w:hint="eastAsia" w:ascii="宋体" w:hAnsi="宋体" w:eastAsia="宋体" w:cs="宋体"/>
                      <w:color w:val="auto"/>
                      <w:kern w:val="0"/>
                      <w:sz w:val="21"/>
                      <w:szCs w:val="21"/>
                      <w:highlight w:val="none"/>
                    </w:rPr>
                    <w:t>鲤城区、丰泽区、洛江区、泉港区</w:t>
                  </w:r>
                </w:p>
              </w:tc>
            </w:tr>
            <w:tr w14:paraId="38C797A6">
              <w:tblPrEx>
                <w:tblCellMar>
                  <w:top w:w="0" w:type="dxa"/>
                  <w:left w:w="108" w:type="dxa"/>
                  <w:bottom w:w="0" w:type="dxa"/>
                  <w:right w:w="108" w:type="dxa"/>
                </w:tblCellMar>
              </w:tblPrEx>
              <w:trPr>
                <w:trHeight w:val="615" w:hRule="atLeast"/>
              </w:trPr>
              <w:tc>
                <w:tcPr>
                  <w:tcW w:w="1014" w:type="dxa"/>
                  <w:vMerge w:val="continue"/>
                  <w:tcBorders>
                    <w:top w:val="nil"/>
                    <w:left w:val="single" w:color="auto" w:sz="8" w:space="0"/>
                    <w:bottom w:val="single" w:color="auto" w:sz="8" w:space="0"/>
                    <w:right w:val="single" w:color="auto" w:sz="8" w:space="0"/>
                  </w:tcBorders>
                  <w:noWrap w:val="0"/>
                  <w:vAlign w:val="center"/>
                </w:tcPr>
                <w:p w14:paraId="4B8B9E05">
                  <w:pPr>
                    <w:keepNext w:val="0"/>
                    <w:keepLines w:val="0"/>
                    <w:widowControl/>
                    <w:suppressLineNumbers w:val="0"/>
                    <w:shd w:val="clear" w:color="auto" w:fill="auto"/>
                    <w:suppressAutoHyphens/>
                    <w:bidi w:val="0"/>
                    <w:spacing w:before="0" w:beforeAutospacing="0" w:after="0" w:afterAutospacing="0"/>
                    <w:ind w:left="0" w:right="0"/>
                    <w:jc w:val="left"/>
                    <w:rPr>
                      <w:rFonts w:hint="default" w:ascii="宋体" w:hAnsi="宋体" w:eastAsia="宋体" w:cs="Calibri"/>
                      <w:color w:val="auto"/>
                      <w:sz w:val="21"/>
                      <w:szCs w:val="21"/>
                      <w:highlight w:val="none"/>
                    </w:rPr>
                  </w:pPr>
                </w:p>
              </w:tc>
              <w:tc>
                <w:tcPr>
                  <w:tcW w:w="993" w:type="dxa"/>
                  <w:tcBorders>
                    <w:top w:val="nil"/>
                    <w:left w:val="nil"/>
                    <w:bottom w:val="single" w:color="auto" w:sz="8" w:space="0"/>
                    <w:right w:val="single" w:color="auto" w:sz="8" w:space="0"/>
                  </w:tcBorders>
                  <w:noWrap w:val="0"/>
                  <w:vAlign w:val="center"/>
                </w:tcPr>
                <w:p w14:paraId="157E79CB">
                  <w:pPr>
                    <w:keepNext w:val="0"/>
                    <w:keepLines w:val="0"/>
                    <w:widowControl/>
                    <w:suppressLineNumbers w:val="0"/>
                    <w:shd w:val="clear" w:color="auto" w:fill="auto"/>
                    <w:suppressAutoHyphens/>
                    <w:bidi w:val="0"/>
                    <w:spacing w:before="0" w:beforeAutospacing="0" w:after="0" w:afterAutospacing="0" w:line="315" w:lineRule="atLeast"/>
                    <w:ind w:left="0" w:right="0"/>
                    <w:jc w:val="center"/>
                    <w:rPr>
                      <w:rFonts w:hint="default" w:ascii="宋体" w:hAnsi="宋体" w:eastAsia="宋体" w:cs="Calibri"/>
                      <w:color w:val="auto"/>
                      <w:sz w:val="21"/>
                      <w:szCs w:val="21"/>
                      <w:highlight w:val="none"/>
                    </w:rPr>
                  </w:pPr>
                  <w:r>
                    <w:rPr>
                      <w:rFonts w:hint="eastAsia" w:ascii="宋体" w:hAnsi="宋体" w:eastAsia="宋体" w:cs="宋体"/>
                      <w:color w:val="auto"/>
                      <w:kern w:val="0"/>
                      <w:sz w:val="21"/>
                      <w:szCs w:val="21"/>
                      <w:highlight w:val="none"/>
                    </w:rPr>
                    <w:t>区外</w:t>
                  </w:r>
                </w:p>
              </w:tc>
              <w:tc>
                <w:tcPr>
                  <w:tcW w:w="6053" w:type="dxa"/>
                  <w:tcBorders>
                    <w:top w:val="nil"/>
                    <w:left w:val="nil"/>
                    <w:bottom w:val="single" w:color="auto" w:sz="8" w:space="0"/>
                    <w:right w:val="single" w:color="auto" w:sz="8" w:space="0"/>
                  </w:tcBorders>
                  <w:noWrap w:val="0"/>
                  <w:vAlign w:val="center"/>
                </w:tcPr>
                <w:p w14:paraId="67FF6024">
                  <w:pPr>
                    <w:keepNext w:val="0"/>
                    <w:keepLines w:val="0"/>
                    <w:widowControl/>
                    <w:suppressLineNumbers w:val="0"/>
                    <w:shd w:val="clear" w:color="auto" w:fill="auto"/>
                    <w:suppressAutoHyphens/>
                    <w:bidi w:val="0"/>
                    <w:spacing w:before="0" w:beforeAutospacing="0" w:after="0" w:afterAutospacing="0" w:line="315" w:lineRule="atLeast"/>
                    <w:ind w:left="0" w:right="0"/>
                    <w:rPr>
                      <w:rFonts w:hint="default" w:ascii="宋体" w:hAnsi="宋体" w:eastAsia="宋体" w:cs="Calibri"/>
                      <w:color w:val="auto"/>
                      <w:sz w:val="21"/>
                      <w:szCs w:val="21"/>
                      <w:highlight w:val="none"/>
                    </w:rPr>
                  </w:pPr>
                  <w:r>
                    <w:rPr>
                      <w:rFonts w:hint="eastAsia" w:ascii="宋体" w:hAnsi="宋体" w:eastAsia="宋体" w:cs="宋体"/>
                      <w:color w:val="auto"/>
                      <w:kern w:val="0"/>
                      <w:sz w:val="21"/>
                      <w:szCs w:val="21"/>
                      <w:highlight w:val="none"/>
                    </w:rPr>
                    <w:t>晋江市、石狮市、南安市、惠安县、安溪县、永春县、德化县等泉州市非区内范围</w:t>
                  </w:r>
                </w:p>
              </w:tc>
            </w:tr>
            <w:tr w14:paraId="1DB9B6C2">
              <w:tblPrEx>
                <w:tblCellMar>
                  <w:top w:w="0" w:type="dxa"/>
                  <w:left w:w="108" w:type="dxa"/>
                  <w:bottom w:w="0" w:type="dxa"/>
                  <w:right w:w="108" w:type="dxa"/>
                </w:tblCellMar>
              </w:tblPrEx>
              <w:trPr>
                <w:trHeight w:val="615" w:hRule="atLeast"/>
              </w:trPr>
              <w:tc>
                <w:tcPr>
                  <w:tcW w:w="1014" w:type="dxa"/>
                  <w:vMerge w:val="restart"/>
                  <w:tcBorders>
                    <w:top w:val="nil"/>
                    <w:left w:val="single" w:color="auto" w:sz="8" w:space="0"/>
                    <w:bottom w:val="single" w:color="auto" w:sz="8" w:space="0"/>
                    <w:right w:val="single" w:color="auto" w:sz="8" w:space="0"/>
                  </w:tcBorders>
                  <w:noWrap w:val="0"/>
                  <w:vAlign w:val="center"/>
                </w:tcPr>
                <w:p w14:paraId="75B35C77">
                  <w:pPr>
                    <w:keepNext w:val="0"/>
                    <w:keepLines w:val="0"/>
                    <w:widowControl/>
                    <w:suppressLineNumbers w:val="0"/>
                    <w:shd w:val="clear" w:color="auto" w:fill="auto"/>
                    <w:suppressAutoHyphens/>
                    <w:bidi w:val="0"/>
                    <w:spacing w:before="0" w:beforeAutospacing="0" w:after="0" w:afterAutospacing="0" w:line="315" w:lineRule="atLeast"/>
                    <w:ind w:left="0" w:right="0"/>
                    <w:jc w:val="center"/>
                    <w:rPr>
                      <w:rFonts w:hint="default" w:ascii="宋体" w:hAnsi="宋体" w:eastAsia="宋体" w:cs="Calibri"/>
                      <w:color w:val="auto"/>
                      <w:sz w:val="21"/>
                      <w:szCs w:val="21"/>
                      <w:highlight w:val="none"/>
                    </w:rPr>
                  </w:pPr>
                  <w:r>
                    <w:rPr>
                      <w:rFonts w:hint="eastAsia" w:ascii="宋体" w:hAnsi="宋体" w:eastAsia="宋体" w:cs="宋体"/>
                      <w:color w:val="auto"/>
                      <w:kern w:val="0"/>
                      <w:sz w:val="21"/>
                      <w:szCs w:val="21"/>
                      <w:highlight w:val="none"/>
                    </w:rPr>
                    <w:t>漳州市</w:t>
                  </w:r>
                </w:p>
              </w:tc>
              <w:tc>
                <w:tcPr>
                  <w:tcW w:w="993" w:type="dxa"/>
                  <w:tcBorders>
                    <w:top w:val="nil"/>
                    <w:left w:val="nil"/>
                    <w:bottom w:val="single" w:color="auto" w:sz="8" w:space="0"/>
                    <w:right w:val="single" w:color="auto" w:sz="8" w:space="0"/>
                  </w:tcBorders>
                  <w:noWrap w:val="0"/>
                  <w:vAlign w:val="center"/>
                </w:tcPr>
                <w:p w14:paraId="665C46AC">
                  <w:pPr>
                    <w:keepNext w:val="0"/>
                    <w:keepLines w:val="0"/>
                    <w:widowControl/>
                    <w:suppressLineNumbers w:val="0"/>
                    <w:shd w:val="clear" w:color="auto" w:fill="auto"/>
                    <w:suppressAutoHyphens/>
                    <w:bidi w:val="0"/>
                    <w:spacing w:before="0" w:beforeAutospacing="0" w:after="0" w:afterAutospacing="0" w:line="315" w:lineRule="atLeast"/>
                    <w:ind w:left="0" w:right="0"/>
                    <w:jc w:val="center"/>
                    <w:rPr>
                      <w:rFonts w:hint="default" w:ascii="宋体" w:hAnsi="宋体" w:eastAsia="宋体" w:cs="Calibri"/>
                      <w:color w:val="auto"/>
                      <w:sz w:val="21"/>
                      <w:szCs w:val="21"/>
                      <w:highlight w:val="none"/>
                    </w:rPr>
                  </w:pPr>
                  <w:r>
                    <w:rPr>
                      <w:rFonts w:hint="eastAsia" w:ascii="宋体" w:hAnsi="宋体" w:eastAsia="宋体" w:cs="宋体"/>
                      <w:color w:val="auto"/>
                      <w:kern w:val="0"/>
                      <w:sz w:val="21"/>
                      <w:szCs w:val="21"/>
                      <w:highlight w:val="none"/>
                    </w:rPr>
                    <w:t>区内</w:t>
                  </w:r>
                </w:p>
              </w:tc>
              <w:tc>
                <w:tcPr>
                  <w:tcW w:w="6053" w:type="dxa"/>
                  <w:tcBorders>
                    <w:top w:val="nil"/>
                    <w:left w:val="nil"/>
                    <w:bottom w:val="single" w:color="auto" w:sz="8" w:space="0"/>
                    <w:right w:val="single" w:color="auto" w:sz="8" w:space="0"/>
                  </w:tcBorders>
                  <w:noWrap w:val="0"/>
                  <w:vAlign w:val="center"/>
                </w:tcPr>
                <w:p w14:paraId="2D485C32">
                  <w:pPr>
                    <w:keepNext w:val="0"/>
                    <w:keepLines w:val="0"/>
                    <w:widowControl/>
                    <w:suppressLineNumbers w:val="0"/>
                    <w:shd w:val="clear" w:color="auto" w:fill="auto"/>
                    <w:suppressAutoHyphens/>
                    <w:bidi w:val="0"/>
                    <w:spacing w:before="0" w:beforeAutospacing="0" w:after="0" w:afterAutospacing="0" w:line="315" w:lineRule="atLeast"/>
                    <w:ind w:left="0" w:right="0"/>
                    <w:rPr>
                      <w:rFonts w:hint="eastAsia" w:ascii="宋体" w:hAnsi="宋体" w:eastAsia="宋体" w:cs="Calibri"/>
                      <w:color w:val="auto"/>
                      <w:sz w:val="21"/>
                      <w:szCs w:val="21"/>
                      <w:highlight w:val="none"/>
                      <w:lang w:eastAsia="zh-CN"/>
                    </w:rPr>
                  </w:pPr>
                  <w:r>
                    <w:rPr>
                      <w:rFonts w:hint="eastAsia" w:ascii="宋体" w:hAnsi="宋体" w:eastAsia="宋体" w:cs="宋体"/>
                      <w:color w:val="auto"/>
                      <w:kern w:val="0"/>
                      <w:sz w:val="21"/>
                      <w:szCs w:val="21"/>
                      <w:highlight w:val="none"/>
                    </w:rPr>
                    <w:t>芗城区、龙文区</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龙海</w:t>
                  </w:r>
                  <w:r>
                    <w:rPr>
                      <w:rFonts w:hint="eastAsia" w:ascii="宋体" w:hAnsi="宋体" w:eastAsia="宋体" w:cs="宋体"/>
                      <w:color w:val="auto"/>
                      <w:kern w:val="0"/>
                      <w:sz w:val="21"/>
                      <w:szCs w:val="21"/>
                      <w:highlight w:val="none"/>
                      <w:lang w:eastAsia="zh-CN"/>
                    </w:rPr>
                    <w:t>区、</w:t>
                  </w:r>
                  <w:r>
                    <w:rPr>
                      <w:rFonts w:hint="eastAsia" w:ascii="宋体" w:hAnsi="宋体" w:eastAsia="宋体" w:cs="宋体"/>
                      <w:color w:val="auto"/>
                      <w:kern w:val="0"/>
                      <w:sz w:val="21"/>
                      <w:szCs w:val="21"/>
                      <w:highlight w:val="none"/>
                    </w:rPr>
                    <w:t>长泰</w:t>
                  </w:r>
                  <w:r>
                    <w:rPr>
                      <w:rFonts w:hint="eastAsia" w:ascii="宋体" w:hAnsi="宋体" w:eastAsia="宋体" w:cs="宋体"/>
                      <w:color w:val="auto"/>
                      <w:kern w:val="0"/>
                      <w:sz w:val="21"/>
                      <w:szCs w:val="21"/>
                      <w:highlight w:val="none"/>
                      <w:lang w:eastAsia="zh-CN"/>
                    </w:rPr>
                    <w:t>区</w:t>
                  </w:r>
                </w:p>
              </w:tc>
            </w:tr>
            <w:tr w14:paraId="1CEA22CF">
              <w:tblPrEx>
                <w:tblCellMar>
                  <w:top w:w="0" w:type="dxa"/>
                  <w:left w:w="108" w:type="dxa"/>
                  <w:bottom w:w="0" w:type="dxa"/>
                  <w:right w:w="108" w:type="dxa"/>
                </w:tblCellMar>
              </w:tblPrEx>
              <w:trPr>
                <w:trHeight w:val="615" w:hRule="atLeast"/>
              </w:trPr>
              <w:tc>
                <w:tcPr>
                  <w:tcW w:w="1014" w:type="dxa"/>
                  <w:vMerge w:val="continue"/>
                  <w:tcBorders>
                    <w:top w:val="nil"/>
                    <w:left w:val="single" w:color="auto" w:sz="8" w:space="0"/>
                    <w:bottom w:val="single" w:color="auto" w:sz="8" w:space="0"/>
                    <w:right w:val="single" w:color="auto" w:sz="8" w:space="0"/>
                  </w:tcBorders>
                  <w:noWrap w:val="0"/>
                  <w:vAlign w:val="center"/>
                </w:tcPr>
                <w:p w14:paraId="374AE160">
                  <w:pPr>
                    <w:keepNext w:val="0"/>
                    <w:keepLines w:val="0"/>
                    <w:widowControl/>
                    <w:suppressLineNumbers w:val="0"/>
                    <w:shd w:val="clear" w:color="auto" w:fill="auto"/>
                    <w:suppressAutoHyphens/>
                    <w:bidi w:val="0"/>
                    <w:spacing w:before="0" w:beforeAutospacing="0" w:after="0" w:afterAutospacing="0"/>
                    <w:ind w:left="0" w:right="0"/>
                    <w:jc w:val="left"/>
                    <w:rPr>
                      <w:rFonts w:hint="default" w:ascii="宋体" w:hAnsi="宋体" w:eastAsia="宋体" w:cs="Calibri"/>
                      <w:color w:val="auto"/>
                      <w:sz w:val="21"/>
                      <w:szCs w:val="21"/>
                      <w:highlight w:val="none"/>
                    </w:rPr>
                  </w:pPr>
                </w:p>
              </w:tc>
              <w:tc>
                <w:tcPr>
                  <w:tcW w:w="993" w:type="dxa"/>
                  <w:tcBorders>
                    <w:top w:val="nil"/>
                    <w:left w:val="nil"/>
                    <w:bottom w:val="single" w:color="auto" w:sz="8" w:space="0"/>
                    <w:right w:val="single" w:color="auto" w:sz="8" w:space="0"/>
                  </w:tcBorders>
                  <w:noWrap w:val="0"/>
                  <w:vAlign w:val="center"/>
                </w:tcPr>
                <w:p w14:paraId="3AC22CDF">
                  <w:pPr>
                    <w:keepNext w:val="0"/>
                    <w:keepLines w:val="0"/>
                    <w:widowControl/>
                    <w:suppressLineNumbers w:val="0"/>
                    <w:shd w:val="clear" w:color="auto" w:fill="auto"/>
                    <w:suppressAutoHyphens/>
                    <w:bidi w:val="0"/>
                    <w:spacing w:before="0" w:beforeAutospacing="0" w:after="0" w:afterAutospacing="0" w:line="315" w:lineRule="atLeast"/>
                    <w:ind w:left="0" w:right="0"/>
                    <w:jc w:val="center"/>
                    <w:rPr>
                      <w:rFonts w:hint="default" w:ascii="宋体" w:hAnsi="宋体" w:eastAsia="宋体" w:cs="Calibri"/>
                      <w:color w:val="auto"/>
                      <w:sz w:val="21"/>
                      <w:szCs w:val="21"/>
                      <w:highlight w:val="none"/>
                    </w:rPr>
                  </w:pPr>
                  <w:r>
                    <w:rPr>
                      <w:rFonts w:hint="eastAsia" w:ascii="宋体" w:hAnsi="宋体" w:eastAsia="宋体" w:cs="宋体"/>
                      <w:color w:val="auto"/>
                      <w:kern w:val="0"/>
                      <w:sz w:val="21"/>
                      <w:szCs w:val="21"/>
                      <w:highlight w:val="none"/>
                    </w:rPr>
                    <w:t>区外</w:t>
                  </w:r>
                </w:p>
              </w:tc>
              <w:tc>
                <w:tcPr>
                  <w:tcW w:w="6053" w:type="dxa"/>
                  <w:tcBorders>
                    <w:top w:val="nil"/>
                    <w:left w:val="nil"/>
                    <w:bottom w:val="single" w:color="auto" w:sz="8" w:space="0"/>
                    <w:right w:val="single" w:color="auto" w:sz="8" w:space="0"/>
                  </w:tcBorders>
                  <w:noWrap w:val="0"/>
                  <w:vAlign w:val="center"/>
                </w:tcPr>
                <w:p w14:paraId="219EF41A">
                  <w:pPr>
                    <w:keepNext w:val="0"/>
                    <w:keepLines w:val="0"/>
                    <w:widowControl/>
                    <w:suppressLineNumbers w:val="0"/>
                    <w:shd w:val="clear" w:color="auto" w:fill="auto"/>
                    <w:suppressAutoHyphens/>
                    <w:bidi w:val="0"/>
                    <w:spacing w:before="0" w:beforeAutospacing="0" w:after="0" w:afterAutospacing="0" w:line="315" w:lineRule="atLeast"/>
                    <w:ind w:left="0" w:right="0"/>
                    <w:rPr>
                      <w:rFonts w:hint="default" w:ascii="宋体" w:hAnsi="宋体" w:eastAsia="宋体" w:cs="Calibri"/>
                      <w:color w:val="auto"/>
                      <w:sz w:val="21"/>
                      <w:szCs w:val="21"/>
                      <w:highlight w:val="none"/>
                    </w:rPr>
                  </w:pPr>
                  <w:r>
                    <w:rPr>
                      <w:rFonts w:hint="eastAsia" w:ascii="宋体" w:hAnsi="宋体" w:eastAsia="宋体" w:cs="宋体"/>
                      <w:color w:val="auto"/>
                      <w:kern w:val="0"/>
                      <w:sz w:val="21"/>
                      <w:szCs w:val="21"/>
                      <w:highlight w:val="none"/>
                    </w:rPr>
                    <w:t>云霄县、漳浦县、诏安县、东山县、南靖县、平和县、华安县等漳州市非区内范围</w:t>
                  </w:r>
                </w:p>
              </w:tc>
            </w:tr>
            <w:tr w14:paraId="72D06E6F">
              <w:tblPrEx>
                <w:tblCellMar>
                  <w:top w:w="0" w:type="dxa"/>
                  <w:left w:w="108" w:type="dxa"/>
                  <w:bottom w:w="0" w:type="dxa"/>
                  <w:right w:w="108" w:type="dxa"/>
                </w:tblCellMar>
              </w:tblPrEx>
              <w:trPr>
                <w:trHeight w:val="615" w:hRule="atLeast"/>
              </w:trPr>
              <w:tc>
                <w:tcPr>
                  <w:tcW w:w="1014" w:type="dxa"/>
                  <w:vMerge w:val="restart"/>
                  <w:tcBorders>
                    <w:top w:val="nil"/>
                    <w:left w:val="single" w:color="auto" w:sz="8" w:space="0"/>
                    <w:bottom w:val="single" w:color="auto" w:sz="8" w:space="0"/>
                    <w:right w:val="single" w:color="auto" w:sz="8" w:space="0"/>
                  </w:tcBorders>
                  <w:noWrap w:val="0"/>
                  <w:vAlign w:val="center"/>
                </w:tcPr>
                <w:p w14:paraId="4D25ED55">
                  <w:pPr>
                    <w:keepNext w:val="0"/>
                    <w:keepLines w:val="0"/>
                    <w:widowControl/>
                    <w:suppressLineNumbers w:val="0"/>
                    <w:shd w:val="clear" w:color="auto" w:fill="auto"/>
                    <w:suppressAutoHyphens/>
                    <w:bidi w:val="0"/>
                    <w:spacing w:before="0" w:beforeAutospacing="0" w:after="0" w:afterAutospacing="0" w:line="315" w:lineRule="atLeast"/>
                    <w:ind w:left="0" w:right="0"/>
                    <w:jc w:val="center"/>
                    <w:rPr>
                      <w:rFonts w:hint="default" w:ascii="宋体" w:hAnsi="宋体" w:eastAsia="宋体" w:cs="Calibri"/>
                      <w:color w:val="auto"/>
                      <w:sz w:val="21"/>
                      <w:szCs w:val="21"/>
                      <w:highlight w:val="none"/>
                    </w:rPr>
                  </w:pPr>
                  <w:r>
                    <w:rPr>
                      <w:rFonts w:hint="eastAsia" w:ascii="宋体" w:hAnsi="宋体" w:eastAsia="宋体" w:cs="宋体"/>
                      <w:color w:val="auto"/>
                      <w:kern w:val="0"/>
                      <w:sz w:val="21"/>
                      <w:szCs w:val="21"/>
                      <w:highlight w:val="none"/>
                    </w:rPr>
                    <w:t>龙岩市</w:t>
                  </w:r>
                </w:p>
              </w:tc>
              <w:tc>
                <w:tcPr>
                  <w:tcW w:w="993" w:type="dxa"/>
                  <w:tcBorders>
                    <w:top w:val="nil"/>
                    <w:left w:val="nil"/>
                    <w:bottom w:val="single" w:color="auto" w:sz="8" w:space="0"/>
                    <w:right w:val="single" w:color="auto" w:sz="8" w:space="0"/>
                  </w:tcBorders>
                  <w:noWrap w:val="0"/>
                  <w:vAlign w:val="center"/>
                </w:tcPr>
                <w:p w14:paraId="40FC7E93">
                  <w:pPr>
                    <w:keepNext w:val="0"/>
                    <w:keepLines w:val="0"/>
                    <w:widowControl/>
                    <w:suppressLineNumbers w:val="0"/>
                    <w:shd w:val="clear" w:color="auto" w:fill="auto"/>
                    <w:suppressAutoHyphens/>
                    <w:bidi w:val="0"/>
                    <w:spacing w:before="0" w:beforeAutospacing="0" w:after="0" w:afterAutospacing="0" w:line="315" w:lineRule="atLeast"/>
                    <w:ind w:left="0" w:right="0"/>
                    <w:jc w:val="center"/>
                    <w:rPr>
                      <w:rFonts w:hint="default" w:ascii="宋体" w:hAnsi="宋体" w:eastAsia="宋体" w:cs="Calibri"/>
                      <w:color w:val="auto"/>
                      <w:sz w:val="21"/>
                      <w:szCs w:val="21"/>
                      <w:highlight w:val="none"/>
                    </w:rPr>
                  </w:pPr>
                  <w:r>
                    <w:rPr>
                      <w:rFonts w:hint="eastAsia" w:ascii="宋体" w:hAnsi="宋体" w:eastAsia="宋体" w:cs="宋体"/>
                      <w:color w:val="auto"/>
                      <w:kern w:val="0"/>
                      <w:sz w:val="21"/>
                      <w:szCs w:val="21"/>
                      <w:highlight w:val="none"/>
                    </w:rPr>
                    <w:t>区内</w:t>
                  </w:r>
                </w:p>
              </w:tc>
              <w:tc>
                <w:tcPr>
                  <w:tcW w:w="6053" w:type="dxa"/>
                  <w:tcBorders>
                    <w:top w:val="nil"/>
                    <w:left w:val="nil"/>
                    <w:bottom w:val="single" w:color="auto" w:sz="8" w:space="0"/>
                    <w:right w:val="single" w:color="auto" w:sz="8" w:space="0"/>
                  </w:tcBorders>
                  <w:noWrap w:val="0"/>
                  <w:vAlign w:val="center"/>
                </w:tcPr>
                <w:p w14:paraId="3A475F74">
                  <w:pPr>
                    <w:keepNext w:val="0"/>
                    <w:keepLines w:val="0"/>
                    <w:widowControl/>
                    <w:suppressLineNumbers w:val="0"/>
                    <w:shd w:val="clear" w:color="auto" w:fill="auto"/>
                    <w:suppressAutoHyphens/>
                    <w:bidi w:val="0"/>
                    <w:spacing w:before="0" w:beforeAutospacing="0" w:after="0" w:afterAutospacing="0" w:line="315" w:lineRule="atLeast"/>
                    <w:ind w:left="0" w:right="0"/>
                    <w:rPr>
                      <w:rFonts w:hint="default" w:ascii="宋体" w:hAnsi="宋体" w:eastAsia="宋体" w:cs="Calibri"/>
                      <w:color w:val="auto"/>
                      <w:sz w:val="21"/>
                      <w:szCs w:val="21"/>
                      <w:highlight w:val="none"/>
                    </w:rPr>
                  </w:pPr>
                  <w:r>
                    <w:rPr>
                      <w:rFonts w:hint="eastAsia" w:ascii="宋体" w:hAnsi="宋体" w:eastAsia="宋体" w:cs="宋体"/>
                      <w:color w:val="auto"/>
                      <w:kern w:val="0"/>
                      <w:sz w:val="21"/>
                      <w:szCs w:val="21"/>
                      <w:highlight w:val="none"/>
                    </w:rPr>
                    <w:t>新罗区</w:t>
                  </w:r>
                </w:p>
              </w:tc>
            </w:tr>
            <w:tr w14:paraId="1BE36C97">
              <w:tblPrEx>
                <w:tblCellMar>
                  <w:top w:w="0" w:type="dxa"/>
                  <w:left w:w="108" w:type="dxa"/>
                  <w:bottom w:w="0" w:type="dxa"/>
                  <w:right w:w="108" w:type="dxa"/>
                </w:tblCellMar>
              </w:tblPrEx>
              <w:trPr>
                <w:trHeight w:val="615" w:hRule="atLeast"/>
              </w:trPr>
              <w:tc>
                <w:tcPr>
                  <w:tcW w:w="1014" w:type="dxa"/>
                  <w:vMerge w:val="continue"/>
                  <w:tcBorders>
                    <w:top w:val="nil"/>
                    <w:left w:val="single" w:color="auto" w:sz="8" w:space="0"/>
                    <w:bottom w:val="single" w:color="auto" w:sz="8" w:space="0"/>
                    <w:right w:val="single" w:color="auto" w:sz="8" w:space="0"/>
                  </w:tcBorders>
                  <w:noWrap w:val="0"/>
                  <w:vAlign w:val="center"/>
                </w:tcPr>
                <w:p w14:paraId="57C4FB3C">
                  <w:pPr>
                    <w:keepNext w:val="0"/>
                    <w:keepLines w:val="0"/>
                    <w:widowControl/>
                    <w:suppressLineNumbers w:val="0"/>
                    <w:shd w:val="clear" w:color="auto" w:fill="auto"/>
                    <w:suppressAutoHyphens/>
                    <w:bidi w:val="0"/>
                    <w:spacing w:before="0" w:beforeAutospacing="0" w:after="0" w:afterAutospacing="0"/>
                    <w:ind w:left="0" w:right="0"/>
                    <w:jc w:val="left"/>
                    <w:rPr>
                      <w:rFonts w:hint="default" w:ascii="宋体" w:hAnsi="宋体" w:eastAsia="宋体" w:cs="Calibri"/>
                      <w:color w:val="auto"/>
                      <w:sz w:val="21"/>
                      <w:szCs w:val="21"/>
                      <w:highlight w:val="none"/>
                    </w:rPr>
                  </w:pPr>
                </w:p>
              </w:tc>
              <w:tc>
                <w:tcPr>
                  <w:tcW w:w="993" w:type="dxa"/>
                  <w:tcBorders>
                    <w:top w:val="nil"/>
                    <w:left w:val="nil"/>
                    <w:bottom w:val="single" w:color="auto" w:sz="8" w:space="0"/>
                    <w:right w:val="single" w:color="auto" w:sz="8" w:space="0"/>
                  </w:tcBorders>
                  <w:noWrap w:val="0"/>
                  <w:vAlign w:val="center"/>
                </w:tcPr>
                <w:p w14:paraId="283A9D65">
                  <w:pPr>
                    <w:keepNext w:val="0"/>
                    <w:keepLines w:val="0"/>
                    <w:widowControl/>
                    <w:suppressLineNumbers w:val="0"/>
                    <w:shd w:val="clear" w:color="auto" w:fill="auto"/>
                    <w:suppressAutoHyphens/>
                    <w:bidi w:val="0"/>
                    <w:spacing w:before="0" w:beforeAutospacing="0" w:after="0" w:afterAutospacing="0" w:line="315" w:lineRule="atLeast"/>
                    <w:ind w:left="0" w:right="0"/>
                    <w:jc w:val="center"/>
                    <w:rPr>
                      <w:rFonts w:hint="default" w:ascii="宋体" w:hAnsi="宋体" w:eastAsia="宋体" w:cs="Calibri"/>
                      <w:color w:val="auto"/>
                      <w:sz w:val="21"/>
                      <w:szCs w:val="21"/>
                      <w:highlight w:val="none"/>
                    </w:rPr>
                  </w:pPr>
                  <w:r>
                    <w:rPr>
                      <w:rFonts w:hint="eastAsia" w:ascii="宋体" w:hAnsi="宋体" w:eastAsia="宋体" w:cs="宋体"/>
                      <w:color w:val="auto"/>
                      <w:kern w:val="0"/>
                      <w:sz w:val="21"/>
                      <w:szCs w:val="21"/>
                      <w:highlight w:val="none"/>
                    </w:rPr>
                    <w:t>区外</w:t>
                  </w:r>
                </w:p>
              </w:tc>
              <w:tc>
                <w:tcPr>
                  <w:tcW w:w="6053" w:type="dxa"/>
                  <w:tcBorders>
                    <w:top w:val="nil"/>
                    <w:left w:val="nil"/>
                    <w:bottom w:val="single" w:color="auto" w:sz="8" w:space="0"/>
                    <w:right w:val="single" w:color="auto" w:sz="8" w:space="0"/>
                  </w:tcBorders>
                  <w:noWrap w:val="0"/>
                  <w:vAlign w:val="center"/>
                </w:tcPr>
                <w:p w14:paraId="0AFCE33D">
                  <w:pPr>
                    <w:keepNext w:val="0"/>
                    <w:keepLines w:val="0"/>
                    <w:widowControl/>
                    <w:suppressLineNumbers w:val="0"/>
                    <w:shd w:val="clear" w:color="auto" w:fill="auto"/>
                    <w:suppressAutoHyphens/>
                    <w:bidi w:val="0"/>
                    <w:spacing w:before="0" w:beforeAutospacing="0" w:after="0" w:afterAutospacing="0" w:line="315" w:lineRule="atLeast"/>
                    <w:ind w:left="0" w:right="0"/>
                    <w:rPr>
                      <w:rFonts w:hint="default" w:ascii="宋体" w:hAnsi="宋体" w:eastAsia="宋体" w:cs="Calibri"/>
                      <w:color w:val="auto"/>
                      <w:sz w:val="21"/>
                      <w:szCs w:val="21"/>
                      <w:highlight w:val="none"/>
                    </w:rPr>
                  </w:pPr>
                  <w:r>
                    <w:rPr>
                      <w:rFonts w:hint="eastAsia" w:ascii="宋体" w:hAnsi="宋体" w:eastAsia="宋体" w:cs="宋体"/>
                      <w:color w:val="auto"/>
                      <w:kern w:val="0"/>
                      <w:sz w:val="21"/>
                      <w:szCs w:val="21"/>
                      <w:highlight w:val="none"/>
                    </w:rPr>
                    <w:t>永定区、长汀县、连城县、上杭县、武平县等龙岩市非区内范围</w:t>
                  </w:r>
                </w:p>
              </w:tc>
            </w:tr>
            <w:tr w14:paraId="081C5E86">
              <w:tblPrEx>
                <w:tblCellMar>
                  <w:top w:w="0" w:type="dxa"/>
                  <w:left w:w="108" w:type="dxa"/>
                  <w:bottom w:w="0" w:type="dxa"/>
                  <w:right w:w="108" w:type="dxa"/>
                </w:tblCellMar>
              </w:tblPrEx>
              <w:trPr>
                <w:trHeight w:val="615" w:hRule="atLeast"/>
              </w:trPr>
              <w:tc>
                <w:tcPr>
                  <w:tcW w:w="1014" w:type="dxa"/>
                  <w:vMerge w:val="restart"/>
                  <w:tcBorders>
                    <w:top w:val="nil"/>
                    <w:left w:val="single" w:color="auto" w:sz="8" w:space="0"/>
                    <w:bottom w:val="single" w:color="auto" w:sz="8" w:space="0"/>
                    <w:right w:val="single" w:color="auto" w:sz="8" w:space="0"/>
                  </w:tcBorders>
                  <w:noWrap w:val="0"/>
                  <w:vAlign w:val="center"/>
                </w:tcPr>
                <w:p w14:paraId="1020F63C">
                  <w:pPr>
                    <w:keepNext w:val="0"/>
                    <w:keepLines w:val="0"/>
                    <w:widowControl/>
                    <w:suppressLineNumbers w:val="0"/>
                    <w:shd w:val="clear" w:color="auto" w:fill="auto"/>
                    <w:suppressAutoHyphens/>
                    <w:bidi w:val="0"/>
                    <w:spacing w:before="0" w:beforeAutospacing="0" w:after="0" w:afterAutospacing="0" w:line="315" w:lineRule="atLeast"/>
                    <w:ind w:left="0" w:right="0"/>
                    <w:jc w:val="center"/>
                    <w:rPr>
                      <w:rFonts w:hint="default" w:ascii="宋体" w:hAnsi="宋体" w:eastAsia="宋体" w:cs="Calibri"/>
                      <w:color w:val="auto"/>
                      <w:sz w:val="21"/>
                      <w:szCs w:val="21"/>
                      <w:highlight w:val="none"/>
                    </w:rPr>
                  </w:pPr>
                  <w:r>
                    <w:rPr>
                      <w:rFonts w:hint="eastAsia" w:ascii="宋体" w:hAnsi="宋体" w:eastAsia="宋体" w:cs="宋体"/>
                      <w:color w:val="auto"/>
                      <w:kern w:val="0"/>
                      <w:sz w:val="21"/>
                      <w:szCs w:val="21"/>
                      <w:highlight w:val="none"/>
                    </w:rPr>
                    <w:t>三明市</w:t>
                  </w:r>
                </w:p>
              </w:tc>
              <w:tc>
                <w:tcPr>
                  <w:tcW w:w="993" w:type="dxa"/>
                  <w:tcBorders>
                    <w:top w:val="nil"/>
                    <w:left w:val="nil"/>
                    <w:bottom w:val="single" w:color="auto" w:sz="8" w:space="0"/>
                    <w:right w:val="single" w:color="auto" w:sz="8" w:space="0"/>
                  </w:tcBorders>
                  <w:noWrap w:val="0"/>
                  <w:vAlign w:val="center"/>
                </w:tcPr>
                <w:p w14:paraId="53677744">
                  <w:pPr>
                    <w:keepNext w:val="0"/>
                    <w:keepLines w:val="0"/>
                    <w:widowControl/>
                    <w:suppressLineNumbers w:val="0"/>
                    <w:shd w:val="clear" w:color="auto" w:fill="auto"/>
                    <w:suppressAutoHyphens/>
                    <w:bidi w:val="0"/>
                    <w:spacing w:before="0" w:beforeAutospacing="0" w:after="0" w:afterAutospacing="0" w:line="315" w:lineRule="atLeast"/>
                    <w:ind w:left="0" w:right="0"/>
                    <w:jc w:val="center"/>
                    <w:rPr>
                      <w:rFonts w:hint="default" w:ascii="宋体" w:hAnsi="宋体" w:eastAsia="宋体" w:cs="Calibri"/>
                      <w:color w:val="auto"/>
                      <w:sz w:val="21"/>
                      <w:szCs w:val="21"/>
                      <w:highlight w:val="none"/>
                    </w:rPr>
                  </w:pPr>
                  <w:r>
                    <w:rPr>
                      <w:rFonts w:hint="eastAsia" w:ascii="宋体" w:hAnsi="宋体" w:eastAsia="宋体" w:cs="宋体"/>
                      <w:color w:val="auto"/>
                      <w:kern w:val="0"/>
                      <w:sz w:val="21"/>
                      <w:szCs w:val="21"/>
                      <w:highlight w:val="none"/>
                    </w:rPr>
                    <w:t>区内</w:t>
                  </w:r>
                </w:p>
              </w:tc>
              <w:tc>
                <w:tcPr>
                  <w:tcW w:w="6053" w:type="dxa"/>
                  <w:tcBorders>
                    <w:top w:val="nil"/>
                    <w:left w:val="nil"/>
                    <w:bottom w:val="single" w:color="auto" w:sz="8" w:space="0"/>
                    <w:right w:val="single" w:color="auto" w:sz="8" w:space="0"/>
                  </w:tcBorders>
                  <w:noWrap w:val="0"/>
                  <w:vAlign w:val="center"/>
                </w:tcPr>
                <w:p w14:paraId="22935E1F">
                  <w:pPr>
                    <w:keepNext w:val="0"/>
                    <w:keepLines w:val="0"/>
                    <w:widowControl/>
                    <w:suppressLineNumbers w:val="0"/>
                    <w:shd w:val="clear" w:color="auto" w:fill="auto"/>
                    <w:suppressAutoHyphens/>
                    <w:bidi w:val="0"/>
                    <w:spacing w:before="0" w:beforeAutospacing="0" w:after="0" w:afterAutospacing="0" w:line="315" w:lineRule="atLeast"/>
                    <w:ind w:left="0" w:right="0"/>
                    <w:rPr>
                      <w:rFonts w:hint="default" w:ascii="宋体" w:hAnsi="宋体" w:eastAsia="宋体" w:cs="Calibri"/>
                      <w:color w:val="auto"/>
                      <w:sz w:val="21"/>
                      <w:szCs w:val="21"/>
                      <w:highlight w:val="none"/>
                    </w:rPr>
                  </w:pPr>
                  <w:r>
                    <w:rPr>
                      <w:rFonts w:hint="eastAsia" w:ascii="宋体" w:hAnsi="宋体" w:eastAsia="宋体" w:cs="宋体"/>
                      <w:color w:val="auto"/>
                      <w:kern w:val="0"/>
                      <w:sz w:val="21"/>
                      <w:szCs w:val="21"/>
                      <w:highlight w:val="none"/>
                    </w:rPr>
                    <w:t>梅列区、三元区</w:t>
                  </w:r>
                </w:p>
              </w:tc>
            </w:tr>
            <w:tr w14:paraId="7B620E7E">
              <w:tblPrEx>
                <w:tblCellMar>
                  <w:top w:w="0" w:type="dxa"/>
                  <w:left w:w="108" w:type="dxa"/>
                  <w:bottom w:w="0" w:type="dxa"/>
                  <w:right w:w="108" w:type="dxa"/>
                </w:tblCellMar>
              </w:tblPrEx>
              <w:trPr>
                <w:trHeight w:val="615" w:hRule="atLeast"/>
              </w:trPr>
              <w:tc>
                <w:tcPr>
                  <w:tcW w:w="1014" w:type="dxa"/>
                  <w:vMerge w:val="continue"/>
                  <w:tcBorders>
                    <w:top w:val="nil"/>
                    <w:left w:val="single" w:color="auto" w:sz="8" w:space="0"/>
                    <w:bottom w:val="single" w:color="auto" w:sz="8" w:space="0"/>
                    <w:right w:val="single" w:color="auto" w:sz="8" w:space="0"/>
                  </w:tcBorders>
                  <w:noWrap w:val="0"/>
                  <w:vAlign w:val="center"/>
                </w:tcPr>
                <w:p w14:paraId="251131AA">
                  <w:pPr>
                    <w:keepNext w:val="0"/>
                    <w:keepLines w:val="0"/>
                    <w:widowControl/>
                    <w:suppressLineNumbers w:val="0"/>
                    <w:shd w:val="clear" w:color="auto" w:fill="auto"/>
                    <w:suppressAutoHyphens/>
                    <w:bidi w:val="0"/>
                    <w:spacing w:before="0" w:beforeAutospacing="0" w:after="0" w:afterAutospacing="0"/>
                    <w:ind w:left="0" w:right="0"/>
                    <w:jc w:val="left"/>
                    <w:rPr>
                      <w:rFonts w:hint="default" w:ascii="宋体" w:hAnsi="宋体" w:eastAsia="宋体" w:cs="Calibri"/>
                      <w:color w:val="auto"/>
                      <w:sz w:val="21"/>
                      <w:szCs w:val="21"/>
                      <w:highlight w:val="none"/>
                    </w:rPr>
                  </w:pPr>
                </w:p>
              </w:tc>
              <w:tc>
                <w:tcPr>
                  <w:tcW w:w="993" w:type="dxa"/>
                  <w:tcBorders>
                    <w:top w:val="nil"/>
                    <w:left w:val="nil"/>
                    <w:bottom w:val="single" w:color="auto" w:sz="8" w:space="0"/>
                    <w:right w:val="single" w:color="auto" w:sz="8" w:space="0"/>
                  </w:tcBorders>
                  <w:noWrap w:val="0"/>
                  <w:vAlign w:val="center"/>
                </w:tcPr>
                <w:p w14:paraId="59163514">
                  <w:pPr>
                    <w:keepNext w:val="0"/>
                    <w:keepLines w:val="0"/>
                    <w:widowControl/>
                    <w:suppressLineNumbers w:val="0"/>
                    <w:shd w:val="clear" w:color="auto" w:fill="auto"/>
                    <w:suppressAutoHyphens/>
                    <w:bidi w:val="0"/>
                    <w:spacing w:before="0" w:beforeAutospacing="0" w:after="0" w:afterAutospacing="0" w:line="315" w:lineRule="atLeast"/>
                    <w:ind w:left="0" w:right="0"/>
                    <w:jc w:val="center"/>
                    <w:rPr>
                      <w:rFonts w:hint="default" w:ascii="宋体" w:hAnsi="宋体" w:eastAsia="宋体" w:cs="Calibri"/>
                      <w:color w:val="auto"/>
                      <w:sz w:val="21"/>
                      <w:szCs w:val="21"/>
                      <w:highlight w:val="none"/>
                    </w:rPr>
                  </w:pPr>
                  <w:r>
                    <w:rPr>
                      <w:rFonts w:hint="eastAsia" w:ascii="宋体" w:hAnsi="宋体" w:eastAsia="宋体" w:cs="宋体"/>
                      <w:color w:val="auto"/>
                      <w:kern w:val="0"/>
                      <w:sz w:val="21"/>
                      <w:szCs w:val="21"/>
                      <w:highlight w:val="none"/>
                    </w:rPr>
                    <w:t>区外</w:t>
                  </w:r>
                </w:p>
              </w:tc>
              <w:tc>
                <w:tcPr>
                  <w:tcW w:w="6053" w:type="dxa"/>
                  <w:tcBorders>
                    <w:top w:val="nil"/>
                    <w:left w:val="nil"/>
                    <w:bottom w:val="single" w:color="auto" w:sz="8" w:space="0"/>
                    <w:right w:val="single" w:color="auto" w:sz="8" w:space="0"/>
                  </w:tcBorders>
                  <w:noWrap w:val="0"/>
                  <w:vAlign w:val="center"/>
                </w:tcPr>
                <w:p w14:paraId="4AA01064">
                  <w:pPr>
                    <w:keepNext w:val="0"/>
                    <w:keepLines w:val="0"/>
                    <w:widowControl/>
                    <w:suppressLineNumbers w:val="0"/>
                    <w:shd w:val="clear" w:color="auto" w:fill="auto"/>
                    <w:suppressAutoHyphens/>
                    <w:bidi w:val="0"/>
                    <w:spacing w:before="0" w:beforeAutospacing="0" w:after="0" w:afterAutospacing="0" w:line="315" w:lineRule="atLeast"/>
                    <w:ind w:left="0" w:right="0"/>
                    <w:rPr>
                      <w:rFonts w:hint="default" w:ascii="宋体" w:hAnsi="宋体" w:eastAsia="宋体" w:cs="Calibri"/>
                      <w:color w:val="auto"/>
                      <w:sz w:val="21"/>
                      <w:szCs w:val="21"/>
                      <w:highlight w:val="none"/>
                    </w:rPr>
                  </w:pPr>
                  <w:r>
                    <w:rPr>
                      <w:rFonts w:hint="eastAsia" w:ascii="宋体" w:hAnsi="宋体" w:eastAsia="宋体" w:cs="宋体"/>
                      <w:color w:val="auto"/>
                      <w:kern w:val="0"/>
                      <w:sz w:val="21"/>
                      <w:szCs w:val="21"/>
                      <w:highlight w:val="none"/>
                    </w:rPr>
                    <w:t>永安市、沙县、尤溪县、大田县、明溪县、清流县、宁化县、将乐县、泰宁县、建宁县等三明市非区内范围</w:t>
                  </w:r>
                </w:p>
              </w:tc>
            </w:tr>
            <w:tr w14:paraId="1F1F3CCE">
              <w:tblPrEx>
                <w:tblCellMar>
                  <w:top w:w="0" w:type="dxa"/>
                  <w:left w:w="108" w:type="dxa"/>
                  <w:bottom w:w="0" w:type="dxa"/>
                  <w:right w:w="108" w:type="dxa"/>
                </w:tblCellMar>
              </w:tblPrEx>
              <w:trPr>
                <w:trHeight w:val="615" w:hRule="atLeast"/>
              </w:trPr>
              <w:tc>
                <w:tcPr>
                  <w:tcW w:w="1014" w:type="dxa"/>
                  <w:vMerge w:val="restart"/>
                  <w:tcBorders>
                    <w:top w:val="nil"/>
                    <w:left w:val="single" w:color="auto" w:sz="8" w:space="0"/>
                    <w:bottom w:val="single" w:color="auto" w:sz="8" w:space="0"/>
                    <w:right w:val="single" w:color="auto" w:sz="8" w:space="0"/>
                  </w:tcBorders>
                  <w:noWrap w:val="0"/>
                  <w:vAlign w:val="center"/>
                </w:tcPr>
                <w:p w14:paraId="2264189B">
                  <w:pPr>
                    <w:keepNext w:val="0"/>
                    <w:keepLines w:val="0"/>
                    <w:widowControl/>
                    <w:suppressLineNumbers w:val="0"/>
                    <w:shd w:val="clear" w:color="auto" w:fill="auto"/>
                    <w:suppressAutoHyphens/>
                    <w:bidi w:val="0"/>
                    <w:spacing w:before="0" w:beforeAutospacing="0" w:after="0" w:afterAutospacing="0" w:line="315" w:lineRule="atLeast"/>
                    <w:ind w:left="0" w:right="0"/>
                    <w:jc w:val="center"/>
                    <w:rPr>
                      <w:rFonts w:hint="default" w:ascii="宋体" w:hAnsi="宋体" w:eastAsia="宋体" w:cs="Calibri"/>
                      <w:color w:val="auto"/>
                      <w:sz w:val="21"/>
                      <w:szCs w:val="21"/>
                      <w:highlight w:val="none"/>
                    </w:rPr>
                  </w:pPr>
                  <w:r>
                    <w:rPr>
                      <w:rFonts w:hint="eastAsia" w:ascii="宋体" w:hAnsi="宋体" w:eastAsia="宋体" w:cs="宋体"/>
                      <w:color w:val="auto"/>
                      <w:kern w:val="0"/>
                      <w:sz w:val="21"/>
                      <w:szCs w:val="21"/>
                      <w:highlight w:val="none"/>
                    </w:rPr>
                    <w:t>南平市</w:t>
                  </w:r>
                </w:p>
              </w:tc>
              <w:tc>
                <w:tcPr>
                  <w:tcW w:w="993" w:type="dxa"/>
                  <w:tcBorders>
                    <w:top w:val="nil"/>
                    <w:left w:val="nil"/>
                    <w:bottom w:val="single" w:color="auto" w:sz="8" w:space="0"/>
                    <w:right w:val="single" w:color="auto" w:sz="8" w:space="0"/>
                  </w:tcBorders>
                  <w:noWrap w:val="0"/>
                  <w:vAlign w:val="center"/>
                </w:tcPr>
                <w:p w14:paraId="2EB2E384">
                  <w:pPr>
                    <w:keepNext w:val="0"/>
                    <w:keepLines w:val="0"/>
                    <w:widowControl/>
                    <w:suppressLineNumbers w:val="0"/>
                    <w:shd w:val="clear" w:color="auto" w:fill="auto"/>
                    <w:suppressAutoHyphens/>
                    <w:bidi w:val="0"/>
                    <w:spacing w:before="0" w:beforeAutospacing="0" w:after="0" w:afterAutospacing="0" w:line="315" w:lineRule="atLeast"/>
                    <w:ind w:left="0" w:right="0"/>
                    <w:jc w:val="center"/>
                    <w:rPr>
                      <w:rFonts w:hint="default" w:ascii="宋体" w:hAnsi="宋体" w:eastAsia="宋体" w:cs="Calibri"/>
                      <w:color w:val="auto"/>
                      <w:sz w:val="21"/>
                      <w:szCs w:val="21"/>
                      <w:highlight w:val="none"/>
                    </w:rPr>
                  </w:pPr>
                  <w:r>
                    <w:rPr>
                      <w:rFonts w:hint="eastAsia" w:ascii="宋体" w:hAnsi="宋体" w:eastAsia="宋体" w:cs="宋体"/>
                      <w:color w:val="auto"/>
                      <w:kern w:val="0"/>
                      <w:sz w:val="21"/>
                      <w:szCs w:val="21"/>
                      <w:highlight w:val="none"/>
                    </w:rPr>
                    <w:t>区内</w:t>
                  </w:r>
                </w:p>
              </w:tc>
              <w:tc>
                <w:tcPr>
                  <w:tcW w:w="6053" w:type="dxa"/>
                  <w:tcBorders>
                    <w:top w:val="nil"/>
                    <w:left w:val="nil"/>
                    <w:bottom w:val="single" w:color="auto" w:sz="8" w:space="0"/>
                    <w:right w:val="single" w:color="auto" w:sz="8" w:space="0"/>
                  </w:tcBorders>
                  <w:noWrap w:val="0"/>
                  <w:vAlign w:val="center"/>
                </w:tcPr>
                <w:p w14:paraId="3FEA57A8">
                  <w:pPr>
                    <w:keepNext w:val="0"/>
                    <w:keepLines w:val="0"/>
                    <w:widowControl/>
                    <w:suppressLineNumbers w:val="0"/>
                    <w:shd w:val="clear" w:color="auto" w:fill="auto"/>
                    <w:suppressAutoHyphens/>
                    <w:bidi w:val="0"/>
                    <w:spacing w:before="0" w:beforeAutospacing="0" w:after="0" w:afterAutospacing="0" w:line="315" w:lineRule="atLeast"/>
                    <w:ind w:left="0" w:right="0"/>
                    <w:rPr>
                      <w:rFonts w:hint="default" w:ascii="宋体" w:hAnsi="宋体" w:eastAsia="宋体" w:cs="Calibri"/>
                      <w:color w:val="auto"/>
                      <w:sz w:val="21"/>
                      <w:szCs w:val="21"/>
                      <w:highlight w:val="none"/>
                    </w:rPr>
                  </w:pPr>
                  <w:r>
                    <w:rPr>
                      <w:rFonts w:hint="eastAsia" w:ascii="宋体" w:hAnsi="宋体" w:eastAsia="宋体" w:cs="宋体"/>
                      <w:color w:val="auto"/>
                      <w:kern w:val="0"/>
                      <w:sz w:val="21"/>
                      <w:szCs w:val="21"/>
                      <w:highlight w:val="none"/>
                    </w:rPr>
                    <w:t>延平区</w:t>
                  </w:r>
                </w:p>
              </w:tc>
            </w:tr>
            <w:tr w14:paraId="3CEC7574">
              <w:tblPrEx>
                <w:tblCellMar>
                  <w:top w:w="0" w:type="dxa"/>
                  <w:left w:w="108" w:type="dxa"/>
                  <w:bottom w:w="0" w:type="dxa"/>
                  <w:right w:w="108" w:type="dxa"/>
                </w:tblCellMar>
              </w:tblPrEx>
              <w:trPr>
                <w:trHeight w:val="615" w:hRule="atLeast"/>
              </w:trPr>
              <w:tc>
                <w:tcPr>
                  <w:tcW w:w="1014" w:type="dxa"/>
                  <w:vMerge w:val="continue"/>
                  <w:tcBorders>
                    <w:top w:val="nil"/>
                    <w:left w:val="single" w:color="auto" w:sz="8" w:space="0"/>
                    <w:bottom w:val="single" w:color="auto" w:sz="8" w:space="0"/>
                    <w:right w:val="single" w:color="auto" w:sz="8" w:space="0"/>
                  </w:tcBorders>
                  <w:noWrap w:val="0"/>
                  <w:vAlign w:val="center"/>
                </w:tcPr>
                <w:p w14:paraId="4125EBDA">
                  <w:pPr>
                    <w:keepNext w:val="0"/>
                    <w:keepLines w:val="0"/>
                    <w:widowControl/>
                    <w:suppressLineNumbers w:val="0"/>
                    <w:shd w:val="clear" w:color="auto" w:fill="auto"/>
                    <w:suppressAutoHyphens/>
                    <w:bidi w:val="0"/>
                    <w:spacing w:before="0" w:beforeAutospacing="0" w:after="0" w:afterAutospacing="0"/>
                    <w:ind w:left="0" w:right="0"/>
                    <w:jc w:val="left"/>
                    <w:rPr>
                      <w:rFonts w:hint="default" w:ascii="宋体" w:hAnsi="宋体" w:eastAsia="宋体" w:cs="Calibri"/>
                      <w:color w:val="auto"/>
                      <w:sz w:val="21"/>
                      <w:szCs w:val="21"/>
                      <w:highlight w:val="none"/>
                    </w:rPr>
                  </w:pPr>
                </w:p>
              </w:tc>
              <w:tc>
                <w:tcPr>
                  <w:tcW w:w="993" w:type="dxa"/>
                  <w:tcBorders>
                    <w:top w:val="nil"/>
                    <w:left w:val="nil"/>
                    <w:bottom w:val="single" w:color="auto" w:sz="8" w:space="0"/>
                    <w:right w:val="single" w:color="auto" w:sz="8" w:space="0"/>
                  </w:tcBorders>
                  <w:noWrap w:val="0"/>
                  <w:vAlign w:val="center"/>
                </w:tcPr>
                <w:p w14:paraId="4A4CB8F1">
                  <w:pPr>
                    <w:keepNext w:val="0"/>
                    <w:keepLines w:val="0"/>
                    <w:widowControl/>
                    <w:suppressLineNumbers w:val="0"/>
                    <w:shd w:val="clear" w:color="auto" w:fill="auto"/>
                    <w:suppressAutoHyphens/>
                    <w:bidi w:val="0"/>
                    <w:spacing w:before="0" w:beforeAutospacing="0" w:after="0" w:afterAutospacing="0" w:line="315" w:lineRule="atLeast"/>
                    <w:ind w:left="0" w:right="0"/>
                    <w:jc w:val="center"/>
                    <w:rPr>
                      <w:rFonts w:hint="default" w:ascii="宋体" w:hAnsi="宋体" w:eastAsia="宋体" w:cs="Calibri"/>
                      <w:color w:val="auto"/>
                      <w:sz w:val="21"/>
                      <w:szCs w:val="21"/>
                      <w:highlight w:val="none"/>
                    </w:rPr>
                  </w:pPr>
                  <w:r>
                    <w:rPr>
                      <w:rFonts w:hint="eastAsia" w:ascii="宋体" w:hAnsi="宋体" w:eastAsia="宋体" w:cs="宋体"/>
                      <w:color w:val="auto"/>
                      <w:kern w:val="0"/>
                      <w:sz w:val="21"/>
                      <w:szCs w:val="21"/>
                      <w:highlight w:val="none"/>
                    </w:rPr>
                    <w:t>区外</w:t>
                  </w:r>
                </w:p>
              </w:tc>
              <w:tc>
                <w:tcPr>
                  <w:tcW w:w="6053" w:type="dxa"/>
                  <w:tcBorders>
                    <w:top w:val="nil"/>
                    <w:left w:val="nil"/>
                    <w:bottom w:val="single" w:color="auto" w:sz="8" w:space="0"/>
                    <w:right w:val="single" w:color="auto" w:sz="8" w:space="0"/>
                  </w:tcBorders>
                  <w:noWrap w:val="0"/>
                  <w:vAlign w:val="center"/>
                </w:tcPr>
                <w:p w14:paraId="3308ABD2">
                  <w:pPr>
                    <w:keepNext w:val="0"/>
                    <w:keepLines w:val="0"/>
                    <w:widowControl/>
                    <w:suppressLineNumbers w:val="0"/>
                    <w:shd w:val="clear" w:color="auto" w:fill="auto"/>
                    <w:suppressAutoHyphens/>
                    <w:bidi w:val="0"/>
                    <w:spacing w:before="0" w:beforeAutospacing="0" w:after="0" w:afterAutospacing="0" w:line="315" w:lineRule="atLeast"/>
                    <w:ind w:left="0" w:right="0"/>
                    <w:rPr>
                      <w:rFonts w:hint="default" w:ascii="宋体" w:hAnsi="宋体" w:eastAsia="宋体" w:cs="Calibri"/>
                      <w:color w:val="auto"/>
                      <w:sz w:val="21"/>
                      <w:szCs w:val="21"/>
                      <w:highlight w:val="none"/>
                    </w:rPr>
                  </w:pPr>
                  <w:r>
                    <w:rPr>
                      <w:rFonts w:hint="eastAsia" w:ascii="宋体" w:hAnsi="宋体" w:eastAsia="宋体" w:cs="宋体"/>
                      <w:color w:val="auto"/>
                      <w:kern w:val="0"/>
                      <w:sz w:val="21"/>
                      <w:szCs w:val="21"/>
                      <w:highlight w:val="none"/>
                    </w:rPr>
                    <w:t>顺昌县、建瓯市、邵武市、建阳区、政和县、松溪县、浦城县、武夷山市、光泽县等南平市非区内范围</w:t>
                  </w:r>
                </w:p>
              </w:tc>
            </w:tr>
            <w:tr w14:paraId="1D4358AE">
              <w:tblPrEx>
                <w:tblCellMar>
                  <w:top w:w="0" w:type="dxa"/>
                  <w:left w:w="108" w:type="dxa"/>
                  <w:bottom w:w="0" w:type="dxa"/>
                  <w:right w:w="108" w:type="dxa"/>
                </w:tblCellMar>
              </w:tblPrEx>
              <w:trPr>
                <w:trHeight w:val="615" w:hRule="atLeast"/>
              </w:trPr>
              <w:tc>
                <w:tcPr>
                  <w:tcW w:w="1014" w:type="dxa"/>
                  <w:vMerge w:val="restart"/>
                  <w:tcBorders>
                    <w:top w:val="nil"/>
                    <w:left w:val="single" w:color="auto" w:sz="8" w:space="0"/>
                    <w:bottom w:val="single" w:color="auto" w:sz="8" w:space="0"/>
                    <w:right w:val="single" w:color="auto" w:sz="8" w:space="0"/>
                  </w:tcBorders>
                  <w:noWrap w:val="0"/>
                  <w:vAlign w:val="center"/>
                </w:tcPr>
                <w:p w14:paraId="768D0B58">
                  <w:pPr>
                    <w:keepNext w:val="0"/>
                    <w:keepLines w:val="0"/>
                    <w:widowControl/>
                    <w:suppressLineNumbers w:val="0"/>
                    <w:shd w:val="clear" w:color="auto" w:fill="auto"/>
                    <w:suppressAutoHyphens/>
                    <w:bidi w:val="0"/>
                    <w:spacing w:before="0" w:beforeAutospacing="0" w:after="0" w:afterAutospacing="0" w:line="315" w:lineRule="atLeast"/>
                    <w:ind w:left="0" w:right="0"/>
                    <w:jc w:val="center"/>
                    <w:rPr>
                      <w:rFonts w:hint="default" w:ascii="宋体" w:hAnsi="宋体" w:eastAsia="宋体" w:cs="Calibri"/>
                      <w:color w:val="auto"/>
                      <w:sz w:val="21"/>
                      <w:szCs w:val="21"/>
                      <w:highlight w:val="none"/>
                    </w:rPr>
                  </w:pPr>
                  <w:r>
                    <w:rPr>
                      <w:rFonts w:hint="eastAsia" w:ascii="宋体" w:hAnsi="宋体" w:eastAsia="宋体" w:cs="宋体"/>
                      <w:color w:val="auto"/>
                      <w:kern w:val="0"/>
                      <w:sz w:val="21"/>
                      <w:szCs w:val="21"/>
                      <w:highlight w:val="none"/>
                    </w:rPr>
                    <w:t>宁德市</w:t>
                  </w:r>
                </w:p>
              </w:tc>
              <w:tc>
                <w:tcPr>
                  <w:tcW w:w="993" w:type="dxa"/>
                  <w:tcBorders>
                    <w:top w:val="nil"/>
                    <w:left w:val="nil"/>
                    <w:bottom w:val="single" w:color="auto" w:sz="8" w:space="0"/>
                    <w:right w:val="single" w:color="auto" w:sz="8" w:space="0"/>
                  </w:tcBorders>
                  <w:noWrap w:val="0"/>
                  <w:vAlign w:val="center"/>
                </w:tcPr>
                <w:p w14:paraId="604A792E">
                  <w:pPr>
                    <w:keepNext w:val="0"/>
                    <w:keepLines w:val="0"/>
                    <w:widowControl/>
                    <w:suppressLineNumbers w:val="0"/>
                    <w:shd w:val="clear" w:color="auto" w:fill="auto"/>
                    <w:suppressAutoHyphens/>
                    <w:bidi w:val="0"/>
                    <w:spacing w:before="0" w:beforeAutospacing="0" w:after="0" w:afterAutospacing="0" w:line="315" w:lineRule="atLeast"/>
                    <w:ind w:left="0" w:right="0"/>
                    <w:jc w:val="center"/>
                    <w:rPr>
                      <w:rFonts w:hint="default" w:ascii="宋体" w:hAnsi="宋体" w:eastAsia="宋体" w:cs="Calibri"/>
                      <w:color w:val="auto"/>
                      <w:sz w:val="21"/>
                      <w:szCs w:val="21"/>
                      <w:highlight w:val="none"/>
                    </w:rPr>
                  </w:pPr>
                  <w:r>
                    <w:rPr>
                      <w:rFonts w:hint="eastAsia" w:ascii="宋体" w:hAnsi="宋体" w:eastAsia="宋体" w:cs="宋体"/>
                      <w:color w:val="auto"/>
                      <w:kern w:val="0"/>
                      <w:sz w:val="21"/>
                      <w:szCs w:val="21"/>
                      <w:highlight w:val="none"/>
                    </w:rPr>
                    <w:t>区内</w:t>
                  </w:r>
                </w:p>
              </w:tc>
              <w:tc>
                <w:tcPr>
                  <w:tcW w:w="6053" w:type="dxa"/>
                  <w:tcBorders>
                    <w:top w:val="nil"/>
                    <w:left w:val="nil"/>
                    <w:bottom w:val="single" w:color="auto" w:sz="8" w:space="0"/>
                    <w:right w:val="single" w:color="auto" w:sz="8" w:space="0"/>
                  </w:tcBorders>
                  <w:noWrap w:val="0"/>
                  <w:vAlign w:val="center"/>
                </w:tcPr>
                <w:p w14:paraId="611EE313">
                  <w:pPr>
                    <w:keepNext w:val="0"/>
                    <w:keepLines w:val="0"/>
                    <w:widowControl/>
                    <w:suppressLineNumbers w:val="0"/>
                    <w:shd w:val="clear" w:color="auto" w:fill="auto"/>
                    <w:suppressAutoHyphens/>
                    <w:bidi w:val="0"/>
                    <w:spacing w:before="0" w:beforeAutospacing="0" w:after="0" w:afterAutospacing="0" w:line="315" w:lineRule="atLeast"/>
                    <w:ind w:left="0" w:right="0"/>
                    <w:rPr>
                      <w:rFonts w:hint="default" w:ascii="宋体" w:hAnsi="宋体" w:eastAsia="宋体" w:cs="Calibri"/>
                      <w:color w:val="auto"/>
                      <w:sz w:val="21"/>
                      <w:szCs w:val="21"/>
                      <w:highlight w:val="none"/>
                    </w:rPr>
                  </w:pPr>
                  <w:r>
                    <w:rPr>
                      <w:rFonts w:hint="eastAsia" w:ascii="宋体" w:hAnsi="宋体" w:eastAsia="宋体" w:cs="宋体"/>
                      <w:color w:val="auto"/>
                      <w:kern w:val="0"/>
                      <w:sz w:val="21"/>
                      <w:szCs w:val="21"/>
                      <w:highlight w:val="none"/>
                    </w:rPr>
                    <w:t>蕉城区、东侨新区</w:t>
                  </w:r>
                </w:p>
              </w:tc>
            </w:tr>
            <w:tr w14:paraId="0E51D533">
              <w:tblPrEx>
                <w:tblCellMar>
                  <w:top w:w="0" w:type="dxa"/>
                  <w:left w:w="108" w:type="dxa"/>
                  <w:bottom w:w="0" w:type="dxa"/>
                  <w:right w:w="108" w:type="dxa"/>
                </w:tblCellMar>
              </w:tblPrEx>
              <w:trPr>
                <w:trHeight w:val="615" w:hRule="atLeast"/>
              </w:trPr>
              <w:tc>
                <w:tcPr>
                  <w:tcW w:w="1014" w:type="dxa"/>
                  <w:vMerge w:val="continue"/>
                  <w:tcBorders>
                    <w:top w:val="nil"/>
                    <w:left w:val="single" w:color="auto" w:sz="8" w:space="0"/>
                    <w:bottom w:val="single" w:color="auto" w:sz="8" w:space="0"/>
                    <w:right w:val="single" w:color="auto" w:sz="8" w:space="0"/>
                  </w:tcBorders>
                  <w:noWrap w:val="0"/>
                  <w:vAlign w:val="center"/>
                </w:tcPr>
                <w:p w14:paraId="0DE260AA">
                  <w:pPr>
                    <w:keepNext w:val="0"/>
                    <w:keepLines w:val="0"/>
                    <w:widowControl/>
                    <w:suppressLineNumbers w:val="0"/>
                    <w:shd w:val="clear" w:color="auto" w:fill="auto"/>
                    <w:suppressAutoHyphens/>
                    <w:bidi w:val="0"/>
                    <w:spacing w:before="0" w:beforeAutospacing="0" w:after="0" w:afterAutospacing="0"/>
                    <w:ind w:left="0" w:right="0"/>
                    <w:jc w:val="left"/>
                    <w:rPr>
                      <w:rFonts w:hint="default" w:ascii="宋体" w:hAnsi="宋体" w:eastAsia="宋体" w:cs="Calibri"/>
                      <w:color w:val="auto"/>
                      <w:sz w:val="21"/>
                      <w:szCs w:val="21"/>
                      <w:highlight w:val="none"/>
                    </w:rPr>
                  </w:pPr>
                </w:p>
              </w:tc>
              <w:tc>
                <w:tcPr>
                  <w:tcW w:w="993" w:type="dxa"/>
                  <w:tcBorders>
                    <w:top w:val="nil"/>
                    <w:left w:val="nil"/>
                    <w:bottom w:val="single" w:color="auto" w:sz="8" w:space="0"/>
                    <w:right w:val="single" w:color="auto" w:sz="8" w:space="0"/>
                  </w:tcBorders>
                  <w:noWrap w:val="0"/>
                  <w:vAlign w:val="center"/>
                </w:tcPr>
                <w:p w14:paraId="3DC01C88">
                  <w:pPr>
                    <w:keepNext w:val="0"/>
                    <w:keepLines w:val="0"/>
                    <w:widowControl/>
                    <w:suppressLineNumbers w:val="0"/>
                    <w:shd w:val="clear" w:color="auto" w:fill="auto"/>
                    <w:suppressAutoHyphens/>
                    <w:bidi w:val="0"/>
                    <w:spacing w:before="0" w:beforeAutospacing="0" w:after="0" w:afterAutospacing="0" w:line="315" w:lineRule="atLeast"/>
                    <w:ind w:left="0" w:right="0"/>
                    <w:jc w:val="center"/>
                    <w:rPr>
                      <w:rFonts w:hint="default" w:ascii="宋体" w:hAnsi="宋体" w:eastAsia="宋体" w:cs="Calibri"/>
                      <w:color w:val="auto"/>
                      <w:sz w:val="21"/>
                      <w:szCs w:val="21"/>
                      <w:highlight w:val="none"/>
                    </w:rPr>
                  </w:pPr>
                  <w:r>
                    <w:rPr>
                      <w:rFonts w:hint="eastAsia" w:ascii="宋体" w:hAnsi="宋体" w:eastAsia="宋体" w:cs="宋体"/>
                      <w:color w:val="auto"/>
                      <w:kern w:val="0"/>
                      <w:sz w:val="21"/>
                      <w:szCs w:val="21"/>
                      <w:highlight w:val="none"/>
                    </w:rPr>
                    <w:t>区外</w:t>
                  </w:r>
                </w:p>
              </w:tc>
              <w:tc>
                <w:tcPr>
                  <w:tcW w:w="6053" w:type="dxa"/>
                  <w:tcBorders>
                    <w:top w:val="nil"/>
                    <w:left w:val="nil"/>
                    <w:bottom w:val="single" w:color="auto" w:sz="8" w:space="0"/>
                    <w:right w:val="single" w:color="auto" w:sz="8" w:space="0"/>
                  </w:tcBorders>
                  <w:noWrap w:val="0"/>
                  <w:vAlign w:val="center"/>
                </w:tcPr>
                <w:p w14:paraId="5EDFFE8F">
                  <w:pPr>
                    <w:keepNext w:val="0"/>
                    <w:keepLines w:val="0"/>
                    <w:widowControl/>
                    <w:suppressLineNumbers w:val="0"/>
                    <w:shd w:val="clear" w:color="auto" w:fill="auto"/>
                    <w:suppressAutoHyphens/>
                    <w:bidi w:val="0"/>
                    <w:spacing w:before="0" w:beforeAutospacing="0" w:after="0" w:afterAutospacing="0" w:line="315" w:lineRule="atLeast"/>
                    <w:ind w:left="0" w:right="0"/>
                    <w:rPr>
                      <w:rFonts w:hint="default" w:ascii="宋体" w:hAnsi="宋体" w:eastAsia="宋体" w:cs="Calibri"/>
                      <w:color w:val="auto"/>
                      <w:sz w:val="21"/>
                      <w:szCs w:val="21"/>
                      <w:highlight w:val="none"/>
                    </w:rPr>
                  </w:pPr>
                  <w:r>
                    <w:rPr>
                      <w:rFonts w:hint="eastAsia" w:ascii="宋体" w:hAnsi="宋体" w:eastAsia="宋体" w:cs="宋体"/>
                      <w:color w:val="auto"/>
                      <w:kern w:val="0"/>
                      <w:sz w:val="21"/>
                      <w:szCs w:val="21"/>
                      <w:highlight w:val="none"/>
                    </w:rPr>
                    <w:t>福安市、福鼎市、霞浦县、古田县、屏南县、寿宁县、周宁县、柘荣县等宁德市非区内范围</w:t>
                  </w:r>
                </w:p>
              </w:tc>
            </w:tr>
          </w:tbl>
          <w:p w14:paraId="4B288131">
            <w:pPr>
              <w:keepNext w:val="0"/>
              <w:keepLines w:val="0"/>
              <w:suppressLineNumbers w:val="0"/>
              <w:shd w:val="clear" w:color="auto" w:fill="auto"/>
              <w:suppressAutoHyphens/>
              <w:bidi w:val="0"/>
              <w:spacing w:before="0" w:beforeAutospacing="0" w:after="0" w:afterAutospacing="0"/>
              <w:ind w:left="0" w:right="0"/>
              <w:rPr>
                <w:rFonts w:hint="default" w:ascii="宋体" w:hAnsi="宋体" w:eastAsia="宋体" w:cs="Arial"/>
                <w:b/>
                <w:bCs/>
                <w:color w:val="auto"/>
                <w:sz w:val="21"/>
                <w:szCs w:val="21"/>
                <w:highlight w:val="none"/>
              </w:rPr>
            </w:pPr>
          </w:p>
        </w:tc>
      </w:tr>
    </w:tbl>
    <w:p w14:paraId="268A92DE">
      <w:pPr>
        <w:suppressAutoHyphens/>
        <w:bidi w:val="0"/>
        <w:spacing w:line="360" w:lineRule="auto"/>
        <w:ind w:left="0" w:leftChars="0" w:firstLine="0" w:firstLineChars="0"/>
        <w:jc w:val="left"/>
        <w:rPr>
          <w:rFonts w:hint="default" w:ascii="宋体" w:hAnsi="宋体" w:eastAsia="宋体" w:cs="仿宋"/>
          <w:color w:val="auto"/>
          <w:sz w:val="24"/>
          <w:szCs w:val="24"/>
          <w:highlight w:val="none"/>
          <w:lang w:val="en-US" w:eastAsia="zh-CN"/>
        </w:rPr>
      </w:pPr>
    </w:p>
    <w:p w14:paraId="33162200">
      <w:pPr>
        <w:suppressAutoHyphens/>
        <w:bidi w:val="0"/>
        <w:spacing w:line="360" w:lineRule="auto"/>
        <w:ind w:left="0" w:leftChars="0" w:firstLine="0" w:firstLineChars="0"/>
        <w:jc w:val="left"/>
        <w:rPr>
          <w:rFonts w:ascii="宋体" w:hAnsi="宋体" w:eastAsia="宋体" w:cs="仿宋"/>
          <w:color w:val="auto"/>
          <w:sz w:val="24"/>
          <w:szCs w:val="24"/>
          <w:highlight w:val="none"/>
        </w:rPr>
        <w:sectPr>
          <w:footerReference r:id="rId4" w:type="default"/>
          <w:pgSz w:w="11906" w:h="16838"/>
          <w:pgMar w:top="1440" w:right="1800" w:bottom="1440" w:left="1800" w:header="720" w:footer="720" w:gutter="0"/>
          <w:cols w:space="720" w:num="1"/>
          <w:docGrid w:type="lines" w:linePitch="312" w:charSpace="0"/>
        </w:sectPr>
      </w:pPr>
    </w:p>
    <w:p w14:paraId="58E706E2">
      <w:pPr>
        <w:keepNext w:val="0"/>
        <w:keepLines w:val="0"/>
        <w:widowControl w:val="0"/>
        <w:suppressLineNumbers w:val="0"/>
        <w:suppressAutoHyphens/>
        <w:spacing w:before="0" w:beforeAutospacing="0" w:after="0" w:afterAutospacing="0"/>
        <w:ind w:left="0" w:right="0"/>
        <w:jc w:val="both"/>
        <w:rPr>
          <w:rFonts w:hint="eastAsia" w:ascii="Calibri" w:hAnsi="Calibri" w:eastAsia="宋体" w:cs="Times New Roman"/>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附件三、授权委托书</w:t>
      </w:r>
    </w:p>
    <w:p w14:paraId="7395A347">
      <w:pPr>
        <w:pStyle w:val="12"/>
        <w:keepNext w:val="0"/>
        <w:keepLines w:val="0"/>
        <w:widowControl w:val="0"/>
        <w:suppressLineNumbers w:val="0"/>
        <w:suppressAutoHyphens/>
        <w:spacing w:before="0" w:beforeAutospacing="0" w:after="120" w:afterAutospacing="0" w:line="240" w:lineRule="auto"/>
        <w:ind w:left="0" w:right="0" w:firstLine="210" w:firstLineChars="100"/>
        <w:jc w:val="both"/>
        <w:rPr>
          <w:rFonts w:hint="default" w:ascii="Calibri" w:hAnsi="Calibri" w:eastAsia="宋体" w:cs="Times New Roman"/>
          <w:color w:val="auto"/>
          <w:kern w:val="2"/>
          <w:sz w:val="21"/>
          <w:szCs w:val="21"/>
          <w:highlight w:val="none"/>
        </w:rPr>
      </w:pPr>
      <w:r>
        <w:rPr>
          <w:rFonts w:hint="default" w:ascii="Calibri" w:hAnsi="Calibri" w:eastAsia="宋体" w:cs="Times New Roman"/>
          <w:color w:val="auto"/>
          <w:kern w:val="2"/>
          <w:sz w:val="21"/>
          <w:szCs w:val="21"/>
          <w:highlight w:val="none"/>
          <w:lang w:val="en-US" w:eastAsia="zh-CN" w:bidi="ar"/>
        </w:rPr>
        <w:t xml:space="preserve"> </w:t>
      </w:r>
    </w:p>
    <w:p w14:paraId="6C5F5B6B">
      <w:pPr>
        <w:pStyle w:val="12"/>
        <w:keepNext w:val="0"/>
        <w:keepLines w:val="0"/>
        <w:widowControl w:val="0"/>
        <w:suppressLineNumbers w:val="0"/>
        <w:suppressAutoHyphens/>
        <w:spacing w:before="0" w:beforeAutospacing="0" w:after="120" w:afterAutospacing="0" w:line="360" w:lineRule="auto"/>
        <w:ind w:left="0" w:right="0" w:firstLine="241" w:firstLineChars="100"/>
        <w:jc w:val="center"/>
        <w:rPr>
          <w:rFonts w:hint="eastAsia" w:ascii="Calibri" w:hAnsi="Calibri" w:eastAsia="宋体" w:cs="Times New Roman"/>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授权委托书</w:t>
      </w:r>
    </w:p>
    <w:p w14:paraId="301F7AE2">
      <w:pPr>
        <w:pStyle w:val="12"/>
        <w:keepNext w:val="0"/>
        <w:keepLines w:val="0"/>
        <w:widowControl w:val="0"/>
        <w:suppressLineNumbers w:val="0"/>
        <w:suppressAutoHyphens/>
        <w:spacing w:before="0" w:beforeAutospacing="0" w:after="120" w:afterAutospacing="0" w:line="360" w:lineRule="auto"/>
        <w:ind w:left="0" w:right="0" w:firstLine="210" w:firstLineChars="100"/>
        <w:jc w:val="left"/>
        <w:rPr>
          <w:rFonts w:hint="eastAsia" w:ascii="Calibri" w:hAnsi="Calibri"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致：厦门万翔网络商务有限公司</w:t>
      </w:r>
    </w:p>
    <w:p w14:paraId="1DC11003">
      <w:pPr>
        <w:pStyle w:val="12"/>
        <w:keepNext w:val="0"/>
        <w:keepLines w:val="0"/>
        <w:widowControl w:val="0"/>
        <w:suppressLineNumbers w:val="0"/>
        <w:suppressAutoHyphens/>
        <w:spacing w:before="0" w:beforeAutospacing="0" w:after="120" w:afterAutospacing="0" w:line="360" w:lineRule="auto"/>
        <w:ind w:left="0" w:right="0" w:firstLine="420" w:firstLineChars="200"/>
        <w:jc w:val="left"/>
        <w:rPr>
          <w:rFonts w:hint="eastAsia" w:ascii="Calibri" w:hAnsi="Calibri"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我公司已入围</w:t>
      </w:r>
      <w:r>
        <w:rPr>
          <w:rFonts w:hint="default" w:ascii="Calibri" w:hAnsi="Calibri" w:eastAsia="宋体" w:cs="Calibri"/>
          <w:color w:val="auto"/>
          <w:kern w:val="2"/>
          <w:sz w:val="21"/>
          <w:szCs w:val="21"/>
          <w:highlight w:val="none"/>
          <w:lang w:val="en-US" w:eastAsia="zh-CN" w:bidi="ar"/>
        </w:rPr>
        <w:t>XXXXXXX</w:t>
      </w:r>
      <w:r>
        <w:rPr>
          <w:rFonts w:hint="eastAsia" w:ascii="宋体" w:hAnsi="宋体" w:eastAsia="宋体" w:cs="宋体"/>
          <w:color w:val="auto"/>
          <w:kern w:val="2"/>
          <w:sz w:val="21"/>
          <w:szCs w:val="21"/>
          <w:highlight w:val="none"/>
          <w:lang w:val="en-US" w:eastAsia="zh-CN" w:bidi="ar"/>
        </w:rPr>
        <w:t>项目（项目编号：       ），并与贵公司签订《封闭式框架协议》。现我公司委托</w:t>
      </w:r>
      <w:r>
        <w:rPr>
          <w:rFonts w:hint="default" w:ascii="Calibri" w:hAnsi="Calibri" w:eastAsia="宋体" w:cs="Calibri"/>
          <w:color w:val="auto"/>
          <w:kern w:val="2"/>
          <w:sz w:val="21"/>
          <w:szCs w:val="21"/>
          <w:highlight w:val="none"/>
          <w:lang w:val="en-US" w:eastAsia="zh-CN" w:bidi="ar"/>
        </w:rPr>
        <w:t>xxx</w:t>
      </w:r>
      <w:r>
        <w:rPr>
          <w:rFonts w:hint="eastAsia" w:ascii="宋体" w:hAnsi="宋体" w:eastAsia="宋体" w:cs="宋体"/>
          <w:color w:val="auto"/>
          <w:kern w:val="2"/>
          <w:sz w:val="21"/>
          <w:szCs w:val="21"/>
          <w:highlight w:val="none"/>
          <w:lang w:val="en-US" w:eastAsia="zh-CN" w:bidi="ar"/>
        </w:rPr>
        <w:t>公司（以下简称“代理商”）与贵公司就第二阶段签订采购合同并按照合同约定履行相应义务。</w:t>
      </w:r>
    </w:p>
    <w:p w14:paraId="24C8D956">
      <w:pPr>
        <w:pStyle w:val="12"/>
        <w:keepNext w:val="0"/>
        <w:keepLines w:val="0"/>
        <w:widowControl w:val="0"/>
        <w:suppressLineNumbers w:val="0"/>
        <w:suppressAutoHyphens/>
        <w:spacing w:before="0" w:beforeAutospacing="0" w:after="120" w:afterAutospacing="0" w:line="360" w:lineRule="auto"/>
        <w:ind w:left="0" w:right="0" w:firstLine="420" w:firstLineChars="200"/>
        <w:jc w:val="left"/>
        <w:rPr>
          <w:rFonts w:hint="eastAsia" w:ascii="Calibri" w:hAnsi="Calibri"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我公司对代理商未履行采购合同项下义务而产生的一切法律责任承担无限连带保证责任，保证期间为代理商债务履行期限届满之日起算两年。贵公司有权从我公司依据《封闭式框架协议》缴纳的履约保证金中扣除相应违约金、损害赔偿金</w:t>
      </w:r>
      <w:r>
        <w:rPr>
          <w:rFonts w:hint="default" w:ascii="宋体" w:hAnsi="宋体" w:cs="宋体"/>
          <w:color w:val="auto"/>
          <w:kern w:val="2"/>
          <w:sz w:val="21"/>
          <w:szCs w:val="21"/>
          <w:highlight w:val="none"/>
          <w:lang w:eastAsia="zh-CN" w:bidi="ar"/>
        </w:rPr>
        <w:t>等</w:t>
      </w:r>
      <w:r>
        <w:rPr>
          <w:rFonts w:hint="eastAsia" w:ascii="宋体" w:hAnsi="宋体" w:eastAsia="宋体" w:cs="宋体"/>
          <w:color w:val="auto"/>
          <w:kern w:val="2"/>
          <w:sz w:val="21"/>
          <w:szCs w:val="21"/>
          <w:highlight w:val="none"/>
          <w:lang w:val="en-US" w:eastAsia="zh-CN" w:bidi="ar"/>
        </w:rPr>
        <w:t>，如履约保证金不足以弥补贵公司损失的，我公司将继续补偿。</w:t>
      </w:r>
    </w:p>
    <w:p w14:paraId="574308BC">
      <w:pPr>
        <w:pStyle w:val="12"/>
        <w:keepNext w:val="0"/>
        <w:keepLines w:val="0"/>
        <w:widowControl w:val="0"/>
        <w:suppressLineNumbers w:val="0"/>
        <w:suppressAutoHyphens/>
        <w:spacing w:before="0" w:beforeAutospacing="0" w:after="120" w:afterAutospacing="0" w:line="360" w:lineRule="auto"/>
        <w:ind w:left="0" w:right="0" w:firstLine="420" w:firstLineChars="200"/>
        <w:jc w:val="left"/>
        <w:rPr>
          <w:rFonts w:hint="eastAsia" w:ascii="Calibri" w:hAnsi="Calibri"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本授权委托书自出具之日起生效，未经贵公司书面同意不可撤回。</w:t>
      </w:r>
    </w:p>
    <w:p w14:paraId="06180831">
      <w:pPr>
        <w:pStyle w:val="12"/>
        <w:keepNext w:val="0"/>
        <w:keepLines w:val="0"/>
        <w:widowControl w:val="0"/>
        <w:suppressLineNumbers w:val="0"/>
        <w:suppressAutoHyphens/>
        <w:spacing w:before="0" w:beforeAutospacing="0" w:after="120" w:afterAutospacing="0" w:line="360" w:lineRule="auto"/>
        <w:ind w:left="0" w:right="0" w:firstLine="420" w:firstLineChars="200"/>
        <w:jc w:val="right"/>
        <w:rPr>
          <w:rFonts w:hint="eastAsia" w:ascii="Calibri" w:hAnsi="Calibri" w:eastAsia="宋体" w:cs="Times New Roman"/>
          <w:color w:val="auto"/>
          <w:kern w:val="2"/>
          <w:sz w:val="21"/>
          <w:szCs w:val="21"/>
          <w:highlight w:val="none"/>
        </w:rPr>
      </w:pPr>
      <w:r>
        <w:rPr>
          <w:rFonts w:hint="default" w:ascii="Calibri" w:hAnsi="Calibri" w:eastAsia="宋体" w:cs="Calibri"/>
          <w:color w:val="auto"/>
          <w:kern w:val="2"/>
          <w:sz w:val="21"/>
          <w:szCs w:val="21"/>
          <w:highlight w:val="none"/>
          <w:lang w:val="en-US" w:eastAsia="zh-CN" w:bidi="ar"/>
        </w:rPr>
        <w:t>Xxx</w:t>
      </w:r>
      <w:r>
        <w:rPr>
          <w:rFonts w:hint="eastAsia" w:ascii="宋体" w:hAnsi="宋体" w:eastAsia="宋体" w:cs="宋体"/>
          <w:color w:val="auto"/>
          <w:kern w:val="2"/>
          <w:sz w:val="21"/>
          <w:szCs w:val="21"/>
          <w:highlight w:val="none"/>
          <w:lang w:val="en-US" w:eastAsia="zh-CN" w:bidi="ar"/>
        </w:rPr>
        <w:t>公司</w:t>
      </w:r>
    </w:p>
    <w:p w14:paraId="1290D827">
      <w:pPr>
        <w:pStyle w:val="12"/>
        <w:widowControl/>
        <w:spacing w:before="50" w:beforeAutospacing="0" w:after="50" w:afterAutospacing="0"/>
        <w:jc w:val="right"/>
        <w:rPr>
          <w:rStyle w:val="17"/>
          <w:rFonts w:hint="eastAsia" w:ascii="宋体" w:hAnsi="宋体" w:cs="宋体"/>
          <w:color w:val="auto"/>
          <w:sz w:val="28"/>
          <w:szCs w:val="28"/>
          <w:highlight w:val="none"/>
        </w:rPr>
      </w:pPr>
      <w:r>
        <w:rPr>
          <w:rFonts w:hint="default" w:ascii="Calibri" w:hAnsi="Calibri" w:eastAsia="宋体" w:cs="Calibri"/>
          <w:color w:val="auto"/>
          <w:kern w:val="2"/>
          <w:sz w:val="21"/>
          <w:szCs w:val="21"/>
          <w:highlight w:val="none"/>
          <w:lang w:val="en-US" w:eastAsia="zh-CN" w:bidi="ar"/>
        </w:rPr>
        <w:t>Xx</w:t>
      </w:r>
      <w:r>
        <w:rPr>
          <w:rFonts w:hint="eastAsia" w:ascii="宋体" w:hAnsi="宋体" w:eastAsia="宋体" w:cs="宋体"/>
          <w:color w:val="auto"/>
          <w:kern w:val="2"/>
          <w:sz w:val="21"/>
          <w:szCs w:val="21"/>
          <w:highlight w:val="none"/>
          <w:lang w:val="en-US" w:eastAsia="zh-CN" w:bidi="ar"/>
        </w:rPr>
        <w:t>年</w:t>
      </w:r>
      <w:r>
        <w:rPr>
          <w:rFonts w:hint="default" w:ascii="Calibri" w:hAnsi="Calibri" w:eastAsia="宋体" w:cs="Calibri"/>
          <w:color w:val="auto"/>
          <w:kern w:val="2"/>
          <w:sz w:val="21"/>
          <w:szCs w:val="21"/>
          <w:highlight w:val="none"/>
          <w:lang w:val="en-US" w:eastAsia="zh-CN" w:bidi="ar"/>
        </w:rPr>
        <w:t>xx</w:t>
      </w:r>
      <w:r>
        <w:rPr>
          <w:rFonts w:hint="eastAsia" w:ascii="宋体" w:hAnsi="宋体" w:eastAsia="宋体" w:cs="宋体"/>
          <w:color w:val="auto"/>
          <w:kern w:val="2"/>
          <w:sz w:val="21"/>
          <w:szCs w:val="21"/>
          <w:highlight w:val="none"/>
          <w:lang w:val="en-US" w:eastAsia="zh-CN" w:bidi="ar"/>
        </w:rPr>
        <w:t>月</w:t>
      </w:r>
      <w:r>
        <w:rPr>
          <w:rFonts w:hint="default" w:ascii="Calibri" w:hAnsi="Calibri" w:eastAsia="宋体" w:cs="Calibri"/>
          <w:color w:val="auto"/>
          <w:kern w:val="2"/>
          <w:sz w:val="21"/>
          <w:szCs w:val="21"/>
          <w:highlight w:val="none"/>
          <w:lang w:val="en-US" w:eastAsia="zh-CN" w:bidi="ar"/>
        </w:rPr>
        <w:t>xx</w:t>
      </w:r>
      <w:r>
        <w:rPr>
          <w:rFonts w:hint="eastAsia" w:ascii="宋体" w:hAnsi="宋体" w:eastAsia="宋体" w:cs="宋体"/>
          <w:color w:val="auto"/>
          <w:kern w:val="2"/>
          <w:sz w:val="21"/>
          <w:szCs w:val="21"/>
          <w:highlight w:val="none"/>
          <w:lang w:val="en-US" w:eastAsia="zh-CN" w:bidi="ar"/>
        </w:rPr>
        <w:t>日</w:t>
      </w:r>
    </w:p>
    <w:p w14:paraId="658AC362">
      <w:pPr>
        <w:rPr>
          <w:rStyle w:val="17"/>
          <w:rFonts w:hint="eastAsia" w:ascii="宋体" w:hAnsi="宋体" w:cs="宋体"/>
          <w:color w:val="auto"/>
          <w:sz w:val="32"/>
          <w:szCs w:val="32"/>
          <w:highlight w:val="none"/>
        </w:rPr>
      </w:pPr>
      <w:r>
        <w:rPr>
          <w:rStyle w:val="17"/>
          <w:rFonts w:hint="eastAsia" w:ascii="宋体" w:hAnsi="宋体" w:cs="宋体"/>
          <w:color w:val="auto"/>
          <w:sz w:val="32"/>
          <w:szCs w:val="32"/>
          <w:highlight w:val="none"/>
        </w:rPr>
        <w:br w:type="page"/>
      </w:r>
    </w:p>
    <w:p w14:paraId="1587757C">
      <w:pPr>
        <w:pStyle w:val="12"/>
        <w:widowControl/>
        <w:spacing w:before="50" w:beforeAutospacing="0" w:after="50" w:afterAutospacing="0"/>
        <w:jc w:val="center"/>
        <w:outlineLvl w:val="0"/>
        <w:rPr>
          <w:rFonts w:ascii="宋体" w:hAnsi="宋体" w:cs="宋体"/>
          <w:color w:val="auto"/>
          <w:sz w:val="32"/>
          <w:szCs w:val="32"/>
          <w:highlight w:val="none"/>
        </w:rPr>
      </w:pPr>
      <w:r>
        <w:rPr>
          <w:rStyle w:val="17"/>
          <w:rFonts w:hint="eastAsia" w:ascii="宋体" w:hAnsi="宋体" w:cs="宋体"/>
          <w:color w:val="auto"/>
          <w:sz w:val="32"/>
          <w:szCs w:val="32"/>
          <w:highlight w:val="none"/>
        </w:rPr>
        <w:t>第七章</w:t>
      </w:r>
      <w:r>
        <w:rPr>
          <w:rStyle w:val="17"/>
          <w:rFonts w:hint="default" w:ascii="宋体" w:hAnsi="宋体" w:cs="宋体"/>
          <w:color w:val="auto"/>
          <w:sz w:val="32"/>
          <w:szCs w:val="32"/>
          <w:highlight w:val="none"/>
        </w:rPr>
        <w:t xml:space="preserve">  </w:t>
      </w:r>
      <w:r>
        <w:rPr>
          <w:rStyle w:val="17"/>
          <w:rFonts w:hint="eastAsia" w:ascii="宋体" w:hAnsi="宋体" w:cs="宋体"/>
          <w:color w:val="auto"/>
          <w:sz w:val="32"/>
          <w:szCs w:val="32"/>
          <w:highlight w:val="none"/>
        </w:rPr>
        <w:t>响应文件格式</w:t>
      </w:r>
    </w:p>
    <w:p w14:paraId="65A688DF">
      <w:pPr>
        <w:pStyle w:val="12"/>
        <w:widowControl/>
        <w:spacing w:before="0" w:beforeAutospacing="0" w:after="0" w:afterAutospacing="0" w:line="360" w:lineRule="auto"/>
        <w:jc w:val="center"/>
        <w:outlineLvl w:val="1"/>
        <w:rPr>
          <w:rFonts w:ascii="宋体" w:hAnsi="宋体" w:cs="宋体"/>
          <w:color w:val="auto"/>
          <w:highlight w:val="none"/>
        </w:rPr>
      </w:pPr>
      <w:r>
        <w:rPr>
          <w:rStyle w:val="17"/>
          <w:rFonts w:hint="eastAsia" w:ascii="宋体" w:hAnsi="宋体" w:cs="宋体"/>
          <w:color w:val="auto"/>
          <w:highlight w:val="none"/>
        </w:rPr>
        <w:t>编制说明</w:t>
      </w:r>
    </w:p>
    <w:p w14:paraId="41BD78D4">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081F2D16">
      <w:pPr>
        <w:pStyle w:val="12"/>
        <w:widowControl/>
        <w:spacing w:before="0" w:beforeAutospacing="0" w:after="0" w:afterAutospacing="0" w:line="360" w:lineRule="auto"/>
        <w:ind w:firstLine="320"/>
        <w:rPr>
          <w:rFonts w:ascii="宋体" w:hAnsi="宋体" w:cs="宋体"/>
          <w:color w:val="auto"/>
          <w:highlight w:val="none"/>
        </w:rPr>
      </w:pPr>
      <w:r>
        <w:rPr>
          <w:rFonts w:hint="eastAsia" w:ascii="宋体" w:hAnsi="宋体" w:cs="宋体"/>
          <w:color w:val="auto"/>
          <w:highlight w:val="none"/>
        </w:rPr>
        <w:t>1、除征集文件另有规定外，本章中：</w:t>
      </w:r>
    </w:p>
    <w:p w14:paraId="32DE5E9B">
      <w:pPr>
        <w:pStyle w:val="12"/>
        <w:widowControl/>
        <w:spacing w:before="0" w:beforeAutospacing="0" w:after="0" w:afterAutospacing="0" w:line="360" w:lineRule="auto"/>
        <w:ind w:firstLine="320"/>
        <w:rPr>
          <w:rFonts w:ascii="宋体" w:hAnsi="宋体" w:cs="宋体"/>
          <w:color w:val="auto"/>
          <w:highlight w:val="none"/>
        </w:rPr>
      </w:pPr>
      <w:r>
        <w:rPr>
          <w:rFonts w:hint="eastAsia" w:ascii="宋体" w:hAnsi="宋体" w:cs="宋体"/>
          <w:color w:val="auto"/>
          <w:highlight w:val="none"/>
        </w:rPr>
        <w:t>1.1涉及投标人的</w:t>
      </w:r>
      <w:r>
        <w:rPr>
          <w:rStyle w:val="17"/>
          <w:rFonts w:hint="eastAsia" w:ascii="宋体" w:hAnsi="宋体" w:cs="宋体"/>
          <w:color w:val="auto"/>
          <w:highlight w:val="none"/>
        </w:rPr>
        <w:t>“全称”</w:t>
      </w:r>
      <w:r>
        <w:rPr>
          <w:rFonts w:hint="eastAsia" w:ascii="宋体" w:hAnsi="宋体" w:cs="宋体"/>
          <w:color w:val="auto"/>
          <w:highlight w:val="none"/>
        </w:rPr>
        <w:t>：</w:t>
      </w:r>
    </w:p>
    <w:p w14:paraId="19E14B99">
      <w:pPr>
        <w:pStyle w:val="12"/>
        <w:widowControl/>
        <w:spacing w:before="0" w:beforeAutospacing="0" w:after="0" w:afterAutospacing="0" w:line="360" w:lineRule="auto"/>
        <w:ind w:firstLine="320"/>
        <w:rPr>
          <w:rFonts w:ascii="宋体" w:hAnsi="宋体" w:cs="宋体"/>
          <w:color w:val="auto"/>
          <w:highlight w:val="none"/>
        </w:rPr>
      </w:pPr>
      <w:r>
        <w:rPr>
          <w:rFonts w:hint="eastAsia" w:ascii="宋体" w:hAnsi="宋体" w:cs="宋体"/>
          <w:color w:val="auto"/>
          <w:highlight w:val="none"/>
        </w:rPr>
        <w:t>（1）不接受联合体投标的，指</w:t>
      </w:r>
      <w:r>
        <w:rPr>
          <w:rStyle w:val="17"/>
          <w:rFonts w:hint="eastAsia" w:ascii="宋体" w:hAnsi="宋体" w:cs="宋体"/>
          <w:color w:val="auto"/>
          <w:highlight w:val="none"/>
        </w:rPr>
        <w:t>投标人的全称</w:t>
      </w:r>
      <w:r>
        <w:rPr>
          <w:rFonts w:hint="eastAsia" w:ascii="宋体" w:hAnsi="宋体" w:cs="宋体"/>
          <w:color w:val="auto"/>
          <w:highlight w:val="none"/>
        </w:rPr>
        <w:t>。</w:t>
      </w:r>
    </w:p>
    <w:p w14:paraId="5FDBADFA">
      <w:pPr>
        <w:pStyle w:val="12"/>
        <w:widowControl/>
        <w:spacing w:before="0" w:beforeAutospacing="0" w:after="0" w:afterAutospacing="0" w:line="360" w:lineRule="auto"/>
        <w:ind w:firstLine="320"/>
        <w:rPr>
          <w:rFonts w:ascii="宋体" w:hAnsi="宋体" w:cs="宋体"/>
          <w:color w:val="auto"/>
          <w:highlight w:val="none"/>
        </w:rPr>
      </w:pPr>
      <w:r>
        <w:rPr>
          <w:rFonts w:hint="eastAsia" w:ascii="宋体" w:hAnsi="宋体" w:cs="宋体"/>
          <w:color w:val="auto"/>
          <w:highlight w:val="none"/>
        </w:rPr>
        <w:t>（2）接受联合体投标且投标人为联合体的，指</w:t>
      </w:r>
      <w:r>
        <w:rPr>
          <w:rStyle w:val="17"/>
          <w:rFonts w:hint="eastAsia" w:ascii="宋体" w:hAnsi="宋体" w:cs="宋体"/>
          <w:color w:val="auto"/>
          <w:highlight w:val="none"/>
        </w:rPr>
        <w:t>牵头方的全称</w:t>
      </w:r>
      <w:r>
        <w:rPr>
          <w:rFonts w:hint="eastAsia" w:ascii="宋体" w:hAnsi="宋体" w:cs="宋体"/>
          <w:color w:val="auto"/>
          <w:highlight w:val="none"/>
        </w:rPr>
        <w:t>并加注</w:t>
      </w:r>
      <w:r>
        <w:rPr>
          <w:rStyle w:val="17"/>
          <w:rFonts w:hint="eastAsia" w:ascii="宋体" w:hAnsi="宋体" w:cs="宋体"/>
          <w:color w:val="auto"/>
          <w:highlight w:val="none"/>
        </w:rPr>
        <w:t>（联合体牵头方）</w:t>
      </w:r>
      <w:r>
        <w:rPr>
          <w:rFonts w:hint="eastAsia" w:ascii="宋体" w:hAnsi="宋体" w:cs="宋体"/>
          <w:color w:val="auto"/>
          <w:highlight w:val="none"/>
        </w:rPr>
        <w:t>，即应表述为：</w:t>
      </w:r>
      <w:r>
        <w:rPr>
          <w:rStyle w:val="17"/>
          <w:rFonts w:hint="eastAsia" w:ascii="宋体" w:hAnsi="宋体" w:cs="宋体"/>
          <w:color w:val="auto"/>
          <w:highlight w:val="none"/>
        </w:rPr>
        <w:t>“牵头方的全称（联合体牵头方）”</w:t>
      </w:r>
      <w:r>
        <w:rPr>
          <w:rFonts w:hint="eastAsia" w:ascii="宋体" w:hAnsi="宋体" w:cs="宋体"/>
          <w:color w:val="auto"/>
          <w:highlight w:val="none"/>
        </w:rPr>
        <w:t>。</w:t>
      </w:r>
    </w:p>
    <w:p w14:paraId="2FEB5592">
      <w:pPr>
        <w:pStyle w:val="12"/>
        <w:widowControl/>
        <w:spacing w:before="0" w:beforeAutospacing="0" w:after="0" w:afterAutospacing="0" w:line="360" w:lineRule="auto"/>
        <w:ind w:firstLine="320"/>
        <w:rPr>
          <w:rFonts w:ascii="宋体" w:hAnsi="宋体" w:cs="宋体"/>
          <w:color w:val="auto"/>
          <w:highlight w:val="none"/>
        </w:rPr>
      </w:pPr>
      <w:r>
        <w:rPr>
          <w:rFonts w:hint="eastAsia" w:ascii="宋体" w:hAnsi="宋体" w:cs="宋体"/>
          <w:color w:val="auto"/>
          <w:highlight w:val="none"/>
        </w:rPr>
        <w:t>1.2涉及投标人</w:t>
      </w:r>
      <w:r>
        <w:rPr>
          <w:rStyle w:val="17"/>
          <w:rFonts w:hint="eastAsia" w:ascii="宋体" w:hAnsi="宋体" w:cs="宋体"/>
          <w:color w:val="auto"/>
          <w:highlight w:val="none"/>
        </w:rPr>
        <w:t>“加盖单位公章”</w:t>
      </w:r>
      <w:r>
        <w:rPr>
          <w:rFonts w:hint="eastAsia" w:ascii="宋体" w:hAnsi="宋体" w:cs="宋体"/>
          <w:color w:val="auto"/>
          <w:highlight w:val="none"/>
        </w:rPr>
        <w:t>：</w:t>
      </w:r>
    </w:p>
    <w:p w14:paraId="4609D301">
      <w:pPr>
        <w:pStyle w:val="12"/>
        <w:widowControl/>
        <w:tabs>
          <w:tab w:val="left" w:pos="6946"/>
        </w:tabs>
        <w:spacing w:before="0" w:beforeAutospacing="0" w:after="0" w:afterAutospacing="0" w:line="360" w:lineRule="auto"/>
        <w:ind w:firstLine="320"/>
        <w:rPr>
          <w:rFonts w:ascii="宋体" w:hAnsi="宋体" w:cs="宋体"/>
          <w:color w:val="auto"/>
          <w:highlight w:val="none"/>
        </w:rPr>
      </w:pPr>
      <w:r>
        <w:rPr>
          <w:rFonts w:hint="eastAsia" w:ascii="宋体" w:hAnsi="宋体" w:cs="宋体"/>
          <w:color w:val="auto"/>
          <w:highlight w:val="none"/>
        </w:rPr>
        <w:t>（1）不接受联合体投标的，指</w:t>
      </w:r>
      <w:r>
        <w:rPr>
          <w:rStyle w:val="17"/>
          <w:rFonts w:hint="eastAsia" w:ascii="宋体" w:hAnsi="宋体" w:cs="宋体"/>
          <w:color w:val="auto"/>
          <w:highlight w:val="none"/>
        </w:rPr>
        <w:t>加盖投标人的单位公章</w:t>
      </w:r>
      <w:r>
        <w:rPr>
          <w:rFonts w:hint="eastAsia" w:ascii="宋体" w:hAnsi="宋体" w:cs="宋体"/>
          <w:color w:val="auto"/>
          <w:highlight w:val="none"/>
        </w:rPr>
        <w:t>。</w:t>
      </w:r>
    </w:p>
    <w:p w14:paraId="15CF92F8">
      <w:pPr>
        <w:pStyle w:val="12"/>
        <w:widowControl/>
        <w:spacing w:before="0" w:beforeAutospacing="0" w:after="0" w:afterAutospacing="0" w:line="360" w:lineRule="auto"/>
        <w:ind w:firstLine="320"/>
        <w:rPr>
          <w:rFonts w:ascii="宋体" w:hAnsi="宋体" w:cs="宋体"/>
          <w:color w:val="auto"/>
          <w:highlight w:val="none"/>
        </w:rPr>
      </w:pPr>
      <w:r>
        <w:rPr>
          <w:rFonts w:hint="eastAsia" w:ascii="宋体" w:hAnsi="宋体" w:cs="宋体"/>
          <w:color w:val="auto"/>
          <w:highlight w:val="none"/>
        </w:rPr>
        <w:t>（2）接受联合体投标且投标人为联合体的，指</w:t>
      </w:r>
      <w:r>
        <w:rPr>
          <w:rStyle w:val="17"/>
          <w:rFonts w:hint="eastAsia" w:ascii="宋体" w:hAnsi="宋体" w:cs="宋体"/>
          <w:color w:val="auto"/>
          <w:highlight w:val="none"/>
        </w:rPr>
        <w:t>加盖联合体牵头方的单位公章</w:t>
      </w:r>
      <w:r>
        <w:rPr>
          <w:rFonts w:hint="eastAsia" w:ascii="宋体" w:hAnsi="宋体" w:cs="宋体"/>
          <w:color w:val="auto"/>
          <w:highlight w:val="none"/>
        </w:rPr>
        <w:t>。</w:t>
      </w:r>
    </w:p>
    <w:p w14:paraId="3B1F972E">
      <w:pPr>
        <w:pStyle w:val="12"/>
        <w:widowControl/>
        <w:spacing w:before="0" w:beforeAutospacing="0" w:after="0" w:afterAutospacing="0" w:line="360" w:lineRule="auto"/>
        <w:ind w:firstLine="320"/>
        <w:rPr>
          <w:rFonts w:ascii="宋体" w:hAnsi="宋体" w:cs="宋体"/>
          <w:color w:val="auto"/>
          <w:highlight w:val="none"/>
        </w:rPr>
      </w:pPr>
      <w:r>
        <w:rPr>
          <w:rFonts w:hint="eastAsia" w:ascii="宋体" w:hAnsi="宋体" w:cs="宋体"/>
          <w:color w:val="auto"/>
          <w:highlight w:val="none"/>
        </w:rPr>
        <w:t>1.3涉及</w:t>
      </w:r>
      <w:r>
        <w:rPr>
          <w:rStyle w:val="17"/>
          <w:rFonts w:hint="eastAsia" w:ascii="宋体" w:hAnsi="宋体" w:cs="宋体"/>
          <w:color w:val="auto"/>
          <w:highlight w:val="none"/>
        </w:rPr>
        <w:t>“投标人代表签字”</w:t>
      </w:r>
      <w:r>
        <w:rPr>
          <w:rFonts w:hint="eastAsia" w:ascii="宋体" w:hAnsi="宋体" w:cs="宋体"/>
          <w:color w:val="auto"/>
          <w:highlight w:val="none"/>
        </w:rPr>
        <w:t>：</w:t>
      </w:r>
    </w:p>
    <w:p w14:paraId="6554B823">
      <w:pPr>
        <w:pStyle w:val="12"/>
        <w:widowControl/>
        <w:spacing w:before="0" w:beforeAutospacing="0" w:after="0" w:afterAutospacing="0" w:line="360" w:lineRule="auto"/>
        <w:ind w:firstLine="320"/>
        <w:rPr>
          <w:rFonts w:ascii="宋体" w:hAnsi="宋体" w:cs="宋体"/>
          <w:color w:val="auto"/>
          <w:highlight w:val="none"/>
        </w:rPr>
      </w:pPr>
      <w:r>
        <w:rPr>
          <w:rFonts w:hint="eastAsia" w:ascii="宋体" w:hAnsi="宋体" w:cs="宋体"/>
          <w:color w:val="auto"/>
          <w:highlight w:val="none"/>
        </w:rPr>
        <w:t>（1）不接受联合体投标的，指由</w:t>
      </w:r>
      <w:r>
        <w:rPr>
          <w:rStyle w:val="17"/>
          <w:rFonts w:hint="eastAsia" w:ascii="宋体" w:hAnsi="宋体" w:cs="宋体"/>
          <w:color w:val="auto"/>
          <w:highlight w:val="none"/>
        </w:rPr>
        <w:t>投标人的单位负责人或其授权的委托代理人签字</w:t>
      </w:r>
      <w:r>
        <w:rPr>
          <w:rFonts w:hint="eastAsia" w:ascii="宋体" w:hAnsi="宋体" w:cs="宋体"/>
          <w:color w:val="auto"/>
          <w:highlight w:val="none"/>
        </w:rPr>
        <w:t>，由委托代理人签字的，应提供“单位授权书”。</w:t>
      </w:r>
    </w:p>
    <w:p w14:paraId="63CF2BCD">
      <w:pPr>
        <w:pStyle w:val="12"/>
        <w:widowControl/>
        <w:spacing w:before="0" w:beforeAutospacing="0" w:after="0" w:afterAutospacing="0" w:line="360" w:lineRule="auto"/>
        <w:ind w:firstLine="320"/>
        <w:rPr>
          <w:rFonts w:ascii="宋体" w:hAnsi="宋体" w:cs="宋体"/>
          <w:color w:val="auto"/>
          <w:highlight w:val="none"/>
        </w:rPr>
      </w:pPr>
      <w:r>
        <w:rPr>
          <w:rFonts w:hint="eastAsia" w:ascii="宋体" w:hAnsi="宋体" w:cs="宋体"/>
          <w:color w:val="auto"/>
          <w:highlight w:val="none"/>
        </w:rPr>
        <w:t>（2）接受联合体投标且投标人为联合体的，指由</w:t>
      </w:r>
      <w:r>
        <w:rPr>
          <w:rStyle w:val="17"/>
          <w:rFonts w:hint="eastAsia" w:ascii="宋体" w:hAnsi="宋体" w:cs="宋体"/>
          <w:color w:val="auto"/>
          <w:highlight w:val="none"/>
        </w:rPr>
        <w:t>联合体牵头方的单位负责人或其授权的委托代理人签字</w:t>
      </w:r>
      <w:r>
        <w:rPr>
          <w:rFonts w:hint="eastAsia" w:ascii="宋体" w:hAnsi="宋体" w:cs="宋体"/>
          <w:color w:val="auto"/>
          <w:highlight w:val="none"/>
        </w:rPr>
        <w:t>，由委托代理人签字的，应提供“单位授权书”。</w:t>
      </w:r>
    </w:p>
    <w:p w14:paraId="7C9B456C">
      <w:pPr>
        <w:pStyle w:val="12"/>
        <w:widowControl/>
        <w:spacing w:before="0" w:beforeAutospacing="0" w:after="0" w:afterAutospacing="0" w:line="360" w:lineRule="auto"/>
        <w:ind w:firstLine="320"/>
        <w:rPr>
          <w:rFonts w:ascii="宋体" w:hAnsi="宋体" w:cs="宋体"/>
          <w:color w:val="auto"/>
          <w:highlight w:val="none"/>
        </w:rPr>
      </w:pPr>
      <w:r>
        <w:rPr>
          <w:rFonts w:hint="eastAsia" w:ascii="宋体" w:hAnsi="宋体" w:cs="宋体"/>
          <w:color w:val="auto"/>
          <w:highlight w:val="none"/>
        </w:rPr>
        <w:t>1.4</w:t>
      </w:r>
      <w:r>
        <w:rPr>
          <w:rStyle w:val="17"/>
          <w:rFonts w:hint="eastAsia" w:ascii="宋体" w:hAnsi="宋体" w:cs="宋体"/>
          <w:color w:val="auto"/>
          <w:highlight w:val="none"/>
        </w:rPr>
        <w:t>“其他组织”</w:t>
      </w:r>
      <w:r>
        <w:rPr>
          <w:rFonts w:hint="eastAsia" w:ascii="宋体" w:hAnsi="宋体" w:cs="宋体"/>
          <w:color w:val="auto"/>
          <w:highlight w:val="none"/>
        </w:rPr>
        <w:t>指合伙企业、非企业专业服务机构、个体工商户、农村承包经营户等。</w:t>
      </w:r>
    </w:p>
    <w:p w14:paraId="7F7FE7FA">
      <w:pPr>
        <w:pStyle w:val="12"/>
        <w:widowControl/>
        <w:spacing w:before="0" w:beforeAutospacing="0" w:after="0" w:afterAutospacing="0" w:line="360" w:lineRule="auto"/>
        <w:ind w:firstLine="320"/>
        <w:rPr>
          <w:rFonts w:ascii="宋体" w:hAnsi="宋体" w:cs="宋体"/>
          <w:color w:val="auto"/>
          <w:highlight w:val="none"/>
        </w:rPr>
      </w:pPr>
      <w:r>
        <w:rPr>
          <w:rFonts w:hint="eastAsia" w:ascii="宋体" w:hAnsi="宋体" w:cs="宋体"/>
          <w:color w:val="auto"/>
          <w:highlight w:val="none"/>
        </w:rPr>
        <w:t>1.5</w:t>
      </w:r>
      <w:r>
        <w:rPr>
          <w:rStyle w:val="17"/>
          <w:rFonts w:hint="eastAsia" w:ascii="宋体" w:hAnsi="宋体" w:cs="宋体"/>
          <w:color w:val="auto"/>
          <w:highlight w:val="none"/>
        </w:rPr>
        <w:t>“自然人”</w:t>
      </w:r>
      <w:r>
        <w:rPr>
          <w:rFonts w:hint="eastAsia" w:ascii="宋体" w:hAnsi="宋体" w:cs="宋体"/>
          <w:color w:val="auto"/>
          <w:highlight w:val="none"/>
        </w:rPr>
        <w:t>指具有完全民事行为能力、能够承担民事责任和义务的中国公民。</w:t>
      </w:r>
    </w:p>
    <w:p w14:paraId="2B3B7029">
      <w:pPr>
        <w:pStyle w:val="12"/>
        <w:widowControl/>
        <w:spacing w:before="0" w:beforeAutospacing="0" w:after="0" w:afterAutospacing="0" w:line="360" w:lineRule="auto"/>
        <w:ind w:firstLine="320"/>
        <w:rPr>
          <w:rFonts w:ascii="宋体" w:hAnsi="宋体" w:cs="宋体"/>
          <w:color w:val="auto"/>
          <w:highlight w:val="none"/>
        </w:rPr>
      </w:pPr>
      <w:r>
        <w:rPr>
          <w:rFonts w:hint="eastAsia" w:ascii="宋体" w:hAnsi="宋体" w:cs="宋体"/>
          <w:color w:val="auto"/>
          <w:highlight w:val="none"/>
        </w:rPr>
        <w:t>2、除征集文件另有规定外，本章中</w:t>
      </w:r>
      <w:r>
        <w:rPr>
          <w:rStyle w:val="17"/>
          <w:rFonts w:hint="eastAsia" w:ascii="宋体" w:hAnsi="宋体" w:cs="宋体"/>
          <w:color w:val="auto"/>
          <w:highlight w:val="none"/>
        </w:rPr>
        <w:t>“投标人的资格及资信证明文件”</w:t>
      </w:r>
      <w:r>
        <w:rPr>
          <w:rFonts w:hint="eastAsia" w:ascii="宋体" w:hAnsi="宋体" w:cs="宋体"/>
          <w:color w:val="auto"/>
          <w:highlight w:val="none"/>
        </w:rPr>
        <w:t>：</w:t>
      </w:r>
    </w:p>
    <w:p w14:paraId="49EB9984">
      <w:pPr>
        <w:pStyle w:val="12"/>
        <w:widowControl/>
        <w:spacing w:before="0" w:beforeAutospacing="0" w:after="0" w:afterAutospacing="0" w:line="360" w:lineRule="auto"/>
        <w:ind w:firstLine="320"/>
        <w:rPr>
          <w:rFonts w:ascii="宋体" w:hAnsi="宋体" w:cs="宋体"/>
          <w:color w:val="auto"/>
          <w:highlight w:val="none"/>
        </w:rPr>
      </w:pPr>
      <w:r>
        <w:rPr>
          <w:rFonts w:hint="eastAsia" w:ascii="宋体" w:hAnsi="宋体" w:cs="宋体"/>
          <w:color w:val="auto"/>
          <w:highlight w:val="none"/>
        </w:rPr>
        <w:t>2.1投标人应按照征集文件第四章第1.3条第（2）款规定及本章规定进行编制，如有必要，可增加附页，附页作为资格及资信文件的组成部分。</w:t>
      </w:r>
    </w:p>
    <w:p w14:paraId="640AE713">
      <w:pPr>
        <w:pStyle w:val="12"/>
        <w:widowControl/>
        <w:spacing w:before="0" w:beforeAutospacing="0" w:after="0" w:afterAutospacing="0" w:line="360" w:lineRule="auto"/>
        <w:ind w:firstLine="320"/>
        <w:rPr>
          <w:rFonts w:ascii="宋体" w:hAnsi="宋体" w:cs="宋体"/>
          <w:color w:val="auto"/>
          <w:highlight w:val="none"/>
        </w:rPr>
      </w:pPr>
      <w:r>
        <w:rPr>
          <w:rFonts w:hint="eastAsia" w:ascii="宋体" w:hAnsi="宋体" w:cs="宋体"/>
          <w:color w:val="auto"/>
          <w:highlight w:val="none"/>
        </w:rPr>
        <w:t>2.2接受联合体投标且投标人为联合体的，联合体中的各方均应按照本章第2.1条规定提交相应的全部资料。</w:t>
      </w:r>
    </w:p>
    <w:p w14:paraId="4ACE2A5C">
      <w:pPr>
        <w:pStyle w:val="12"/>
        <w:widowControl/>
        <w:spacing w:before="0" w:beforeAutospacing="0" w:after="0" w:afterAutospacing="0" w:line="360" w:lineRule="auto"/>
        <w:ind w:firstLine="320"/>
        <w:rPr>
          <w:rFonts w:ascii="宋体" w:hAnsi="宋体" w:cs="宋体"/>
          <w:color w:val="auto"/>
          <w:highlight w:val="none"/>
        </w:rPr>
      </w:pPr>
      <w:r>
        <w:rPr>
          <w:rFonts w:hint="eastAsia" w:ascii="宋体" w:hAnsi="宋体" w:cs="宋体"/>
          <w:color w:val="auto"/>
          <w:highlight w:val="none"/>
        </w:rPr>
        <w:t>3、投标人对投标文件的索引应编制页码。</w:t>
      </w:r>
    </w:p>
    <w:p w14:paraId="71681C0B">
      <w:pPr>
        <w:pStyle w:val="12"/>
        <w:widowControl/>
        <w:spacing w:before="0" w:beforeAutospacing="0" w:after="0" w:afterAutospacing="0" w:line="360" w:lineRule="auto"/>
        <w:ind w:firstLine="320"/>
        <w:rPr>
          <w:rFonts w:ascii="宋体" w:hAnsi="宋体" w:cs="宋体"/>
          <w:color w:val="auto"/>
          <w:highlight w:val="none"/>
        </w:rPr>
      </w:pPr>
      <w:r>
        <w:rPr>
          <w:rFonts w:hint="eastAsia" w:ascii="宋体" w:hAnsi="宋体" w:cs="宋体"/>
          <w:color w:val="auto"/>
          <w:highlight w:val="none"/>
        </w:rPr>
        <w:t>4、本章提供格式仅供参考，投标人应根据自身实际情况制作投标文件。</w:t>
      </w:r>
    </w:p>
    <w:p w14:paraId="56CC5810">
      <w:pPr>
        <w:pStyle w:val="12"/>
        <w:widowControl/>
        <w:spacing w:before="0" w:beforeAutospacing="0" w:after="0" w:afterAutospacing="0" w:line="360" w:lineRule="auto"/>
        <w:rPr>
          <w:rFonts w:ascii="宋体" w:hAnsi="宋体" w:cs="宋体"/>
          <w:color w:val="auto"/>
          <w:highlight w:val="none"/>
        </w:rPr>
      </w:pPr>
    </w:p>
    <w:p w14:paraId="07165638">
      <w:pPr>
        <w:pStyle w:val="12"/>
        <w:widowControl/>
        <w:spacing w:before="0" w:beforeAutospacing="0" w:after="0" w:afterAutospacing="0" w:line="360" w:lineRule="auto"/>
        <w:rPr>
          <w:rFonts w:hint="eastAsia" w:ascii="宋体" w:hAnsi="宋体" w:cs="宋体"/>
          <w:color w:val="auto"/>
          <w:highlight w:val="none"/>
        </w:rPr>
      </w:pPr>
      <w:r>
        <w:rPr>
          <w:rFonts w:hint="eastAsia" w:ascii="宋体" w:hAnsi="宋体" w:cs="宋体"/>
          <w:color w:val="auto"/>
          <w:highlight w:val="none"/>
        </w:rPr>
        <w:t> </w:t>
      </w:r>
    </w:p>
    <w:p w14:paraId="575F2B48">
      <w:pPr>
        <w:pStyle w:val="12"/>
        <w:widowControl/>
        <w:spacing w:before="0" w:beforeAutospacing="0" w:after="0" w:afterAutospacing="0" w:line="360" w:lineRule="auto"/>
        <w:rPr>
          <w:rFonts w:hint="eastAsia" w:ascii="宋体" w:hAnsi="宋体" w:cs="宋体"/>
          <w:color w:val="auto"/>
          <w:highlight w:val="none"/>
        </w:rPr>
      </w:pPr>
    </w:p>
    <w:p w14:paraId="1EC363E0">
      <w:pPr>
        <w:pStyle w:val="12"/>
        <w:widowControl/>
        <w:spacing w:before="0" w:beforeAutospacing="0" w:after="0" w:afterAutospacing="0" w:line="360" w:lineRule="auto"/>
        <w:rPr>
          <w:rFonts w:hint="eastAsia" w:ascii="宋体" w:hAnsi="宋体" w:cs="宋体"/>
          <w:color w:val="auto"/>
          <w:highlight w:val="none"/>
        </w:rPr>
      </w:pPr>
    </w:p>
    <w:p w14:paraId="71AE3189">
      <w:pPr>
        <w:pStyle w:val="12"/>
        <w:widowControl/>
        <w:spacing w:before="0" w:beforeAutospacing="0" w:after="0" w:afterAutospacing="0" w:line="360" w:lineRule="auto"/>
        <w:rPr>
          <w:rFonts w:hint="eastAsia" w:ascii="宋体" w:hAnsi="宋体" w:cs="宋体"/>
          <w:color w:val="auto"/>
          <w:highlight w:val="none"/>
        </w:rPr>
      </w:pPr>
    </w:p>
    <w:p w14:paraId="3F263831">
      <w:pPr>
        <w:pStyle w:val="12"/>
        <w:widowControl/>
        <w:spacing w:before="0" w:beforeAutospacing="0" w:after="0" w:afterAutospacing="0" w:line="360" w:lineRule="auto"/>
        <w:rPr>
          <w:rFonts w:hint="eastAsia" w:ascii="宋体" w:hAnsi="宋体" w:cs="宋体"/>
          <w:color w:val="auto"/>
          <w:highlight w:val="none"/>
        </w:rPr>
      </w:pPr>
    </w:p>
    <w:p w14:paraId="53E06F96">
      <w:pPr>
        <w:pStyle w:val="12"/>
        <w:widowControl/>
        <w:spacing w:before="0" w:beforeAutospacing="0" w:after="0" w:afterAutospacing="0" w:line="360" w:lineRule="auto"/>
        <w:rPr>
          <w:rFonts w:hint="eastAsia" w:ascii="宋体" w:hAnsi="宋体" w:cs="宋体"/>
          <w:color w:val="auto"/>
          <w:highlight w:val="none"/>
        </w:rPr>
      </w:pPr>
    </w:p>
    <w:p w14:paraId="7883FC09">
      <w:pPr>
        <w:pStyle w:val="12"/>
        <w:widowControl/>
        <w:spacing w:before="0" w:beforeAutospacing="0" w:after="0" w:afterAutospacing="0" w:line="360" w:lineRule="auto"/>
        <w:rPr>
          <w:rFonts w:hint="eastAsia" w:ascii="宋体" w:hAnsi="宋体" w:cs="宋体"/>
          <w:color w:val="auto"/>
          <w:highlight w:val="none"/>
        </w:rPr>
      </w:pPr>
    </w:p>
    <w:p w14:paraId="0445ABF9">
      <w:pPr>
        <w:pStyle w:val="12"/>
        <w:widowControl/>
        <w:spacing w:before="0" w:beforeAutospacing="0" w:after="0" w:afterAutospacing="0" w:line="360" w:lineRule="auto"/>
        <w:rPr>
          <w:rFonts w:hint="eastAsia" w:ascii="宋体" w:hAnsi="宋体" w:cs="宋体"/>
          <w:color w:val="auto"/>
          <w:highlight w:val="none"/>
        </w:rPr>
      </w:pPr>
    </w:p>
    <w:p w14:paraId="270BB162">
      <w:pPr>
        <w:pStyle w:val="12"/>
        <w:widowControl/>
        <w:spacing w:before="0" w:beforeAutospacing="0" w:after="0" w:afterAutospacing="0" w:line="360" w:lineRule="auto"/>
        <w:rPr>
          <w:rFonts w:hint="eastAsia" w:ascii="宋体" w:hAnsi="宋体" w:cs="宋体"/>
          <w:color w:val="auto"/>
          <w:highlight w:val="none"/>
        </w:rPr>
      </w:pPr>
    </w:p>
    <w:p w14:paraId="4736F958">
      <w:pPr>
        <w:pStyle w:val="12"/>
        <w:widowControl/>
        <w:spacing w:before="0" w:beforeAutospacing="0" w:after="0" w:afterAutospacing="0" w:line="360" w:lineRule="auto"/>
        <w:rPr>
          <w:rFonts w:hint="eastAsia" w:ascii="宋体" w:hAnsi="宋体" w:cs="宋体"/>
          <w:color w:val="auto"/>
          <w:highlight w:val="none"/>
        </w:rPr>
      </w:pPr>
    </w:p>
    <w:p w14:paraId="08FD2D4D">
      <w:pPr>
        <w:pStyle w:val="12"/>
        <w:widowControl/>
        <w:spacing w:before="0" w:beforeAutospacing="0" w:after="0" w:afterAutospacing="0" w:line="360" w:lineRule="auto"/>
        <w:rPr>
          <w:rFonts w:hint="eastAsia" w:ascii="宋体" w:hAnsi="宋体" w:cs="宋体"/>
          <w:color w:val="auto"/>
          <w:highlight w:val="none"/>
        </w:rPr>
      </w:pPr>
    </w:p>
    <w:p w14:paraId="47131E19">
      <w:pPr>
        <w:pStyle w:val="12"/>
        <w:widowControl/>
        <w:spacing w:before="0" w:beforeAutospacing="0" w:after="0" w:afterAutospacing="0" w:line="360" w:lineRule="auto"/>
        <w:rPr>
          <w:rFonts w:hint="eastAsia" w:ascii="宋体" w:hAnsi="宋体" w:cs="宋体"/>
          <w:color w:val="auto"/>
          <w:highlight w:val="none"/>
        </w:rPr>
      </w:pPr>
    </w:p>
    <w:p w14:paraId="1C36BDBA">
      <w:pPr>
        <w:pStyle w:val="12"/>
        <w:widowControl/>
        <w:spacing w:before="0" w:beforeAutospacing="0" w:after="0" w:afterAutospacing="0" w:line="360" w:lineRule="auto"/>
        <w:rPr>
          <w:rFonts w:hint="eastAsia" w:ascii="宋体" w:hAnsi="宋体" w:cs="宋体"/>
          <w:color w:val="auto"/>
          <w:highlight w:val="none"/>
        </w:rPr>
      </w:pPr>
    </w:p>
    <w:p w14:paraId="5C3B0BD3">
      <w:pPr>
        <w:pStyle w:val="12"/>
        <w:widowControl/>
        <w:spacing w:before="0" w:beforeAutospacing="0" w:after="0" w:afterAutospacing="0" w:line="360" w:lineRule="auto"/>
        <w:rPr>
          <w:rFonts w:hint="eastAsia" w:ascii="宋体" w:hAnsi="宋体" w:cs="宋体"/>
          <w:color w:val="auto"/>
          <w:highlight w:val="none"/>
        </w:rPr>
      </w:pPr>
    </w:p>
    <w:p w14:paraId="03C3127C">
      <w:pPr>
        <w:pStyle w:val="12"/>
        <w:widowControl/>
        <w:spacing w:before="0" w:beforeAutospacing="0" w:after="0" w:afterAutospacing="0" w:line="360" w:lineRule="auto"/>
        <w:rPr>
          <w:rFonts w:hint="eastAsia" w:ascii="宋体" w:hAnsi="宋体" w:cs="宋体"/>
          <w:color w:val="auto"/>
          <w:highlight w:val="none"/>
        </w:rPr>
      </w:pPr>
    </w:p>
    <w:p w14:paraId="09B910A5">
      <w:pPr>
        <w:pStyle w:val="12"/>
        <w:widowControl/>
        <w:spacing w:before="0" w:beforeAutospacing="0" w:after="0" w:afterAutospacing="0" w:line="360" w:lineRule="auto"/>
        <w:rPr>
          <w:rFonts w:hint="eastAsia" w:ascii="宋体" w:hAnsi="宋体" w:cs="宋体"/>
          <w:color w:val="auto"/>
          <w:highlight w:val="none"/>
        </w:rPr>
      </w:pPr>
    </w:p>
    <w:p w14:paraId="0FF2B0E7">
      <w:pPr>
        <w:pStyle w:val="12"/>
        <w:widowControl/>
        <w:spacing w:before="0" w:beforeAutospacing="0" w:after="0" w:afterAutospacing="0" w:line="360" w:lineRule="auto"/>
        <w:rPr>
          <w:rFonts w:hint="eastAsia" w:ascii="宋体" w:hAnsi="宋体" w:cs="宋体"/>
          <w:color w:val="auto"/>
          <w:highlight w:val="none"/>
        </w:rPr>
      </w:pPr>
    </w:p>
    <w:p w14:paraId="6A7152AE">
      <w:pPr>
        <w:pStyle w:val="12"/>
        <w:widowControl/>
        <w:spacing w:before="0" w:beforeAutospacing="0" w:after="0" w:afterAutospacing="0" w:line="360" w:lineRule="auto"/>
        <w:jc w:val="center"/>
        <w:rPr>
          <w:rStyle w:val="17"/>
          <w:rFonts w:ascii="宋体" w:hAnsi="宋体" w:cs="宋体"/>
          <w:color w:val="auto"/>
          <w:highlight w:val="none"/>
        </w:rPr>
      </w:pPr>
    </w:p>
    <w:p w14:paraId="1AD4F5FD">
      <w:pPr>
        <w:pStyle w:val="12"/>
        <w:widowControl/>
        <w:spacing w:before="0" w:beforeAutospacing="0" w:after="0" w:afterAutospacing="0" w:line="360" w:lineRule="auto"/>
        <w:jc w:val="center"/>
        <w:rPr>
          <w:rFonts w:ascii="宋体" w:hAnsi="宋体" w:cs="宋体"/>
          <w:color w:val="auto"/>
          <w:sz w:val="44"/>
          <w:szCs w:val="44"/>
          <w:highlight w:val="none"/>
        </w:rPr>
      </w:pPr>
      <w:r>
        <w:rPr>
          <w:rStyle w:val="17"/>
          <w:rFonts w:hint="eastAsia" w:ascii="宋体" w:hAnsi="宋体" w:cs="宋体"/>
          <w:color w:val="auto"/>
          <w:sz w:val="44"/>
          <w:szCs w:val="44"/>
          <w:highlight w:val="none"/>
        </w:rPr>
        <w:t>封面格式</w:t>
      </w:r>
    </w:p>
    <w:p w14:paraId="02819C66">
      <w:pPr>
        <w:pStyle w:val="12"/>
        <w:widowControl/>
        <w:spacing w:before="0" w:beforeAutospacing="0" w:after="0" w:afterAutospacing="0" w:line="360" w:lineRule="auto"/>
        <w:rPr>
          <w:rFonts w:ascii="宋体" w:hAnsi="宋体" w:cs="宋体"/>
          <w:color w:val="auto"/>
          <w:sz w:val="28"/>
          <w:szCs w:val="28"/>
          <w:highlight w:val="none"/>
        </w:rPr>
      </w:pPr>
      <w:r>
        <w:rPr>
          <w:rFonts w:hint="eastAsia" w:ascii="宋体" w:hAnsi="宋体" w:cs="宋体"/>
          <w:color w:val="auto"/>
          <w:sz w:val="28"/>
          <w:szCs w:val="28"/>
          <w:highlight w:val="none"/>
        </w:rPr>
        <w:t> </w:t>
      </w:r>
    </w:p>
    <w:p w14:paraId="5CC6C42E">
      <w:pPr>
        <w:pStyle w:val="12"/>
        <w:widowControl/>
        <w:spacing w:before="0" w:beforeAutospacing="0" w:after="0" w:afterAutospacing="0" w:line="360" w:lineRule="auto"/>
        <w:jc w:val="center"/>
        <w:rPr>
          <w:rFonts w:ascii="宋体" w:hAnsi="宋体" w:cs="宋体"/>
          <w:color w:val="auto"/>
          <w:sz w:val="28"/>
          <w:szCs w:val="28"/>
          <w:highlight w:val="none"/>
        </w:rPr>
      </w:pPr>
      <w:r>
        <w:rPr>
          <w:rStyle w:val="17"/>
          <w:rFonts w:hint="eastAsia" w:ascii="宋体" w:hAnsi="宋体" w:cs="宋体"/>
          <w:color w:val="auto"/>
          <w:sz w:val="28"/>
          <w:szCs w:val="28"/>
          <w:highlight w:val="none"/>
        </w:rPr>
        <w:t>投标文件</w:t>
      </w:r>
    </w:p>
    <w:p w14:paraId="144B3370">
      <w:pPr>
        <w:pStyle w:val="12"/>
        <w:widowControl/>
        <w:spacing w:before="0" w:beforeAutospacing="0" w:after="0" w:afterAutospacing="0" w:line="360" w:lineRule="auto"/>
        <w:jc w:val="center"/>
        <w:rPr>
          <w:rFonts w:ascii="宋体" w:hAnsi="宋体" w:cs="宋体"/>
          <w:color w:val="auto"/>
          <w:sz w:val="28"/>
          <w:szCs w:val="28"/>
          <w:highlight w:val="none"/>
        </w:rPr>
      </w:pPr>
      <w:r>
        <w:rPr>
          <w:rStyle w:val="17"/>
          <w:rFonts w:hint="eastAsia" w:ascii="宋体" w:hAnsi="宋体" w:cs="宋体"/>
          <w:color w:val="auto"/>
          <w:sz w:val="28"/>
          <w:szCs w:val="28"/>
          <w:highlight w:val="none"/>
        </w:rPr>
        <w:t>（</w:t>
      </w:r>
      <w:r>
        <w:rPr>
          <w:rStyle w:val="17"/>
          <w:rFonts w:hint="eastAsia" w:ascii="宋体" w:hAnsi="宋体" w:eastAsia="宋体" w:cs="宋体"/>
          <w:i w:val="0"/>
          <w:iCs w:val="0"/>
          <w:caps w:val="0"/>
          <w:color w:val="auto"/>
          <w:spacing w:val="0"/>
          <w:sz w:val="28"/>
          <w:szCs w:val="28"/>
          <w:highlight w:val="none"/>
          <w:shd w:val="clear" w:fill="auto"/>
        </w:rPr>
        <w:t>资格资信证明部分及技术商务部分</w:t>
      </w:r>
      <w:r>
        <w:rPr>
          <w:rStyle w:val="17"/>
          <w:rFonts w:hint="eastAsia" w:ascii="宋体" w:hAnsi="宋体" w:cs="宋体"/>
          <w:color w:val="auto"/>
          <w:sz w:val="28"/>
          <w:szCs w:val="28"/>
          <w:highlight w:val="none"/>
        </w:rPr>
        <w:t>）</w:t>
      </w:r>
    </w:p>
    <w:p w14:paraId="21F655BB">
      <w:pPr>
        <w:pStyle w:val="12"/>
        <w:widowControl/>
        <w:spacing w:before="0" w:beforeAutospacing="0" w:after="0" w:afterAutospacing="0" w:line="360" w:lineRule="auto"/>
        <w:rPr>
          <w:rFonts w:ascii="宋体" w:hAnsi="宋体" w:cs="宋体"/>
          <w:color w:val="auto"/>
          <w:sz w:val="28"/>
          <w:szCs w:val="28"/>
          <w:highlight w:val="none"/>
        </w:rPr>
      </w:pPr>
      <w:r>
        <w:rPr>
          <w:rFonts w:hint="eastAsia" w:ascii="宋体" w:hAnsi="宋体" w:cs="宋体"/>
          <w:color w:val="auto"/>
          <w:sz w:val="28"/>
          <w:szCs w:val="28"/>
          <w:highlight w:val="none"/>
        </w:rPr>
        <w:t> </w:t>
      </w:r>
    </w:p>
    <w:p w14:paraId="35DDA802">
      <w:pPr>
        <w:pStyle w:val="12"/>
        <w:widowControl/>
        <w:spacing w:before="0" w:beforeAutospacing="0" w:after="0" w:afterAutospacing="0" w:line="360" w:lineRule="auto"/>
        <w:jc w:val="center"/>
        <w:rPr>
          <w:rFonts w:ascii="宋体" w:hAnsi="宋体" w:cs="宋体"/>
          <w:color w:val="auto"/>
          <w:sz w:val="28"/>
          <w:szCs w:val="28"/>
          <w:highlight w:val="none"/>
        </w:rPr>
      </w:pPr>
      <w:r>
        <w:rPr>
          <w:rStyle w:val="17"/>
          <w:rFonts w:hint="eastAsia" w:ascii="宋体" w:hAnsi="宋体" w:cs="宋体"/>
          <w:color w:val="auto"/>
          <w:sz w:val="28"/>
          <w:szCs w:val="28"/>
          <w:highlight w:val="none"/>
          <w:u w:val="single"/>
        </w:rPr>
        <w:t>（填写正本或副本）</w:t>
      </w:r>
    </w:p>
    <w:p w14:paraId="07E7437D">
      <w:pPr>
        <w:pStyle w:val="12"/>
        <w:widowControl/>
        <w:spacing w:before="0" w:beforeAutospacing="0" w:after="0" w:afterAutospacing="0" w:line="360" w:lineRule="auto"/>
        <w:ind w:firstLine="1280"/>
        <w:rPr>
          <w:rFonts w:ascii="宋体" w:hAnsi="宋体" w:cs="宋体"/>
          <w:color w:val="auto"/>
          <w:sz w:val="28"/>
          <w:szCs w:val="28"/>
          <w:highlight w:val="none"/>
        </w:rPr>
      </w:pPr>
      <w:r>
        <w:rPr>
          <w:rStyle w:val="17"/>
          <w:rFonts w:hint="eastAsia" w:ascii="宋体" w:hAnsi="宋体" w:cs="宋体"/>
          <w:color w:val="auto"/>
          <w:sz w:val="28"/>
          <w:szCs w:val="28"/>
          <w:highlight w:val="none"/>
        </w:rPr>
        <w:t>项目名称：</w:t>
      </w:r>
      <w:r>
        <w:rPr>
          <w:rStyle w:val="17"/>
          <w:rFonts w:hint="eastAsia" w:ascii="宋体" w:hAnsi="宋体" w:cs="宋体"/>
          <w:color w:val="auto"/>
          <w:sz w:val="28"/>
          <w:szCs w:val="28"/>
          <w:highlight w:val="none"/>
          <w:u w:val="single"/>
        </w:rPr>
        <w:t>（由投标人填写）</w:t>
      </w:r>
    </w:p>
    <w:p w14:paraId="047DED16">
      <w:pPr>
        <w:pStyle w:val="12"/>
        <w:widowControl/>
        <w:spacing w:before="0" w:beforeAutospacing="0" w:after="0" w:afterAutospacing="0" w:line="360" w:lineRule="auto"/>
        <w:ind w:firstLine="1280"/>
        <w:rPr>
          <w:rFonts w:ascii="宋体" w:hAnsi="宋体" w:cs="宋体"/>
          <w:color w:val="auto"/>
          <w:sz w:val="28"/>
          <w:szCs w:val="28"/>
          <w:highlight w:val="none"/>
        </w:rPr>
      </w:pPr>
      <w:r>
        <w:rPr>
          <w:rStyle w:val="17"/>
          <w:rFonts w:hint="eastAsia" w:ascii="宋体" w:hAnsi="宋体" w:cs="宋体"/>
          <w:color w:val="auto"/>
          <w:sz w:val="28"/>
          <w:szCs w:val="28"/>
          <w:highlight w:val="none"/>
        </w:rPr>
        <w:t>项目编号：</w:t>
      </w:r>
      <w:r>
        <w:rPr>
          <w:rStyle w:val="17"/>
          <w:rFonts w:hint="eastAsia" w:ascii="宋体" w:hAnsi="宋体" w:cs="宋体"/>
          <w:color w:val="auto"/>
          <w:sz w:val="28"/>
          <w:szCs w:val="28"/>
          <w:highlight w:val="none"/>
          <w:u w:val="single"/>
        </w:rPr>
        <w:t>（由投标人填写）</w:t>
      </w:r>
    </w:p>
    <w:p w14:paraId="5E39DA5C">
      <w:pPr>
        <w:pStyle w:val="12"/>
        <w:widowControl/>
        <w:spacing w:before="0" w:beforeAutospacing="0" w:after="0" w:afterAutospacing="0" w:line="360" w:lineRule="auto"/>
        <w:ind w:firstLine="1280"/>
        <w:rPr>
          <w:rFonts w:ascii="宋体" w:hAnsi="宋体" w:cs="宋体"/>
          <w:color w:val="auto"/>
          <w:sz w:val="28"/>
          <w:szCs w:val="28"/>
          <w:highlight w:val="none"/>
        </w:rPr>
      </w:pPr>
      <w:r>
        <w:rPr>
          <w:rStyle w:val="17"/>
          <w:rFonts w:hint="eastAsia" w:ascii="宋体" w:hAnsi="宋体" w:cs="宋体"/>
          <w:color w:val="auto"/>
          <w:sz w:val="28"/>
          <w:szCs w:val="28"/>
          <w:highlight w:val="none"/>
        </w:rPr>
        <w:t>所投采购包：</w:t>
      </w:r>
      <w:r>
        <w:rPr>
          <w:rStyle w:val="17"/>
          <w:rFonts w:hint="eastAsia" w:ascii="宋体" w:hAnsi="宋体" w:cs="宋体"/>
          <w:color w:val="auto"/>
          <w:sz w:val="28"/>
          <w:szCs w:val="28"/>
          <w:highlight w:val="none"/>
          <w:u w:val="single"/>
        </w:rPr>
        <w:t>（由投标人填写）</w:t>
      </w:r>
    </w:p>
    <w:p w14:paraId="5C9DBDC1">
      <w:pPr>
        <w:pStyle w:val="12"/>
        <w:widowControl/>
        <w:spacing w:before="0" w:beforeAutospacing="0" w:after="0" w:afterAutospacing="0" w:line="360" w:lineRule="auto"/>
        <w:rPr>
          <w:rFonts w:ascii="宋体" w:hAnsi="宋体" w:cs="宋体"/>
          <w:color w:val="auto"/>
          <w:sz w:val="28"/>
          <w:szCs w:val="28"/>
          <w:highlight w:val="none"/>
        </w:rPr>
      </w:pPr>
      <w:r>
        <w:rPr>
          <w:rFonts w:hint="eastAsia" w:ascii="宋体" w:hAnsi="宋体" w:cs="宋体"/>
          <w:color w:val="auto"/>
          <w:sz w:val="28"/>
          <w:szCs w:val="28"/>
          <w:highlight w:val="none"/>
        </w:rPr>
        <w:t> </w:t>
      </w:r>
    </w:p>
    <w:p w14:paraId="34D09CF4">
      <w:pPr>
        <w:pStyle w:val="12"/>
        <w:widowControl/>
        <w:spacing w:before="0" w:beforeAutospacing="0" w:after="0" w:afterAutospacing="0" w:line="360" w:lineRule="auto"/>
        <w:rPr>
          <w:rFonts w:ascii="宋体" w:hAnsi="宋体" w:cs="宋体"/>
          <w:color w:val="auto"/>
          <w:sz w:val="28"/>
          <w:szCs w:val="28"/>
          <w:highlight w:val="none"/>
        </w:rPr>
      </w:pPr>
      <w:r>
        <w:rPr>
          <w:rFonts w:hint="eastAsia" w:ascii="宋体" w:hAnsi="宋体" w:cs="宋体"/>
          <w:color w:val="auto"/>
          <w:sz w:val="28"/>
          <w:szCs w:val="28"/>
          <w:highlight w:val="none"/>
        </w:rPr>
        <w:t> </w:t>
      </w:r>
    </w:p>
    <w:p w14:paraId="29ED8386">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275F9E7C">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3194F2AD">
      <w:pPr>
        <w:pStyle w:val="12"/>
        <w:widowControl/>
        <w:spacing w:before="0" w:beforeAutospacing="0" w:after="0" w:afterAutospacing="0" w:line="360" w:lineRule="auto"/>
        <w:jc w:val="center"/>
        <w:rPr>
          <w:rFonts w:ascii="宋体" w:hAnsi="宋体" w:cs="宋体"/>
          <w:color w:val="auto"/>
          <w:highlight w:val="none"/>
        </w:rPr>
      </w:pPr>
      <w:r>
        <w:rPr>
          <w:rStyle w:val="17"/>
          <w:rFonts w:hint="eastAsia" w:ascii="宋体" w:hAnsi="宋体" w:cs="宋体"/>
          <w:color w:val="auto"/>
          <w:highlight w:val="none"/>
        </w:rPr>
        <w:t>投标人：</w:t>
      </w:r>
      <w:r>
        <w:rPr>
          <w:rStyle w:val="17"/>
          <w:rFonts w:hint="eastAsia" w:ascii="宋体" w:hAnsi="宋体" w:cs="宋体"/>
          <w:color w:val="auto"/>
          <w:highlight w:val="none"/>
          <w:u w:val="single"/>
        </w:rPr>
        <w:t>（填写“全称”）</w:t>
      </w:r>
    </w:p>
    <w:p w14:paraId="4BEF5CA0">
      <w:pPr>
        <w:pStyle w:val="12"/>
        <w:widowControl/>
        <w:spacing w:before="0" w:beforeAutospacing="0" w:after="0" w:afterAutospacing="0" w:line="360" w:lineRule="auto"/>
        <w:jc w:val="center"/>
        <w:rPr>
          <w:rFonts w:ascii="宋体" w:hAnsi="宋体" w:cs="宋体"/>
          <w:color w:val="auto"/>
          <w:highlight w:val="none"/>
        </w:rPr>
      </w:pPr>
      <w:r>
        <w:rPr>
          <w:rStyle w:val="17"/>
          <w:rFonts w:hint="eastAsia" w:ascii="宋体" w:hAnsi="宋体" w:cs="宋体"/>
          <w:color w:val="auto"/>
          <w:highlight w:val="none"/>
          <w:u w:val="single"/>
        </w:rPr>
        <w:t>（由投标人填写）</w:t>
      </w:r>
      <w:r>
        <w:rPr>
          <w:rStyle w:val="17"/>
          <w:rFonts w:hint="eastAsia" w:ascii="宋体" w:hAnsi="宋体" w:cs="宋体"/>
          <w:color w:val="auto"/>
          <w:highlight w:val="none"/>
        </w:rPr>
        <w:t>年</w:t>
      </w:r>
      <w:r>
        <w:rPr>
          <w:rStyle w:val="17"/>
          <w:rFonts w:hint="eastAsia" w:ascii="宋体" w:hAnsi="宋体" w:cs="宋体"/>
          <w:color w:val="auto"/>
          <w:highlight w:val="none"/>
          <w:u w:val="single"/>
        </w:rPr>
        <w:t>（由投标人填写）</w:t>
      </w:r>
      <w:r>
        <w:rPr>
          <w:rStyle w:val="17"/>
          <w:rFonts w:hint="eastAsia" w:ascii="宋体" w:hAnsi="宋体" w:cs="宋体"/>
          <w:color w:val="auto"/>
          <w:highlight w:val="none"/>
        </w:rPr>
        <w:t>月</w:t>
      </w:r>
    </w:p>
    <w:p w14:paraId="336763B0">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7BBC1E53">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73F5601B">
      <w:pPr>
        <w:pStyle w:val="12"/>
        <w:widowControl/>
        <w:spacing w:before="0" w:beforeAutospacing="0" w:after="0" w:afterAutospacing="0" w:line="360" w:lineRule="auto"/>
        <w:jc w:val="center"/>
        <w:rPr>
          <w:rFonts w:ascii="宋体" w:hAnsi="宋体" w:cs="宋体"/>
          <w:color w:val="auto"/>
          <w:highlight w:val="none"/>
        </w:rPr>
      </w:pPr>
    </w:p>
    <w:p w14:paraId="7910E014">
      <w:pPr>
        <w:pStyle w:val="12"/>
        <w:widowControl/>
        <w:spacing w:before="0" w:beforeAutospacing="0" w:after="0" w:afterAutospacing="0" w:line="360" w:lineRule="auto"/>
        <w:jc w:val="center"/>
        <w:rPr>
          <w:rFonts w:ascii="宋体" w:hAnsi="宋体" w:cs="宋体"/>
          <w:color w:val="auto"/>
          <w:highlight w:val="none"/>
        </w:rPr>
      </w:pPr>
    </w:p>
    <w:p w14:paraId="1A7B1B6A">
      <w:pPr>
        <w:pStyle w:val="12"/>
        <w:widowControl/>
        <w:spacing w:before="0" w:beforeAutospacing="0" w:after="0" w:afterAutospacing="0" w:line="360" w:lineRule="auto"/>
        <w:jc w:val="center"/>
        <w:rPr>
          <w:rFonts w:ascii="宋体" w:hAnsi="宋体" w:cs="宋体"/>
          <w:color w:val="auto"/>
          <w:highlight w:val="none"/>
        </w:rPr>
      </w:pPr>
    </w:p>
    <w:p w14:paraId="6884EF52">
      <w:pPr>
        <w:pStyle w:val="12"/>
        <w:widowControl/>
        <w:spacing w:before="0" w:beforeAutospacing="0" w:after="0" w:afterAutospacing="0" w:line="360" w:lineRule="auto"/>
        <w:jc w:val="center"/>
        <w:rPr>
          <w:rFonts w:ascii="宋体" w:hAnsi="宋体" w:cs="宋体"/>
          <w:color w:val="auto"/>
          <w:highlight w:val="none"/>
        </w:rPr>
      </w:pPr>
    </w:p>
    <w:p w14:paraId="04C5AB2D">
      <w:pPr>
        <w:pStyle w:val="12"/>
        <w:widowControl/>
        <w:spacing w:before="0" w:beforeAutospacing="0" w:after="0" w:afterAutospacing="0" w:line="360" w:lineRule="auto"/>
        <w:jc w:val="center"/>
        <w:rPr>
          <w:rFonts w:ascii="宋体" w:hAnsi="宋体" w:cs="宋体"/>
          <w:color w:val="auto"/>
          <w:highlight w:val="none"/>
        </w:rPr>
      </w:pPr>
    </w:p>
    <w:p w14:paraId="33172DEA">
      <w:pPr>
        <w:pStyle w:val="12"/>
        <w:widowControl/>
        <w:spacing w:before="0" w:beforeAutospacing="0" w:after="0" w:afterAutospacing="0" w:line="360" w:lineRule="auto"/>
        <w:jc w:val="center"/>
        <w:rPr>
          <w:rFonts w:ascii="宋体" w:hAnsi="宋体" w:cs="宋体"/>
          <w:color w:val="auto"/>
          <w:highlight w:val="none"/>
        </w:rPr>
      </w:pPr>
    </w:p>
    <w:p w14:paraId="3837D09D">
      <w:pPr>
        <w:pStyle w:val="12"/>
        <w:widowControl/>
        <w:spacing w:before="0" w:beforeAutospacing="0" w:after="0" w:afterAutospacing="0" w:line="360" w:lineRule="auto"/>
        <w:jc w:val="center"/>
        <w:rPr>
          <w:rFonts w:ascii="宋体" w:hAnsi="宋体" w:cs="宋体"/>
          <w:color w:val="auto"/>
          <w:highlight w:val="none"/>
        </w:rPr>
      </w:pPr>
      <w:r>
        <w:rPr>
          <w:rStyle w:val="17"/>
          <w:rFonts w:hint="eastAsia" w:ascii="宋体" w:hAnsi="宋体" w:cs="宋体"/>
          <w:color w:val="auto"/>
          <w:highlight w:val="none"/>
        </w:rPr>
        <w:t>索引</w:t>
      </w:r>
    </w:p>
    <w:p w14:paraId="79EE4818">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一、投标函</w:t>
      </w:r>
    </w:p>
    <w:p w14:paraId="1CB42CD7">
      <w:pPr>
        <w:pStyle w:val="12"/>
        <w:widowControl/>
        <w:spacing w:before="0" w:beforeAutospacing="0" w:after="0" w:afterAutospacing="0" w:line="360" w:lineRule="auto"/>
        <w:rPr>
          <w:rFonts w:hint="eastAsia" w:ascii="宋体" w:hAnsi="宋体" w:cs="宋体"/>
          <w:color w:val="auto"/>
          <w:highlight w:val="none"/>
        </w:rPr>
      </w:pPr>
      <w:r>
        <w:rPr>
          <w:rFonts w:hint="eastAsia" w:ascii="宋体" w:hAnsi="宋体" w:cs="宋体"/>
          <w:color w:val="auto"/>
          <w:highlight w:val="none"/>
        </w:rPr>
        <w:t>二、投标人的资格及资信证明文件</w:t>
      </w:r>
    </w:p>
    <w:p w14:paraId="1FE487F6">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lang w:val="en-US" w:eastAsia="zh-CN"/>
        </w:rPr>
        <w:t>三</w:t>
      </w:r>
      <w:r>
        <w:rPr>
          <w:rFonts w:hint="eastAsia" w:ascii="宋体" w:hAnsi="宋体" w:cs="宋体"/>
          <w:color w:val="auto"/>
          <w:highlight w:val="none"/>
        </w:rPr>
        <w:t>、标的说明一览表</w:t>
      </w:r>
    </w:p>
    <w:p w14:paraId="2AB3BD41">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lang w:val="en-US" w:eastAsia="zh-CN"/>
        </w:rPr>
        <w:t>四</w:t>
      </w:r>
      <w:r>
        <w:rPr>
          <w:rFonts w:hint="eastAsia" w:ascii="宋体" w:hAnsi="宋体" w:cs="宋体"/>
          <w:color w:val="auto"/>
          <w:highlight w:val="none"/>
        </w:rPr>
        <w:t>、技术和服务要求响应表</w:t>
      </w:r>
    </w:p>
    <w:p w14:paraId="6432AF9E">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lang w:val="en-US" w:eastAsia="zh-CN"/>
        </w:rPr>
        <w:t>五</w:t>
      </w:r>
      <w:r>
        <w:rPr>
          <w:rFonts w:hint="eastAsia" w:ascii="宋体" w:hAnsi="宋体" w:cs="宋体"/>
          <w:color w:val="auto"/>
          <w:highlight w:val="none"/>
        </w:rPr>
        <w:t>、商务条件响应表</w:t>
      </w:r>
    </w:p>
    <w:p w14:paraId="4D4B44A1">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lang w:val="en-US" w:eastAsia="zh-CN"/>
        </w:rPr>
        <w:t>六</w:t>
      </w:r>
      <w:r>
        <w:rPr>
          <w:rFonts w:hint="eastAsia" w:ascii="宋体" w:hAnsi="宋体" w:cs="宋体"/>
          <w:color w:val="auto"/>
          <w:highlight w:val="none"/>
        </w:rPr>
        <w:t>、投标人提交的其他资料（若有）</w:t>
      </w:r>
    </w:p>
    <w:p w14:paraId="7A3ACA08">
      <w:pPr>
        <w:pStyle w:val="12"/>
        <w:widowControl/>
        <w:spacing w:before="0" w:beforeAutospacing="0" w:after="0" w:afterAutospacing="0" w:line="360" w:lineRule="auto"/>
        <w:rPr>
          <w:rFonts w:hint="eastAsia" w:ascii="宋体" w:hAnsi="宋体" w:cs="宋体"/>
          <w:color w:val="auto"/>
          <w:highlight w:val="none"/>
        </w:rPr>
      </w:pPr>
    </w:p>
    <w:p w14:paraId="52AF1527">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18B7518C">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65F2EFD0">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1BC5F5F3">
      <w:pPr>
        <w:pStyle w:val="12"/>
        <w:widowControl/>
        <w:spacing w:before="0" w:beforeAutospacing="0" w:after="0" w:afterAutospacing="0" w:line="360" w:lineRule="auto"/>
        <w:jc w:val="center"/>
        <w:rPr>
          <w:rFonts w:ascii="宋体" w:hAnsi="宋体" w:cs="宋体"/>
          <w:color w:val="auto"/>
          <w:highlight w:val="none"/>
        </w:rPr>
      </w:pPr>
    </w:p>
    <w:p w14:paraId="28896598">
      <w:pPr>
        <w:pStyle w:val="12"/>
        <w:widowControl/>
        <w:spacing w:before="0" w:beforeAutospacing="0" w:after="0" w:afterAutospacing="0" w:line="360" w:lineRule="auto"/>
        <w:jc w:val="center"/>
        <w:rPr>
          <w:rFonts w:ascii="宋体" w:hAnsi="宋体" w:cs="宋体"/>
          <w:color w:val="auto"/>
          <w:highlight w:val="none"/>
        </w:rPr>
      </w:pPr>
    </w:p>
    <w:p w14:paraId="37BAA531">
      <w:pPr>
        <w:pStyle w:val="12"/>
        <w:widowControl/>
        <w:spacing w:before="0" w:beforeAutospacing="0" w:after="0" w:afterAutospacing="0" w:line="360" w:lineRule="auto"/>
        <w:jc w:val="center"/>
        <w:rPr>
          <w:rFonts w:ascii="宋体" w:hAnsi="宋体" w:cs="宋体"/>
          <w:color w:val="auto"/>
          <w:highlight w:val="none"/>
        </w:rPr>
      </w:pPr>
    </w:p>
    <w:p w14:paraId="564D0650">
      <w:pPr>
        <w:pStyle w:val="12"/>
        <w:widowControl/>
        <w:spacing w:before="0" w:beforeAutospacing="0" w:after="0" w:afterAutospacing="0" w:line="360" w:lineRule="auto"/>
        <w:jc w:val="center"/>
        <w:rPr>
          <w:rFonts w:ascii="宋体" w:hAnsi="宋体" w:cs="宋体"/>
          <w:color w:val="auto"/>
          <w:highlight w:val="none"/>
        </w:rPr>
      </w:pPr>
    </w:p>
    <w:p w14:paraId="567A563F">
      <w:pPr>
        <w:pStyle w:val="12"/>
        <w:widowControl/>
        <w:spacing w:before="0" w:beforeAutospacing="0" w:after="0" w:afterAutospacing="0" w:line="360" w:lineRule="auto"/>
        <w:jc w:val="center"/>
        <w:rPr>
          <w:rFonts w:ascii="宋体" w:hAnsi="宋体" w:cs="宋体"/>
          <w:color w:val="auto"/>
          <w:highlight w:val="none"/>
        </w:rPr>
      </w:pPr>
    </w:p>
    <w:p w14:paraId="6DD52AC6">
      <w:pPr>
        <w:pStyle w:val="12"/>
        <w:widowControl/>
        <w:spacing w:before="0" w:beforeAutospacing="0" w:after="0" w:afterAutospacing="0" w:line="360" w:lineRule="auto"/>
        <w:jc w:val="center"/>
        <w:rPr>
          <w:rFonts w:ascii="宋体" w:hAnsi="宋体" w:cs="宋体"/>
          <w:color w:val="auto"/>
          <w:highlight w:val="none"/>
        </w:rPr>
      </w:pPr>
    </w:p>
    <w:p w14:paraId="3CB24B10">
      <w:pPr>
        <w:pStyle w:val="12"/>
        <w:widowControl/>
        <w:spacing w:before="0" w:beforeAutospacing="0" w:after="0" w:afterAutospacing="0" w:line="360" w:lineRule="auto"/>
        <w:jc w:val="center"/>
        <w:rPr>
          <w:rFonts w:ascii="宋体" w:hAnsi="宋体" w:cs="宋体"/>
          <w:color w:val="auto"/>
          <w:highlight w:val="none"/>
        </w:rPr>
      </w:pPr>
    </w:p>
    <w:p w14:paraId="4AD53879">
      <w:pPr>
        <w:pStyle w:val="12"/>
        <w:widowControl/>
        <w:spacing w:before="0" w:beforeAutospacing="0" w:after="0" w:afterAutospacing="0" w:line="360" w:lineRule="auto"/>
        <w:jc w:val="center"/>
        <w:rPr>
          <w:rFonts w:ascii="宋体" w:hAnsi="宋体" w:cs="宋体"/>
          <w:color w:val="auto"/>
          <w:highlight w:val="none"/>
        </w:rPr>
      </w:pPr>
    </w:p>
    <w:p w14:paraId="3BC37E95">
      <w:pPr>
        <w:pStyle w:val="12"/>
        <w:widowControl/>
        <w:spacing w:before="0" w:beforeAutospacing="0" w:after="0" w:afterAutospacing="0" w:line="360" w:lineRule="auto"/>
        <w:jc w:val="center"/>
        <w:rPr>
          <w:rFonts w:ascii="宋体" w:hAnsi="宋体" w:cs="宋体"/>
          <w:color w:val="auto"/>
          <w:highlight w:val="none"/>
        </w:rPr>
      </w:pPr>
    </w:p>
    <w:p w14:paraId="548A0A95">
      <w:pPr>
        <w:pStyle w:val="12"/>
        <w:widowControl/>
        <w:spacing w:before="0" w:beforeAutospacing="0" w:after="0" w:afterAutospacing="0" w:line="360" w:lineRule="auto"/>
        <w:jc w:val="center"/>
        <w:rPr>
          <w:rFonts w:ascii="宋体" w:hAnsi="宋体" w:cs="宋体"/>
          <w:color w:val="auto"/>
          <w:highlight w:val="none"/>
        </w:rPr>
      </w:pPr>
    </w:p>
    <w:p w14:paraId="5D931BEB">
      <w:pPr>
        <w:pStyle w:val="12"/>
        <w:widowControl/>
        <w:spacing w:before="0" w:beforeAutospacing="0" w:after="0" w:afterAutospacing="0" w:line="360" w:lineRule="auto"/>
        <w:jc w:val="center"/>
        <w:rPr>
          <w:rFonts w:ascii="宋体" w:hAnsi="宋体" w:cs="宋体"/>
          <w:color w:val="auto"/>
          <w:highlight w:val="none"/>
        </w:rPr>
      </w:pPr>
    </w:p>
    <w:p w14:paraId="3AF2C933">
      <w:pPr>
        <w:pStyle w:val="12"/>
        <w:widowControl/>
        <w:spacing w:before="0" w:beforeAutospacing="0" w:after="0" w:afterAutospacing="0" w:line="360" w:lineRule="auto"/>
        <w:jc w:val="center"/>
        <w:rPr>
          <w:rFonts w:ascii="宋体" w:hAnsi="宋体" w:cs="宋体"/>
          <w:color w:val="auto"/>
          <w:highlight w:val="none"/>
        </w:rPr>
      </w:pPr>
    </w:p>
    <w:p w14:paraId="79042CD5">
      <w:pPr>
        <w:pStyle w:val="12"/>
        <w:widowControl/>
        <w:spacing w:before="0" w:beforeAutospacing="0" w:after="0" w:afterAutospacing="0" w:line="360" w:lineRule="auto"/>
        <w:jc w:val="center"/>
        <w:outlineLvl w:val="1"/>
        <w:rPr>
          <w:rFonts w:ascii="宋体" w:hAnsi="宋体" w:cs="宋体"/>
          <w:color w:val="auto"/>
          <w:highlight w:val="none"/>
        </w:rPr>
      </w:pPr>
      <w:r>
        <w:rPr>
          <w:rStyle w:val="17"/>
          <w:rFonts w:hint="eastAsia" w:ascii="宋体" w:hAnsi="宋体" w:cs="宋体"/>
          <w:color w:val="auto"/>
          <w:highlight w:val="none"/>
        </w:rPr>
        <w:t>一、投标函</w:t>
      </w:r>
    </w:p>
    <w:p w14:paraId="637C6362">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致：</w:t>
      </w:r>
      <w:r>
        <w:rPr>
          <w:rFonts w:hint="eastAsia" w:ascii="宋体" w:hAnsi="宋体" w:cs="宋体"/>
          <w:color w:val="auto"/>
          <w:highlight w:val="none"/>
          <w:u w:val="single"/>
        </w:rPr>
        <w:t>          （征集人或采购代理机构）</w:t>
      </w:r>
    </w:p>
    <w:p w14:paraId="0763C851">
      <w:pPr>
        <w:pStyle w:val="12"/>
        <w:widowControl/>
        <w:spacing w:before="0" w:beforeAutospacing="0" w:after="0" w:afterAutospacing="0" w:line="360" w:lineRule="auto"/>
        <w:ind w:firstLine="559" w:firstLineChars="233"/>
        <w:rPr>
          <w:rFonts w:ascii="宋体" w:hAnsi="宋体" w:cs="宋体"/>
          <w:color w:val="auto"/>
          <w:highlight w:val="none"/>
        </w:rPr>
      </w:pPr>
      <w:r>
        <w:rPr>
          <w:rFonts w:hint="eastAsia" w:ascii="宋体" w:hAnsi="宋体" w:cs="宋体"/>
          <w:color w:val="auto"/>
          <w:highlight w:val="none"/>
        </w:rPr>
        <w:t>兹收到贵单位关于</w:t>
      </w:r>
      <w:r>
        <w:rPr>
          <w:rFonts w:hint="eastAsia" w:ascii="宋体" w:hAnsi="宋体" w:cs="宋体"/>
          <w:color w:val="auto"/>
          <w:highlight w:val="none"/>
          <w:u w:val="single"/>
        </w:rPr>
        <w:t>（填写“项目名称”）</w:t>
      </w:r>
      <w:r>
        <w:rPr>
          <w:rFonts w:hint="eastAsia" w:ascii="宋体" w:hAnsi="宋体" w:cs="宋体"/>
          <w:color w:val="auto"/>
          <w:highlight w:val="none"/>
        </w:rPr>
        <w:t>项目（项目编号：</w:t>
      </w:r>
      <w:r>
        <w:rPr>
          <w:rFonts w:hint="eastAsia" w:ascii="宋体" w:hAnsi="宋体" w:cs="宋体"/>
          <w:color w:val="auto"/>
          <w:highlight w:val="none"/>
          <w:u w:val="single"/>
        </w:rPr>
        <w:t>     </w:t>
      </w:r>
      <w:r>
        <w:rPr>
          <w:rFonts w:hint="eastAsia" w:ascii="宋体" w:hAnsi="宋体" w:cs="宋体"/>
          <w:color w:val="auto"/>
          <w:highlight w:val="none"/>
        </w:rPr>
        <w:t>）的参加征集活动的邀请，本投标人代表</w:t>
      </w:r>
      <w:r>
        <w:rPr>
          <w:rFonts w:hint="eastAsia" w:ascii="宋体" w:hAnsi="宋体" w:cs="宋体"/>
          <w:color w:val="auto"/>
          <w:highlight w:val="none"/>
          <w:u w:val="single"/>
        </w:rPr>
        <w:t>（填写“全名”）</w:t>
      </w:r>
      <w:r>
        <w:rPr>
          <w:rFonts w:hint="eastAsia" w:ascii="宋体" w:hAnsi="宋体" w:cs="宋体"/>
          <w:color w:val="auto"/>
          <w:highlight w:val="none"/>
        </w:rPr>
        <w:t>已获得我方正式授权并代表投标人</w:t>
      </w:r>
      <w:r>
        <w:rPr>
          <w:rFonts w:hint="eastAsia" w:ascii="宋体" w:hAnsi="宋体" w:cs="宋体"/>
          <w:color w:val="auto"/>
          <w:highlight w:val="none"/>
          <w:u w:val="single"/>
        </w:rPr>
        <w:t>（填写“全称”）</w:t>
      </w:r>
      <w:r>
        <w:rPr>
          <w:rFonts w:hint="eastAsia" w:ascii="宋体" w:hAnsi="宋体" w:cs="宋体"/>
          <w:color w:val="auto"/>
          <w:highlight w:val="none"/>
        </w:rPr>
        <w:t>参加投标，并提交投标文件。我方提交的全部投标文件均由下述部分组成：</w:t>
      </w:r>
    </w:p>
    <w:p w14:paraId="601F7528">
      <w:pPr>
        <w:pStyle w:val="12"/>
        <w:widowControl/>
        <w:spacing w:before="0" w:beforeAutospacing="0" w:after="0" w:afterAutospacing="0" w:line="360" w:lineRule="auto"/>
        <w:ind w:firstLine="280"/>
        <w:rPr>
          <w:rFonts w:hint="eastAsia" w:ascii="宋体" w:hAnsi="宋体" w:eastAsia="宋体" w:cs="宋体"/>
          <w:color w:val="auto"/>
          <w:highlight w:val="none"/>
          <w:lang w:val="en-US" w:eastAsia="zh-CN"/>
        </w:rPr>
      </w:pPr>
      <w:r>
        <w:rPr>
          <w:rFonts w:hint="eastAsia" w:ascii="宋体" w:hAnsi="宋体" w:cs="宋体"/>
          <w:color w:val="auto"/>
          <w:highlight w:val="none"/>
        </w:rPr>
        <w:t>（1）资格及资信证明部分</w:t>
      </w:r>
      <w:r>
        <w:rPr>
          <w:rFonts w:hint="eastAsia" w:ascii="宋体" w:hAnsi="宋体" w:cs="宋体"/>
          <w:color w:val="auto"/>
          <w:highlight w:val="none"/>
          <w:lang w:val="en-US" w:eastAsia="zh-CN"/>
        </w:rPr>
        <w:t>及</w:t>
      </w:r>
      <w:r>
        <w:rPr>
          <w:rFonts w:hint="eastAsia" w:ascii="宋体" w:hAnsi="宋体" w:cs="宋体"/>
          <w:color w:val="auto"/>
          <w:highlight w:val="none"/>
        </w:rPr>
        <w:t>技术商务部分</w:t>
      </w:r>
    </w:p>
    <w:p w14:paraId="62847CE3">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①投标函</w:t>
      </w:r>
    </w:p>
    <w:p w14:paraId="653B32AD">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②投标人的资格及资信证明文件</w:t>
      </w:r>
    </w:p>
    <w:p w14:paraId="054F8D94">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③标的说明一览表</w:t>
      </w:r>
    </w:p>
    <w:p w14:paraId="797D2455">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④技术和服务要求响应表</w:t>
      </w:r>
    </w:p>
    <w:p w14:paraId="4085ECF7">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eastAsia="宋体" w:cs="宋体"/>
          <w:color w:val="auto"/>
          <w:highlight w:val="none"/>
        </w:rPr>
        <w:t>⑤</w:t>
      </w:r>
      <w:r>
        <w:rPr>
          <w:rFonts w:hint="eastAsia" w:ascii="宋体" w:hAnsi="宋体" w:cs="宋体"/>
          <w:color w:val="auto"/>
          <w:highlight w:val="none"/>
        </w:rPr>
        <w:t>商务条件响应表</w:t>
      </w:r>
    </w:p>
    <w:p w14:paraId="660561C7">
      <w:pPr>
        <w:pStyle w:val="12"/>
        <w:widowControl/>
        <w:spacing w:before="0" w:beforeAutospacing="0" w:after="0" w:afterAutospacing="0" w:line="360" w:lineRule="auto"/>
        <w:ind w:firstLine="280"/>
        <w:rPr>
          <w:rFonts w:hint="eastAsia" w:ascii="宋体" w:hAnsi="宋体" w:cs="宋体"/>
          <w:color w:val="auto"/>
          <w:highlight w:val="none"/>
        </w:rPr>
      </w:pPr>
      <w:r>
        <w:rPr>
          <w:rFonts w:hint="eastAsia" w:ascii="宋体" w:hAnsi="宋体" w:eastAsia="宋体" w:cs="宋体"/>
          <w:color w:val="auto"/>
          <w:highlight w:val="none"/>
        </w:rPr>
        <w:t>⑥</w:t>
      </w:r>
      <w:r>
        <w:rPr>
          <w:rFonts w:hint="eastAsia" w:ascii="宋体" w:hAnsi="宋体" w:cs="宋体"/>
          <w:color w:val="auto"/>
          <w:highlight w:val="none"/>
        </w:rPr>
        <w:t>投标人提交的其他资料（若有）</w:t>
      </w:r>
    </w:p>
    <w:p w14:paraId="294E407B">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（2）报价部分</w:t>
      </w:r>
    </w:p>
    <w:p w14:paraId="56425FA3">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①开标一览表</w:t>
      </w:r>
    </w:p>
    <w:p w14:paraId="347CB663">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②投标分项报价表</w:t>
      </w:r>
    </w:p>
    <w:p w14:paraId="19F7611B">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③征集文件规定的价格扣除证明材料（若有）</w:t>
      </w:r>
    </w:p>
    <w:p w14:paraId="073DF0D0">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根据本函，本投标人代表宣布我方保证遵守征集文件的全部规定，同时：</w:t>
      </w:r>
    </w:p>
    <w:p w14:paraId="77C5C32D">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1、</w:t>
      </w:r>
      <w:r>
        <w:rPr>
          <w:rStyle w:val="17"/>
          <w:rFonts w:hint="eastAsia" w:ascii="宋体" w:hAnsi="宋体" w:cs="宋体"/>
          <w:color w:val="auto"/>
          <w:highlight w:val="none"/>
        </w:rPr>
        <w:t>确认：</w:t>
      </w:r>
    </w:p>
    <w:p w14:paraId="44516CC0">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1.1所投采购包的投标报价详见“开标一览表”及“投标分项报价表”。</w:t>
      </w:r>
    </w:p>
    <w:p w14:paraId="38BAC6A5">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1.2我方已详细审查全部征集文件[包括但不限于：有关附件（若有）、澄清或修改（若有）等]，并自行承担因对全部征集文件理解不正确或误解而产生的相应后果和责任。</w:t>
      </w:r>
    </w:p>
    <w:p w14:paraId="2512EF26">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2、</w:t>
      </w:r>
      <w:r>
        <w:rPr>
          <w:rStyle w:val="17"/>
          <w:rFonts w:hint="eastAsia" w:ascii="宋体" w:hAnsi="宋体" w:cs="宋体"/>
          <w:color w:val="auto"/>
          <w:highlight w:val="none"/>
        </w:rPr>
        <w:t>承诺及声明：</w:t>
      </w:r>
    </w:p>
    <w:p w14:paraId="5797B365">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2.1我方具备征集文件第一章载明的“投标人的资格要求”且符合征集文件第三章载明的“二、投标人”之规定，否则</w:t>
      </w:r>
      <w:r>
        <w:rPr>
          <w:rStyle w:val="17"/>
          <w:rFonts w:hint="eastAsia" w:ascii="宋体" w:hAnsi="宋体" w:cs="宋体"/>
          <w:color w:val="auto"/>
          <w:highlight w:val="none"/>
        </w:rPr>
        <w:t>投标无效。</w:t>
      </w:r>
    </w:p>
    <w:p w14:paraId="4E5E4C8B">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2.2我方提交的投标文件各组成部分的全部内容及资料是不可割离且真实、有效、准确、完整和不具有任何误导性的，否则产生不利后果由我方承担责任。</w:t>
      </w:r>
    </w:p>
    <w:p w14:paraId="211DEAC1">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2.3我方提供的标的价格不高于同期市场价格，否则产生不利后果由我方承担责任。</w:t>
      </w:r>
    </w:p>
    <w:p w14:paraId="06623E44">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2.4投标保证金：若出现征集文件第三章规定的不予退还情形，同意贵单位不予退还。</w:t>
      </w:r>
    </w:p>
    <w:p w14:paraId="57EA6515">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2.5投标有效期：按照征集文件第三章规定执行，并在征集文件第二章载明的期限内保持有效。</w:t>
      </w:r>
    </w:p>
    <w:p w14:paraId="251E204A">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2.6若</w:t>
      </w:r>
      <w:r>
        <w:rPr>
          <w:rFonts w:hint="eastAsia" w:ascii="宋体" w:hAnsi="宋体" w:cs="宋体"/>
          <w:color w:val="auto"/>
          <w:highlight w:val="none"/>
          <w:lang w:eastAsia="zh-CN"/>
        </w:rPr>
        <w:t>入围</w:t>
      </w:r>
      <w:r>
        <w:rPr>
          <w:rFonts w:hint="eastAsia" w:ascii="宋体" w:hAnsi="宋体" w:cs="宋体"/>
          <w:color w:val="auto"/>
          <w:highlight w:val="none"/>
        </w:rPr>
        <w:t>，将按照征集文件、我方投标文件及政府采购合同履行责任和义务。</w:t>
      </w:r>
    </w:p>
    <w:p w14:paraId="4E2E86C2">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2.7若贵单位要求，我方同意提供与本项目投标有关的一切资料、数据或文件，并完全理解贵单位不一定要接受最低的投标报价或收到的任何投标。</w:t>
      </w:r>
      <w:r>
        <w:rPr>
          <w:rFonts w:hint="eastAsia" w:ascii="宋体" w:hAnsi="宋体" w:cs="宋体"/>
          <w:color w:val="auto"/>
          <w:highlight w:val="none"/>
        </w:rPr>
        <w:br w:type="textWrapping"/>
      </w:r>
      <w:r>
        <w:rPr>
          <w:rFonts w:hint="eastAsia" w:ascii="宋体" w:hAnsi="宋体" w:cs="宋体"/>
          <w:color w:val="auto"/>
          <w:highlight w:val="none"/>
        </w:rPr>
        <w:t>  2.8我方承诺投标文件所提供的全部资料真实可靠，并接受评标委员会、征集人、采购代理机构、监管部门进一步审查其中任何资料真实性的要求。</w:t>
      </w:r>
    </w:p>
    <w:p w14:paraId="56735AFF">
      <w:pPr>
        <w:pStyle w:val="12"/>
        <w:widowControl/>
        <w:spacing w:before="0" w:beforeAutospacing="0" w:after="0" w:afterAutospacing="0" w:line="360" w:lineRule="auto"/>
        <w:ind w:firstLine="480" w:firstLineChars="200"/>
        <w:rPr>
          <w:rFonts w:hint="eastAsia" w:ascii="宋体" w:hAnsi="宋体" w:cs="宋体"/>
          <w:color w:val="auto"/>
          <w:highlight w:val="none"/>
        </w:rPr>
      </w:pPr>
      <w:r>
        <w:rPr>
          <w:rFonts w:hint="eastAsia" w:ascii="宋体" w:hAnsi="宋体" w:cs="宋体"/>
          <w:color w:val="auto"/>
          <w:highlight w:val="none"/>
        </w:rPr>
        <w:t>2.9除征集文件另有规定外，对于贵单位按照下述联络方式发出的任何信息或通知，均视为我方已收悉前述信息或通知的全部内容：</w:t>
      </w:r>
    </w:p>
    <w:p w14:paraId="51199045">
      <w:pPr>
        <w:pStyle w:val="12"/>
        <w:widowControl/>
        <w:spacing w:before="0" w:beforeAutospacing="0" w:after="0" w:afterAutospacing="0" w:line="360" w:lineRule="auto"/>
        <w:ind w:firstLine="480" w:firstLineChars="200"/>
        <w:rPr>
          <w:rFonts w:hint="eastAsia" w:ascii="宋体" w:hAnsi="宋体" w:cs="宋体"/>
          <w:color w:val="auto"/>
          <w:highlight w:val="none"/>
        </w:rPr>
      </w:pPr>
      <w:r>
        <w:rPr>
          <w:rFonts w:hint="eastAsia" w:ascii="宋体" w:hAnsi="宋体" w:cs="宋体"/>
          <w:color w:val="auto"/>
          <w:highlight w:val="none"/>
        </w:rPr>
        <w:t>通信地址：</w:t>
      </w:r>
    </w:p>
    <w:p w14:paraId="3AE72696">
      <w:pPr>
        <w:pStyle w:val="12"/>
        <w:widowControl/>
        <w:spacing w:before="0" w:beforeAutospacing="0" w:after="0" w:afterAutospacing="0" w:line="360" w:lineRule="auto"/>
        <w:ind w:firstLine="480" w:firstLineChars="200"/>
        <w:rPr>
          <w:rFonts w:ascii="宋体" w:hAnsi="宋体" w:cs="宋体"/>
          <w:color w:val="auto"/>
          <w:highlight w:val="none"/>
        </w:rPr>
      </w:pPr>
      <w:r>
        <w:rPr>
          <w:rFonts w:hint="eastAsia" w:ascii="宋体" w:hAnsi="宋体" w:cs="宋体"/>
          <w:color w:val="auto"/>
          <w:highlight w:val="none"/>
        </w:rPr>
        <w:t>邮编：                                    </w:t>
      </w:r>
      <w:r>
        <w:rPr>
          <w:rFonts w:hint="eastAsia" w:ascii="宋体" w:hAnsi="宋体" w:cs="宋体"/>
          <w:color w:val="auto"/>
          <w:highlight w:val="none"/>
        </w:rPr>
        <w:br w:type="textWrapping"/>
      </w:r>
      <w:r>
        <w:rPr>
          <w:rFonts w:hint="eastAsia" w:ascii="宋体" w:hAnsi="宋体" w:cs="宋体"/>
          <w:color w:val="auto"/>
          <w:highlight w:val="none"/>
        </w:rPr>
        <w:t>  联系方法：（包括但不限于：联系人、联系电话、手机、传真、电子邮箱等）</w:t>
      </w:r>
      <w:r>
        <w:rPr>
          <w:rFonts w:hint="eastAsia" w:ascii="宋体" w:hAnsi="宋体" w:cs="宋体"/>
          <w:color w:val="auto"/>
          <w:highlight w:val="none"/>
        </w:rPr>
        <w:br w:type="textWrapping"/>
      </w:r>
      <w:r>
        <w:rPr>
          <w:rFonts w:hint="eastAsia" w:ascii="宋体" w:hAnsi="宋体" w:cs="宋体"/>
          <w:color w:val="auto"/>
          <w:highlight w:val="none"/>
        </w:rPr>
        <w:t>  投标人：（全称并加盖单位公章）</w:t>
      </w:r>
      <w:r>
        <w:rPr>
          <w:rFonts w:hint="eastAsia" w:ascii="宋体" w:hAnsi="宋体" w:cs="宋体"/>
          <w:color w:val="auto"/>
          <w:highlight w:val="none"/>
        </w:rPr>
        <w:br w:type="textWrapping"/>
      </w:r>
      <w:r>
        <w:rPr>
          <w:rFonts w:hint="eastAsia" w:ascii="宋体" w:hAnsi="宋体" w:cs="宋体"/>
          <w:color w:val="auto"/>
          <w:highlight w:val="none"/>
        </w:rPr>
        <w:t>  日期：    年   月   日</w:t>
      </w:r>
    </w:p>
    <w:p w14:paraId="1A53AF8A">
      <w:pPr>
        <w:pStyle w:val="12"/>
        <w:widowControl/>
        <w:spacing w:before="0" w:beforeAutospacing="0" w:after="0" w:afterAutospacing="0" w:line="360" w:lineRule="auto"/>
        <w:jc w:val="center"/>
        <w:outlineLvl w:val="1"/>
        <w:rPr>
          <w:rFonts w:ascii="宋体" w:hAnsi="宋体" w:cs="宋体"/>
          <w:color w:val="auto"/>
          <w:highlight w:val="none"/>
        </w:rPr>
      </w:pPr>
      <w:r>
        <w:rPr>
          <w:rStyle w:val="17"/>
          <w:rFonts w:hint="eastAsia" w:ascii="宋体" w:hAnsi="宋体" w:cs="宋体"/>
          <w:color w:val="auto"/>
          <w:highlight w:val="none"/>
        </w:rPr>
        <w:t>二、投标人的资格及资信证明文件</w:t>
      </w:r>
    </w:p>
    <w:p w14:paraId="6DB7951E">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5D1D26D3">
      <w:pPr>
        <w:pStyle w:val="12"/>
        <w:widowControl/>
        <w:spacing w:before="0" w:beforeAutospacing="0" w:after="0" w:afterAutospacing="0" w:line="360" w:lineRule="auto"/>
        <w:jc w:val="center"/>
        <w:rPr>
          <w:rFonts w:ascii="宋体" w:hAnsi="宋体" w:cs="宋体"/>
          <w:color w:val="auto"/>
          <w:highlight w:val="none"/>
        </w:rPr>
      </w:pPr>
      <w:r>
        <w:rPr>
          <w:rStyle w:val="17"/>
          <w:rFonts w:hint="eastAsia" w:ascii="宋体" w:hAnsi="宋体" w:cs="宋体"/>
          <w:color w:val="auto"/>
          <w:highlight w:val="none"/>
        </w:rPr>
        <w:t>二-1单位授权书（若有）</w:t>
      </w:r>
    </w:p>
    <w:p w14:paraId="434AC826">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05E90F0E">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致：</w:t>
      </w:r>
      <w:r>
        <w:rPr>
          <w:rFonts w:hint="eastAsia" w:ascii="宋体" w:hAnsi="宋体" w:cs="宋体"/>
          <w:color w:val="auto"/>
          <w:highlight w:val="none"/>
          <w:u w:val="single"/>
        </w:rPr>
        <w:t>            （征集人或采购代理机构） </w:t>
      </w:r>
    </w:p>
    <w:p w14:paraId="20728050">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我方的单位负责人</w:t>
      </w:r>
      <w:r>
        <w:rPr>
          <w:rFonts w:hint="eastAsia" w:ascii="宋体" w:hAnsi="宋体" w:cs="宋体"/>
          <w:color w:val="auto"/>
          <w:highlight w:val="none"/>
          <w:u w:val="single"/>
        </w:rPr>
        <w:t>（填写“单位负责人全名”）</w:t>
      </w:r>
      <w:r>
        <w:rPr>
          <w:rFonts w:hint="eastAsia" w:ascii="宋体" w:hAnsi="宋体" w:cs="宋体"/>
          <w:color w:val="auto"/>
          <w:highlight w:val="none"/>
        </w:rPr>
        <w:t>授权</w:t>
      </w:r>
      <w:r>
        <w:rPr>
          <w:rFonts w:hint="eastAsia" w:ascii="宋体" w:hAnsi="宋体" w:cs="宋体"/>
          <w:color w:val="auto"/>
          <w:highlight w:val="none"/>
          <w:u w:val="single"/>
        </w:rPr>
        <w:t>（填写“投标人代表全名”）</w:t>
      </w:r>
      <w:r>
        <w:rPr>
          <w:rFonts w:hint="eastAsia" w:ascii="宋体" w:hAnsi="宋体" w:cs="宋体"/>
          <w:color w:val="auto"/>
          <w:highlight w:val="none"/>
        </w:rPr>
        <w:t>为投标人代表，代表我方参加</w:t>
      </w:r>
      <w:r>
        <w:rPr>
          <w:rFonts w:hint="eastAsia" w:ascii="宋体" w:hAnsi="宋体" w:cs="宋体"/>
          <w:color w:val="auto"/>
          <w:highlight w:val="none"/>
          <w:u w:val="single"/>
        </w:rPr>
        <w:t>（填写“项目名称”）</w:t>
      </w:r>
      <w:r>
        <w:rPr>
          <w:rFonts w:hint="eastAsia" w:ascii="宋体" w:hAnsi="宋体" w:cs="宋体"/>
          <w:color w:val="auto"/>
          <w:highlight w:val="none"/>
        </w:rPr>
        <w:t>项目（项目编号：</w:t>
      </w:r>
      <w:r>
        <w:rPr>
          <w:rFonts w:hint="eastAsia" w:ascii="宋体" w:hAnsi="宋体" w:cs="宋体"/>
          <w:color w:val="auto"/>
          <w:highlight w:val="none"/>
          <w:u w:val="single"/>
        </w:rPr>
        <w:t>         </w:t>
      </w:r>
      <w:r>
        <w:rPr>
          <w:rFonts w:hint="eastAsia" w:ascii="宋体" w:hAnsi="宋体" w:cs="宋体"/>
          <w:color w:val="auto"/>
          <w:highlight w:val="none"/>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284DE55C">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投标人代表无转委权。特此授权。</w:t>
      </w:r>
    </w:p>
    <w:p w14:paraId="28EA55D6">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（以下无正文）</w:t>
      </w:r>
    </w:p>
    <w:p w14:paraId="54AF56F8">
      <w:pPr>
        <w:pStyle w:val="12"/>
        <w:widowControl/>
        <w:spacing w:before="0" w:beforeAutospacing="0" w:after="0" w:afterAutospacing="0" w:line="360" w:lineRule="auto"/>
        <w:rPr>
          <w:rFonts w:hint="eastAsia" w:ascii="宋体" w:hAnsi="宋体" w:cs="宋体"/>
          <w:color w:val="auto"/>
          <w:highlight w:val="none"/>
          <w:u w:val="single"/>
        </w:rPr>
      </w:pPr>
      <w:r>
        <w:rPr>
          <w:rFonts w:hint="eastAsia" w:ascii="宋体" w:hAnsi="宋体" w:cs="宋体"/>
          <w:color w:val="auto"/>
          <w:highlight w:val="none"/>
        </w:rPr>
        <w:t>单位负责人：</w:t>
      </w:r>
      <w:r>
        <w:rPr>
          <w:rFonts w:hint="eastAsia" w:ascii="宋体" w:hAnsi="宋体" w:cs="宋体"/>
          <w:color w:val="auto"/>
          <w:highlight w:val="none"/>
          <w:u w:val="single"/>
        </w:rPr>
        <w:t>             </w:t>
      </w:r>
    </w:p>
    <w:p w14:paraId="70DC9132">
      <w:pPr>
        <w:pStyle w:val="12"/>
        <w:widowControl/>
        <w:spacing w:before="0" w:beforeAutospacing="0" w:after="0" w:afterAutospacing="0" w:line="360" w:lineRule="auto"/>
        <w:rPr>
          <w:rFonts w:hint="eastAsia" w:ascii="宋体" w:hAnsi="宋体" w:cs="宋体"/>
          <w:color w:val="auto"/>
          <w:highlight w:val="none"/>
          <w:u w:val="single"/>
        </w:rPr>
      </w:pPr>
      <w:r>
        <w:rPr>
          <w:rFonts w:hint="eastAsia" w:ascii="宋体" w:hAnsi="宋体" w:cs="宋体"/>
          <w:color w:val="auto"/>
          <w:highlight w:val="none"/>
        </w:rPr>
        <w:t>身份证号：</w:t>
      </w:r>
      <w:r>
        <w:rPr>
          <w:rFonts w:hint="eastAsia" w:ascii="宋体" w:hAnsi="宋体" w:cs="宋体"/>
          <w:color w:val="auto"/>
          <w:highlight w:val="none"/>
          <w:u w:val="single"/>
        </w:rPr>
        <w:t>                  </w:t>
      </w:r>
    </w:p>
    <w:p w14:paraId="51C9B3F6">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手机：</w:t>
      </w:r>
      <w:r>
        <w:rPr>
          <w:rFonts w:hint="eastAsia" w:ascii="宋体" w:hAnsi="宋体" w:cs="宋体"/>
          <w:color w:val="auto"/>
          <w:highlight w:val="none"/>
          <w:u w:val="single"/>
        </w:rPr>
        <w:t>              </w:t>
      </w:r>
    </w:p>
    <w:p w14:paraId="69E985A8">
      <w:pPr>
        <w:pStyle w:val="12"/>
        <w:widowControl/>
        <w:spacing w:before="0" w:beforeAutospacing="0" w:after="0" w:afterAutospacing="0" w:line="360" w:lineRule="auto"/>
        <w:rPr>
          <w:rFonts w:hint="eastAsia" w:ascii="宋体" w:hAnsi="宋体" w:cs="宋体"/>
          <w:color w:val="auto"/>
          <w:highlight w:val="none"/>
          <w:u w:val="single"/>
        </w:rPr>
      </w:pPr>
      <w:r>
        <w:rPr>
          <w:rFonts w:hint="eastAsia" w:ascii="宋体" w:hAnsi="宋体" w:cs="宋体"/>
          <w:color w:val="auto"/>
          <w:highlight w:val="none"/>
        </w:rPr>
        <w:t>投标人代表：</w:t>
      </w:r>
      <w:r>
        <w:rPr>
          <w:rFonts w:hint="eastAsia" w:ascii="宋体" w:hAnsi="宋体" w:cs="宋体"/>
          <w:color w:val="auto"/>
          <w:highlight w:val="none"/>
          <w:u w:val="single"/>
        </w:rPr>
        <w:t>             </w:t>
      </w:r>
    </w:p>
    <w:p w14:paraId="553A11A0">
      <w:pPr>
        <w:pStyle w:val="12"/>
        <w:widowControl/>
        <w:spacing w:before="0" w:beforeAutospacing="0" w:after="0" w:afterAutospacing="0" w:line="360" w:lineRule="auto"/>
        <w:rPr>
          <w:rFonts w:hint="eastAsia" w:ascii="宋体" w:hAnsi="宋体" w:cs="宋体"/>
          <w:color w:val="auto"/>
          <w:highlight w:val="none"/>
          <w:u w:val="single"/>
        </w:rPr>
      </w:pPr>
      <w:r>
        <w:rPr>
          <w:rFonts w:hint="eastAsia" w:ascii="宋体" w:hAnsi="宋体" w:cs="宋体"/>
          <w:color w:val="auto"/>
          <w:highlight w:val="none"/>
        </w:rPr>
        <w:t>身份证号：</w:t>
      </w:r>
      <w:r>
        <w:rPr>
          <w:rFonts w:hint="eastAsia" w:ascii="宋体" w:hAnsi="宋体" w:cs="宋体"/>
          <w:color w:val="auto"/>
          <w:highlight w:val="none"/>
          <w:u w:val="single"/>
        </w:rPr>
        <w:t>                      </w:t>
      </w:r>
    </w:p>
    <w:p w14:paraId="2F5C3DA2">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手机：</w:t>
      </w:r>
      <w:r>
        <w:rPr>
          <w:rFonts w:hint="eastAsia" w:ascii="宋体" w:hAnsi="宋体" w:cs="宋体"/>
          <w:color w:val="auto"/>
          <w:highlight w:val="none"/>
          <w:u w:val="single"/>
        </w:rPr>
        <w:t>              </w:t>
      </w:r>
    </w:p>
    <w:p w14:paraId="0F998CE2">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授权方</w:t>
      </w:r>
    </w:p>
    <w:p w14:paraId="1B4C2530">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投标人：</w:t>
      </w:r>
      <w:r>
        <w:rPr>
          <w:rFonts w:hint="eastAsia" w:ascii="宋体" w:hAnsi="宋体" w:cs="宋体"/>
          <w:color w:val="auto"/>
          <w:highlight w:val="none"/>
          <w:u w:val="single"/>
        </w:rPr>
        <w:t>（全称并加盖单位公章）</w:t>
      </w:r>
    </w:p>
    <w:p w14:paraId="4A490DFA">
      <w:pPr>
        <w:pStyle w:val="12"/>
        <w:widowControl/>
        <w:spacing w:before="0" w:beforeAutospacing="0" w:after="0" w:afterAutospacing="0" w:line="360" w:lineRule="auto"/>
        <w:jc w:val="left"/>
        <w:rPr>
          <w:rFonts w:ascii="宋体" w:hAnsi="宋体" w:cs="宋体"/>
          <w:color w:val="auto"/>
          <w:highlight w:val="none"/>
        </w:rPr>
      </w:pPr>
      <w:r>
        <w:rPr>
          <w:rFonts w:hint="eastAsia" w:ascii="宋体" w:hAnsi="宋体" w:cs="宋体"/>
          <w:color w:val="auto"/>
          <w:highlight w:val="none"/>
        </w:rPr>
        <w:t> </w:t>
      </w:r>
      <w:r>
        <w:rPr>
          <w:rFonts w:hint="eastAsia" w:ascii="宋体" w:hAnsi="宋体" w:cs="宋体"/>
          <w:color w:val="auto"/>
          <w:highlight w:val="none"/>
          <w:lang w:val="en-US" w:eastAsia="zh-CN"/>
        </w:rPr>
        <w:t xml:space="preserve">           </w:t>
      </w:r>
      <w:r>
        <w:rPr>
          <w:rFonts w:hint="eastAsia" w:ascii="宋体" w:hAnsi="宋体" w:cs="宋体"/>
          <w:color w:val="auto"/>
          <w:highlight w:val="none"/>
        </w:rPr>
        <w:t>签署日期：</w:t>
      </w:r>
      <w:r>
        <w:rPr>
          <w:rFonts w:hint="eastAsia" w:ascii="宋体" w:hAnsi="宋体" w:cs="宋体"/>
          <w:color w:val="auto"/>
          <w:highlight w:val="none"/>
          <w:u w:val="single"/>
        </w:rPr>
        <w:t>    </w:t>
      </w:r>
      <w:r>
        <w:rPr>
          <w:rFonts w:hint="eastAsia" w:ascii="宋体" w:hAnsi="宋体" w:cs="宋体"/>
          <w:color w:val="auto"/>
          <w:highlight w:val="none"/>
        </w:rPr>
        <w:t>年</w:t>
      </w:r>
      <w:r>
        <w:rPr>
          <w:rFonts w:hint="eastAsia" w:ascii="宋体" w:hAnsi="宋体" w:cs="宋体"/>
          <w:color w:val="auto"/>
          <w:highlight w:val="none"/>
          <w:u w:val="single"/>
        </w:rPr>
        <w:t>   </w:t>
      </w:r>
      <w:r>
        <w:rPr>
          <w:rFonts w:hint="eastAsia" w:ascii="宋体" w:hAnsi="宋体" w:cs="宋体"/>
          <w:color w:val="auto"/>
          <w:highlight w:val="none"/>
        </w:rPr>
        <w:t>月</w:t>
      </w:r>
      <w:r>
        <w:rPr>
          <w:rFonts w:hint="eastAsia" w:ascii="宋体" w:hAnsi="宋体" w:cs="宋体"/>
          <w:color w:val="auto"/>
          <w:highlight w:val="none"/>
          <w:u w:val="single"/>
        </w:rPr>
        <w:t>   </w:t>
      </w:r>
      <w:r>
        <w:rPr>
          <w:rFonts w:hint="eastAsia" w:ascii="宋体" w:hAnsi="宋体" w:cs="宋体"/>
          <w:color w:val="auto"/>
          <w:highlight w:val="none"/>
        </w:rPr>
        <w:t>日</w:t>
      </w:r>
    </w:p>
    <w:p w14:paraId="75798BB8">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361BE038">
      <w:pPr>
        <w:pStyle w:val="12"/>
        <w:widowControl/>
        <w:spacing w:before="0" w:beforeAutospacing="0" w:after="0" w:afterAutospacing="0" w:line="360" w:lineRule="auto"/>
        <w:rPr>
          <w:rFonts w:hint="eastAsia" w:ascii="宋体" w:hAnsi="宋体" w:cs="宋体"/>
          <w:color w:val="auto"/>
          <w:highlight w:val="none"/>
        </w:rPr>
      </w:pPr>
    </w:p>
    <w:p w14:paraId="26C8034D">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附：单位负责人、投标人代表的身份证正反面复印件</w:t>
      </w:r>
    </w:p>
    <w:tbl>
      <w:tblPr>
        <w:tblStyle w:val="14"/>
        <w:tblW w:w="5680" w:type="dxa"/>
        <w:tblCellSpacing w:w="15"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5680"/>
      </w:tblGrid>
      <w:tr w14:paraId="24520E5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5680" w:type="dxa"/>
            <w:tcBorders>
              <w:top w:val="nil"/>
              <w:left w:val="nil"/>
              <w:bottom w:val="nil"/>
              <w:right w:val="nil"/>
            </w:tcBorders>
            <w:tcMar>
              <w:top w:w="0" w:type="dxa"/>
              <w:left w:w="70" w:type="dxa"/>
              <w:bottom w:w="0" w:type="dxa"/>
              <w:right w:w="70" w:type="dxa"/>
            </w:tcMar>
            <w:vAlign w:val="center"/>
          </w:tcPr>
          <w:p w14:paraId="3D09AD24">
            <w:pPr>
              <w:pStyle w:val="12"/>
              <w:widowControl/>
              <w:spacing w:before="0" w:beforeAutospacing="0" w:after="0" w:afterAutospacing="0" w:line="360" w:lineRule="auto"/>
              <w:jc w:val="center"/>
              <w:rPr>
                <w:rFonts w:ascii="宋体" w:hAnsi="宋体" w:cs="宋体"/>
                <w:color w:val="auto"/>
                <w:highlight w:val="none"/>
              </w:rPr>
            </w:pPr>
            <w:r>
              <w:rPr>
                <w:rStyle w:val="17"/>
                <w:rFonts w:hint="eastAsia" w:ascii="宋体" w:hAnsi="宋体" w:cs="宋体"/>
                <w:color w:val="auto"/>
                <w:highlight w:val="none"/>
              </w:rPr>
              <w:t> </w:t>
            </w:r>
          </w:p>
          <w:p w14:paraId="1B04AFD7">
            <w:pPr>
              <w:pStyle w:val="12"/>
              <w:widowControl/>
              <w:spacing w:before="0" w:beforeAutospacing="0" w:after="0" w:afterAutospacing="0" w:line="360" w:lineRule="auto"/>
              <w:jc w:val="center"/>
              <w:rPr>
                <w:rFonts w:ascii="宋体" w:hAnsi="宋体" w:cs="宋体"/>
                <w:color w:val="auto"/>
                <w:highlight w:val="none"/>
              </w:rPr>
            </w:pPr>
            <w:r>
              <w:rPr>
                <w:rStyle w:val="17"/>
                <w:rFonts w:hint="eastAsia" w:ascii="宋体" w:hAnsi="宋体" w:cs="宋体"/>
                <w:color w:val="auto"/>
                <w:highlight w:val="none"/>
              </w:rPr>
              <w:t>要求：真实有效且内容完整、清晰、整洁。</w:t>
            </w:r>
          </w:p>
          <w:p w14:paraId="6BF627BB">
            <w:pPr>
              <w:pStyle w:val="12"/>
              <w:widowControl/>
              <w:spacing w:before="0" w:beforeAutospacing="0" w:after="0" w:afterAutospacing="0" w:line="360" w:lineRule="auto"/>
              <w:jc w:val="center"/>
              <w:rPr>
                <w:rFonts w:ascii="宋体" w:hAnsi="宋体" w:cs="宋体"/>
                <w:color w:val="auto"/>
                <w:highlight w:val="none"/>
              </w:rPr>
            </w:pPr>
            <w:r>
              <w:rPr>
                <w:rStyle w:val="17"/>
                <w:rFonts w:hint="eastAsia" w:ascii="宋体" w:hAnsi="宋体" w:cs="宋体"/>
                <w:color w:val="auto"/>
                <w:highlight w:val="none"/>
              </w:rPr>
              <w:t> </w:t>
            </w:r>
          </w:p>
        </w:tc>
      </w:tr>
    </w:tbl>
    <w:p w14:paraId="2A194B43">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7F9F6FBA">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※注意：</w:t>
      </w:r>
    </w:p>
    <w:p w14:paraId="317C665A">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1、企业（银行、保险、石油石化、电力、电信等行业除外）、事业单位和社会团体法人的“单位负责人”指</w:t>
      </w:r>
      <w:r>
        <w:rPr>
          <w:rStyle w:val="17"/>
          <w:rFonts w:hint="eastAsia" w:ascii="宋体" w:hAnsi="宋体" w:cs="宋体"/>
          <w:color w:val="auto"/>
          <w:highlight w:val="none"/>
        </w:rPr>
        <w:t>法定代表人</w:t>
      </w:r>
      <w:r>
        <w:rPr>
          <w:rFonts w:hint="eastAsia" w:ascii="宋体" w:hAnsi="宋体" w:cs="宋体"/>
          <w:color w:val="auto"/>
          <w:highlight w:val="none"/>
        </w:rPr>
        <w:t>，即与实际提交的“营业执照等证明文件”载明的一致。</w:t>
      </w:r>
    </w:p>
    <w:p w14:paraId="63AE2611">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7EC188B2">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3、投标人（自然人除外）：若投标人代表为单位授权的委托代理人，应提供本授权书；若投标人代表为单位负责人，应在此项下提交其身份证正反面复印件，可不提供本授权书。</w:t>
      </w:r>
      <w:r>
        <w:rPr>
          <w:rFonts w:hint="eastAsia" w:ascii="宋体" w:hAnsi="宋体" w:cs="宋体"/>
          <w:color w:val="auto"/>
          <w:highlight w:val="none"/>
        </w:rPr>
        <w:br w:type="textWrapping"/>
      </w:r>
      <w:r>
        <w:rPr>
          <w:rFonts w:hint="eastAsia" w:ascii="宋体" w:hAnsi="宋体" w:cs="宋体"/>
          <w:color w:val="auto"/>
          <w:highlight w:val="none"/>
        </w:rPr>
        <w:t>4、投标人为自然人的，可不填写本授权书。</w:t>
      </w:r>
    </w:p>
    <w:p w14:paraId="1EB0E047">
      <w:pPr>
        <w:pStyle w:val="12"/>
        <w:widowControl/>
        <w:spacing w:before="0" w:beforeAutospacing="0" w:after="0" w:afterAutospacing="0" w:line="360" w:lineRule="auto"/>
        <w:rPr>
          <w:rFonts w:ascii="宋体" w:hAnsi="宋体" w:cs="宋体"/>
          <w:color w:val="auto"/>
          <w:highlight w:val="none"/>
        </w:rPr>
      </w:pPr>
    </w:p>
    <w:p w14:paraId="5800067E">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68B8AB23">
      <w:pPr>
        <w:pStyle w:val="12"/>
        <w:widowControl/>
        <w:spacing w:before="0" w:beforeAutospacing="0" w:after="0" w:afterAutospacing="0" w:line="360" w:lineRule="auto"/>
        <w:rPr>
          <w:rFonts w:hint="eastAsia" w:ascii="宋体" w:hAnsi="宋体" w:cs="宋体"/>
          <w:color w:val="auto"/>
          <w:highlight w:val="none"/>
        </w:rPr>
      </w:pPr>
      <w:r>
        <w:rPr>
          <w:rFonts w:hint="eastAsia" w:ascii="宋体" w:hAnsi="宋体" w:cs="宋体"/>
          <w:color w:val="auto"/>
          <w:highlight w:val="none"/>
        </w:rPr>
        <w:t> </w:t>
      </w:r>
    </w:p>
    <w:p w14:paraId="57DA79D5">
      <w:pPr>
        <w:pStyle w:val="12"/>
        <w:widowControl/>
        <w:spacing w:before="0" w:beforeAutospacing="0" w:after="0" w:afterAutospacing="0" w:line="360" w:lineRule="auto"/>
        <w:rPr>
          <w:rFonts w:hint="eastAsia" w:ascii="宋体" w:hAnsi="宋体" w:cs="宋体"/>
          <w:color w:val="auto"/>
          <w:highlight w:val="none"/>
        </w:rPr>
      </w:pPr>
    </w:p>
    <w:p w14:paraId="04B54411">
      <w:pPr>
        <w:pStyle w:val="12"/>
        <w:widowControl/>
        <w:spacing w:before="0" w:beforeAutospacing="0" w:after="0" w:afterAutospacing="0" w:line="360" w:lineRule="auto"/>
        <w:rPr>
          <w:rFonts w:hint="eastAsia" w:ascii="宋体" w:hAnsi="宋体" w:cs="宋体"/>
          <w:color w:val="auto"/>
          <w:highlight w:val="none"/>
        </w:rPr>
      </w:pPr>
    </w:p>
    <w:p w14:paraId="3F5E3E3C">
      <w:pPr>
        <w:pStyle w:val="12"/>
        <w:widowControl/>
        <w:spacing w:before="0" w:beforeAutospacing="0" w:after="0" w:afterAutospacing="0" w:line="360" w:lineRule="auto"/>
        <w:rPr>
          <w:rFonts w:hint="eastAsia" w:ascii="宋体" w:hAnsi="宋体" w:cs="宋体"/>
          <w:color w:val="auto"/>
          <w:highlight w:val="none"/>
        </w:rPr>
      </w:pPr>
    </w:p>
    <w:p w14:paraId="2576EFC4">
      <w:pPr>
        <w:pStyle w:val="12"/>
        <w:widowControl/>
        <w:spacing w:before="0" w:beforeAutospacing="0" w:after="0" w:afterAutospacing="0" w:line="360" w:lineRule="auto"/>
        <w:jc w:val="center"/>
        <w:rPr>
          <w:rFonts w:ascii="宋体" w:hAnsi="宋体" w:cs="宋体"/>
          <w:color w:val="auto"/>
          <w:highlight w:val="none"/>
        </w:rPr>
      </w:pPr>
      <w:r>
        <w:rPr>
          <w:rStyle w:val="17"/>
          <w:rFonts w:hint="eastAsia" w:ascii="宋体" w:hAnsi="宋体" w:cs="宋体"/>
          <w:color w:val="auto"/>
          <w:highlight w:val="none"/>
        </w:rPr>
        <w:t>二-2营业执照等证明文件</w:t>
      </w:r>
    </w:p>
    <w:p w14:paraId="561DCFF3">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致：</w:t>
      </w:r>
      <w:r>
        <w:rPr>
          <w:rFonts w:hint="eastAsia" w:ascii="宋体" w:hAnsi="宋体" w:cs="宋体"/>
          <w:color w:val="auto"/>
          <w:highlight w:val="none"/>
          <w:u w:val="single"/>
        </w:rPr>
        <w:t>            （征集人或采购代理机构） </w:t>
      </w:r>
    </w:p>
    <w:p w14:paraId="526594FE">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 ）投标人为法人（包括企业、事业单位和社会团体）的</w:t>
      </w:r>
    </w:p>
    <w:p w14:paraId="7F2638C4">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现附上由</w:t>
      </w:r>
      <w:r>
        <w:rPr>
          <w:rFonts w:hint="eastAsia" w:ascii="宋体" w:hAnsi="宋体" w:cs="宋体"/>
          <w:color w:val="auto"/>
          <w:highlight w:val="none"/>
          <w:u w:val="single"/>
        </w:rPr>
        <w:t>（填写“签发机关全称”）</w:t>
      </w:r>
      <w:r>
        <w:rPr>
          <w:rFonts w:hint="eastAsia" w:ascii="宋体" w:hAnsi="宋体" w:cs="宋体"/>
          <w:color w:val="auto"/>
          <w:highlight w:val="none"/>
        </w:rPr>
        <w:t>签发的我方统一社会信用代码</w:t>
      </w:r>
      <w:r>
        <w:rPr>
          <w:rFonts w:hint="eastAsia" w:ascii="宋体" w:hAnsi="宋体" w:cs="宋体"/>
          <w:color w:val="auto"/>
          <w:highlight w:val="none"/>
          <w:u w:val="single"/>
        </w:rPr>
        <w:t>（请填写法人的具体证照名称）</w:t>
      </w:r>
      <w:r>
        <w:rPr>
          <w:rFonts w:hint="eastAsia" w:ascii="宋体" w:hAnsi="宋体" w:cs="宋体"/>
          <w:color w:val="auto"/>
          <w:highlight w:val="none"/>
        </w:rPr>
        <w:t>复印件，该证明材料真实有效，否则我方负全部责任。</w:t>
      </w:r>
    </w:p>
    <w:p w14:paraId="1D5C17EE">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 ）投标人为非法人（包括其他组织、自然人）的</w:t>
      </w:r>
    </w:p>
    <w:p w14:paraId="3D4C5CF8">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□现附上由</w:t>
      </w:r>
      <w:r>
        <w:rPr>
          <w:rFonts w:hint="eastAsia" w:ascii="宋体" w:hAnsi="宋体" w:cs="宋体"/>
          <w:color w:val="auto"/>
          <w:highlight w:val="none"/>
          <w:u w:val="single"/>
        </w:rPr>
        <w:t>（填写“签发机关全称”）</w:t>
      </w:r>
      <w:r>
        <w:rPr>
          <w:rFonts w:hint="eastAsia" w:ascii="宋体" w:hAnsi="宋体" w:cs="宋体"/>
          <w:color w:val="auto"/>
          <w:highlight w:val="none"/>
        </w:rPr>
        <w:t>签发的我方</w:t>
      </w:r>
      <w:r>
        <w:rPr>
          <w:rFonts w:hint="eastAsia" w:ascii="宋体" w:hAnsi="宋体" w:cs="宋体"/>
          <w:color w:val="auto"/>
          <w:highlight w:val="none"/>
          <w:u w:val="single"/>
        </w:rPr>
        <w:t>（请填写非自然人的非法人的具体证照名称）</w:t>
      </w:r>
      <w:r>
        <w:rPr>
          <w:rFonts w:hint="eastAsia" w:ascii="宋体" w:hAnsi="宋体" w:cs="宋体"/>
          <w:color w:val="auto"/>
          <w:highlight w:val="none"/>
        </w:rPr>
        <w:t>复印件，该证明材料真实有效，否则我方负全部责任。</w:t>
      </w:r>
    </w:p>
    <w:p w14:paraId="0D140BD3">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□现附上由</w:t>
      </w:r>
      <w:r>
        <w:rPr>
          <w:rFonts w:hint="eastAsia" w:ascii="宋体" w:hAnsi="宋体" w:cs="宋体"/>
          <w:color w:val="auto"/>
          <w:highlight w:val="none"/>
          <w:u w:val="single"/>
        </w:rPr>
        <w:t>（填写“签发机关全称”）</w:t>
      </w:r>
      <w:r>
        <w:rPr>
          <w:rFonts w:hint="eastAsia" w:ascii="宋体" w:hAnsi="宋体" w:cs="宋体"/>
          <w:color w:val="auto"/>
          <w:highlight w:val="none"/>
        </w:rPr>
        <w:t>签发的我方</w:t>
      </w:r>
      <w:r>
        <w:rPr>
          <w:rFonts w:hint="eastAsia" w:ascii="宋体" w:hAnsi="宋体" w:cs="宋体"/>
          <w:color w:val="auto"/>
          <w:highlight w:val="none"/>
          <w:u w:val="single"/>
        </w:rPr>
        <w:t>（请填写自然人的身份证件名称）</w:t>
      </w:r>
      <w:r>
        <w:rPr>
          <w:rFonts w:hint="eastAsia" w:ascii="宋体" w:hAnsi="宋体" w:cs="宋体"/>
          <w:color w:val="auto"/>
          <w:highlight w:val="none"/>
        </w:rPr>
        <w:t>复印件，该证明材料真实有效，否则我方负全部责任。</w:t>
      </w:r>
    </w:p>
    <w:p w14:paraId="3DD62191">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※注意：</w:t>
      </w:r>
    </w:p>
    <w:p w14:paraId="6DCED040">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1、请投标人按照实际情况编制填写，在相应的（）中打“√”并选择相应的“□”（若有）后，再按照本格式的要求提供相应证明材料的复印件。</w:t>
      </w:r>
    </w:p>
    <w:p w14:paraId="26CDADF3">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17C9F98D">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0C090D2C">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投标人：</w:t>
      </w:r>
      <w:r>
        <w:rPr>
          <w:rFonts w:hint="eastAsia" w:ascii="宋体" w:hAnsi="宋体" w:cs="宋体"/>
          <w:color w:val="auto"/>
          <w:highlight w:val="none"/>
          <w:u w:val="single"/>
        </w:rPr>
        <w:t>（全称并加盖单位公章）</w:t>
      </w:r>
    </w:p>
    <w:p w14:paraId="5ED9CDAD">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日期：</w:t>
      </w:r>
      <w:r>
        <w:rPr>
          <w:rFonts w:hint="eastAsia" w:ascii="宋体" w:hAnsi="宋体" w:cs="宋体"/>
          <w:color w:val="auto"/>
          <w:highlight w:val="none"/>
          <w:u w:val="single"/>
        </w:rPr>
        <w:t>    </w:t>
      </w:r>
      <w:r>
        <w:rPr>
          <w:rFonts w:hint="eastAsia" w:ascii="宋体" w:hAnsi="宋体" w:cs="宋体"/>
          <w:color w:val="auto"/>
          <w:highlight w:val="none"/>
        </w:rPr>
        <w:t>年</w:t>
      </w:r>
      <w:r>
        <w:rPr>
          <w:rFonts w:hint="eastAsia" w:ascii="宋体" w:hAnsi="宋体" w:cs="宋体"/>
          <w:color w:val="auto"/>
          <w:highlight w:val="none"/>
          <w:u w:val="single"/>
        </w:rPr>
        <w:t>   </w:t>
      </w:r>
      <w:r>
        <w:rPr>
          <w:rFonts w:hint="eastAsia" w:ascii="宋体" w:hAnsi="宋体" w:cs="宋体"/>
          <w:color w:val="auto"/>
          <w:highlight w:val="none"/>
        </w:rPr>
        <w:t>月</w:t>
      </w:r>
      <w:r>
        <w:rPr>
          <w:rFonts w:hint="eastAsia" w:ascii="宋体" w:hAnsi="宋体" w:cs="宋体"/>
          <w:color w:val="auto"/>
          <w:highlight w:val="none"/>
          <w:u w:val="single"/>
        </w:rPr>
        <w:t>   </w:t>
      </w:r>
      <w:r>
        <w:rPr>
          <w:rFonts w:hint="eastAsia" w:ascii="宋体" w:hAnsi="宋体" w:cs="宋体"/>
          <w:color w:val="auto"/>
          <w:highlight w:val="none"/>
        </w:rPr>
        <w:t>日</w:t>
      </w:r>
    </w:p>
    <w:p w14:paraId="5596D45F">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399DAE28">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 </w:t>
      </w:r>
      <w:r>
        <w:rPr>
          <w:rStyle w:val="17"/>
          <w:rFonts w:hint="eastAsia" w:ascii="宋体" w:hAnsi="宋体" w:cs="宋体"/>
          <w:color w:val="auto"/>
          <w:highlight w:val="none"/>
        </w:rPr>
        <w:t>二-3财务状况报告（财务报告、或资信证明）</w:t>
      </w:r>
    </w:p>
    <w:p w14:paraId="60B44DD9">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致：</w:t>
      </w:r>
      <w:r>
        <w:rPr>
          <w:rFonts w:hint="eastAsia" w:ascii="宋体" w:hAnsi="宋体" w:cs="宋体"/>
          <w:color w:val="auto"/>
          <w:highlight w:val="none"/>
          <w:u w:val="single"/>
        </w:rPr>
        <w:t>           （征集人或采购代理机构） </w:t>
      </w:r>
    </w:p>
    <w:p w14:paraId="14726236">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 ）投标人提供财务报告的</w:t>
      </w:r>
    </w:p>
    <w:p w14:paraId="196FE3D5">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□企业适用：现附上我方</w:t>
      </w:r>
      <w:r>
        <w:rPr>
          <w:rFonts w:hint="eastAsia" w:ascii="宋体" w:hAnsi="宋体" w:cs="宋体"/>
          <w:color w:val="auto"/>
          <w:highlight w:val="none"/>
          <w:u w:val="single"/>
        </w:rPr>
        <w:t>（填写“具体的年度、或半年度、或季度”）</w:t>
      </w:r>
      <w:r>
        <w:rPr>
          <w:rFonts w:hint="eastAsia" w:ascii="宋体" w:hAnsi="宋体" w:cs="宋体"/>
          <w:color w:val="auto"/>
          <w:highlight w:val="none"/>
        </w:rPr>
        <w:t>财务报告复印件，包括资产负债表、利润表、现金流量表、所有者权益变动表（若有）及其附注（若有）、会计师事务所营业执照和注册会计师资格证书，上述证明材料真实有效，否则我方负全部责任。</w:t>
      </w:r>
    </w:p>
    <w:p w14:paraId="21B3577E">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□事业单位适用：现附上我方</w:t>
      </w:r>
      <w:r>
        <w:rPr>
          <w:rFonts w:hint="eastAsia" w:ascii="宋体" w:hAnsi="宋体" w:cs="宋体"/>
          <w:color w:val="auto"/>
          <w:highlight w:val="none"/>
          <w:u w:val="single"/>
        </w:rPr>
        <w:t>（填写“具体的年度、或半年度、或季度”）</w:t>
      </w:r>
      <w:r>
        <w:rPr>
          <w:rFonts w:hint="eastAsia" w:ascii="宋体" w:hAnsi="宋体" w:cs="宋体"/>
          <w:color w:val="auto"/>
          <w:highlight w:val="none"/>
        </w:rPr>
        <w:t>财务报告复印件，包括资产负债表、收入支出表（或收入费用表）、财政补助收入支出表（若有）、会计师事务所营业执照和注册会计师资格证书，上述证明材料真实有效，否则我方负全部责任。</w:t>
      </w:r>
    </w:p>
    <w:p w14:paraId="476B1CBB">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□社会团体、民办非企适用：现附上我方</w:t>
      </w:r>
      <w:r>
        <w:rPr>
          <w:rFonts w:hint="eastAsia" w:ascii="宋体" w:hAnsi="宋体" w:cs="宋体"/>
          <w:color w:val="auto"/>
          <w:highlight w:val="none"/>
          <w:u w:val="single"/>
        </w:rPr>
        <w:t>（填写“具体的年度、或半年度、或季度”）</w:t>
      </w:r>
      <w:r>
        <w:rPr>
          <w:rFonts w:hint="eastAsia" w:ascii="宋体" w:hAnsi="宋体" w:cs="宋体"/>
          <w:color w:val="auto"/>
          <w:highlight w:val="none"/>
        </w:rPr>
        <w:t>财务报告复印件，包括资产负债表、业务活动表、现金流量表、会计师事务所营业执照和注册会计师资格证书，上述证明材料真实有效，否则我方负全部责任。</w:t>
      </w:r>
    </w:p>
    <w:p w14:paraId="5A0BAC63">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 ）投标人提供资信证明的</w:t>
      </w:r>
    </w:p>
    <w:p w14:paraId="79EE6FCC">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□非自然人适用（包括企业、事业单位、社会团体和其他组织）：现附上我方银行：（填写“开户银行全称”）出具的资信证明复印件，上述证明材料真实有效，否则我方负全部责任。</w:t>
      </w:r>
    </w:p>
    <w:p w14:paraId="0F730BC8">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□自然人适用：现附上我方银行：</w:t>
      </w:r>
      <w:r>
        <w:rPr>
          <w:rFonts w:hint="eastAsia" w:ascii="宋体" w:hAnsi="宋体" w:cs="宋体"/>
          <w:color w:val="auto"/>
          <w:highlight w:val="none"/>
          <w:u w:val="single"/>
        </w:rPr>
        <w:t>（填写自然人的“个人账户的开户银行全称”）</w:t>
      </w:r>
      <w:r>
        <w:rPr>
          <w:rFonts w:hint="eastAsia" w:ascii="宋体" w:hAnsi="宋体" w:cs="宋体"/>
          <w:color w:val="auto"/>
          <w:highlight w:val="none"/>
        </w:rPr>
        <w:t>出具的资信证明复印件，上述证明材料真实有效，否则我方负全部责任。</w:t>
      </w:r>
    </w:p>
    <w:p w14:paraId="2F94267A">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2DEE91EA">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※注意：</w:t>
      </w:r>
    </w:p>
    <w:p w14:paraId="04C49BC8">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1、请投标人按照实际情况编制填写，在相应的（）中打“√”并选择相应的“□”（若有）后，再按照本格式的要求提供相应证明材料的复印件。</w:t>
      </w:r>
    </w:p>
    <w:p w14:paraId="4AA92FC1">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2、投标人提供的财务报告复印件（成立年限按照投标截止时间推算）应符合下列规定：</w:t>
      </w:r>
    </w:p>
    <w:p w14:paraId="7059C1DA">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2.1成立年限满1年及以上的投标人，提供经审计的征集文件规定的年度财务报告。</w:t>
      </w:r>
    </w:p>
    <w:p w14:paraId="461E695D">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2.2成立年限满半年但不足1年的投标人，提供该半年度中任一季度的季度财务报告或该半年度的半年度财务报告。</w:t>
      </w:r>
    </w:p>
    <w:p w14:paraId="356AD81E">
      <w:pPr>
        <w:pStyle w:val="12"/>
        <w:widowControl/>
        <w:spacing w:before="0" w:beforeAutospacing="0" w:after="0" w:afterAutospacing="0" w:line="360" w:lineRule="auto"/>
        <w:rPr>
          <w:rFonts w:ascii="宋体" w:hAnsi="宋体" w:cs="宋体"/>
          <w:color w:val="auto"/>
          <w:highlight w:val="none"/>
        </w:rPr>
      </w:pPr>
      <w:r>
        <w:rPr>
          <w:rStyle w:val="17"/>
          <w:rFonts w:hint="eastAsia" w:ascii="宋体" w:hAnsi="宋体" w:cs="宋体"/>
          <w:color w:val="auto"/>
          <w:highlight w:val="none"/>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4AD7AA00">
      <w:pPr>
        <w:pStyle w:val="12"/>
        <w:widowControl/>
        <w:spacing w:before="0" w:beforeAutospacing="0" w:after="0" w:afterAutospacing="0" w:line="360" w:lineRule="auto"/>
        <w:rPr>
          <w:rFonts w:ascii="宋体" w:hAnsi="宋体" w:cs="宋体"/>
          <w:color w:val="auto"/>
          <w:highlight w:val="none"/>
        </w:rPr>
      </w:pPr>
    </w:p>
    <w:p w14:paraId="02AAD6D3">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677631BC">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投标人：</w:t>
      </w:r>
      <w:r>
        <w:rPr>
          <w:rFonts w:hint="eastAsia" w:ascii="宋体" w:hAnsi="宋体" w:cs="宋体"/>
          <w:color w:val="auto"/>
          <w:highlight w:val="none"/>
          <w:u w:val="single"/>
        </w:rPr>
        <w:t>（全称并加盖单位公章）</w:t>
      </w:r>
    </w:p>
    <w:p w14:paraId="10BB474E">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日期：</w:t>
      </w:r>
      <w:r>
        <w:rPr>
          <w:rFonts w:hint="eastAsia" w:ascii="宋体" w:hAnsi="宋体" w:cs="宋体"/>
          <w:color w:val="auto"/>
          <w:highlight w:val="none"/>
          <w:u w:val="single"/>
        </w:rPr>
        <w:t>    </w:t>
      </w:r>
      <w:r>
        <w:rPr>
          <w:rFonts w:hint="eastAsia" w:ascii="宋体" w:hAnsi="宋体" w:cs="宋体"/>
          <w:color w:val="auto"/>
          <w:highlight w:val="none"/>
        </w:rPr>
        <w:t>年</w:t>
      </w:r>
      <w:r>
        <w:rPr>
          <w:rFonts w:hint="eastAsia" w:ascii="宋体" w:hAnsi="宋体" w:cs="宋体"/>
          <w:color w:val="auto"/>
          <w:highlight w:val="none"/>
          <w:u w:val="single"/>
        </w:rPr>
        <w:t>   </w:t>
      </w:r>
      <w:r>
        <w:rPr>
          <w:rFonts w:hint="eastAsia" w:ascii="宋体" w:hAnsi="宋体" w:cs="宋体"/>
          <w:color w:val="auto"/>
          <w:highlight w:val="none"/>
        </w:rPr>
        <w:t>月</w:t>
      </w:r>
      <w:r>
        <w:rPr>
          <w:rFonts w:hint="eastAsia" w:ascii="宋体" w:hAnsi="宋体" w:cs="宋体"/>
          <w:color w:val="auto"/>
          <w:highlight w:val="none"/>
          <w:u w:val="single"/>
        </w:rPr>
        <w:t>   </w:t>
      </w:r>
      <w:r>
        <w:rPr>
          <w:rFonts w:hint="eastAsia" w:ascii="宋体" w:hAnsi="宋体" w:cs="宋体"/>
          <w:color w:val="auto"/>
          <w:highlight w:val="none"/>
        </w:rPr>
        <w:t>日</w:t>
      </w:r>
    </w:p>
    <w:p w14:paraId="39517B33">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036D8617">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5E447E93">
      <w:pPr>
        <w:pStyle w:val="12"/>
        <w:widowControl/>
        <w:spacing w:before="0" w:beforeAutospacing="0" w:after="0" w:afterAutospacing="0" w:line="360" w:lineRule="auto"/>
        <w:jc w:val="center"/>
        <w:rPr>
          <w:rFonts w:hint="eastAsia" w:ascii="宋体" w:hAnsi="宋体" w:cs="宋体"/>
          <w:color w:val="auto"/>
          <w:highlight w:val="none"/>
        </w:rPr>
      </w:pPr>
    </w:p>
    <w:p w14:paraId="6F28C27A">
      <w:pPr>
        <w:pStyle w:val="12"/>
        <w:widowControl/>
        <w:spacing w:before="0" w:beforeAutospacing="0" w:after="0" w:afterAutospacing="0" w:line="360" w:lineRule="auto"/>
        <w:jc w:val="center"/>
        <w:rPr>
          <w:rFonts w:hint="eastAsia" w:ascii="宋体" w:hAnsi="宋体" w:cs="宋体"/>
          <w:color w:val="auto"/>
          <w:highlight w:val="none"/>
        </w:rPr>
      </w:pPr>
    </w:p>
    <w:p w14:paraId="1C25CAED">
      <w:pPr>
        <w:pStyle w:val="12"/>
        <w:widowControl/>
        <w:spacing w:before="0" w:beforeAutospacing="0" w:after="0" w:afterAutospacing="0" w:line="360" w:lineRule="auto"/>
        <w:jc w:val="center"/>
        <w:rPr>
          <w:rFonts w:hint="eastAsia" w:ascii="宋体" w:hAnsi="宋体" w:cs="宋体"/>
          <w:color w:val="auto"/>
          <w:highlight w:val="none"/>
        </w:rPr>
      </w:pPr>
    </w:p>
    <w:p w14:paraId="329FF8D1">
      <w:pPr>
        <w:pStyle w:val="12"/>
        <w:widowControl/>
        <w:spacing w:before="0" w:beforeAutospacing="0" w:after="0" w:afterAutospacing="0" w:line="360" w:lineRule="auto"/>
        <w:jc w:val="center"/>
        <w:rPr>
          <w:rFonts w:hint="eastAsia" w:ascii="宋体" w:hAnsi="宋体" w:cs="宋体"/>
          <w:color w:val="auto"/>
          <w:highlight w:val="none"/>
        </w:rPr>
      </w:pPr>
    </w:p>
    <w:p w14:paraId="5796EC4D">
      <w:pPr>
        <w:pStyle w:val="12"/>
        <w:widowControl/>
        <w:spacing w:before="0" w:beforeAutospacing="0" w:after="0" w:afterAutospacing="0" w:line="360" w:lineRule="auto"/>
        <w:jc w:val="center"/>
        <w:rPr>
          <w:rFonts w:hint="eastAsia" w:ascii="宋体" w:hAnsi="宋体" w:cs="宋体"/>
          <w:color w:val="auto"/>
          <w:highlight w:val="none"/>
        </w:rPr>
      </w:pPr>
    </w:p>
    <w:p w14:paraId="35F89C9A">
      <w:pPr>
        <w:pStyle w:val="12"/>
        <w:widowControl/>
        <w:spacing w:before="0" w:beforeAutospacing="0" w:after="0" w:afterAutospacing="0" w:line="360" w:lineRule="auto"/>
        <w:jc w:val="center"/>
        <w:rPr>
          <w:rFonts w:hint="eastAsia" w:ascii="宋体" w:hAnsi="宋体" w:cs="宋体"/>
          <w:color w:val="auto"/>
          <w:highlight w:val="none"/>
        </w:rPr>
      </w:pPr>
    </w:p>
    <w:p w14:paraId="1000A94E">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二</w:t>
      </w:r>
      <w:r>
        <w:rPr>
          <w:rStyle w:val="17"/>
          <w:rFonts w:hint="eastAsia" w:ascii="宋体" w:hAnsi="宋体" w:cs="宋体"/>
          <w:color w:val="auto"/>
          <w:highlight w:val="none"/>
        </w:rPr>
        <w:t>-4依法缴纳税收证明材料</w:t>
      </w:r>
    </w:p>
    <w:p w14:paraId="246E34E3">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4ACE740D">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致：</w:t>
      </w:r>
      <w:r>
        <w:rPr>
          <w:rFonts w:hint="eastAsia" w:ascii="宋体" w:hAnsi="宋体" w:cs="宋体"/>
          <w:color w:val="auto"/>
          <w:highlight w:val="none"/>
          <w:u w:val="single"/>
        </w:rPr>
        <w:t>            （征集人或采购代理机构） </w:t>
      </w:r>
    </w:p>
    <w:p w14:paraId="095F6F5D">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1、依法缴纳税收的投标人</w:t>
      </w:r>
    </w:p>
    <w:p w14:paraId="7F4BBB89">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 ）法人（包括企业、事业单位和社会团体）的</w:t>
      </w:r>
    </w:p>
    <w:p w14:paraId="66BD9B68">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现附上自</w:t>
      </w:r>
      <w:r>
        <w:rPr>
          <w:rFonts w:hint="eastAsia" w:ascii="宋体" w:hAnsi="宋体" w:cs="宋体"/>
          <w:color w:val="auto"/>
          <w:highlight w:val="none"/>
          <w:u w:val="single"/>
        </w:rPr>
        <w:t>    </w:t>
      </w:r>
      <w:r>
        <w:rPr>
          <w:rFonts w:hint="eastAsia" w:ascii="宋体" w:hAnsi="宋体" w:cs="宋体"/>
          <w:color w:val="auto"/>
          <w:highlight w:val="none"/>
        </w:rPr>
        <w:t>年</w:t>
      </w:r>
      <w:r>
        <w:rPr>
          <w:rFonts w:hint="eastAsia" w:ascii="宋体" w:hAnsi="宋体" w:cs="宋体"/>
          <w:color w:val="auto"/>
          <w:highlight w:val="none"/>
          <w:u w:val="single"/>
        </w:rPr>
        <w:t>   </w:t>
      </w:r>
      <w:r>
        <w:rPr>
          <w:rFonts w:hint="eastAsia" w:ascii="宋体" w:hAnsi="宋体" w:cs="宋体"/>
          <w:color w:val="auto"/>
          <w:highlight w:val="none"/>
        </w:rPr>
        <w:t>月</w:t>
      </w:r>
      <w:r>
        <w:rPr>
          <w:rFonts w:hint="eastAsia" w:ascii="宋体" w:hAnsi="宋体" w:cs="宋体"/>
          <w:color w:val="auto"/>
          <w:highlight w:val="none"/>
          <w:u w:val="single"/>
        </w:rPr>
        <w:t>   </w:t>
      </w:r>
      <w:r>
        <w:rPr>
          <w:rFonts w:hint="eastAsia" w:ascii="宋体" w:hAnsi="宋体" w:cs="宋体"/>
          <w:color w:val="auto"/>
          <w:highlight w:val="none"/>
        </w:rPr>
        <w:t>日至</w:t>
      </w:r>
      <w:r>
        <w:rPr>
          <w:rFonts w:hint="eastAsia" w:ascii="宋体" w:hAnsi="宋体" w:cs="宋体"/>
          <w:color w:val="auto"/>
          <w:highlight w:val="none"/>
          <w:u w:val="single"/>
        </w:rPr>
        <w:t>    </w:t>
      </w:r>
      <w:r>
        <w:rPr>
          <w:rFonts w:hint="eastAsia" w:ascii="宋体" w:hAnsi="宋体" w:cs="宋体"/>
          <w:color w:val="auto"/>
          <w:highlight w:val="none"/>
        </w:rPr>
        <w:t>年</w:t>
      </w:r>
      <w:r>
        <w:rPr>
          <w:rFonts w:hint="eastAsia" w:ascii="宋体" w:hAnsi="宋体" w:cs="宋体"/>
          <w:color w:val="auto"/>
          <w:highlight w:val="none"/>
          <w:u w:val="single"/>
        </w:rPr>
        <w:t>   </w:t>
      </w:r>
      <w:r>
        <w:rPr>
          <w:rFonts w:hint="eastAsia" w:ascii="宋体" w:hAnsi="宋体" w:cs="宋体"/>
          <w:color w:val="auto"/>
          <w:highlight w:val="none"/>
        </w:rPr>
        <w:t>月</w:t>
      </w:r>
      <w:r>
        <w:rPr>
          <w:rFonts w:hint="eastAsia" w:ascii="宋体" w:hAnsi="宋体" w:cs="宋体"/>
          <w:color w:val="auto"/>
          <w:highlight w:val="none"/>
          <w:u w:val="single"/>
        </w:rPr>
        <w:t>   </w:t>
      </w:r>
      <w:r>
        <w:rPr>
          <w:rFonts w:hint="eastAsia" w:ascii="宋体" w:hAnsi="宋体" w:cs="宋体"/>
          <w:color w:val="auto"/>
          <w:highlight w:val="none"/>
        </w:rPr>
        <w:t>日期间我方缴纳</w:t>
      </w:r>
      <w:r>
        <w:rPr>
          <w:rFonts w:hint="eastAsia" w:ascii="宋体" w:hAnsi="宋体" w:cs="宋体"/>
          <w:color w:val="auto"/>
          <w:highlight w:val="none"/>
          <w:u w:val="single"/>
        </w:rPr>
        <w:t>（包括但不限于税务机关出具的专用收据、税收缴纳证明或税收代缴银行的缴款收讫凭证）等</w:t>
      </w:r>
      <w:r>
        <w:rPr>
          <w:rFonts w:hint="eastAsia" w:ascii="宋体" w:hAnsi="宋体" w:cs="宋体"/>
          <w:color w:val="auto"/>
          <w:highlight w:val="none"/>
        </w:rPr>
        <w:t>税收凭据复印件，上述证明材料真实有效，否则我方负全部责任。</w:t>
      </w:r>
    </w:p>
    <w:p w14:paraId="0EE306A2">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 ）非法人（包括其他组织、自然人）的</w:t>
      </w:r>
    </w:p>
    <w:p w14:paraId="207AA902">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现附上自</w:t>
      </w:r>
      <w:r>
        <w:rPr>
          <w:rFonts w:hint="eastAsia" w:ascii="宋体" w:hAnsi="宋体" w:cs="宋体"/>
          <w:color w:val="auto"/>
          <w:highlight w:val="none"/>
          <w:u w:val="single"/>
        </w:rPr>
        <w:t>    </w:t>
      </w:r>
      <w:r>
        <w:rPr>
          <w:rFonts w:hint="eastAsia" w:ascii="宋体" w:hAnsi="宋体" w:cs="宋体"/>
          <w:color w:val="auto"/>
          <w:highlight w:val="none"/>
        </w:rPr>
        <w:t>年</w:t>
      </w:r>
      <w:r>
        <w:rPr>
          <w:rFonts w:hint="eastAsia" w:ascii="宋体" w:hAnsi="宋体" w:cs="宋体"/>
          <w:color w:val="auto"/>
          <w:highlight w:val="none"/>
          <w:u w:val="single"/>
        </w:rPr>
        <w:t>   </w:t>
      </w:r>
      <w:r>
        <w:rPr>
          <w:rFonts w:hint="eastAsia" w:ascii="宋体" w:hAnsi="宋体" w:cs="宋体"/>
          <w:color w:val="auto"/>
          <w:highlight w:val="none"/>
        </w:rPr>
        <w:t>月</w:t>
      </w:r>
      <w:r>
        <w:rPr>
          <w:rFonts w:hint="eastAsia" w:ascii="宋体" w:hAnsi="宋体" w:cs="宋体"/>
          <w:color w:val="auto"/>
          <w:highlight w:val="none"/>
          <w:u w:val="single"/>
        </w:rPr>
        <w:t>   </w:t>
      </w:r>
      <w:r>
        <w:rPr>
          <w:rFonts w:hint="eastAsia" w:ascii="宋体" w:hAnsi="宋体" w:cs="宋体"/>
          <w:color w:val="auto"/>
          <w:highlight w:val="none"/>
        </w:rPr>
        <w:t>日至</w:t>
      </w:r>
      <w:r>
        <w:rPr>
          <w:rFonts w:hint="eastAsia" w:ascii="宋体" w:hAnsi="宋体" w:cs="宋体"/>
          <w:color w:val="auto"/>
          <w:highlight w:val="none"/>
          <w:u w:val="single"/>
        </w:rPr>
        <w:t>    </w:t>
      </w:r>
      <w:r>
        <w:rPr>
          <w:rFonts w:hint="eastAsia" w:ascii="宋体" w:hAnsi="宋体" w:cs="宋体"/>
          <w:color w:val="auto"/>
          <w:highlight w:val="none"/>
        </w:rPr>
        <w:t>年</w:t>
      </w:r>
      <w:r>
        <w:rPr>
          <w:rFonts w:hint="eastAsia" w:ascii="宋体" w:hAnsi="宋体" w:cs="宋体"/>
          <w:color w:val="auto"/>
          <w:highlight w:val="none"/>
          <w:u w:val="single"/>
        </w:rPr>
        <w:t>   </w:t>
      </w:r>
      <w:r>
        <w:rPr>
          <w:rFonts w:hint="eastAsia" w:ascii="宋体" w:hAnsi="宋体" w:cs="宋体"/>
          <w:color w:val="auto"/>
          <w:highlight w:val="none"/>
        </w:rPr>
        <w:t>月</w:t>
      </w:r>
      <w:r>
        <w:rPr>
          <w:rFonts w:hint="eastAsia" w:ascii="宋体" w:hAnsi="宋体" w:cs="宋体"/>
          <w:color w:val="auto"/>
          <w:highlight w:val="none"/>
          <w:u w:val="single"/>
        </w:rPr>
        <w:t>   </w:t>
      </w:r>
      <w:r>
        <w:rPr>
          <w:rFonts w:hint="eastAsia" w:ascii="宋体" w:hAnsi="宋体" w:cs="宋体"/>
          <w:color w:val="auto"/>
          <w:highlight w:val="none"/>
        </w:rPr>
        <w:t>日期间我方缴纳</w:t>
      </w:r>
      <w:r>
        <w:rPr>
          <w:rFonts w:hint="eastAsia" w:ascii="宋体" w:hAnsi="宋体" w:cs="宋体"/>
          <w:color w:val="auto"/>
          <w:highlight w:val="none"/>
          <w:u w:val="single"/>
        </w:rPr>
        <w:t>（包括但不限于税务机关出具的专用收据、税收缴纳证明或税收代缴银行的缴款收讫凭证）等</w:t>
      </w:r>
      <w:r>
        <w:rPr>
          <w:rFonts w:hint="eastAsia" w:ascii="宋体" w:hAnsi="宋体" w:cs="宋体"/>
          <w:color w:val="auto"/>
          <w:highlight w:val="none"/>
        </w:rPr>
        <w:t>税收凭据复印件，上述证明材料真实有效，否则我方负全部责任。</w:t>
      </w:r>
    </w:p>
    <w:p w14:paraId="2050B9A9">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2、依法免税的投标人</w:t>
      </w:r>
    </w:p>
    <w:p w14:paraId="0E22A899">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 ）现附上我方依法免税证明材料复印件，上述证明材料真实有效，否则我方负全部责任。</w:t>
      </w:r>
    </w:p>
    <w:p w14:paraId="2CF5D216">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00368270">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※注意：</w:t>
      </w:r>
    </w:p>
    <w:p w14:paraId="00120EB8">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1、请投标人按照实际情况编制填写，在相应的（）中打“√”，并按照本格式的要求提供相应证明材料的复印件。</w:t>
      </w:r>
    </w:p>
    <w:p w14:paraId="0C60DD80">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2、投标人提供的税收凭据复印件应符合下列规定：</w:t>
      </w:r>
    </w:p>
    <w:p w14:paraId="6914E271">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2.1投标截止时间前（不含投标截止时间的当月）已依法缴纳税收的投标人，提供投标截止时间前六个月（不含投标截止时间的当月）中任一月份的税收凭据复印件。</w:t>
      </w:r>
    </w:p>
    <w:p w14:paraId="078AEF7C">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2.2投标截止时间的当月成立且已依法缴纳税收的投标人，提供投标截止时间当月的税收凭据复印件。</w:t>
      </w:r>
    </w:p>
    <w:p w14:paraId="3B15C02B">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2.3投标截止时间的当月成立但因税务机关原因导致其尚未依法缴纳税收的投标人，提供依法缴纳税收承诺书（格式自拟），该承诺书视同税收凭据。</w:t>
      </w:r>
    </w:p>
    <w:p w14:paraId="5F7291B3">
      <w:pPr>
        <w:pStyle w:val="12"/>
        <w:widowControl/>
        <w:spacing w:before="0" w:beforeAutospacing="0" w:after="0" w:afterAutospacing="0" w:line="360" w:lineRule="auto"/>
        <w:rPr>
          <w:rFonts w:ascii="宋体" w:hAnsi="宋体" w:cs="宋体"/>
          <w:color w:val="auto"/>
          <w:highlight w:val="none"/>
        </w:rPr>
      </w:pPr>
    </w:p>
    <w:p w14:paraId="0373A8E9">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13D9DE2F">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2BB3BF32">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投标人：</w:t>
      </w:r>
      <w:r>
        <w:rPr>
          <w:rFonts w:hint="eastAsia" w:ascii="宋体" w:hAnsi="宋体" w:cs="宋体"/>
          <w:color w:val="auto"/>
          <w:highlight w:val="none"/>
          <w:u w:val="single"/>
        </w:rPr>
        <w:t>（全称并加盖单位公章）</w:t>
      </w:r>
    </w:p>
    <w:p w14:paraId="371483CE">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日期：</w:t>
      </w:r>
      <w:r>
        <w:rPr>
          <w:rFonts w:hint="eastAsia" w:ascii="宋体" w:hAnsi="宋体" w:cs="宋体"/>
          <w:color w:val="auto"/>
          <w:highlight w:val="none"/>
          <w:u w:val="single"/>
        </w:rPr>
        <w:t>    </w:t>
      </w:r>
      <w:r>
        <w:rPr>
          <w:rFonts w:hint="eastAsia" w:ascii="宋体" w:hAnsi="宋体" w:cs="宋体"/>
          <w:color w:val="auto"/>
          <w:highlight w:val="none"/>
        </w:rPr>
        <w:t>年</w:t>
      </w:r>
      <w:r>
        <w:rPr>
          <w:rFonts w:hint="eastAsia" w:ascii="宋体" w:hAnsi="宋体" w:cs="宋体"/>
          <w:color w:val="auto"/>
          <w:highlight w:val="none"/>
          <w:u w:val="single"/>
        </w:rPr>
        <w:t>   </w:t>
      </w:r>
      <w:r>
        <w:rPr>
          <w:rFonts w:hint="eastAsia" w:ascii="宋体" w:hAnsi="宋体" w:cs="宋体"/>
          <w:color w:val="auto"/>
          <w:highlight w:val="none"/>
        </w:rPr>
        <w:t>月</w:t>
      </w:r>
      <w:r>
        <w:rPr>
          <w:rFonts w:hint="eastAsia" w:ascii="宋体" w:hAnsi="宋体" w:cs="宋体"/>
          <w:color w:val="auto"/>
          <w:highlight w:val="none"/>
          <w:u w:val="single"/>
        </w:rPr>
        <w:t>   </w:t>
      </w:r>
      <w:r>
        <w:rPr>
          <w:rFonts w:hint="eastAsia" w:ascii="宋体" w:hAnsi="宋体" w:cs="宋体"/>
          <w:color w:val="auto"/>
          <w:highlight w:val="none"/>
        </w:rPr>
        <w:t>日</w:t>
      </w:r>
    </w:p>
    <w:p w14:paraId="602232A9">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17D5C30F">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5DF1943D">
      <w:pPr>
        <w:pStyle w:val="12"/>
        <w:widowControl/>
        <w:spacing w:before="0" w:beforeAutospacing="0" w:after="0" w:afterAutospacing="0" w:line="360" w:lineRule="auto"/>
        <w:jc w:val="center"/>
        <w:rPr>
          <w:rFonts w:hint="eastAsia" w:ascii="宋体" w:hAnsi="宋体" w:cs="宋体"/>
          <w:color w:val="auto"/>
          <w:highlight w:val="none"/>
        </w:rPr>
      </w:pPr>
    </w:p>
    <w:p w14:paraId="0B51CFCD">
      <w:pPr>
        <w:pStyle w:val="12"/>
        <w:widowControl/>
        <w:spacing w:before="0" w:beforeAutospacing="0" w:after="0" w:afterAutospacing="0" w:line="360" w:lineRule="auto"/>
        <w:jc w:val="center"/>
        <w:rPr>
          <w:rFonts w:hint="eastAsia" w:ascii="宋体" w:hAnsi="宋体" w:cs="宋体"/>
          <w:color w:val="auto"/>
          <w:highlight w:val="none"/>
        </w:rPr>
      </w:pPr>
    </w:p>
    <w:p w14:paraId="0A13FF6E">
      <w:pPr>
        <w:pStyle w:val="12"/>
        <w:widowControl/>
        <w:spacing w:before="0" w:beforeAutospacing="0" w:after="0" w:afterAutospacing="0" w:line="360" w:lineRule="auto"/>
        <w:jc w:val="center"/>
        <w:rPr>
          <w:rFonts w:hint="eastAsia" w:ascii="宋体" w:hAnsi="宋体" w:cs="宋体"/>
          <w:color w:val="auto"/>
          <w:highlight w:val="none"/>
        </w:rPr>
      </w:pPr>
    </w:p>
    <w:p w14:paraId="297C1BC1">
      <w:pPr>
        <w:pStyle w:val="12"/>
        <w:widowControl/>
        <w:spacing w:before="0" w:beforeAutospacing="0" w:after="0" w:afterAutospacing="0" w:line="360" w:lineRule="auto"/>
        <w:jc w:val="center"/>
        <w:rPr>
          <w:rFonts w:hint="eastAsia" w:ascii="宋体" w:hAnsi="宋体" w:cs="宋体"/>
          <w:color w:val="auto"/>
          <w:highlight w:val="none"/>
        </w:rPr>
      </w:pPr>
    </w:p>
    <w:p w14:paraId="4E878D0C">
      <w:pPr>
        <w:pStyle w:val="12"/>
        <w:widowControl/>
        <w:spacing w:before="0" w:beforeAutospacing="0" w:after="0" w:afterAutospacing="0" w:line="360" w:lineRule="auto"/>
        <w:jc w:val="center"/>
        <w:rPr>
          <w:rFonts w:hint="eastAsia" w:ascii="宋体" w:hAnsi="宋体" w:cs="宋体"/>
          <w:color w:val="auto"/>
          <w:highlight w:val="none"/>
        </w:rPr>
      </w:pPr>
    </w:p>
    <w:p w14:paraId="55D1D360">
      <w:pPr>
        <w:pStyle w:val="12"/>
        <w:widowControl/>
        <w:spacing w:before="0" w:beforeAutospacing="0" w:after="0" w:afterAutospacing="0" w:line="360" w:lineRule="auto"/>
        <w:jc w:val="center"/>
        <w:rPr>
          <w:rFonts w:hint="eastAsia" w:ascii="宋体" w:hAnsi="宋体" w:cs="宋体"/>
          <w:color w:val="auto"/>
          <w:highlight w:val="none"/>
        </w:rPr>
      </w:pPr>
    </w:p>
    <w:p w14:paraId="7C5F8E6A">
      <w:pPr>
        <w:pStyle w:val="12"/>
        <w:widowControl/>
        <w:spacing w:before="0" w:beforeAutospacing="0" w:after="0" w:afterAutospacing="0" w:line="360" w:lineRule="auto"/>
        <w:jc w:val="center"/>
        <w:rPr>
          <w:rFonts w:hint="eastAsia" w:ascii="宋体" w:hAnsi="宋体" w:cs="宋体"/>
          <w:color w:val="auto"/>
          <w:highlight w:val="none"/>
        </w:rPr>
      </w:pPr>
    </w:p>
    <w:p w14:paraId="2874E72B">
      <w:pPr>
        <w:pStyle w:val="12"/>
        <w:widowControl/>
        <w:spacing w:before="0" w:beforeAutospacing="0" w:after="0" w:afterAutospacing="0" w:line="360" w:lineRule="auto"/>
        <w:jc w:val="center"/>
        <w:rPr>
          <w:rFonts w:hint="eastAsia" w:ascii="宋体" w:hAnsi="宋体" w:cs="宋体"/>
          <w:color w:val="auto"/>
          <w:highlight w:val="none"/>
        </w:rPr>
      </w:pPr>
    </w:p>
    <w:p w14:paraId="7E0FF287">
      <w:pPr>
        <w:pStyle w:val="12"/>
        <w:widowControl/>
        <w:spacing w:before="0" w:beforeAutospacing="0" w:after="0" w:afterAutospacing="0" w:line="360" w:lineRule="auto"/>
        <w:jc w:val="center"/>
        <w:rPr>
          <w:rFonts w:hint="eastAsia" w:ascii="宋体" w:hAnsi="宋体" w:cs="宋体"/>
          <w:color w:val="auto"/>
          <w:highlight w:val="none"/>
        </w:rPr>
      </w:pPr>
    </w:p>
    <w:p w14:paraId="79BA6D00">
      <w:pPr>
        <w:pStyle w:val="12"/>
        <w:widowControl/>
        <w:spacing w:before="0" w:beforeAutospacing="0" w:after="0" w:afterAutospacing="0" w:line="360" w:lineRule="auto"/>
        <w:jc w:val="center"/>
        <w:rPr>
          <w:rFonts w:ascii="宋体" w:hAnsi="宋体" w:cs="宋体"/>
          <w:color w:val="auto"/>
          <w:highlight w:val="none"/>
        </w:rPr>
      </w:pPr>
      <w:r>
        <w:rPr>
          <w:rStyle w:val="17"/>
          <w:rFonts w:hint="eastAsia" w:ascii="宋体" w:hAnsi="宋体" w:cs="宋体"/>
          <w:color w:val="auto"/>
          <w:highlight w:val="none"/>
        </w:rPr>
        <w:t>二-5依法缴纳社会保障资金证明材料</w:t>
      </w:r>
    </w:p>
    <w:p w14:paraId="4DDC83F3">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074F7517">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致：</w:t>
      </w:r>
      <w:r>
        <w:rPr>
          <w:rFonts w:hint="eastAsia" w:ascii="宋体" w:hAnsi="宋体" w:cs="宋体"/>
          <w:color w:val="auto"/>
          <w:highlight w:val="none"/>
          <w:u w:val="single"/>
        </w:rPr>
        <w:t>           （征集人或采购代理机构） </w:t>
      </w:r>
    </w:p>
    <w:p w14:paraId="70FC0698">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1、依法缴纳社会保障资金的投标人</w:t>
      </w:r>
    </w:p>
    <w:p w14:paraId="16E38D35">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 ）法人（包括企业、事业单位和社会团体）的</w:t>
      </w:r>
    </w:p>
    <w:p w14:paraId="7C540158">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现附上自</w:t>
      </w:r>
      <w:r>
        <w:rPr>
          <w:rFonts w:hint="eastAsia" w:ascii="宋体" w:hAnsi="宋体" w:cs="宋体"/>
          <w:color w:val="auto"/>
          <w:highlight w:val="none"/>
          <w:u w:val="single"/>
        </w:rPr>
        <w:t>    </w:t>
      </w:r>
      <w:r>
        <w:rPr>
          <w:rFonts w:hint="eastAsia" w:ascii="宋体" w:hAnsi="宋体" w:cs="宋体"/>
          <w:color w:val="auto"/>
          <w:highlight w:val="none"/>
        </w:rPr>
        <w:t>年</w:t>
      </w:r>
      <w:r>
        <w:rPr>
          <w:rFonts w:hint="eastAsia" w:ascii="宋体" w:hAnsi="宋体" w:cs="宋体"/>
          <w:color w:val="auto"/>
          <w:highlight w:val="none"/>
          <w:u w:val="single"/>
        </w:rPr>
        <w:t>   </w:t>
      </w:r>
      <w:r>
        <w:rPr>
          <w:rFonts w:hint="eastAsia" w:ascii="宋体" w:hAnsi="宋体" w:cs="宋体"/>
          <w:color w:val="auto"/>
          <w:highlight w:val="none"/>
        </w:rPr>
        <w:t>月</w:t>
      </w:r>
      <w:r>
        <w:rPr>
          <w:rFonts w:hint="eastAsia" w:ascii="宋体" w:hAnsi="宋体" w:cs="宋体"/>
          <w:color w:val="auto"/>
          <w:highlight w:val="none"/>
          <w:u w:val="single"/>
        </w:rPr>
        <w:t>   </w:t>
      </w:r>
      <w:r>
        <w:rPr>
          <w:rFonts w:hint="eastAsia" w:ascii="宋体" w:hAnsi="宋体" w:cs="宋体"/>
          <w:color w:val="auto"/>
          <w:highlight w:val="none"/>
        </w:rPr>
        <w:t>日至</w:t>
      </w:r>
      <w:r>
        <w:rPr>
          <w:rFonts w:hint="eastAsia" w:ascii="宋体" w:hAnsi="宋体" w:cs="宋体"/>
          <w:color w:val="auto"/>
          <w:highlight w:val="none"/>
          <w:u w:val="single"/>
        </w:rPr>
        <w:t>    </w:t>
      </w:r>
      <w:r>
        <w:rPr>
          <w:rFonts w:hint="eastAsia" w:ascii="宋体" w:hAnsi="宋体" w:cs="宋体"/>
          <w:color w:val="auto"/>
          <w:highlight w:val="none"/>
        </w:rPr>
        <w:t>年</w:t>
      </w:r>
      <w:r>
        <w:rPr>
          <w:rFonts w:hint="eastAsia" w:ascii="宋体" w:hAnsi="宋体" w:cs="宋体"/>
          <w:color w:val="auto"/>
          <w:highlight w:val="none"/>
          <w:u w:val="single"/>
        </w:rPr>
        <w:t>   </w:t>
      </w:r>
      <w:r>
        <w:rPr>
          <w:rFonts w:hint="eastAsia" w:ascii="宋体" w:hAnsi="宋体" w:cs="宋体"/>
          <w:color w:val="auto"/>
          <w:highlight w:val="none"/>
        </w:rPr>
        <w:t>月</w:t>
      </w:r>
      <w:r>
        <w:rPr>
          <w:rFonts w:hint="eastAsia" w:ascii="宋体" w:hAnsi="宋体" w:cs="宋体"/>
          <w:color w:val="auto"/>
          <w:highlight w:val="none"/>
          <w:u w:val="single"/>
        </w:rPr>
        <w:t>   </w:t>
      </w:r>
      <w:r>
        <w:rPr>
          <w:rFonts w:hint="eastAsia" w:ascii="宋体" w:hAnsi="宋体" w:cs="宋体"/>
          <w:color w:val="auto"/>
          <w:highlight w:val="none"/>
        </w:rPr>
        <w:t>日我方缴纳的社会保险凭据（限：税务机关/社会保障资金管理机关的专用收据或社会保险缴纳清单，或社会保险的银行缴款收讫凭证）复印件，上述证明材料真实有效，否则我方负全部责任。</w:t>
      </w:r>
    </w:p>
    <w:p w14:paraId="535FDF38">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 ）非法人（包括其他组织、自然人）的</w:t>
      </w:r>
    </w:p>
    <w:p w14:paraId="7E5534C3">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自</w:t>
      </w:r>
      <w:r>
        <w:rPr>
          <w:rFonts w:hint="eastAsia" w:ascii="宋体" w:hAnsi="宋体" w:cs="宋体"/>
          <w:color w:val="auto"/>
          <w:highlight w:val="none"/>
          <w:u w:val="single"/>
        </w:rPr>
        <w:t>    </w:t>
      </w:r>
      <w:r>
        <w:rPr>
          <w:rFonts w:hint="eastAsia" w:ascii="宋体" w:hAnsi="宋体" w:cs="宋体"/>
          <w:color w:val="auto"/>
          <w:highlight w:val="none"/>
        </w:rPr>
        <w:t>年</w:t>
      </w:r>
      <w:r>
        <w:rPr>
          <w:rFonts w:hint="eastAsia" w:ascii="宋体" w:hAnsi="宋体" w:cs="宋体"/>
          <w:color w:val="auto"/>
          <w:highlight w:val="none"/>
          <w:u w:val="single"/>
        </w:rPr>
        <w:t>   </w:t>
      </w:r>
      <w:r>
        <w:rPr>
          <w:rFonts w:hint="eastAsia" w:ascii="宋体" w:hAnsi="宋体" w:cs="宋体"/>
          <w:color w:val="auto"/>
          <w:highlight w:val="none"/>
        </w:rPr>
        <w:t>月</w:t>
      </w:r>
      <w:r>
        <w:rPr>
          <w:rFonts w:hint="eastAsia" w:ascii="宋体" w:hAnsi="宋体" w:cs="宋体"/>
          <w:color w:val="auto"/>
          <w:highlight w:val="none"/>
          <w:u w:val="single"/>
        </w:rPr>
        <w:t>   </w:t>
      </w:r>
      <w:r>
        <w:rPr>
          <w:rFonts w:hint="eastAsia" w:ascii="宋体" w:hAnsi="宋体" w:cs="宋体"/>
          <w:color w:val="auto"/>
          <w:highlight w:val="none"/>
        </w:rPr>
        <w:t>日至</w:t>
      </w:r>
      <w:r>
        <w:rPr>
          <w:rFonts w:hint="eastAsia" w:ascii="宋体" w:hAnsi="宋体" w:cs="宋体"/>
          <w:color w:val="auto"/>
          <w:highlight w:val="none"/>
          <w:u w:val="single"/>
        </w:rPr>
        <w:t>    </w:t>
      </w:r>
      <w:r>
        <w:rPr>
          <w:rFonts w:hint="eastAsia" w:ascii="宋体" w:hAnsi="宋体" w:cs="宋体"/>
          <w:color w:val="auto"/>
          <w:highlight w:val="none"/>
        </w:rPr>
        <w:t>年</w:t>
      </w:r>
      <w:r>
        <w:rPr>
          <w:rFonts w:hint="eastAsia" w:ascii="宋体" w:hAnsi="宋体" w:cs="宋体"/>
          <w:color w:val="auto"/>
          <w:highlight w:val="none"/>
          <w:u w:val="single"/>
        </w:rPr>
        <w:t>   </w:t>
      </w:r>
      <w:r>
        <w:rPr>
          <w:rFonts w:hint="eastAsia" w:ascii="宋体" w:hAnsi="宋体" w:cs="宋体"/>
          <w:color w:val="auto"/>
          <w:highlight w:val="none"/>
        </w:rPr>
        <w:t>月</w:t>
      </w:r>
      <w:r>
        <w:rPr>
          <w:rFonts w:hint="eastAsia" w:ascii="宋体" w:hAnsi="宋体" w:cs="宋体"/>
          <w:color w:val="auto"/>
          <w:highlight w:val="none"/>
          <w:u w:val="single"/>
        </w:rPr>
        <w:t>   </w:t>
      </w:r>
      <w:r>
        <w:rPr>
          <w:rFonts w:hint="eastAsia" w:ascii="宋体" w:hAnsi="宋体" w:cs="宋体"/>
          <w:color w:val="auto"/>
          <w:highlight w:val="none"/>
        </w:rPr>
        <w:t>日我方缴纳的社会保险凭据（限：税务机关/社会保障资金管理机关的专用收据或社会保险缴纳清单，或社会保险的银行缴款收讫凭证）复印件，上述证明材料真实有效，否则我方负全部责任。</w:t>
      </w:r>
    </w:p>
    <w:p w14:paraId="3CB838AD">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2、依法不需要缴纳社会保障资金的投标人</w:t>
      </w:r>
    </w:p>
    <w:p w14:paraId="5321FFF2">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 ）现附上我方依法不需要缴纳社会保障资金证明材料复印件，上述证明材料真实有效，否则我方负全部责任。</w:t>
      </w:r>
    </w:p>
    <w:p w14:paraId="70C6298C">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3F7EB972">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※注意：</w:t>
      </w:r>
    </w:p>
    <w:p w14:paraId="3CD76017">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1、请投标人按照实际情况编制填写，在相应的（）中打“√”，并按照本格式的要求提供相应证明材料的复印件。</w:t>
      </w:r>
    </w:p>
    <w:p w14:paraId="684F03A3">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2、投标人提供的社会保险凭据复印件应符合下列规定：</w:t>
      </w:r>
    </w:p>
    <w:p w14:paraId="36BBADB3">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2.1投标截止时间前（不含投标截止时间的当月）已依法缴纳社会保障资金的投标人，提供投标截止时间前六个月（不含投标截止时间的当月）中任一月份的社会保险凭据复印件。</w:t>
      </w:r>
    </w:p>
    <w:p w14:paraId="49D5490F">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2.2投标截止时间的当月成立且已依法缴纳社会保障资金的投标人，提供投标截止时间当月的社会保险凭据复印件。</w:t>
      </w:r>
    </w:p>
    <w:p w14:paraId="38FC0BC2">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2.3投标截止时间的当月成立但因税务机关/社会保障资金管理机关原因导致其尚未依法缴纳社会保障资金的投标人，提供依法缴纳社会保障资金承诺书（格式自拟），该承诺书视同社会保险凭据。</w:t>
      </w:r>
    </w:p>
    <w:p w14:paraId="04803226">
      <w:pPr>
        <w:pStyle w:val="12"/>
        <w:widowControl/>
        <w:spacing w:before="0" w:beforeAutospacing="0" w:after="0" w:afterAutospacing="0" w:line="360" w:lineRule="auto"/>
        <w:rPr>
          <w:rFonts w:ascii="宋体" w:hAnsi="宋体" w:cs="宋体"/>
          <w:color w:val="auto"/>
          <w:highlight w:val="none"/>
        </w:rPr>
      </w:pPr>
    </w:p>
    <w:p w14:paraId="100CD467">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3E9E7647">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投标人：</w:t>
      </w:r>
      <w:r>
        <w:rPr>
          <w:rFonts w:hint="eastAsia" w:ascii="宋体" w:hAnsi="宋体" w:cs="宋体"/>
          <w:color w:val="auto"/>
          <w:highlight w:val="none"/>
          <w:u w:val="single"/>
        </w:rPr>
        <w:t>（全称并加盖单位公章）</w:t>
      </w:r>
    </w:p>
    <w:p w14:paraId="76384F5E">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日期：</w:t>
      </w:r>
      <w:r>
        <w:rPr>
          <w:rFonts w:hint="eastAsia" w:ascii="宋体" w:hAnsi="宋体" w:cs="宋体"/>
          <w:color w:val="auto"/>
          <w:highlight w:val="none"/>
          <w:u w:val="single"/>
        </w:rPr>
        <w:t>    </w:t>
      </w:r>
      <w:r>
        <w:rPr>
          <w:rFonts w:hint="eastAsia" w:ascii="宋体" w:hAnsi="宋体" w:cs="宋体"/>
          <w:color w:val="auto"/>
          <w:highlight w:val="none"/>
        </w:rPr>
        <w:t>年</w:t>
      </w:r>
      <w:r>
        <w:rPr>
          <w:rFonts w:hint="eastAsia" w:ascii="宋体" w:hAnsi="宋体" w:cs="宋体"/>
          <w:color w:val="auto"/>
          <w:highlight w:val="none"/>
          <w:u w:val="single"/>
        </w:rPr>
        <w:t>   </w:t>
      </w:r>
      <w:r>
        <w:rPr>
          <w:rFonts w:hint="eastAsia" w:ascii="宋体" w:hAnsi="宋体" w:cs="宋体"/>
          <w:color w:val="auto"/>
          <w:highlight w:val="none"/>
        </w:rPr>
        <w:t>月</w:t>
      </w:r>
      <w:r>
        <w:rPr>
          <w:rFonts w:hint="eastAsia" w:ascii="宋体" w:hAnsi="宋体" w:cs="宋体"/>
          <w:color w:val="auto"/>
          <w:highlight w:val="none"/>
          <w:u w:val="single"/>
        </w:rPr>
        <w:t>   </w:t>
      </w:r>
      <w:r>
        <w:rPr>
          <w:rFonts w:hint="eastAsia" w:ascii="宋体" w:hAnsi="宋体" w:cs="宋体"/>
          <w:color w:val="auto"/>
          <w:highlight w:val="none"/>
        </w:rPr>
        <w:t>日</w:t>
      </w:r>
    </w:p>
    <w:p w14:paraId="229BEAA5">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59C8C4AF">
      <w:pPr>
        <w:pStyle w:val="12"/>
        <w:widowControl/>
        <w:spacing w:before="0" w:beforeAutospacing="0" w:after="0" w:afterAutospacing="0" w:line="360" w:lineRule="auto"/>
        <w:rPr>
          <w:rFonts w:hint="eastAsia" w:ascii="宋体" w:hAnsi="宋体" w:cs="宋体"/>
          <w:color w:val="auto"/>
          <w:highlight w:val="none"/>
        </w:rPr>
      </w:pPr>
      <w:r>
        <w:rPr>
          <w:rFonts w:hint="eastAsia" w:ascii="宋体" w:hAnsi="宋体" w:cs="宋体"/>
          <w:color w:val="auto"/>
          <w:highlight w:val="none"/>
        </w:rPr>
        <w:t> </w:t>
      </w:r>
    </w:p>
    <w:p w14:paraId="0E1E4F50">
      <w:pPr>
        <w:pStyle w:val="12"/>
        <w:widowControl/>
        <w:spacing w:before="0" w:beforeAutospacing="0" w:after="0" w:afterAutospacing="0" w:line="360" w:lineRule="auto"/>
        <w:rPr>
          <w:rFonts w:hint="eastAsia" w:ascii="宋体" w:hAnsi="宋体" w:cs="宋体"/>
          <w:color w:val="auto"/>
          <w:highlight w:val="none"/>
        </w:rPr>
      </w:pPr>
    </w:p>
    <w:p w14:paraId="62D3195F">
      <w:pPr>
        <w:pStyle w:val="12"/>
        <w:widowControl/>
        <w:spacing w:before="0" w:beforeAutospacing="0" w:after="0" w:afterAutospacing="0" w:line="360" w:lineRule="auto"/>
        <w:rPr>
          <w:rFonts w:hint="eastAsia" w:ascii="宋体" w:hAnsi="宋体" w:cs="宋体"/>
          <w:color w:val="auto"/>
          <w:highlight w:val="none"/>
        </w:rPr>
      </w:pPr>
    </w:p>
    <w:p w14:paraId="518C4100">
      <w:pPr>
        <w:pStyle w:val="12"/>
        <w:widowControl/>
        <w:spacing w:before="0" w:beforeAutospacing="0" w:after="0" w:afterAutospacing="0" w:line="360" w:lineRule="auto"/>
        <w:rPr>
          <w:rFonts w:hint="eastAsia" w:ascii="宋体" w:hAnsi="宋体" w:cs="宋体"/>
          <w:color w:val="auto"/>
          <w:highlight w:val="none"/>
        </w:rPr>
      </w:pPr>
    </w:p>
    <w:p w14:paraId="59FD7E84">
      <w:pPr>
        <w:pStyle w:val="12"/>
        <w:widowControl/>
        <w:spacing w:before="0" w:beforeAutospacing="0" w:after="0" w:afterAutospacing="0" w:line="360" w:lineRule="auto"/>
        <w:rPr>
          <w:rFonts w:hint="eastAsia" w:ascii="宋体" w:hAnsi="宋体" w:cs="宋体"/>
          <w:color w:val="auto"/>
          <w:highlight w:val="none"/>
        </w:rPr>
      </w:pPr>
    </w:p>
    <w:p w14:paraId="0D4C2875">
      <w:pPr>
        <w:pStyle w:val="12"/>
        <w:widowControl/>
        <w:spacing w:before="0" w:beforeAutospacing="0" w:after="0" w:afterAutospacing="0" w:line="360" w:lineRule="auto"/>
        <w:rPr>
          <w:rFonts w:hint="eastAsia" w:ascii="宋体" w:hAnsi="宋体" w:cs="宋体"/>
          <w:color w:val="auto"/>
          <w:highlight w:val="none"/>
        </w:rPr>
      </w:pPr>
    </w:p>
    <w:p w14:paraId="3EFE8450">
      <w:pPr>
        <w:pStyle w:val="12"/>
        <w:widowControl/>
        <w:spacing w:before="0" w:beforeAutospacing="0" w:after="0" w:afterAutospacing="0" w:line="360" w:lineRule="auto"/>
        <w:rPr>
          <w:rFonts w:hint="eastAsia" w:ascii="宋体" w:hAnsi="宋体" w:cs="宋体"/>
          <w:color w:val="auto"/>
          <w:highlight w:val="none"/>
        </w:rPr>
      </w:pPr>
    </w:p>
    <w:p w14:paraId="2C4E80A3">
      <w:pPr>
        <w:pStyle w:val="12"/>
        <w:widowControl/>
        <w:spacing w:before="0" w:beforeAutospacing="0" w:after="0" w:afterAutospacing="0" w:line="360" w:lineRule="auto"/>
        <w:rPr>
          <w:rFonts w:hint="eastAsia" w:ascii="宋体" w:hAnsi="宋体" w:cs="宋体"/>
          <w:color w:val="auto"/>
          <w:highlight w:val="none"/>
        </w:rPr>
      </w:pPr>
    </w:p>
    <w:p w14:paraId="1D1C3EE7">
      <w:pPr>
        <w:pStyle w:val="12"/>
        <w:widowControl/>
        <w:spacing w:before="0" w:beforeAutospacing="0" w:after="0" w:afterAutospacing="0" w:line="360" w:lineRule="auto"/>
        <w:rPr>
          <w:rFonts w:hint="eastAsia" w:ascii="宋体" w:hAnsi="宋体" w:cs="宋体"/>
          <w:color w:val="auto"/>
          <w:highlight w:val="none"/>
        </w:rPr>
      </w:pPr>
    </w:p>
    <w:p w14:paraId="0280B0FF">
      <w:pPr>
        <w:pStyle w:val="12"/>
        <w:widowControl/>
        <w:spacing w:before="0" w:beforeAutospacing="0" w:after="0" w:afterAutospacing="0" w:line="360" w:lineRule="auto"/>
        <w:jc w:val="center"/>
        <w:rPr>
          <w:rFonts w:hint="eastAsia" w:ascii="宋体" w:hAnsi="宋体" w:cs="宋体"/>
          <w:color w:val="auto"/>
          <w:highlight w:val="none"/>
        </w:rPr>
      </w:pPr>
    </w:p>
    <w:p w14:paraId="0BC9728F">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二</w:t>
      </w:r>
      <w:r>
        <w:rPr>
          <w:rStyle w:val="17"/>
          <w:rFonts w:hint="eastAsia" w:ascii="宋体" w:hAnsi="宋体" w:cs="宋体"/>
          <w:color w:val="auto"/>
          <w:highlight w:val="none"/>
        </w:rPr>
        <w:t>-6具备履行合同所必需设备和专业技术能力的声明函（若有）</w:t>
      </w:r>
    </w:p>
    <w:p w14:paraId="56DE413A">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7AFC22F2">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致：</w:t>
      </w:r>
      <w:r>
        <w:rPr>
          <w:rFonts w:hint="eastAsia" w:ascii="宋体" w:hAnsi="宋体" w:cs="宋体"/>
          <w:color w:val="auto"/>
          <w:highlight w:val="none"/>
          <w:u w:val="single"/>
        </w:rPr>
        <w:t>           （征集人或采购代理机构） </w:t>
      </w:r>
    </w:p>
    <w:p w14:paraId="0AC99935">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我方具备履行合同所必需的设备和专业技术能力，否则产生不利后果由我方承担责任。</w:t>
      </w:r>
    </w:p>
    <w:p w14:paraId="1A9BC5EF">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特此声明。</w:t>
      </w:r>
    </w:p>
    <w:p w14:paraId="5F01387C">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1AA78281">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※注意：</w:t>
      </w:r>
    </w:p>
    <w:p w14:paraId="24D7B11A">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1、征集文件未要求投标人提供“具备履行合同所必需的设备和专业技术能力专项证明材料”的，投标人应提供本声明函。</w:t>
      </w:r>
    </w:p>
    <w:p w14:paraId="3B34E8FF">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2、征集文件要求投标人提供“具备履行合同所必需的设备和专业技术能力专项证明材料”的，投标人可不提供本声明函。</w:t>
      </w:r>
    </w:p>
    <w:p w14:paraId="44436F46">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3、请投标人根据实际情况如实声明，否则</w:t>
      </w:r>
      <w:r>
        <w:rPr>
          <w:rStyle w:val="17"/>
          <w:rFonts w:hint="eastAsia" w:ascii="宋体" w:hAnsi="宋体" w:cs="宋体"/>
          <w:color w:val="auto"/>
          <w:highlight w:val="none"/>
        </w:rPr>
        <w:t>视为提供虚假材料。</w:t>
      </w:r>
    </w:p>
    <w:p w14:paraId="0B200DD1">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73FFF4F7">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1DC31800">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投标人：</w:t>
      </w:r>
      <w:r>
        <w:rPr>
          <w:rFonts w:hint="eastAsia" w:ascii="宋体" w:hAnsi="宋体" w:cs="宋体"/>
          <w:color w:val="auto"/>
          <w:highlight w:val="none"/>
          <w:u w:val="single"/>
        </w:rPr>
        <w:t>（全称并加盖单位公章）</w:t>
      </w:r>
    </w:p>
    <w:p w14:paraId="512E6352">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日期：</w:t>
      </w:r>
      <w:r>
        <w:rPr>
          <w:rFonts w:hint="eastAsia" w:ascii="宋体" w:hAnsi="宋体" w:cs="宋体"/>
          <w:color w:val="auto"/>
          <w:highlight w:val="none"/>
          <w:u w:val="single"/>
        </w:rPr>
        <w:t>    </w:t>
      </w:r>
      <w:r>
        <w:rPr>
          <w:rFonts w:hint="eastAsia" w:ascii="宋体" w:hAnsi="宋体" w:cs="宋体"/>
          <w:color w:val="auto"/>
          <w:highlight w:val="none"/>
        </w:rPr>
        <w:t>年</w:t>
      </w:r>
      <w:r>
        <w:rPr>
          <w:rFonts w:hint="eastAsia" w:ascii="宋体" w:hAnsi="宋体" w:cs="宋体"/>
          <w:color w:val="auto"/>
          <w:highlight w:val="none"/>
          <w:u w:val="single"/>
        </w:rPr>
        <w:t>   </w:t>
      </w:r>
      <w:r>
        <w:rPr>
          <w:rFonts w:hint="eastAsia" w:ascii="宋体" w:hAnsi="宋体" w:cs="宋体"/>
          <w:color w:val="auto"/>
          <w:highlight w:val="none"/>
        </w:rPr>
        <w:t>月</w:t>
      </w:r>
      <w:r>
        <w:rPr>
          <w:rFonts w:hint="eastAsia" w:ascii="宋体" w:hAnsi="宋体" w:cs="宋体"/>
          <w:color w:val="auto"/>
          <w:highlight w:val="none"/>
          <w:u w:val="single"/>
        </w:rPr>
        <w:t>   </w:t>
      </w:r>
      <w:r>
        <w:rPr>
          <w:rFonts w:hint="eastAsia" w:ascii="宋体" w:hAnsi="宋体" w:cs="宋体"/>
          <w:color w:val="auto"/>
          <w:highlight w:val="none"/>
        </w:rPr>
        <w:t>日</w:t>
      </w:r>
    </w:p>
    <w:p w14:paraId="0145FFE8">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6C15BB73">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768C1D71">
      <w:pPr>
        <w:pStyle w:val="12"/>
        <w:widowControl/>
        <w:spacing w:before="0" w:beforeAutospacing="0" w:after="0" w:afterAutospacing="0" w:line="360" w:lineRule="auto"/>
        <w:jc w:val="center"/>
        <w:rPr>
          <w:rFonts w:hint="eastAsia" w:ascii="宋体" w:hAnsi="宋体" w:cs="宋体"/>
          <w:color w:val="auto"/>
          <w:highlight w:val="none"/>
        </w:rPr>
      </w:pPr>
    </w:p>
    <w:p w14:paraId="31670206">
      <w:pPr>
        <w:pStyle w:val="12"/>
        <w:widowControl/>
        <w:spacing w:before="0" w:beforeAutospacing="0" w:after="0" w:afterAutospacing="0" w:line="360" w:lineRule="auto"/>
        <w:jc w:val="center"/>
        <w:rPr>
          <w:rFonts w:hint="eastAsia" w:ascii="宋体" w:hAnsi="宋体" w:cs="宋体"/>
          <w:color w:val="auto"/>
          <w:highlight w:val="none"/>
        </w:rPr>
      </w:pPr>
    </w:p>
    <w:p w14:paraId="31387D04">
      <w:pPr>
        <w:pStyle w:val="12"/>
        <w:widowControl/>
        <w:spacing w:before="0" w:beforeAutospacing="0" w:after="0" w:afterAutospacing="0" w:line="360" w:lineRule="auto"/>
        <w:jc w:val="center"/>
        <w:rPr>
          <w:rFonts w:hint="eastAsia" w:ascii="宋体" w:hAnsi="宋体" w:cs="宋体"/>
          <w:color w:val="auto"/>
          <w:highlight w:val="none"/>
        </w:rPr>
      </w:pPr>
    </w:p>
    <w:p w14:paraId="5E325001">
      <w:pPr>
        <w:pStyle w:val="12"/>
        <w:widowControl/>
        <w:spacing w:before="0" w:beforeAutospacing="0" w:after="0" w:afterAutospacing="0" w:line="360" w:lineRule="auto"/>
        <w:jc w:val="center"/>
        <w:rPr>
          <w:rFonts w:hint="eastAsia" w:ascii="宋体" w:hAnsi="宋体" w:cs="宋体"/>
          <w:color w:val="auto"/>
          <w:highlight w:val="none"/>
        </w:rPr>
      </w:pPr>
    </w:p>
    <w:p w14:paraId="79747B08">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二</w:t>
      </w:r>
      <w:r>
        <w:rPr>
          <w:rStyle w:val="17"/>
          <w:rFonts w:hint="eastAsia" w:ascii="宋体" w:hAnsi="宋体" w:cs="宋体"/>
          <w:color w:val="auto"/>
          <w:highlight w:val="none"/>
        </w:rPr>
        <w:t>-7参加采购活动前三年内在经营活动中没有重大违法记录书面声明</w:t>
      </w:r>
    </w:p>
    <w:p w14:paraId="1AE788B1">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299EDEB8">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致：</w:t>
      </w:r>
      <w:r>
        <w:rPr>
          <w:rFonts w:hint="eastAsia" w:ascii="宋体" w:hAnsi="宋体" w:cs="宋体"/>
          <w:color w:val="auto"/>
          <w:highlight w:val="none"/>
          <w:u w:val="single"/>
        </w:rPr>
        <w:t>           （征集人或采购代理机构） </w:t>
      </w:r>
    </w:p>
    <w:p w14:paraId="38CA6E04">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参加采购活动前三年内，我方在经营活动中没有重大违法记录，即没有因违法经营受到刑事处罚或责令停产停业、吊销许可证或执照、较大数额罚款等行政处罚。否则产生不利后果由我方承担责任。</w:t>
      </w:r>
    </w:p>
    <w:p w14:paraId="7CE2A7DE">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特此声明。</w:t>
      </w:r>
    </w:p>
    <w:p w14:paraId="05623149">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※注意：</w:t>
      </w:r>
    </w:p>
    <w:p w14:paraId="54EACED9">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0CE530E0">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请投标人根据实际情况如实声明，否则</w:t>
      </w:r>
      <w:r>
        <w:rPr>
          <w:rStyle w:val="17"/>
          <w:rFonts w:hint="eastAsia" w:ascii="宋体" w:hAnsi="宋体" w:cs="宋体"/>
          <w:color w:val="auto"/>
          <w:highlight w:val="none"/>
        </w:rPr>
        <w:t>视为提供虚假材料。</w:t>
      </w:r>
    </w:p>
    <w:p w14:paraId="0FF76AF5">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5B8321E9">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25D8121E">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投标人：</w:t>
      </w:r>
      <w:r>
        <w:rPr>
          <w:rFonts w:hint="eastAsia" w:ascii="宋体" w:hAnsi="宋体" w:cs="宋体"/>
          <w:color w:val="auto"/>
          <w:highlight w:val="none"/>
          <w:u w:val="single"/>
        </w:rPr>
        <w:t>（全称并加盖单位公章）</w:t>
      </w:r>
    </w:p>
    <w:p w14:paraId="356DBDD1">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日期：</w:t>
      </w:r>
      <w:r>
        <w:rPr>
          <w:rFonts w:hint="eastAsia" w:ascii="宋体" w:hAnsi="宋体" w:cs="宋体"/>
          <w:color w:val="auto"/>
          <w:highlight w:val="none"/>
          <w:u w:val="single"/>
        </w:rPr>
        <w:t>    </w:t>
      </w:r>
      <w:r>
        <w:rPr>
          <w:rFonts w:hint="eastAsia" w:ascii="宋体" w:hAnsi="宋体" w:cs="宋体"/>
          <w:color w:val="auto"/>
          <w:highlight w:val="none"/>
        </w:rPr>
        <w:t>年</w:t>
      </w:r>
      <w:r>
        <w:rPr>
          <w:rFonts w:hint="eastAsia" w:ascii="宋体" w:hAnsi="宋体" w:cs="宋体"/>
          <w:color w:val="auto"/>
          <w:highlight w:val="none"/>
          <w:u w:val="single"/>
        </w:rPr>
        <w:t>   </w:t>
      </w:r>
      <w:r>
        <w:rPr>
          <w:rFonts w:hint="eastAsia" w:ascii="宋体" w:hAnsi="宋体" w:cs="宋体"/>
          <w:color w:val="auto"/>
          <w:highlight w:val="none"/>
        </w:rPr>
        <w:t>月</w:t>
      </w:r>
      <w:r>
        <w:rPr>
          <w:rFonts w:hint="eastAsia" w:ascii="宋体" w:hAnsi="宋体" w:cs="宋体"/>
          <w:color w:val="auto"/>
          <w:highlight w:val="none"/>
          <w:u w:val="single"/>
        </w:rPr>
        <w:t>   </w:t>
      </w:r>
      <w:r>
        <w:rPr>
          <w:rFonts w:hint="eastAsia" w:ascii="宋体" w:hAnsi="宋体" w:cs="宋体"/>
          <w:color w:val="auto"/>
          <w:highlight w:val="none"/>
        </w:rPr>
        <w:t>日</w:t>
      </w:r>
    </w:p>
    <w:p w14:paraId="0E1FC8C2">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2CE6D3F8">
      <w:pPr>
        <w:pStyle w:val="12"/>
        <w:widowControl/>
        <w:spacing w:before="0" w:beforeAutospacing="0" w:after="0" w:afterAutospacing="0" w:line="360" w:lineRule="auto"/>
        <w:rPr>
          <w:rFonts w:hint="eastAsia" w:ascii="宋体" w:hAnsi="宋体" w:cs="宋体"/>
          <w:color w:val="auto"/>
          <w:highlight w:val="none"/>
        </w:rPr>
      </w:pPr>
      <w:r>
        <w:rPr>
          <w:rFonts w:hint="eastAsia" w:ascii="宋体" w:hAnsi="宋体" w:cs="宋体"/>
          <w:color w:val="auto"/>
          <w:highlight w:val="none"/>
        </w:rPr>
        <w:t> </w:t>
      </w:r>
    </w:p>
    <w:p w14:paraId="7BA96671">
      <w:pPr>
        <w:pStyle w:val="12"/>
        <w:widowControl/>
        <w:spacing w:before="0" w:beforeAutospacing="0" w:after="0" w:afterAutospacing="0" w:line="360" w:lineRule="auto"/>
        <w:rPr>
          <w:rFonts w:hint="eastAsia" w:ascii="宋体" w:hAnsi="宋体" w:cs="宋体"/>
          <w:color w:val="auto"/>
          <w:highlight w:val="none"/>
        </w:rPr>
      </w:pPr>
    </w:p>
    <w:p w14:paraId="262037FC">
      <w:pPr>
        <w:pStyle w:val="12"/>
        <w:widowControl/>
        <w:spacing w:before="0" w:beforeAutospacing="0" w:after="0" w:afterAutospacing="0" w:line="360" w:lineRule="auto"/>
        <w:rPr>
          <w:rFonts w:hint="eastAsia" w:ascii="宋体" w:hAnsi="宋体" w:cs="宋体"/>
          <w:color w:val="auto"/>
          <w:highlight w:val="none"/>
        </w:rPr>
      </w:pPr>
    </w:p>
    <w:p w14:paraId="34D9158F">
      <w:pPr>
        <w:pStyle w:val="12"/>
        <w:widowControl/>
        <w:spacing w:before="0" w:beforeAutospacing="0" w:after="0" w:afterAutospacing="0" w:line="360" w:lineRule="auto"/>
        <w:rPr>
          <w:rFonts w:hint="eastAsia" w:ascii="宋体" w:hAnsi="宋体" w:cs="宋体"/>
          <w:color w:val="auto"/>
          <w:highlight w:val="none"/>
        </w:rPr>
      </w:pPr>
    </w:p>
    <w:p w14:paraId="1146DEFB">
      <w:pPr>
        <w:pStyle w:val="12"/>
        <w:widowControl/>
        <w:spacing w:before="0" w:beforeAutospacing="0" w:after="0" w:afterAutospacing="0" w:line="360" w:lineRule="auto"/>
        <w:rPr>
          <w:rFonts w:hint="eastAsia" w:ascii="宋体" w:hAnsi="宋体" w:cs="宋体"/>
          <w:color w:val="auto"/>
          <w:highlight w:val="none"/>
        </w:rPr>
      </w:pPr>
    </w:p>
    <w:p w14:paraId="1567EF5F">
      <w:pPr>
        <w:pageBreakBefore w:val="0"/>
        <w:widowControl w:val="0"/>
        <w:kinsoku/>
        <w:wordWrap/>
        <w:overflowPunct/>
        <w:topLinePunct w:val="0"/>
        <w:autoSpaceDE/>
        <w:autoSpaceDN/>
        <w:bidi w:val="0"/>
        <w:adjustRightInd/>
        <w:snapToGrid/>
        <w:spacing w:line="560" w:lineRule="exact"/>
        <w:jc w:val="center"/>
        <w:textAlignment w:val="auto"/>
        <w:outlineLvl w:val="9"/>
        <w:rPr>
          <w:rStyle w:val="17"/>
          <w:rFonts w:hint="eastAsia" w:ascii="宋体" w:hAnsi="宋体" w:eastAsia="宋体" w:cs="宋体"/>
          <w:b/>
          <w:color w:val="auto"/>
          <w:kern w:val="0"/>
          <w:sz w:val="24"/>
          <w:szCs w:val="24"/>
          <w:highlight w:val="none"/>
        </w:rPr>
      </w:pPr>
      <w:r>
        <w:rPr>
          <w:rStyle w:val="17"/>
          <w:rFonts w:hint="eastAsia" w:ascii="宋体" w:hAnsi="宋体" w:eastAsia="宋体" w:cs="宋体"/>
          <w:b/>
          <w:color w:val="auto"/>
          <w:kern w:val="0"/>
          <w:sz w:val="24"/>
          <w:highlight w:val="none"/>
        </w:rPr>
        <w:t>二</w:t>
      </w:r>
      <w:r>
        <w:rPr>
          <w:rStyle w:val="17"/>
          <w:rFonts w:hint="eastAsia" w:ascii="宋体" w:hAnsi="宋体" w:cs="宋体"/>
          <w:b w:val="0"/>
          <w:color w:val="auto"/>
          <w:kern w:val="0"/>
          <w:sz w:val="24"/>
          <w:highlight w:val="none"/>
        </w:rPr>
        <w:t>-</w:t>
      </w:r>
      <w:r>
        <w:rPr>
          <w:rStyle w:val="17"/>
          <w:rFonts w:hint="eastAsia" w:ascii="宋体" w:hAnsi="宋体" w:cs="宋体"/>
          <w:b w:val="0"/>
          <w:color w:val="auto"/>
          <w:kern w:val="0"/>
          <w:sz w:val="24"/>
          <w:highlight w:val="none"/>
          <w:lang w:val="en-US"/>
        </w:rPr>
        <w:t>8</w:t>
      </w:r>
      <w:r>
        <w:rPr>
          <w:rStyle w:val="17"/>
          <w:rFonts w:hint="eastAsia" w:ascii="宋体" w:hAnsi="宋体" w:eastAsia="宋体" w:cs="宋体"/>
          <w:b/>
          <w:color w:val="auto"/>
          <w:kern w:val="0"/>
          <w:sz w:val="24"/>
          <w:szCs w:val="24"/>
          <w:highlight w:val="none"/>
          <w:lang w:val="en-US" w:eastAsia="zh-CN"/>
        </w:rPr>
        <w:t>福建省</w:t>
      </w:r>
      <w:r>
        <w:rPr>
          <w:rStyle w:val="17"/>
          <w:rFonts w:hint="eastAsia" w:ascii="宋体" w:hAnsi="宋体" w:eastAsia="宋体" w:cs="宋体"/>
          <w:b/>
          <w:color w:val="auto"/>
          <w:kern w:val="0"/>
          <w:sz w:val="24"/>
          <w:szCs w:val="24"/>
          <w:highlight w:val="none"/>
        </w:rPr>
        <w:t>政府采购供应商资格承诺函</w:t>
      </w:r>
    </w:p>
    <w:p w14:paraId="7489BD16">
      <w:pPr>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color w:val="auto"/>
          <w:sz w:val="28"/>
          <w:szCs w:val="28"/>
          <w:highlight w:val="none"/>
        </w:rPr>
      </w:pPr>
    </w:p>
    <w:p w14:paraId="6C61F63C">
      <w:pPr>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致(采购人或政府采购代理机构):</w:t>
      </w:r>
    </w:p>
    <w:p w14:paraId="085810F1">
      <w:pPr>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w:t>
      </w:r>
    </w:p>
    <w:p w14:paraId="3CF4716E">
      <w:pPr>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统一社会信用代码:</w:t>
      </w:r>
    </w:p>
    <w:p w14:paraId="053151E6">
      <w:pPr>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cs="宋体"/>
          <w:color w:val="auto"/>
          <w:sz w:val="24"/>
          <w:szCs w:val="24"/>
          <w:highlight w:val="none"/>
          <w:lang w:val="en-US" w:eastAsia="zh-CN"/>
        </w:rPr>
        <w:t>单位</w:t>
      </w:r>
      <w:r>
        <w:rPr>
          <w:rFonts w:hint="eastAsia" w:ascii="宋体" w:hAnsi="宋体" w:eastAsia="宋体" w:cs="宋体"/>
          <w:color w:val="auto"/>
          <w:sz w:val="24"/>
          <w:szCs w:val="24"/>
          <w:highlight w:val="none"/>
        </w:rPr>
        <w:t>负责人):</w:t>
      </w:r>
    </w:p>
    <w:p w14:paraId="7F049715">
      <w:pPr>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联系地址和电话:</w:t>
      </w:r>
    </w:p>
    <w:p w14:paraId="7F7734BA">
      <w:pPr>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color w:val="auto"/>
          <w:sz w:val="24"/>
          <w:szCs w:val="24"/>
          <w:highlight w:val="none"/>
        </w:rPr>
      </w:pPr>
    </w:p>
    <w:p w14:paraId="6F4A4A87">
      <w:pPr>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我单位自愿参加本次政府采购活动，严格遵守《中华人民共和国政府采购法》及相关法律法规，坚守公开、公平公正和诚实信用等原则，依法诚信经营，并郑重承诺:</w:t>
      </w:r>
    </w:p>
    <w:p w14:paraId="3D79A6DB">
      <w:pPr>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一、我单位</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采购文件要求以及《中华人民共和国政府采购法》第二十二条规定的条件:</w:t>
      </w:r>
    </w:p>
    <w:p w14:paraId="100C1765">
      <w:pPr>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1.具有独立承担民事责任的能力;</w:t>
      </w:r>
    </w:p>
    <w:p w14:paraId="0D696D63">
      <w:pPr>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2.具有良好的商业信誉和健全的财务会计制度;</w:t>
      </w:r>
    </w:p>
    <w:p w14:paraId="22CB6F7C">
      <w:pPr>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3.具有履行合同所必需的设备和专业技术能力;</w:t>
      </w:r>
    </w:p>
    <w:p w14:paraId="1A929F11">
      <w:pPr>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4.有依法缴纳税收和社会保障资金的良好记录;</w:t>
      </w:r>
    </w:p>
    <w:p w14:paraId="5ABBCCA8">
      <w:pPr>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5.参加政府采购活动前三年内，在经营活动中没有重大违法记录</w:t>
      </w:r>
      <w:r>
        <w:rPr>
          <w:rFonts w:hint="eastAsia" w:ascii="宋体" w:hAnsi="宋体" w:eastAsia="宋体" w:cs="宋体"/>
          <w:color w:val="auto"/>
          <w:sz w:val="24"/>
          <w:szCs w:val="24"/>
          <w:highlight w:val="none"/>
          <w:lang w:eastAsia="zh-CN"/>
        </w:rPr>
        <w:t>；</w:t>
      </w:r>
    </w:p>
    <w:p w14:paraId="4150EFDB">
      <w:pPr>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法律、行政法规规定的其他条件。</w:t>
      </w:r>
    </w:p>
    <w:p w14:paraId="76BFDD58">
      <w:pPr>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3A26CC72">
      <w:pPr>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单位对本承诺函及所承诺事项的真实性、合法性及有效性负责，并已知晓如所作信用承诺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w:t>
      </w:r>
      <w:r>
        <w:rPr>
          <w:rFonts w:hint="eastAsia" w:ascii="宋体" w:hAnsi="宋体" w:eastAsia="宋体" w:cs="宋体"/>
          <w:color w:val="auto"/>
          <w:sz w:val="24"/>
          <w:szCs w:val="24"/>
          <w:highlight w:val="none"/>
          <w:lang w:eastAsia="zh-CN"/>
        </w:rPr>
        <w:t>和政府采购法律法规有关</w:t>
      </w:r>
      <w:r>
        <w:rPr>
          <w:rFonts w:hint="eastAsia" w:ascii="宋体" w:hAnsi="宋体" w:eastAsia="宋体" w:cs="宋体"/>
          <w:color w:val="auto"/>
          <w:sz w:val="24"/>
          <w:szCs w:val="24"/>
          <w:highlight w:val="none"/>
          <w:lang w:val="en-US" w:eastAsia="zh-CN"/>
        </w:rPr>
        <w:t>规定</w:t>
      </w:r>
      <w:r>
        <w:rPr>
          <w:rFonts w:hint="eastAsia" w:ascii="宋体" w:hAnsi="宋体" w:eastAsia="宋体" w:cs="宋体"/>
          <w:color w:val="auto"/>
          <w:sz w:val="24"/>
          <w:szCs w:val="24"/>
          <w:highlight w:val="none"/>
        </w:rPr>
        <w:t>处理。</w:t>
      </w:r>
    </w:p>
    <w:p w14:paraId="49CE040D">
      <w:pPr>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color w:val="auto"/>
          <w:sz w:val="24"/>
          <w:szCs w:val="24"/>
          <w:highlight w:val="none"/>
        </w:rPr>
      </w:pPr>
    </w:p>
    <w:p w14:paraId="4D2498C0">
      <w:pPr>
        <w:pageBreakBefore w:val="0"/>
        <w:widowControl w:val="0"/>
        <w:kinsoku/>
        <w:wordWrap/>
        <w:overflowPunct/>
        <w:topLinePunct w:val="0"/>
        <w:autoSpaceDE/>
        <w:autoSpaceDN/>
        <w:bidi w:val="0"/>
        <w:adjustRightInd/>
        <w:snapToGrid/>
        <w:spacing w:line="560" w:lineRule="exact"/>
        <w:ind w:firstLine="2640" w:firstLineChars="1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供应商名称(单位公章):</w:t>
      </w:r>
    </w:p>
    <w:p w14:paraId="7F417B59">
      <w:pPr>
        <w:pageBreakBefore w:val="0"/>
        <w:widowControl w:val="0"/>
        <w:kinsoku/>
        <w:wordWrap/>
        <w:overflowPunct/>
        <w:topLinePunct w:val="0"/>
        <w:autoSpaceDE/>
        <w:autoSpaceDN/>
        <w:bidi w:val="0"/>
        <w:adjustRightInd/>
        <w:snapToGrid/>
        <w:spacing w:line="560" w:lineRule="exact"/>
        <w:ind w:firstLine="2640" w:firstLineChars="1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 xml:space="preserve">   月   </w:t>
      </w:r>
      <w:r>
        <w:rPr>
          <w:rFonts w:hint="eastAsia" w:ascii="宋体" w:hAnsi="宋体" w:eastAsia="宋体" w:cs="宋体"/>
          <w:color w:val="auto"/>
          <w:sz w:val="24"/>
          <w:szCs w:val="24"/>
          <w:highlight w:val="none"/>
        </w:rPr>
        <w:t>日</w:t>
      </w:r>
    </w:p>
    <w:p w14:paraId="0BBDB942">
      <w:pPr>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宋体" w:hAnsi="宋体" w:eastAsia="宋体" w:cs="宋体"/>
          <w:color w:val="auto"/>
          <w:sz w:val="24"/>
          <w:szCs w:val="24"/>
          <w:highlight w:val="none"/>
        </w:rPr>
      </w:pPr>
    </w:p>
    <w:p w14:paraId="27799C3E">
      <w:pPr>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宋体" w:hAnsi="宋体" w:eastAsia="宋体" w:cs="宋体"/>
          <w:color w:val="auto"/>
          <w:sz w:val="24"/>
          <w:szCs w:val="24"/>
          <w:highlight w:val="none"/>
        </w:rPr>
      </w:pPr>
    </w:p>
    <w:p w14:paraId="1FCF0701">
      <w:pPr>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646C54B5">
      <w:pPr>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1.我单位专指参加政府采购活动的供应商</w:t>
      </w:r>
      <w:r>
        <w:rPr>
          <w:rFonts w:hint="eastAsia" w:ascii="宋体" w:hAnsi="宋体" w:eastAsia="宋体" w:cs="宋体"/>
          <w:color w:val="auto"/>
          <w:sz w:val="24"/>
          <w:szCs w:val="24"/>
          <w:highlight w:val="none"/>
          <w:lang w:eastAsia="zh-CN"/>
        </w:rPr>
        <w:t>；</w:t>
      </w:r>
    </w:p>
    <w:p w14:paraId="7739FA70">
      <w:pPr>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资格承诺的</w:t>
      </w:r>
      <w:r>
        <w:rPr>
          <w:rFonts w:hint="eastAsia" w:ascii="宋体" w:hAnsi="宋体" w:eastAsia="宋体" w:cs="宋体"/>
          <w:color w:val="auto"/>
          <w:sz w:val="24"/>
          <w:szCs w:val="24"/>
          <w:highlight w:val="none"/>
        </w:rPr>
        <w:t>供应商</w:t>
      </w:r>
      <w:r>
        <w:rPr>
          <w:rFonts w:hint="eastAsia" w:ascii="宋体" w:hAnsi="宋体" w:eastAsia="宋体" w:cs="宋体"/>
          <w:color w:val="auto"/>
          <w:sz w:val="24"/>
          <w:szCs w:val="24"/>
          <w:highlight w:val="none"/>
          <w:lang w:eastAsia="zh-CN"/>
        </w:rPr>
        <w:t>应</w:t>
      </w:r>
      <w:r>
        <w:rPr>
          <w:rFonts w:hint="eastAsia" w:ascii="宋体" w:hAnsi="宋体" w:eastAsia="宋体" w:cs="宋体"/>
          <w:color w:val="auto"/>
          <w:sz w:val="24"/>
          <w:szCs w:val="24"/>
          <w:highlight w:val="none"/>
        </w:rPr>
        <w:t>在投标(响应)文件中按此模板提供承诺函</w:t>
      </w:r>
      <w:r>
        <w:rPr>
          <w:rFonts w:hint="eastAsia" w:ascii="宋体" w:hAnsi="宋体" w:eastAsia="宋体" w:cs="宋体"/>
          <w:color w:val="auto"/>
          <w:sz w:val="24"/>
          <w:szCs w:val="24"/>
          <w:highlight w:val="none"/>
          <w:lang w:eastAsia="zh-CN"/>
        </w:rPr>
        <w:t>。</w:t>
      </w:r>
    </w:p>
    <w:p w14:paraId="146A2948">
      <w:pPr>
        <w:pStyle w:val="12"/>
        <w:widowControl/>
        <w:spacing w:before="0" w:beforeAutospacing="0" w:after="0" w:afterAutospacing="0" w:line="360" w:lineRule="auto"/>
        <w:jc w:val="center"/>
        <w:rPr>
          <w:rFonts w:hint="eastAsia" w:ascii="宋体" w:hAnsi="宋体" w:cs="宋体"/>
          <w:color w:val="auto"/>
          <w:highlight w:val="none"/>
        </w:rPr>
      </w:pPr>
    </w:p>
    <w:p w14:paraId="76D5BE60">
      <w:pPr>
        <w:pStyle w:val="12"/>
        <w:widowControl/>
        <w:spacing w:before="0" w:beforeAutospacing="0" w:after="0" w:afterAutospacing="0" w:line="360" w:lineRule="auto"/>
        <w:jc w:val="center"/>
        <w:rPr>
          <w:rFonts w:hint="eastAsia" w:ascii="宋体" w:hAnsi="宋体" w:cs="宋体"/>
          <w:color w:val="auto"/>
          <w:highlight w:val="none"/>
        </w:rPr>
      </w:pPr>
    </w:p>
    <w:p w14:paraId="65F0159E">
      <w:pPr>
        <w:pStyle w:val="12"/>
        <w:widowControl/>
        <w:spacing w:before="0" w:beforeAutospacing="0" w:after="0" w:afterAutospacing="0" w:line="360" w:lineRule="auto"/>
        <w:jc w:val="center"/>
        <w:rPr>
          <w:rFonts w:hint="eastAsia" w:ascii="宋体" w:hAnsi="宋体" w:cs="宋体"/>
          <w:color w:val="auto"/>
          <w:highlight w:val="none"/>
        </w:rPr>
      </w:pPr>
    </w:p>
    <w:p w14:paraId="06235B13">
      <w:pPr>
        <w:pStyle w:val="12"/>
        <w:widowControl/>
        <w:spacing w:before="0" w:beforeAutospacing="0" w:after="0" w:afterAutospacing="0" w:line="360" w:lineRule="auto"/>
        <w:jc w:val="center"/>
        <w:rPr>
          <w:rFonts w:hint="eastAsia" w:ascii="宋体" w:hAnsi="宋体" w:cs="宋体"/>
          <w:color w:val="auto"/>
          <w:highlight w:val="none"/>
        </w:rPr>
      </w:pPr>
    </w:p>
    <w:p w14:paraId="4A0EF2ED">
      <w:pPr>
        <w:pStyle w:val="12"/>
        <w:widowControl/>
        <w:spacing w:before="0" w:beforeAutospacing="0" w:after="0" w:afterAutospacing="0" w:line="360" w:lineRule="auto"/>
        <w:jc w:val="center"/>
        <w:rPr>
          <w:rFonts w:hint="eastAsia" w:ascii="宋体" w:hAnsi="宋体" w:cs="宋体"/>
          <w:color w:val="auto"/>
          <w:highlight w:val="none"/>
        </w:rPr>
      </w:pPr>
    </w:p>
    <w:p w14:paraId="54C17539">
      <w:pPr>
        <w:pStyle w:val="12"/>
        <w:widowControl/>
        <w:spacing w:before="0" w:beforeAutospacing="0" w:after="0" w:afterAutospacing="0" w:line="360" w:lineRule="auto"/>
        <w:jc w:val="center"/>
        <w:rPr>
          <w:rFonts w:hint="eastAsia" w:ascii="宋体" w:hAnsi="宋体" w:cs="宋体"/>
          <w:color w:val="auto"/>
          <w:highlight w:val="none"/>
        </w:rPr>
      </w:pPr>
    </w:p>
    <w:p w14:paraId="4841141F">
      <w:pPr>
        <w:pStyle w:val="12"/>
        <w:widowControl/>
        <w:spacing w:before="0" w:beforeAutospacing="0" w:after="0" w:afterAutospacing="0" w:line="360" w:lineRule="auto"/>
        <w:jc w:val="center"/>
        <w:rPr>
          <w:rFonts w:hint="eastAsia" w:ascii="宋体" w:hAnsi="宋体" w:cs="宋体"/>
          <w:color w:val="auto"/>
          <w:highlight w:val="none"/>
        </w:rPr>
      </w:pPr>
    </w:p>
    <w:p w14:paraId="10903CC5">
      <w:pPr>
        <w:pStyle w:val="12"/>
        <w:widowControl/>
        <w:spacing w:before="0" w:beforeAutospacing="0" w:after="0" w:afterAutospacing="0" w:line="360" w:lineRule="auto"/>
        <w:jc w:val="center"/>
        <w:rPr>
          <w:rFonts w:hint="eastAsia" w:ascii="宋体" w:hAnsi="宋体" w:cs="宋体"/>
          <w:color w:val="auto"/>
          <w:highlight w:val="none"/>
        </w:rPr>
      </w:pPr>
    </w:p>
    <w:p w14:paraId="4462B225">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二</w:t>
      </w:r>
      <w:r>
        <w:rPr>
          <w:rStyle w:val="17"/>
          <w:rFonts w:hint="eastAsia" w:ascii="宋体" w:hAnsi="宋体" w:cs="宋体"/>
          <w:color w:val="auto"/>
          <w:highlight w:val="none"/>
        </w:rPr>
        <w:t>-</w:t>
      </w:r>
      <w:r>
        <w:rPr>
          <w:rStyle w:val="17"/>
          <w:rFonts w:hint="eastAsia" w:ascii="宋体" w:hAnsi="宋体" w:cs="宋体"/>
          <w:color w:val="auto"/>
          <w:highlight w:val="none"/>
          <w:lang w:val="en-US"/>
        </w:rPr>
        <w:t>9</w:t>
      </w:r>
      <w:r>
        <w:rPr>
          <w:rStyle w:val="17"/>
          <w:rFonts w:hint="eastAsia" w:ascii="宋体" w:hAnsi="宋体" w:cs="宋体"/>
          <w:color w:val="auto"/>
          <w:highlight w:val="none"/>
        </w:rPr>
        <w:t>信用记录查询提示</w:t>
      </w:r>
    </w:p>
    <w:p w14:paraId="13D2AEAB">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4D22213E">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1、由</w:t>
      </w:r>
      <w:r>
        <w:rPr>
          <w:rFonts w:hint="eastAsia" w:ascii="宋体" w:hAnsi="宋体" w:cs="宋体"/>
          <w:color w:val="auto"/>
          <w:highlight w:val="none"/>
          <w:lang w:val="en-US" w:eastAsia="zh-CN"/>
        </w:rPr>
        <w:t>资格审查小组</w:t>
      </w:r>
      <w:r>
        <w:rPr>
          <w:rFonts w:hint="eastAsia" w:ascii="宋体" w:hAnsi="宋体" w:cs="宋体"/>
          <w:color w:val="auto"/>
          <w:highlight w:val="none"/>
        </w:rPr>
        <w:t>通过网站查询并打印投标人的信用记录。</w:t>
      </w:r>
    </w:p>
    <w:p w14:paraId="41F4F694">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2F47ED5D">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3、投标人应了解投标人自身的信用记录情况。当投标人受到200万以上罚款的行政处罚且该罚款不属较大数额罚款时，投标人应在投标文件中提供此项罚款不属于较大数额罚款的依据（如提供：相关法律制度的规定、行政执法机构对该罚款不属于较大数额罚款的认定或者其他有效依据）。</w:t>
      </w:r>
    </w:p>
    <w:p w14:paraId="0FE72C42">
      <w:pPr>
        <w:pStyle w:val="12"/>
        <w:widowControl/>
        <w:spacing w:before="0" w:beforeAutospacing="0" w:after="0" w:afterAutospacing="0" w:line="360" w:lineRule="auto"/>
        <w:rPr>
          <w:rFonts w:ascii="宋体" w:hAnsi="宋体" w:cs="宋体"/>
          <w:color w:val="auto"/>
          <w:highlight w:val="none"/>
        </w:rPr>
      </w:pPr>
    </w:p>
    <w:p w14:paraId="54EB407B">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545B2A2A">
      <w:pPr>
        <w:pStyle w:val="12"/>
        <w:widowControl/>
        <w:spacing w:before="0" w:beforeAutospacing="0" w:after="0" w:afterAutospacing="0" w:line="360" w:lineRule="auto"/>
        <w:rPr>
          <w:rFonts w:hint="eastAsia" w:ascii="宋体" w:hAnsi="宋体" w:cs="宋体"/>
          <w:color w:val="auto"/>
          <w:highlight w:val="none"/>
        </w:rPr>
      </w:pPr>
      <w:r>
        <w:rPr>
          <w:rFonts w:hint="eastAsia" w:ascii="宋体" w:hAnsi="宋体" w:cs="宋体"/>
          <w:color w:val="auto"/>
          <w:highlight w:val="none"/>
        </w:rPr>
        <w:t> </w:t>
      </w:r>
    </w:p>
    <w:p w14:paraId="24857EF8">
      <w:pPr>
        <w:pStyle w:val="12"/>
        <w:widowControl/>
        <w:spacing w:before="0" w:beforeAutospacing="0" w:after="0" w:afterAutospacing="0" w:line="360" w:lineRule="auto"/>
        <w:rPr>
          <w:rFonts w:hint="eastAsia" w:ascii="宋体" w:hAnsi="宋体" w:cs="宋体"/>
          <w:color w:val="auto"/>
          <w:highlight w:val="none"/>
        </w:rPr>
      </w:pPr>
    </w:p>
    <w:p w14:paraId="65FC2027">
      <w:pPr>
        <w:pStyle w:val="12"/>
        <w:widowControl/>
        <w:spacing w:before="0" w:beforeAutospacing="0" w:after="0" w:afterAutospacing="0" w:line="360" w:lineRule="auto"/>
        <w:rPr>
          <w:rFonts w:hint="eastAsia" w:ascii="宋体" w:hAnsi="宋体" w:cs="宋体"/>
          <w:color w:val="auto"/>
          <w:highlight w:val="none"/>
        </w:rPr>
      </w:pPr>
    </w:p>
    <w:p w14:paraId="44A10627">
      <w:pPr>
        <w:pStyle w:val="12"/>
        <w:widowControl/>
        <w:spacing w:before="0" w:beforeAutospacing="0" w:after="0" w:afterAutospacing="0" w:line="360" w:lineRule="auto"/>
        <w:rPr>
          <w:rFonts w:hint="eastAsia" w:ascii="宋体" w:hAnsi="宋体" w:cs="宋体"/>
          <w:color w:val="auto"/>
          <w:highlight w:val="none"/>
        </w:rPr>
      </w:pPr>
    </w:p>
    <w:p w14:paraId="7C88D042">
      <w:pPr>
        <w:pStyle w:val="12"/>
        <w:widowControl/>
        <w:spacing w:before="0" w:beforeAutospacing="0" w:after="0" w:afterAutospacing="0" w:line="360" w:lineRule="auto"/>
        <w:rPr>
          <w:rFonts w:hint="eastAsia" w:ascii="宋体" w:hAnsi="宋体" w:cs="宋体"/>
          <w:color w:val="auto"/>
          <w:highlight w:val="none"/>
        </w:rPr>
      </w:pPr>
    </w:p>
    <w:p w14:paraId="66163336">
      <w:pPr>
        <w:pStyle w:val="12"/>
        <w:widowControl/>
        <w:spacing w:before="0" w:beforeAutospacing="0" w:after="0" w:afterAutospacing="0" w:line="360" w:lineRule="auto"/>
        <w:rPr>
          <w:rFonts w:hint="eastAsia" w:ascii="宋体" w:hAnsi="宋体" w:cs="宋体"/>
          <w:color w:val="auto"/>
          <w:highlight w:val="none"/>
        </w:rPr>
      </w:pPr>
    </w:p>
    <w:p w14:paraId="0549D3CC">
      <w:pPr>
        <w:pStyle w:val="12"/>
        <w:widowControl/>
        <w:spacing w:before="0" w:beforeAutospacing="0" w:after="0" w:afterAutospacing="0" w:line="360" w:lineRule="auto"/>
        <w:rPr>
          <w:rFonts w:hint="eastAsia" w:ascii="宋体" w:hAnsi="宋体" w:cs="宋体"/>
          <w:color w:val="auto"/>
          <w:highlight w:val="none"/>
        </w:rPr>
      </w:pPr>
    </w:p>
    <w:p w14:paraId="12D9225C">
      <w:pPr>
        <w:pStyle w:val="12"/>
        <w:widowControl/>
        <w:spacing w:before="0" w:beforeAutospacing="0" w:after="0" w:afterAutospacing="0" w:line="360" w:lineRule="auto"/>
        <w:rPr>
          <w:rFonts w:hint="eastAsia" w:ascii="宋体" w:hAnsi="宋体" w:cs="宋体"/>
          <w:color w:val="auto"/>
          <w:highlight w:val="none"/>
        </w:rPr>
      </w:pPr>
    </w:p>
    <w:p w14:paraId="6A37B35A">
      <w:pPr>
        <w:pStyle w:val="12"/>
        <w:widowControl/>
        <w:spacing w:before="0" w:beforeAutospacing="0" w:after="0" w:afterAutospacing="0" w:line="360" w:lineRule="auto"/>
        <w:rPr>
          <w:rFonts w:hint="eastAsia" w:ascii="宋体" w:hAnsi="宋体" w:cs="宋体"/>
          <w:color w:val="auto"/>
          <w:highlight w:val="none"/>
        </w:rPr>
      </w:pPr>
    </w:p>
    <w:p w14:paraId="085D185F">
      <w:pPr>
        <w:pStyle w:val="12"/>
        <w:widowControl/>
        <w:spacing w:before="0" w:beforeAutospacing="0" w:after="0" w:afterAutospacing="0" w:line="360" w:lineRule="auto"/>
        <w:rPr>
          <w:rFonts w:hint="eastAsia" w:ascii="宋体" w:hAnsi="宋体" w:cs="宋体"/>
          <w:color w:val="auto"/>
          <w:highlight w:val="none"/>
        </w:rPr>
      </w:pPr>
    </w:p>
    <w:p w14:paraId="334E58CC">
      <w:pPr>
        <w:pStyle w:val="12"/>
        <w:widowControl/>
        <w:spacing w:before="0" w:beforeAutospacing="0" w:after="0" w:afterAutospacing="0" w:line="360" w:lineRule="auto"/>
        <w:rPr>
          <w:rFonts w:hint="eastAsia" w:ascii="宋体" w:hAnsi="宋体" w:cs="宋体"/>
          <w:color w:val="auto"/>
          <w:highlight w:val="none"/>
        </w:rPr>
      </w:pPr>
    </w:p>
    <w:p w14:paraId="20957E22">
      <w:pPr>
        <w:widowControl/>
        <w:spacing w:before="0" w:beforeAutospacing="0" w:after="0" w:afterAutospacing="0" w:line="360" w:lineRule="auto"/>
        <w:jc w:val="center"/>
        <w:outlineLvl w:val="9"/>
        <w:rPr>
          <w:rFonts w:hint="default" w:cs="宋体"/>
          <w:b/>
          <w:bCs/>
          <w:color w:val="auto"/>
          <w:highlight w:val="none"/>
        </w:rPr>
      </w:pPr>
      <w:r>
        <w:rPr>
          <w:rStyle w:val="17"/>
          <w:rFonts w:cs="宋体"/>
          <w:b/>
          <w:bCs/>
          <w:color w:val="auto"/>
          <w:highlight w:val="none"/>
        </w:rPr>
        <w:t>二-</w:t>
      </w:r>
      <w:r>
        <w:rPr>
          <w:rStyle w:val="17"/>
          <w:rFonts w:hint="eastAsia" w:cs="宋体"/>
          <w:b/>
          <w:bCs/>
          <w:color w:val="auto"/>
          <w:highlight w:val="none"/>
          <w:lang w:val="en-US"/>
        </w:rPr>
        <w:t>10</w:t>
      </w:r>
      <w:r>
        <w:rPr>
          <w:rStyle w:val="17"/>
          <w:rFonts w:cs="宋体"/>
          <w:b/>
          <w:bCs/>
          <w:color w:val="auto"/>
          <w:highlight w:val="none"/>
        </w:rPr>
        <w:t>中小企业声明函</w:t>
      </w:r>
    </w:p>
    <w:p w14:paraId="68AF43CD">
      <w:pPr>
        <w:pStyle w:val="12"/>
        <w:widowControl/>
        <w:spacing w:before="0" w:beforeAutospacing="0" w:after="0" w:afterAutospacing="0" w:line="360" w:lineRule="auto"/>
        <w:jc w:val="center"/>
        <w:rPr>
          <w:rFonts w:ascii="宋体" w:hAnsi="宋体" w:cs="宋体"/>
          <w:color w:val="auto"/>
          <w:highlight w:val="none"/>
        </w:rPr>
      </w:pPr>
      <w:r>
        <w:rPr>
          <w:rStyle w:val="17"/>
          <w:rFonts w:hint="eastAsia" w:ascii="宋体" w:hAnsi="宋体" w:cs="宋体"/>
          <w:color w:val="auto"/>
          <w:highlight w:val="none"/>
        </w:rPr>
        <w:t>（以资格条件落实中小企业扶持政策时适用，若有）</w:t>
      </w:r>
    </w:p>
    <w:p w14:paraId="5FEBC126">
      <w:pPr>
        <w:pStyle w:val="12"/>
        <w:widowControl/>
        <w:spacing w:before="0" w:beforeAutospacing="0" w:after="0" w:afterAutospacing="0" w:line="360" w:lineRule="auto"/>
        <w:jc w:val="center"/>
        <w:rPr>
          <w:rFonts w:ascii="宋体" w:hAnsi="宋体" w:cs="宋体"/>
          <w:color w:val="auto"/>
          <w:highlight w:val="none"/>
        </w:rPr>
      </w:pPr>
      <w:r>
        <w:rPr>
          <w:rStyle w:val="17"/>
          <w:rFonts w:hint="eastAsia" w:ascii="宋体" w:hAnsi="宋体" w:cs="宋体"/>
          <w:color w:val="auto"/>
          <w:highlight w:val="none"/>
        </w:rPr>
        <w:t>中小企业声明函（货物）</w:t>
      </w:r>
    </w:p>
    <w:p w14:paraId="24A6F789">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本公司（联合体）郑重声明，根据《政府采购促进中小企业发展管理办法》（财库﹝2020﹞46 号）的规定，本公司（联合体）参加</w:t>
      </w:r>
      <w:r>
        <w:rPr>
          <w:rFonts w:hint="eastAsia" w:ascii="宋体" w:hAnsi="宋体" w:cs="宋体"/>
          <w:color w:val="auto"/>
          <w:highlight w:val="none"/>
          <w:u w:val="single"/>
        </w:rPr>
        <w:t>（单位名称）</w:t>
      </w:r>
      <w:r>
        <w:rPr>
          <w:rFonts w:hint="eastAsia" w:ascii="宋体" w:hAnsi="宋体" w:cs="宋体"/>
          <w:color w:val="auto"/>
          <w:highlight w:val="none"/>
        </w:rPr>
        <w:t>的</w:t>
      </w:r>
      <w:r>
        <w:rPr>
          <w:rFonts w:hint="eastAsia" w:ascii="宋体" w:hAnsi="宋体" w:cs="宋体"/>
          <w:color w:val="auto"/>
          <w:highlight w:val="none"/>
          <w:u w:val="single"/>
        </w:rPr>
        <w:t>（项目名称）</w:t>
      </w:r>
      <w:r>
        <w:rPr>
          <w:rFonts w:hint="eastAsia" w:ascii="宋体" w:hAnsi="宋体" w:cs="宋体"/>
          <w:color w:val="auto"/>
          <w:highlight w:val="none"/>
        </w:rPr>
        <w:t>采购活动，提供的货物全部由符合政策要求的中小企业制造。相关企业（含联合体中的中小企业、签订分包意向协议的中小企业）的具体情况如下：</w:t>
      </w:r>
    </w:p>
    <w:p w14:paraId="7F766212">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1. </w:t>
      </w:r>
      <w:r>
        <w:rPr>
          <w:rFonts w:hint="eastAsia" w:ascii="宋体" w:hAnsi="宋体" w:cs="宋体"/>
          <w:color w:val="auto"/>
          <w:highlight w:val="none"/>
          <w:u w:val="single"/>
        </w:rPr>
        <w:t> （标的名称） </w:t>
      </w:r>
      <w:r>
        <w:rPr>
          <w:rFonts w:hint="eastAsia" w:ascii="宋体" w:hAnsi="宋体" w:cs="宋体"/>
          <w:color w:val="auto"/>
          <w:highlight w:val="none"/>
        </w:rPr>
        <w:t>，属于</w:t>
      </w:r>
      <w:r>
        <w:rPr>
          <w:rFonts w:hint="eastAsia" w:ascii="宋体" w:hAnsi="宋体" w:cs="宋体"/>
          <w:color w:val="auto"/>
          <w:highlight w:val="none"/>
          <w:u w:val="single"/>
        </w:rPr>
        <w:t>（</w:t>
      </w:r>
      <w:r>
        <w:rPr>
          <w:rFonts w:hint="eastAsia" w:ascii="宋体" w:hAnsi="宋体" w:cs="宋体"/>
          <w:color w:val="auto"/>
          <w:highlight w:val="none"/>
          <w:u w:val="single"/>
          <w:lang w:eastAsia="zh-CN"/>
        </w:rPr>
        <w:t>征集文件</w:t>
      </w:r>
      <w:r>
        <w:rPr>
          <w:rFonts w:hint="eastAsia" w:ascii="宋体" w:hAnsi="宋体" w:cs="宋体"/>
          <w:color w:val="auto"/>
          <w:highlight w:val="none"/>
          <w:u w:val="single"/>
        </w:rPr>
        <w:t>中明确的所属行业）行业</w:t>
      </w:r>
      <w:r>
        <w:rPr>
          <w:rFonts w:hint="eastAsia" w:ascii="宋体" w:hAnsi="宋体" w:cs="宋体"/>
          <w:color w:val="auto"/>
          <w:highlight w:val="none"/>
        </w:rPr>
        <w:t>；制造商为</w:t>
      </w:r>
      <w:r>
        <w:rPr>
          <w:rFonts w:hint="eastAsia" w:ascii="宋体" w:hAnsi="宋体" w:cs="宋体"/>
          <w:color w:val="auto"/>
          <w:highlight w:val="none"/>
          <w:u w:val="single"/>
        </w:rPr>
        <w:t>（企业名称）</w:t>
      </w:r>
      <w:r>
        <w:rPr>
          <w:rFonts w:hint="eastAsia" w:ascii="宋体" w:hAnsi="宋体" w:cs="宋体"/>
          <w:color w:val="auto"/>
          <w:highlight w:val="none"/>
        </w:rPr>
        <w:t>，从业人员</w:t>
      </w:r>
      <w:r>
        <w:rPr>
          <w:rFonts w:hint="eastAsia" w:ascii="宋体" w:hAnsi="宋体" w:cs="宋体"/>
          <w:color w:val="auto"/>
          <w:highlight w:val="none"/>
          <w:u w:val="single"/>
        </w:rPr>
        <w:t>  </w:t>
      </w:r>
      <w:r>
        <w:rPr>
          <w:rFonts w:hint="eastAsia" w:ascii="宋体" w:hAnsi="宋体" w:cs="宋体"/>
          <w:color w:val="auto"/>
          <w:highlight w:val="none"/>
        </w:rPr>
        <w:t>人，营业收入为</w:t>
      </w:r>
      <w:r>
        <w:rPr>
          <w:rFonts w:hint="eastAsia" w:ascii="宋体" w:hAnsi="宋体" w:cs="宋体"/>
          <w:color w:val="auto"/>
          <w:highlight w:val="none"/>
          <w:u w:val="single"/>
        </w:rPr>
        <w:t>  </w:t>
      </w:r>
      <w:r>
        <w:rPr>
          <w:rFonts w:hint="eastAsia" w:ascii="宋体" w:hAnsi="宋体" w:cs="宋体"/>
          <w:color w:val="auto"/>
          <w:highlight w:val="none"/>
        </w:rPr>
        <w:t>万元，资产总额为</w:t>
      </w:r>
      <w:r>
        <w:rPr>
          <w:rFonts w:hint="eastAsia" w:ascii="宋体" w:hAnsi="宋体" w:cs="宋体"/>
          <w:color w:val="auto"/>
          <w:highlight w:val="none"/>
          <w:u w:val="single"/>
        </w:rPr>
        <w:t>  </w:t>
      </w:r>
      <w:r>
        <w:rPr>
          <w:rFonts w:hint="eastAsia" w:ascii="宋体" w:hAnsi="宋体" w:cs="宋体"/>
          <w:color w:val="auto"/>
          <w:highlight w:val="none"/>
        </w:rPr>
        <w:t>万元</w:t>
      </w:r>
      <w:r>
        <w:rPr>
          <w:rFonts w:hint="eastAsia" w:ascii="宋体" w:hAnsi="宋体" w:cs="宋体"/>
          <w:color w:val="auto"/>
          <w:highlight w:val="none"/>
          <w:vertAlign w:val="superscript"/>
        </w:rPr>
        <w:t>1</w:t>
      </w:r>
      <w:r>
        <w:rPr>
          <w:rFonts w:hint="eastAsia" w:ascii="宋体" w:hAnsi="宋体" w:cs="宋体"/>
          <w:color w:val="auto"/>
          <w:highlight w:val="none"/>
        </w:rPr>
        <w:t>，属于</w:t>
      </w:r>
      <w:r>
        <w:rPr>
          <w:rFonts w:hint="eastAsia" w:ascii="宋体" w:hAnsi="宋体" w:cs="宋体"/>
          <w:color w:val="auto"/>
          <w:highlight w:val="none"/>
          <w:u w:val="single"/>
        </w:rPr>
        <w:t>（中型企业、小型企业、微型企业）；</w:t>
      </w:r>
    </w:p>
    <w:p w14:paraId="3D335921">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2. </w:t>
      </w:r>
      <w:r>
        <w:rPr>
          <w:rFonts w:hint="eastAsia" w:ascii="宋体" w:hAnsi="宋体" w:cs="宋体"/>
          <w:color w:val="auto"/>
          <w:highlight w:val="none"/>
          <w:u w:val="single"/>
        </w:rPr>
        <w:t> （标的名称） </w:t>
      </w:r>
      <w:r>
        <w:rPr>
          <w:rFonts w:hint="eastAsia" w:ascii="宋体" w:hAnsi="宋体" w:cs="宋体"/>
          <w:color w:val="auto"/>
          <w:highlight w:val="none"/>
        </w:rPr>
        <w:t>，属于</w:t>
      </w:r>
      <w:r>
        <w:rPr>
          <w:rFonts w:hint="eastAsia" w:ascii="宋体" w:hAnsi="宋体" w:cs="宋体"/>
          <w:color w:val="auto"/>
          <w:highlight w:val="none"/>
          <w:u w:val="single"/>
        </w:rPr>
        <w:t> （</w:t>
      </w:r>
      <w:r>
        <w:rPr>
          <w:rFonts w:hint="eastAsia" w:ascii="宋体" w:hAnsi="宋体" w:cs="宋体"/>
          <w:color w:val="auto"/>
          <w:highlight w:val="none"/>
          <w:u w:val="single"/>
          <w:lang w:eastAsia="zh-CN"/>
        </w:rPr>
        <w:t>征集文件</w:t>
      </w:r>
      <w:r>
        <w:rPr>
          <w:rFonts w:hint="eastAsia" w:ascii="宋体" w:hAnsi="宋体" w:cs="宋体"/>
          <w:color w:val="auto"/>
          <w:highlight w:val="none"/>
          <w:u w:val="single"/>
        </w:rPr>
        <w:t>中明确的所属行业 ）行业；</w:t>
      </w:r>
      <w:r>
        <w:rPr>
          <w:rFonts w:hint="eastAsia" w:ascii="宋体" w:hAnsi="宋体" w:cs="宋体"/>
          <w:color w:val="auto"/>
          <w:highlight w:val="none"/>
        </w:rPr>
        <w:t>制造商为</w:t>
      </w:r>
      <w:r>
        <w:rPr>
          <w:rFonts w:hint="eastAsia" w:ascii="宋体" w:hAnsi="宋体" w:cs="宋体"/>
          <w:color w:val="auto"/>
          <w:highlight w:val="none"/>
          <w:u w:val="single"/>
        </w:rPr>
        <w:t>（企业名称），</w:t>
      </w:r>
      <w:r>
        <w:rPr>
          <w:rFonts w:hint="eastAsia" w:ascii="宋体" w:hAnsi="宋体" w:cs="宋体"/>
          <w:color w:val="auto"/>
          <w:highlight w:val="none"/>
        </w:rPr>
        <w:t>从业人员</w:t>
      </w:r>
      <w:r>
        <w:rPr>
          <w:rFonts w:hint="eastAsia" w:ascii="宋体" w:hAnsi="宋体" w:cs="宋体"/>
          <w:color w:val="auto"/>
          <w:highlight w:val="none"/>
          <w:u w:val="single"/>
        </w:rPr>
        <w:t>  </w:t>
      </w:r>
      <w:r>
        <w:rPr>
          <w:rFonts w:hint="eastAsia" w:ascii="宋体" w:hAnsi="宋体" w:cs="宋体"/>
          <w:color w:val="auto"/>
          <w:highlight w:val="none"/>
        </w:rPr>
        <w:t>人，营业收入为</w:t>
      </w:r>
      <w:r>
        <w:rPr>
          <w:rFonts w:hint="eastAsia" w:ascii="宋体" w:hAnsi="宋体" w:cs="宋体"/>
          <w:color w:val="auto"/>
          <w:highlight w:val="none"/>
          <w:u w:val="single"/>
        </w:rPr>
        <w:t>  </w:t>
      </w:r>
      <w:r>
        <w:rPr>
          <w:rFonts w:hint="eastAsia" w:ascii="宋体" w:hAnsi="宋体" w:cs="宋体"/>
          <w:color w:val="auto"/>
          <w:highlight w:val="none"/>
        </w:rPr>
        <w:t>万元，资产总额为</w:t>
      </w:r>
      <w:r>
        <w:rPr>
          <w:rFonts w:hint="eastAsia" w:ascii="宋体" w:hAnsi="宋体" w:cs="宋体"/>
          <w:color w:val="auto"/>
          <w:highlight w:val="none"/>
          <w:u w:val="single"/>
        </w:rPr>
        <w:t>  </w:t>
      </w:r>
      <w:r>
        <w:rPr>
          <w:rFonts w:hint="eastAsia" w:ascii="宋体" w:hAnsi="宋体" w:cs="宋体"/>
          <w:color w:val="auto"/>
          <w:highlight w:val="none"/>
        </w:rPr>
        <w:t>万元，属于</w:t>
      </w:r>
      <w:r>
        <w:rPr>
          <w:rFonts w:hint="eastAsia" w:ascii="宋体" w:hAnsi="宋体" w:cs="宋体"/>
          <w:color w:val="auto"/>
          <w:highlight w:val="none"/>
          <w:u w:val="single"/>
        </w:rPr>
        <w:t>（中型企业、小型企业、微型企业）；</w:t>
      </w:r>
    </w:p>
    <w:p w14:paraId="32B4425E">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  </w:t>
      </w:r>
    </w:p>
    <w:p w14:paraId="4E156BED">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w:t>
      </w:r>
    </w:p>
    <w:p w14:paraId="3081E0BE">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以上企业，不属于大企业的分支机构，不存在控股股东为大企业的情形，也不存在与大企业的负责人为同一人的情形。</w:t>
      </w:r>
    </w:p>
    <w:p w14:paraId="3D78030C">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本企业对上述声明内容的真实性负责。如有虚假，将依法承担相应责任。</w:t>
      </w:r>
      <w:r>
        <w:rPr>
          <w:rFonts w:hint="eastAsia" w:ascii="宋体" w:hAnsi="宋体" w:cs="宋体"/>
          <w:color w:val="auto"/>
          <w:highlight w:val="none"/>
        </w:rPr>
        <w:br w:type="textWrapping"/>
      </w:r>
      <w:r>
        <w:rPr>
          <w:rFonts w:hint="eastAsia" w:ascii="宋体" w:hAnsi="宋体" w:cs="宋体"/>
          <w:color w:val="auto"/>
          <w:highlight w:val="none"/>
        </w:rPr>
        <w:t>   企业名称（盖章）：</w:t>
      </w:r>
    </w:p>
    <w:p w14:paraId="30575FBF">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                                                           日期：</w:t>
      </w:r>
    </w:p>
    <w:p w14:paraId="613BADA2">
      <w:pPr>
        <w:pStyle w:val="12"/>
        <w:widowControl/>
        <w:spacing w:before="0" w:beforeAutospacing="0" w:after="0" w:afterAutospacing="0" w:line="360" w:lineRule="auto"/>
        <w:rPr>
          <w:rFonts w:hint="eastAsia" w:ascii="宋体" w:hAnsi="宋体" w:cs="宋体"/>
          <w:color w:val="auto"/>
          <w:highlight w:val="none"/>
        </w:rPr>
      </w:pPr>
      <w:r>
        <w:rPr>
          <w:rFonts w:hint="eastAsia" w:ascii="宋体" w:hAnsi="宋体" w:cs="宋体"/>
          <w:color w:val="auto"/>
          <w:highlight w:val="none"/>
        </w:rPr>
        <w:t> </w:t>
      </w:r>
    </w:p>
    <w:p w14:paraId="47502997">
      <w:pPr>
        <w:pStyle w:val="12"/>
        <w:widowControl/>
        <w:spacing w:before="0" w:beforeAutospacing="0" w:after="0" w:afterAutospacing="0" w:line="360" w:lineRule="auto"/>
        <w:rPr>
          <w:rFonts w:hint="eastAsia" w:ascii="宋体" w:hAnsi="宋体" w:cs="宋体"/>
          <w:color w:val="auto"/>
          <w:highlight w:val="none"/>
        </w:rPr>
      </w:pPr>
    </w:p>
    <w:p w14:paraId="26FA380E">
      <w:pPr>
        <w:pStyle w:val="12"/>
        <w:widowControl/>
        <w:spacing w:before="0" w:beforeAutospacing="0" w:after="0" w:afterAutospacing="0" w:line="360" w:lineRule="auto"/>
        <w:rPr>
          <w:rFonts w:ascii="宋体" w:hAnsi="宋体" w:cs="宋体"/>
          <w:color w:val="auto"/>
          <w:highlight w:val="none"/>
        </w:rPr>
      </w:pPr>
      <w:r>
        <w:rPr>
          <w:rStyle w:val="17"/>
          <w:rFonts w:hint="eastAsia" w:ascii="宋体" w:hAnsi="宋体" w:cs="宋体"/>
          <w:color w:val="auto"/>
          <w:highlight w:val="none"/>
        </w:rPr>
        <w:t>※注意：</w:t>
      </w:r>
    </w:p>
    <w:p w14:paraId="1C1CCE82">
      <w:pPr>
        <w:pStyle w:val="12"/>
        <w:widowControl/>
        <w:spacing w:before="0" w:beforeAutospacing="0" w:after="0" w:afterAutospacing="0" w:line="360" w:lineRule="auto"/>
        <w:ind w:firstLine="280"/>
        <w:rPr>
          <w:rFonts w:ascii="宋体" w:hAnsi="宋体" w:cs="宋体"/>
          <w:color w:val="auto"/>
          <w:highlight w:val="none"/>
        </w:rPr>
      </w:pPr>
      <w:r>
        <w:rPr>
          <w:rStyle w:val="17"/>
          <w:rFonts w:hint="eastAsia" w:ascii="宋体" w:hAnsi="宋体" w:cs="宋体"/>
          <w:color w:val="auto"/>
          <w:highlight w:val="none"/>
        </w:rPr>
        <w:t>1、从业人员、营业收入、资产总额填报上一年度数据，无上一年度数据的新成立企业可不填报。</w:t>
      </w:r>
    </w:p>
    <w:p w14:paraId="2AAC890A">
      <w:pPr>
        <w:pStyle w:val="12"/>
        <w:widowControl/>
        <w:spacing w:before="0" w:beforeAutospacing="0" w:after="0" w:afterAutospacing="0" w:line="360" w:lineRule="auto"/>
        <w:ind w:firstLine="280"/>
        <w:rPr>
          <w:rFonts w:ascii="宋体" w:hAnsi="宋体" w:cs="宋体"/>
          <w:color w:val="auto"/>
          <w:highlight w:val="none"/>
        </w:rPr>
      </w:pPr>
      <w:r>
        <w:rPr>
          <w:rStyle w:val="17"/>
          <w:rFonts w:hint="eastAsia" w:ascii="宋体" w:hAnsi="宋体" w:cs="宋体"/>
          <w:color w:val="auto"/>
          <w:highlight w:val="none"/>
        </w:rPr>
        <w:t>2、投标人须按征集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36C732BF">
      <w:pPr>
        <w:pStyle w:val="12"/>
        <w:widowControl/>
        <w:spacing w:before="0" w:beforeAutospacing="0" w:after="0" w:afterAutospacing="0" w:line="360" w:lineRule="auto"/>
        <w:ind w:firstLine="280"/>
        <w:rPr>
          <w:rStyle w:val="17"/>
          <w:rFonts w:hint="eastAsia" w:ascii="宋体" w:hAnsi="宋体" w:cs="宋体"/>
          <w:color w:val="auto"/>
          <w:highlight w:val="none"/>
        </w:rPr>
      </w:pPr>
      <w:r>
        <w:rPr>
          <w:rStyle w:val="17"/>
          <w:rFonts w:hint="eastAsia" w:ascii="宋体" w:hAnsi="宋体" w:cs="宋体"/>
          <w:color w:val="auto"/>
          <w:highlight w:val="none"/>
        </w:rPr>
        <w:t>3、投标人应当对其出具的《中小企业声明函》真实性负责，投标人出具的《中小企业声明函》内容不实的，属于提供虚假材料谋取入围。在实际操作中，项目属性为货物且投标人希望获得中小企业政策支持的，应从制造商处获得充分、准确的信息。对相关制造商信息了解不充分，或者不能确定相关信息真实、准确的，不建议出具《中小企业声明函》。</w:t>
      </w:r>
    </w:p>
    <w:p w14:paraId="3EFF9B9D">
      <w:pPr>
        <w:pStyle w:val="12"/>
        <w:widowControl/>
        <w:spacing w:before="0" w:beforeAutospacing="0" w:after="0" w:afterAutospacing="0" w:line="360" w:lineRule="auto"/>
        <w:ind w:firstLine="280"/>
        <w:rPr>
          <w:rStyle w:val="17"/>
          <w:rFonts w:hint="eastAsia" w:ascii="宋体" w:hAnsi="宋体" w:cs="宋体"/>
          <w:color w:val="auto"/>
          <w:highlight w:val="none"/>
        </w:rPr>
      </w:pPr>
    </w:p>
    <w:p w14:paraId="3570F400">
      <w:pPr>
        <w:pStyle w:val="12"/>
        <w:widowControl/>
        <w:spacing w:before="0" w:beforeAutospacing="0" w:after="0" w:afterAutospacing="0" w:line="360" w:lineRule="auto"/>
        <w:ind w:firstLine="280"/>
        <w:rPr>
          <w:rStyle w:val="17"/>
          <w:rFonts w:hint="eastAsia" w:ascii="宋体" w:hAnsi="宋体" w:cs="宋体"/>
          <w:color w:val="auto"/>
          <w:highlight w:val="none"/>
        </w:rPr>
      </w:pPr>
    </w:p>
    <w:p w14:paraId="0F5805FC">
      <w:pPr>
        <w:pStyle w:val="12"/>
        <w:widowControl/>
        <w:spacing w:before="0" w:beforeAutospacing="0" w:after="0" w:afterAutospacing="0" w:line="360" w:lineRule="auto"/>
        <w:ind w:firstLine="280"/>
        <w:rPr>
          <w:rStyle w:val="17"/>
          <w:rFonts w:hint="eastAsia" w:ascii="宋体" w:hAnsi="宋体" w:cs="宋体"/>
          <w:color w:val="auto"/>
          <w:highlight w:val="none"/>
        </w:rPr>
      </w:pPr>
    </w:p>
    <w:p w14:paraId="7909F05C">
      <w:pPr>
        <w:pStyle w:val="12"/>
        <w:widowControl/>
        <w:spacing w:before="0" w:beforeAutospacing="0" w:after="0" w:afterAutospacing="0" w:line="360" w:lineRule="auto"/>
        <w:ind w:firstLine="280"/>
        <w:rPr>
          <w:rStyle w:val="17"/>
          <w:rFonts w:hint="eastAsia" w:ascii="宋体" w:hAnsi="宋体" w:cs="宋体"/>
          <w:color w:val="auto"/>
          <w:highlight w:val="none"/>
        </w:rPr>
      </w:pPr>
    </w:p>
    <w:p w14:paraId="7542B9CB">
      <w:pPr>
        <w:pStyle w:val="12"/>
        <w:widowControl/>
        <w:spacing w:before="0" w:beforeAutospacing="0" w:after="0" w:afterAutospacing="0" w:line="360" w:lineRule="auto"/>
        <w:ind w:firstLine="280"/>
        <w:rPr>
          <w:rStyle w:val="17"/>
          <w:rFonts w:hint="eastAsia" w:ascii="宋体" w:hAnsi="宋体" w:cs="宋体"/>
          <w:color w:val="auto"/>
          <w:highlight w:val="none"/>
        </w:rPr>
      </w:pPr>
    </w:p>
    <w:p w14:paraId="4D2B1AC6">
      <w:pPr>
        <w:pStyle w:val="12"/>
        <w:widowControl/>
        <w:spacing w:before="0" w:beforeAutospacing="0" w:after="0" w:afterAutospacing="0" w:line="360" w:lineRule="auto"/>
        <w:ind w:firstLine="280"/>
        <w:rPr>
          <w:rStyle w:val="17"/>
          <w:rFonts w:hint="eastAsia" w:ascii="宋体" w:hAnsi="宋体" w:cs="宋体"/>
          <w:color w:val="auto"/>
          <w:highlight w:val="none"/>
        </w:rPr>
      </w:pPr>
    </w:p>
    <w:p w14:paraId="3335A4BB">
      <w:pPr>
        <w:pStyle w:val="12"/>
        <w:widowControl/>
        <w:spacing w:before="0" w:beforeAutospacing="0" w:after="0" w:afterAutospacing="0" w:line="360" w:lineRule="auto"/>
        <w:ind w:firstLine="280"/>
        <w:rPr>
          <w:rStyle w:val="17"/>
          <w:rFonts w:hint="eastAsia" w:ascii="宋体" w:hAnsi="宋体" w:cs="宋体"/>
          <w:color w:val="auto"/>
          <w:highlight w:val="none"/>
        </w:rPr>
      </w:pPr>
    </w:p>
    <w:p w14:paraId="731A447B">
      <w:pPr>
        <w:pStyle w:val="12"/>
        <w:widowControl/>
        <w:spacing w:before="0" w:beforeAutospacing="0" w:after="0" w:afterAutospacing="0" w:line="360" w:lineRule="auto"/>
        <w:ind w:firstLine="280"/>
        <w:rPr>
          <w:rStyle w:val="17"/>
          <w:rFonts w:hint="eastAsia" w:ascii="宋体" w:hAnsi="宋体" w:cs="宋体"/>
          <w:color w:val="auto"/>
          <w:highlight w:val="none"/>
        </w:rPr>
      </w:pPr>
    </w:p>
    <w:p w14:paraId="75FF8B94">
      <w:pPr>
        <w:pStyle w:val="12"/>
        <w:widowControl/>
        <w:spacing w:before="0" w:beforeAutospacing="0" w:after="0" w:afterAutospacing="0" w:line="360" w:lineRule="auto"/>
        <w:rPr>
          <w:rFonts w:hint="eastAsia" w:ascii="宋体" w:hAnsi="宋体" w:cs="宋体"/>
          <w:color w:val="auto"/>
          <w:highlight w:val="none"/>
        </w:rPr>
      </w:pPr>
    </w:p>
    <w:p w14:paraId="4992392A">
      <w:pPr>
        <w:pStyle w:val="12"/>
        <w:widowControl/>
        <w:spacing w:before="0" w:beforeAutospacing="0" w:after="0" w:afterAutospacing="0" w:line="360" w:lineRule="auto"/>
        <w:rPr>
          <w:rFonts w:hint="eastAsia" w:ascii="宋体" w:hAnsi="宋体" w:cs="宋体"/>
          <w:color w:val="auto"/>
          <w:highlight w:val="none"/>
        </w:rPr>
      </w:pPr>
    </w:p>
    <w:p w14:paraId="4261855A">
      <w:pPr>
        <w:pStyle w:val="12"/>
        <w:widowControl/>
        <w:spacing w:before="0" w:beforeAutospacing="0" w:after="0" w:afterAutospacing="0" w:line="360" w:lineRule="auto"/>
        <w:rPr>
          <w:rFonts w:hint="eastAsia" w:ascii="宋体" w:hAnsi="宋体" w:cs="宋体"/>
          <w:color w:val="auto"/>
          <w:highlight w:val="none"/>
        </w:rPr>
      </w:pPr>
    </w:p>
    <w:p w14:paraId="2CA6641E">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附：</w:t>
      </w:r>
    </w:p>
    <w:p w14:paraId="0103A8E3">
      <w:pPr>
        <w:pStyle w:val="12"/>
        <w:widowControl/>
        <w:spacing w:before="0" w:beforeAutospacing="0" w:after="0" w:afterAutospacing="0" w:line="360" w:lineRule="auto"/>
        <w:jc w:val="center"/>
        <w:rPr>
          <w:rFonts w:ascii="宋体" w:hAnsi="宋体" w:cs="宋体"/>
          <w:color w:val="auto"/>
          <w:highlight w:val="none"/>
        </w:rPr>
      </w:pPr>
      <w:r>
        <w:rPr>
          <w:rStyle w:val="17"/>
          <w:rFonts w:hint="eastAsia" w:ascii="宋体" w:hAnsi="宋体" w:cs="宋体"/>
          <w:color w:val="auto"/>
          <w:highlight w:val="none"/>
        </w:rPr>
        <w:t>残疾人福利性单位声明函</w:t>
      </w:r>
    </w:p>
    <w:p w14:paraId="7BF65B70">
      <w:pPr>
        <w:pStyle w:val="12"/>
        <w:widowControl/>
        <w:spacing w:before="0" w:beforeAutospacing="0" w:after="0" w:afterAutospacing="0" w:line="360" w:lineRule="auto"/>
        <w:jc w:val="center"/>
        <w:rPr>
          <w:rFonts w:ascii="宋体" w:hAnsi="宋体" w:cs="宋体"/>
          <w:color w:val="auto"/>
          <w:highlight w:val="none"/>
        </w:rPr>
      </w:pPr>
      <w:r>
        <w:rPr>
          <w:rStyle w:val="17"/>
          <w:rFonts w:hint="eastAsia" w:ascii="宋体" w:hAnsi="宋体" w:cs="宋体"/>
          <w:color w:val="auto"/>
          <w:highlight w:val="none"/>
        </w:rPr>
        <w:t>（以资格条件落实中小企业扶持政策时适用，若有）</w:t>
      </w:r>
    </w:p>
    <w:p w14:paraId="5841F1A8">
      <w:pPr>
        <w:pStyle w:val="12"/>
        <w:widowControl/>
        <w:spacing w:before="0" w:beforeAutospacing="0" w:after="0" w:afterAutospacing="0" w:line="360" w:lineRule="auto"/>
        <w:rPr>
          <w:rFonts w:ascii="宋体" w:hAnsi="宋体" w:cs="宋体"/>
          <w:color w:val="auto"/>
          <w:highlight w:val="none"/>
        </w:rPr>
      </w:pPr>
      <w:r>
        <w:rPr>
          <w:rStyle w:val="17"/>
          <w:rFonts w:hint="eastAsia" w:ascii="宋体" w:hAnsi="宋体" w:cs="宋体"/>
          <w:color w:val="auto"/>
          <w:highlight w:val="none"/>
        </w:rPr>
        <w:t> </w:t>
      </w:r>
    </w:p>
    <w:p w14:paraId="2E7F7EBD">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w:t>
      </w:r>
      <w:r>
        <w:rPr>
          <w:rFonts w:hint="eastAsia" w:ascii="宋体" w:hAnsi="宋体" w:cs="宋体"/>
          <w:color w:val="auto"/>
          <w:highlight w:val="none"/>
          <w:u w:val="single"/>
        </w:rPr>
        <w:t>（填写“项目名称”）</w:t>
      </w:r>
      <w:r>
        <w:rPr>
          <w:rFonts w:hint="eastAsia" w:ascii="宋体" w:hAnsi="宋体" w:cs="宋体"/>
          <w:color w:val="auto"/>
          <w:highlight w:val="none"/>
        </w:rPr>
        <w:t>项目采购活动：</w:t>
      </w:r>
    </w:p>
    <w:p w14:paraId="4435B49B">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 ）提供本投标人制造的</w:t>
      </w:r>
      <w:r>
        <w:rPr>
          <w:rFonts w:hint="eastAsia" w:ascii="宋体" w:hAnsi="宋体" w:cs="宋体"/>
          <w:color w:val="auto"/>
          <w:highlight w:val="none"/>
          <w:u w:val="single"/>
        </w:rPr>
        <w:t>（填写“所投采购包、品目号”）</w:t>
      </w:r>
      <w:r>
        <w:rPr>
          <w:rFonts w:hint="eastAsia" w:ascii="宋体" w:hAnsi="宋体" w:cs="宋体"/>
          <w:color w:val="auto"/>
          <w:highlight w:val="none"/>
        </w:rPr>
        <w:t>货物，或提供其他残疾人福利性单位制造的</w:t>
      </w:r>
      <w:r>
        <w:rPr>
          <w:rFonts w:hint="eastAsia" w:ascii="宋体" w:hAnsi="宋体" w:cs="宋体"/>
          <w:color w:val="auto"/>
          <w:highlight w:val="none"/>
          <w:u w:val="single"/>
        </w:rPr>
        <w:t>（填写“所投采购包、品目号”）</w:t>
      </w:r>
      <w:r>
        <w:rPr>
          <w:rFonts w:hint="eastAsia" w:ascii="宋体" w:hAnsi="宋体" w:cs="宋体"/>
          <w:color w:val="auto"/>
          <w:highlight w:val="none"/>
        </w:rPr>
        <w:t>货物（不包括使用非残疾人福利性单位注册商标的货物）。（说明：只有部分货物由残疾人福利企业制造的，在该货物后标</w:t>
      </w:r>
      <w:r>
        <w:rPr>
          <w:rFonts w:hint="eastAsia" w:ascii="宋体" w:hAnsi="宋体" w:cs="宋体"/>
          <w:color w:val="auto"/>
          <w:highlight w:val="none"/>
          <w:shd w:val="clear" w:color="auto" w:fill="FFFFFF"/>
        </w:rPr>
        <w:t>※</w:t>
      </w:r>
      <w:r>
        <w:rPr>
          <w:rFonts w:hint="eastAsia" w:ascii="宋体" w:hAnsi="宋体" w:cs="宋体"/>
          <w:color w:val="auto"/>
          <w:highlight w:val="none"/>
        </w:rPr>
        <w:t>）</w:t>
      </w:r>
    </w:p>
    <w:p w14:paraId="18023910">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 ）由本投标人承建的（填写“所投采购包、品目号”）工程</w:t>
      </w:r>
    </w:p>
    <w:p w14:paraId="393C1BBB">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 ）由本投标人承接的（填写“所投采购包、品目号”）服务；</w:t>
      </w:r>
    </w:p>
    <w:p w14:paraId="7738B89F">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本投标人对上述声明的真实性负责。如有虚假，将依法承担相应责任。</w:t>
      </w:r>
    </w:p>
    <w:p w14:paraId="7C235AB1">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 </w:t>
      </w:r>
    </w:p>
    <w:p w14:paraId="315D8089">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备注：</w:t>
      </w:r>
    </w:p>
    <w:p w14:paraId="2CC44F0B">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1、请投标人按照实际情况编制填写本声明函，并在相应的（）中打“√”。</w:t>
      </w:r>
    </w:p>
    <w:p w14:paraId="391129C1">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2、若《残疾人福利性单位声明函》内容不真实，</w:t>
      </w:r>
      <w:r>
        <w:rPr>
          <w:rStyle w:val="17"/>
          <w:rFonts w:hint="eastAsia" w:ascii="宋体" w:hAnsi="宋体" w:cs="宋体"/>
          <w:color w:val="auto"/>
          <w:highlight w:val="none"/>
        </w:rPr>
        <w:t>视为提供虚假材料。</w:t>
      </w:r>
    </w:p>
    <w:p w14:paraId="4DA71366">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3B0812FC">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投标人：</w:t>
      </w:r>
      <w:r>
        <w:rPr>
          <w:rFonts w:hint="eastAsia" w:ascii="宋体" w:hAnsi="宋体" w:cs="宋体"/>
          <w:color w:val="auto"/>
          <w:highlight w:val="none"/>
          <w:u w:val="single"/>
        </w:rPr>
        <w:t>（全称并加盖单位公章）</w:t>
      </w:r>
    </w:p>
    <w:p w14:paraId="17812F91">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日期：</w:t>
      </w:r>
      <w:r>
        <w:rPr>
          <w:rFonts w:hint="eastAsia" w:ascii="宋体" w:hAnsi="宋体" w:cs="宋体"/>
          <w:color w:val="auto"/>
          <w:highlight w:val="none"/>
          <w:u w:val="single"/>
        </w:rPr>
        <w:t>    </w:t>
      </w:r>
      <w:r>
        <w:rPr>
          <w:rFonts w:hint="eastAsia" w:ascii="宋体" w:hAnsi="宋体" w:cs="宋体"/>
          <w:color w:val="auto"/>
          <w:highlight w:val="none"/>
        </w:rPr>
        <w:t>年</w:t>
      </w:r>
      <w:r>
        <w:rPr>
          <w:rFonts w:hint="eastAsia" w:ascii="宋体" w:hAnsi="宋体" w:cs="宋体"/>
          <w:color w:val="auto"/>
          <w:highlight w:val="none"/>
          <w:u w:val="single"/>
        </w:rPr>
        <w:t>   </w:t>
      </w:r>
      <w:r>
        <w:rPr>
          <w:rFonts w:hint="eastAsia" w:ascii="宋体" w:hAnsi="宋体" w:cs="宋体"/>
          <w:color w:val="auto"/>
          <w:highlight w:val="none"/>
        </w:rPr>
        <w:t>月</w:t>
      </w:r>
      <w:r>
        <w:rPr>
          <w:rFonts w:hint="eastAsia" w:ascii="宋体" w:hAnsi="宋体" w:cs="宋体"/>
          <w:color w:val="auto"/>
          <w:highlight w:val="none"/>
          <w:u w:val="single"/>
        </w:rPr>
        <w:t>   </w:t>
      </w:r>
      <w:r>
        <w:rPr>
          <w:rFonts w:hint="eastAsia" w:ascii="宋体" w:hAnsi="宋体" w:cs="宋体"/>
          <w:color w:val="auto"/>
          <w:highlight w:val="none"/>
        </w:rPr>
        <w:t>日</w:t>
      </w:r>
    </w:p>
    <w:p w14:paraId="1941A51B">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 </w:t>
      </w:r>
    </w:p>
    <w:p w14:paraId="6A202E6F">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 附：                          </w:t>
      </w:r>
    </w:p>
    <w:p w14:paraId="6A283489">
      <w:pPr>
        <w:pStyle w:val="12"/>
        <w:widowControl/>
        <w:spacing w:before="0" w:beforeAutospacing="0" w:after="0" w:afterAutospacing="0" w:line="360" w:lineRule="auto"/>
        <w:jc w:val="center"/>
        <w:rPr>
          <w:rFonts w:ascii="宋体" w:hAnsi="宋体" w:cs="宋体"/>
          <w:color w:val="auto"/>
          <w:highlight w:val="none"/>
        </w:rPr>
      </w:pPr>
      <w:r>
        <w:rPr>
          <w:rStyle w:val="17"/>
          <w:rFonts w:hint="eastAsia" w:ascii="宋体" w:hAnsi="宋体" w:cs="宋体"/>
          <w:color w:val="auto"/>
          <w:highlight w:val="none"/>
        </w:rPr>
        <w:t>监狱企业证明材料</w:t>
      </w:r>
    </w:p>
    <w:p w14:paraId="2133946E">
      <w:pPr>
        <w:pStyle w:val="12"/>
        <w:widowControl/>
        <w:spacing w:before="0" w:beforeAutospacing="0" w:after="0" w:afterAutospacing="0" w:line="360" w:lineRule="auto"/>
        <w:jc w:val="center"/>
        <w:rPr>
          <w:rFonts w:ascii="宋体" w:hAnsi="宋体" w:cs="宋体"/>
          <w:color w:val="auto"/>
          <w:highlight w:val="none"/>
        </w:rPr>
      </w:pPr>
      <w:r>
        <w:rPr>
          <w:rStyle w:val="17"/>
          <w:rFonts w:hint="eastAsia" w:ascii="宋体" w:hAnsi="宋体" w:cs="宋体"/>
          <w:color w:val="auto"/>
          <w:highlight w:val="none"/>
        </w:rPr>
        <w:t> </w:t>
      </w:r>
    </w:p>
    <w:p w14:paraId="2ADAA1AE">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shd w:val="clear" w:color="auto" w:fill="FFFFFF"/>
        </w:rPr>
        <w:t>投标人为监狱企业，提供本单位制造的货物（承接的服务），并在投标文件中提供省级以上监狱管理局、戒毒管理局（含新疆生产建设兵团）出具的属于监狱企业的证明文件。</w:t>
      </w:r>
    </w:p>
    <w:p w14:paraId="1F71BCC2">
      <w:pPr>
        <w:pStyle w:val="12"/>
        <w:widowControl/>
        <w:spacing w:before="0" w:beforeAutospacing="0" w:after="0" w:afterAutospacing="0" w:line="360" w:lineRule="auto"/>
        <w:rPr>
          <w:rFonts w:hint="eastAsia" w:ascii="宋体" w:hAnsi="宋体" w:cs="宋体"/>
          <w:color w:val="auto"/>
          <w:highlight w:val="none"/>
        </w:rPr>
      </w:pPr>
      <w:r>
        <w:rPr>
          <w:rFonts w:hint="eastAsia" w:ascii="宋体" w:hAnsi="宋体" w:cs="宋体"/>
          <w:color w:val="auto"/>
          <w:highlight w:val="none"/>
        </w:rPr>
        <w:br w:type="textWrapping"/>
      </w:r>
      <w:r>
        <w:rPr>
          <w:rFonts w:hint="eastAsia" w:ascii="宋体" w:hAnsi="宋体" w:cs="宋体"/>
          <w:color w:val="auto"/>
          <w:highlight w:val="none"/>
        </w:rPr>
        <w:br w:type="textWrapping"/>
      </w:r>
    </w:p>
    <w:p w14:paraId="1BA00474">
      <w:pPr>
        <w:pStyle w:val="12"/>
        <w:widowControl/>
        <w:spacing w:before="0" w:beforeAutospacing="0" w:after="0" w:afterAutospacing="0" w:line="360" w:lineRule="auto"/>
        <w:rPr>
          <w:rFonts w:hint="eastAsia" w:ascii="宋体" w:hAnsi="宋体" w:cs="宋体"/>
          <w:color w:val="auto"/>
          <w:highlight w:val="none"/>
        </w:rPr>
      </w:pPr>
    </w:p>
    <w:p w14:paraId="11D4AE91">
      <w:pPr>
        <w:pStyle w:val="12"/>
        <w:widowControl/>
        <w:spacing w:before="0" w:beforeAutospacing="0" w:after="0" w:afterAutospacing="0" w:line="360" w:lineRule="auto"/>
        <w:rPr>
          <w:rFonts w:hint="eastAsia" w:ascii="宋体" w:hAnsi="宋体" w:cs="宋体"/>
          <w:color w:val="auto"/>
          <w:highlight w:val="none"/>
        </w:rPr>
      </w:pPr>
    </w:p>
    <w:p w14:paraId="55D9494A">
      <w:pPr>
        <w:pStyle w:val="12"/>
        <w:widowControl/>
        <w:spacing w:before="0" w:beforeAutospacing="0" w:after="0" w:afterAutospacing="0" w:line="360" w:lineRule="auto"/>
        <w:rPr>
          <w:rFonts w:hint="eastAsia" w:ascii="宋体" w:hAnsi="宋体" w:cs="宋体"/>
          <w:color w:val="auto"/>
          <w:highlight w:val="none"/>
        </w:rPr>
      </w:pPr>
    </w:p>
    <w:p w14:paraId="14A0CC5B">
      <w:pPr>
        <w:pStyle w:val="12"/>
        <w:widowControl/>
        <w:spacing w:before="0" w:beforeAutospacing="0" w:after="0" w:afterAutospacing="0" w:line="360" w:lineRule="auto"/>
        <w:rPr>
          <w:rFonts w:hint="eastAsia" w:ascii="宋体" w:hAnsi="宋体" w:cs="宋体"/>
          <w:color w:val="auto"/>
          <w:highlight w:val="none"/>
        </w:rPr>
      </w:pPr>
    </w:p>
    <w:p w14:paraId="2CEB80F1">
      <w:pPr>
        <w:pStyle w:val="12"/>
        <w:widowControl/>
        <w:spacing w:before="0" w:beforeAutospacing="0" w:after="0" w:afterAutospacing="0" w:line="360" w:lineRule="auto"/>
        <w:rPr>
          <w:rFonts w:hint="eastAsia" w:ascii="宋体" w:hAnsi="宋体" w:cs="宋体"/>
          <w:color w:val="auto"/>
          <w:highlight w:val="none"/>
        </w:rPr>
      </w:pPr>
    </w:p>
    <w:p w14:paraId="34B42355">
      <w:pPr>
        <w:pStyle w:val="12"/>
        <w:widowControl/>
        <w:spacing w:before="0" w:beforeAutospacing="0" w:after="0" w:afterAutospacing="0" w:line="360" w:lineRule="auto"/>
        <w:rPr>
          <w:rFonts w:hint="eastAsia" w:ascii="宋体" w:hAnsi="宋体" w:cs="宋体"/>
          <w:color w:val="auto"/>
          <w:highlight w:val="none"/>
        </w:rPr>
      </w:pPr>
    </w:p>
    <w:p w14:paraId="3CA09212">
      <w:pPr>
        <w:pStyle w:val="12"/>
        <w:widowControl/>
        <w:spacing w:before="0" w:beforeAutospacing="0" w:after="0" w:afterAutospacing="0" w:line="360" w:lineRule="auto"/>
        <w:rPr>
          <w:rFonts w:hint="eastAsia" w:ascii="宋体" w:hAnsi="宋体" w:cs="宋体"/>
          <w:color w:val="auto"/>
          <w:highlight w:val="none"/>
        </w:rPr>
      </w:pPr>
    </w:p>
    <w:p w14:paraId="6AA51F18">
      <w:pPr>
        <w:pStyle w:val="12"/>
        <w:widowControl/>
        <w:spacing w:before="0" w:beforeAutospacing="0" w:after="0" w:afterAutospacing="0" w:line="360" w:lineRule="auto"/>
        <w:rPr>
          <w:rFonts w:hint="eastAsia" w:ascii="宋体" w:hAnsi="宋体" w:cs="宋体"/>
          <w:color w:val="auto"/>
          <w:highlight w:val="none"/>
        </w:rPr>
      </w:pPr>
    </w:p>
    <w:p w14:paraId="5D50CFD4">
      <w:pPr>
        <w:pStyle w:val="12"/>
        <w:widowControl/>
        <w:spacing w:before="0" w:beforeAutospacing="0" w:after="0" w:afterAutospacing="0" w:line="360" w:lineRule="auto"/>
        <w:rPr>
          <w:rFonts w:hint="eastAsia" w:ascii="宋体" w:hAnsi="宋体" w:cs="宋体"/>
          <w:color w:val="auto"/>
          <w:highlight w:val="none"/>
        </w:rPr>
      </w:pPr>
    </w:p>
    <w:p w14:paraId="1687DBB4">
      <w:pPr>
        <w:pStyle w:val="12"/>
        <w:widowControl/>
        <w:spacing w:before="0" w:beforeAutospacing="0" w:after="0" w:afterAutospacing="0" w:line="360" w:lineRule="auto"/>
        <w:rPr>
          <w:rFonts w:hint="eastAsia" w:ascii="宋体" w:hAnsi="宋体" w:cs="宋体"/>
          <w:color w:val="auto"/>
          <w:highlight w:val="none"/>
        </w:rPr>
      </w:pPr>
    </w:p>
    <w:p w14:paraId="725AFFBF">
      <w:pPr>
        <w:pStyle w:val="12"/>
        <w:widowControl/>
        <w:spacing w:before="0" w:beforeAutospacing="0" w:after="0" w:afterAutospacing="0" w:line="360" w:lineRule="auto"/>
        <w:rPr>
          <w:rFonts w:hint="eastAsia" w:ascii="宋体" w:hAnsi="宋体" w:cs="宋体"/>
          <w:color w:val="auto"/>
          <w:highlight w:val="none"/>
        </w:rPr>
      </w:pPr>
    </w:p>
    <w:p w14:paraId="683584A4">
      <w:pPr>
        <w:pStyle w:val="12"/>
        <w:widowControl/>
        <w:spacing w:before="0" w:beforeAutospacing="0" w:after="0" w:afterAutospacing="0" w:line="360" w:lineRule="auto"/>
        <w:rPr>
          <w:rFonts w:hint="eastAsia" w:ascii="宋体" w:hAnsi="宋体" w:cs="宋体"/>
          <w:color w:val="auto"/>
          <w:highlight w:val="none"/>
        </w:rPr>
      </w:pPr>
    </w:p>
    <w:p w14:paraId="1D59C518">
      <w:pPr>
        <w:pStyle w:val="12"/>
        <w:widowControl/>
        <w:spacing w:before="0" w:beforeAutospacing="0" w:after="0" w:afterAutospacing="0" w:line="360" w:lineRule="auto"/>
        <w:rPr>
          <w:rFonts w:hint="eastAsia" w:ascii="宋体" w:hAnsi="宋体" w:cs="宋体"/>
          <w:color w:val="auto"/>
          <w:highlight w:val="none"/>
        </w:rPr>
      </w:pPr>
    </w:p>
    <w:p w14:paraId="24429077">
      <w:pPr>
        <w:pStyle w:val="12"/>
        <w:widowControl/>
        <w:spacing w:before="0" w:beforeAutospacing="0" w:after="0" w:afterAutospacing="0" w:line="360" w:lineRule="auto"/>
        <w:rPr>
          <w:rFonts w:hint="eastAsia" w:ascii="宋体" w:hAnsi="宋体" w:cs="宋体"/>
          <w:color w:val="auto"/>
          <w:highlight w:val="none"/>
        </w:rPr>
      </w:pPr>
    </w:p>
    <w:p w14:paraId="14C9A4CA">
      <w:pPr>
        <w:pStyle w:val="12"/>
        <w:widowControl/>
        <w:spacing w:before="0" w:beforeAutospacing="0" w:after="0" w:afterAutospacing="0" w:line="360" w:lineRule="auto"/>
        <w:jc w:val="center"/>
        <w:rPr>
          <w:rFonts w:ascii="宋体" w:hAnsi="宋体" w:cs="宋体"/>
          <w:color w:val="auto"/>
          <w:highlight w:val="none"/>
        </w:rPr>
      </w:pPr>
      <w:r>
        <w:rPr>
          <w:rStyle w:val="17"/>
          <w:rFonts w:hint="eastAsia" w:ascii="宋体" w:hAnsi="宋体" w:cs="宋体"/>
          <w:color w:val="auto"/>
          <w:highlight w:val="none"/>
        </w:rPr>
        <w:t>二-1</w:t>
      </w:r>
      <w:r>
        <w:rPr>
          <w:rStyle w:val="17"/>
          <w:rFonts w:hint="eastAsia" w:ascii="宋体" w:hAnsi="宋体" w:cs="宋体"/>
          <w:color w:val="auto"/>
          <w:highlight w:val="none"/>
          <w:lang w:val="en-US"/>
        </w:rPr>
        <w:t>1</w:t>
      </w:r>
      <w:r>
        <w:rPr>
          <w:rStyle w:val="17"/>
          <w:rFonts w:hint="eastAsia" w:ascii="宋体" w:hAnsi="宋体" w:cs="宋体"/>
          <w:color w:val="auto"/>
          <w:highlight w:val="none"/>
        </w:rPr>
        <w:t>其他资格证明文件（若有）</w:t>
      </w:r>
    </w:p>
    <w:p w14:paraId="6141E58E">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编制说明</w:t>
      </w:r>
    </w:p>
    <w:p w14:paraId="08169836">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 </w:t>
      </w:r>
    </w:p>
    <w:p w14:paraId="1358F925">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除征集文件另有规定外，征集文件要求提交的除前述资格证明文件外的其他资格证明文件（若有）加盖投标人的单位公章后应在此项下提交。</w:t>
      </w:r>
    </w:p>
    <w:p w14:paraId="640BAD1C">
      <w:pPr>
        <w:pStyle w:val="12"/>
        <w:widowControl/>
        <w:spacing w:before="0" w:beforeAutospacing="0" w:after="0" w:afterAutospacing="0" w:line="360" w:lineRule="auto"/>
        <w:rPr>
          <w:rFonts w:ascii="宋体" w:hAnsi="宋体" w:cs="宋体"/>
          <w:color w:val="auto"/>
          <w:highlight w:val="none"/>
        </w:rPr>
      </w:pPr>
      <w:r>
        <w:rPr>
          <w:rStyle w:val="17"/>
          <w:rFonts w:hint="eastAsia" w:ascii="宋体" w:hAnsi="宋体" w:cs="宋体"/>
          <w:color w:val="auto"/>
          <w:highlight w:val="none"/>
        </w:rPr>
        <w:t> </w:t>
      </w:r>
    </w:p>
    <w:p w14:paraId="14FC913A">
      <w:pPr>
        <w:pStyle w:val="12"/>
        <w:widowControl/>
        <w:spacing w:before="0" w:beforeAutospacing="0" w:after="0" w:afterAutospacing="0" w:line="360" w:lineRule="auto"/>
        <w:rPr>
          <w:rFonts w:ascii="宋体" w:hAnsi="宋体" w:cs="宋体"/>
          <w:color w:val="auto"/>
          <w:highlight w:val="none"/>
        </w:rPr>
      </w:pPr>
      <w:r>
        <w:rPr>
          <w:rStyle w:val="17"/>
          <w:rFonts w:hint="eastAsia" w:ascii="宋体" w:hAnsi="宋体" w:cs="宋体"/>
          <w:color w:val="auto"/>
          <w:highlight w:val="none"/>
        </w:rPr>
        <w:t> </w:t>
      </w:r>
    </w:p>
    <w:p w14:paraId="7B5D19C1">
      <w:pPr>
        <w:pStyle w:val="12"/>
        <w:widowControl/>
        <w:spacing w:before="0" w:beforeAutospacing="0" w:after="0" w:afterAutospacing="0" w:line="360" w:lineRule="auto"/>
        <w:jc w:val="center"/>
        <w:rPr>
          <w:rStyle w:val="17"/>
          <w:rFonts w:hint="eastAsia" w:ascii="宋体" w:hAnsi="宋体" w:cs="宋体"/>
          <w:color w:val="auto"/>
          <w:sz w:val="44"/>
          <w:szCs w:val="44"/>
          <w:highlight w:val="none"/>
        </w:rPr>
      </w:pPr>
    </w:p>
    <w:p w14:paraId="572783C1">
      <w:pPr>
        <w:pStyle w:val="12"/>
        <w:widowControl/>
        <w:spacing w:before="0" w:beforeAutospacing="0" w:after="0" w:afterAutospacing="0" w:line="360" w:lineRule="auto"/>
        <w:jc w:val="center"/>
        <w:rPr>
          <w:rStyle w:val="17"/>
          <w:rFonts w:hint="eastAsia" w:ascii="宋体" w:hAnsi="宋体" w:cs="宋体"/>
          <w:color w:val="auto"/>
          <w:sz w:val="44"/>
          <w:szCs w:val="44"/>
          <w:highlight w:val="none"/>
        </w:rPr>
      </w:pPr>
    </w:p>
    <w:p w14:paraId="449170EA">
      <w:pPr>
        <w:pStyle w:val="12"/>
        <w:widowControl/>
        <w:spacing w:before="0" w:beforeAutospacing="0" w:after="0" w:afterAutospacing="0" w:line="360" w:lineRule="auto"/>
        <w:jc w:val="center"/>
        <w:rPr>
          <w:rStyle w:val="17"/>
          <w:rFonts w:hint="eastAsia" w:ascii="宋体" w:hAnsi="宋体" w:cs="宋体"/>
          <w:color w:val="auto"/>
          <w:sz w:val="44"/>
          <w:szCs w:val="44"/>
          <w:highlight w:val="none"/>
        </w:rPr>
      </w:pPr>
    </w:p>
    <w:p w14:paraId="07C6AEBB">
      <w:pPr>
        <w:pStyle w:val="12"/>
        <w:widowControl/>
        <w:spacing w:before="0" w:beforeAutospacing="0" w:after="0" w:afterAutospacing="0" w:line="360" w:lineRule="auto"/>
        <w:jc w:val="center"/>
        <w:rPr>
          <w:rStyle w:val="17"/>
          <w:rFonts w:hint="eastAsia" w:ascii="宋体" w:hAnsi="宋体" w:cs="宋体"/>
          <w:color w:val="auto"/>
          <w:sz w:val="44"/>
          <w:szCs w:val="44"/>
          <w:highlight w:val="none"/>
        </w:rPr>
      </w:pPr>
    </w:p>
    <w:p w14:paraId="117D3FBE">
      <w:pPr>
        <w:pStyle w:val="12"/>
        <w:widowControl/>
        <w:spacing w:before="0" w:beforeAutospacing="0" w:after="0" w:afterAutospacing="0" w:line="360" w:lineRule="auto"/>
        <w:jc w:val="center"/>
        <w:rPr>
          <w:rStyle w:val="17"/>
          <w:rFonts w:hint="eastAsia" w:ascii="宋体" w:hAnsi="宋体" w:cs="宋体"/>
          <w:color w:val="auto"/>
          <w:sz w:val="44"/>
          <w:szCs w:val="44"/>
          <w:highlight w:val="none"/>
        </w:rPr>
      </w:pPr>
    </w:p>
    <w:p w14:paraId="70A6E044">
      <w:pPr>
        <w:pStyle w:val="12"/>
        <w:widowControl/>
        <w:spacing w:before="0" w:beforeAutospacing="0" w:after="0" w:afterAutospacing="0" w:line="360" w:lineRule="auto"/>
        <w:jc w:val="center"/>
        <w:rPr>
          <w:rStyle w:val="17"/>
          <w:rFonts w:hint="eastAsia" w:ascii="宋体" w:hAnsi="宋体" w:cs="宋体"/>
          <w:color w:val="auto"/>
          <w:sz w:val="44"/>
          <w:szCs w:val="44"/>
          <w:highlight w:val="none"/>
        </w:rPr>
      </w:pPr>
    </w:p>
    <w:p w14:paraId="473CEA81">
      <w:pPr>
        <w:pStyle w:val="12"/>
        <w:widowControl/>
        <w:spacing w:before="0" w:beforeAutospacing="0" w:after="0" w:afterAutospacing="0" w:line="360" w:lineRule="auto"/>
        <w:jc w:val="center"/>
        <w:rPr>
          <w:rStyle w:val="17"/>
          <w:rFonts w:hint="eastAsia" w:ascii="宋体" w:hAnsi="宋体" w:cs="宋体"/>
          <w:color w:val="auto"/>
          <w:sz w:val="44"/>
          <w:szCs w:val="44"/>
          <w:highlight w:val="none"/>
        </w:rPr>
      </w:pPr>
    </w:p>
    <w:p w14:paraId="4D45CB52">
      <w:pPr>
        <w:pStyle w:val="12"/>
        <w:widowControl/>
        <w:spacing w:before="0" w:beforeAutospacing="0" w:after="0" w:afterAutospacing="0" w:line="360" w:lineRule="auto"/>
        <w:jc w:val="center"/>
        <w:rPr>
          <w:rStyle w:val="17"/>
          <w:rFonts w:hint="eastAsia" w:ascii="宋体" w:hAnsi="宋体" w:cs="宋体"/>
          <w:color w:val="auto"/>
          <w:sz w:val="44"/>
          <w:szCs w:val="44"/>
          <w:highlight w:val="none"/>
        </w:rPr>
      </w:pPr>
    </w:p>
    <w:p w14:paraId="276E93C5">
      <w:pPr>
        <w:pStyle w:val="12"/>
        <w:widowControl/>
        <w:spacing w:before="0" w:beforeAutospacing="0" w:after="0" w:afterAutospacing="0" w:line="360" w:lineRule="auto"/>
        <w:jc w:val="center"/>
        <w:rPr>
          <w:rStyle w:val="17"/>
          <w:rFonts w:hint="eastAsia" w:ascii="宋体" w:hAnsi="宋体" w:cs="宋体"/>
          <w:color w:val="auto"/>
          <w:sz w:val="44"/>
          <w:szCs w:val="44"/>
          <w:highlight w:val="none"/>
        </w:rPr>
      </w:pPr>
    </w:p>
    <w:p w14:paraId="61679B0E">
      <w:pPr>
        <w:pStyle w:val="12"/>
        <w:widowControl/>
        <w:spacing w:before="0" w:beforeAutospacing="0" w:after="0" w:afterAutospacing="0" w:line="360" w:lineRule="auto"/>
        <w:jc w:val="center"/>
        <w:rPr>
          <w:rStyle w:val="17"/>
          <w:rFonts w:hint="eastAsia" w:ascii="宋体" w:hAnsi="宋体" w:cs="宋体"/>
          <w:color w:val="auto"/>
          <w:sz w:val="44"/>
          <w:szCs w:val="44"/>
          <w:highlight w:val="none"/>
        </w:rPr>
      </w:pPr>
    </w:p>
    <w:p w14:paraId="0447E7DC">
      <w:pPr>
        <w:pStyle w:val="12"/>
        <w:widowControl/>
        <w:spacing w:before="0" w:beforeAutospacing="0" w:after="0" w:afterAutospacing="0" w:line="360" w:lineRule="auto"/>
        <w:jc w:val="center"/>
        <w:rPr>
          <w:rStyle w:val="17"/>
          <w:rFonts w:hint="eastAsia" w:ascii="宋体" w:hAnsi="宋体" w:cs="宋体"/>
          <w:color w:val="auto"/>
          <w:sz w:val="44"/>
          <w:szCs w:val="44"/>
          <w:highlight w:val="none"/>
        </w:rPr>
      </w:pPr>
    </w:p>
    <w:p w14:paraId="262E097A">
      <w:pPr>
        <w:pStyle w:val="12"/>
        <w:widowControl/>
        <w:spacing w:before="0" w:beforeAutospacing="0" w:after="0" w:afterAutospacing="0" w:line="360" w:lineRule="auto"/>
        <w:jc w:val="center"/>
        <w:rPr>
          <w:rStyle w:val="17"/>
          <w:rFonts w:hint="eastAsia" w:ascii="宋体" w:hAnsi="宋体" w:cs="宋体"/>
          <w:color w:val="auto"/>
          <w:sz w:val="44"/>
          <w:szCs w:val="44"/>
          <w:highlight w:val="none"/>
        </w:rPr>
      </w:pPr>
    </w:p>
    <w:p w14:paraId="7EA10826">
      <w:pPr>
        <w:pStyle w:val="12"/>
        <w:widowControl/>
        <w:spacing w:before="0" w:beforeAutospacing="0" w:after="0" w:afterAutospacing="0" w:line="360" w:lineRule="auto"/>
        <w:jc w:val="center"/>
        <w:outlineLvl w:val="1"/>
        <w:rPr>
          <w:rFonts w:ascii="宋体" w:hAnsi="宋体" w:cs="宋体"/>
          <w:color w:val="auto"/>
          <w:highlight w:val="none"/>
        </w:rPr>
      </w:pPr>
      <w:r>
        <w:rPr>
          <w:rStyle w:val="17"/>
          <w:rFonts w:hint="eastAsia" w:ascii="宋体" w:hAnsi="宋体" w:cs="宋体"/>
          <w:color w:val="auto"/>
          <w:highlight w:val="none"/>
          <w:lang w:val="en-US"/>
        </w:rPr>
        <w:t>三</w:t>
      </w:r>
      <w:r>
        <w:rPr>
          <w:rStyle w:val="17"/>
          <w:rFonts w:hint="eastAsia" w:ascii="宋体" w:hAnsi="宋体" w:cs="宋体"/>
          <w:color w:val="auto"/>
          <w:highlight w:val="none"/>
        </w:rPr>
        <w:t>、标的说明一览表</w:t>
      </w:r>
    </w:p>
    <w:p w14:paraId="3E1ABF81">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项目编号：</w:t>
      </w:r>
      <w:r>
        <w:rPr>
          <w:rFonts w:hint="eastAsia" w:ascii="宋体" w:hAnsi="宋体" w:cs="宋体"/>
          <w:color w:val="auto"/>
          <w:highlight w:val="none"/>
          <w:u w:val="single"/>
        </w:rPr>
        <w:t>                   </w:t>
      </w:r>
    </w:p>
    <w:tbl>
      <w:tblPr>
        <w:tblStyle w:val="14"/>
        <w:tblW w:w="8479" w:type="dxa"/>
        <w:tblCellSpacing w:w="15"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661"/>
        <w:gridCol w:w="593"/>
        <w:gridCol w:w="1090"/>
        <w:gridCol w:w="582"/>
        <w:gridCol w:w="777"/>
        <w:gridCol w:w="754"/>
        <w:gridCol w:w="4022"/>
      </w:tblGrid>
      <w:tr w14:paraId="637B2D7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616"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1A6855C9">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采购包</w:t>
            </w:r>
          </w:p>
        </w:tc>
        <w:tc>
          <w:tcPr>
            <w:tcW w:w="563"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4D6DEE6B">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品目号</w:t>
            </w:r>
          </w:p>
        </w:tc>
        <w:tc>
          <w:tcPr>
            <w:tcW w:w="1060"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18CF8687">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投标标的</w:t>
            </w:r>
          </w:p>
        </w:tc>
        <w:tc>
          <w:tcPr>
            <w:tcW w:w="552"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40C7132E">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数量</w:t>
            </w:r>
          </w:p>
        </w:tc>
        <w:tc>
          <w:tcPr>
            <w:tcW w:w="747"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7EDC166B">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规格（品牌/型号）</w:t>
            </w:r>
          </w:p>
        </w:tc>
        <w:tc>
          <w:tcPr>
            <w:tcW w:w="724"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1A923756">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来源地</w:t>
            </w:r>
          </w:p>
        </w:tc>
        <w:tc>
          <w:tcPr>
            <w:tcW w:w="3977"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1901AD75">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备注</w:t>
            </w:r>
          </w:p>
        </w:tc>
      </w:tr>
      <w:tr w14:paraId="27B85D7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616" w:type="dxa"/>
            <w:vMerge w:val="restart"/>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2221DE2F">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w:t>
            </w:r>
          </w:p>
        </w:tc>
        <w:tc>
          <w:tcPr>
            <w:tcW w:w="563"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79F32A4F">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*-1</w:t>
            </w:r>
          </w:p>
        </w:tc>
        <w:tc>
          <w:tcPr>
            <w:tcW w:w="1060"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tcPr>
          <w:p w14:paraId="0681D47F">
            <w:pPr>
              <w:widowControl/>
              <w:spacing w:line="360" w:lineRule="auto"/>
              <w:jc w:val="left"/>
              <w:rPr>
                <w:rFonts w:ascii="宋体" w:hAnsi="宋体" w:cs="宋体"/>
                <w:color w:val="auto"/>
                <w:sz w:val="24"/>
                <w:highlight w:val="none"/>
              </w:rPr>
            </w:pPr>
          </w:p>
        </w:tc>
        <w:tc>
          <w:tcPr>
            <w:tcW w:w="552"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tcPr>
          <w:p w14:paraId="773C5624">
            <w:pPr>
              <w:widowControl/>
              <w:spacing w:line="360" w:lineRule="auto"/>
              <w:jc w:val="left"/>
              <w:rPr>
                <w:rFonts w:ascii="宋体" w:hAnsi="宋体" w:cs="宋体"/>
                <w:color w:val="auto"/>
                <w:sz w:val="24"/>
                <w:highlight w:val="none"/>
              </w:rPr>
            </w:pPr>
          </w:p>
        </w:tc>
        <w:tc>
          <w:tcPr>
            <w:tcW w:w="747"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tcPr>
          <w:p w14:paraId="1B56D10E">
            <w:pPr>
              <w:widowControl/>
              <w:spacing w:line="360" w:lineRule="auto"/>
              <w:jc w:val="left"/>
              <w:rPr>
                <w:rFonts w:ascii="宋体" w:hAnsi="宋体" w:cs="宋体"/>
                <w:color w:val="auto"/>
                <w:sz w:val="24"/>
                <w:highlight w:val="none"/>
              </w:rPr>
            </w:pPr>
          </w:p>
        </w:tc>
        <w:tc>
          <w:tcPr>
            <w:tcW w:w="724"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tcPr>
          <w:p w14:paraId="008BBD86">
            <w:pPr>
              <w:widowControl/>
              <w:spacing w:line="360" w:lineRule="auto"/>
              <w:jc w:val="left"/>
              <w:rPr>
                <w:rFonts w:ascii="宋体" w:hAnsi="宋体" w:cs="宋体"/>
                <w:color w:val="auto"/>
                <w:sz w:val="24"/>
                <w:highlight w:val="none"/>
              </w:rPr>
            </w:pPr>
          </w:p>
        </w:tc>
        <w:tc>
          <w:tcPr>
            <w:tcW w:w="3977"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tcPr>
          <w:p w14:paraId="2D766DA0">
            <w:pPr>
              <w:widowControl/>
              <w:spacing w:line="360" w:lineRule="auto"/>
              <w:jc w:val="left"/>
              <w:rPr>
                <w:rFonts w:ascii="宋体" w:hAnsi="宋体" w:cs="宋体"/>
                <w:color w:val="auto"/>
                <w:sz w:val="24"/>
                <w:highlight w:val="none"/>
              </w:rPr>
            </w:pPr>
          </w:p>
        </w:tc>
      </w:tr>
      <w:tr w14:paraId="317D45E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616" w:type="dxa"/>
            <w:vMerge w:val="continue"/>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069CF644">
            <w:pPr>
              <w:spacing w:line="360" w:lineRule="auto"/>
              <w:rPr>
                <w:rFonts w:ascii="宋体" w:hAnsi="宋体" w:cs="宋体"/>
                <w:color w:val="auto"/>
                <w:sz w:val="24"/>
                <w:highlight w:val="none"/>
              </w:rPr>
            </w:pPr>
          </w:p>
        </w:tc>
        <w:tc>
          <w:tcPr>
            <w:tcW w:w="563"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5CEB641C">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w:t>
            </w:r>
          </w:p>
        </w:tc>
        <w:tc>
          <w:tcPr>
            <w:tcW w:w="1060"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tcPr>
          <w:p w14:paraId="6EE5B017">
            <w:pPr>
              <w:widowControl/>
              <w:spacing w:line="360" w:lineRule="auto"/>
              <w:jc w:val="left"/>
              <w:rPr>
                <w:rFonts w:ascii="宋体" w:hAnsi="宋体" w:cs="宋体"/>
                <w:color w:val="auto"/>
                <w:sz w:val="24"/>
                <w:highlight w:val="none"/>
              </w:rPr>
            </w:pPr>
          </w:p>
        </w:tc>
        <w:tc>
          <w:tcPr>
            <w:tcW w:w="552"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tcPr>
          <w:p w14:paraId="1E974249">
            <w:pPr>
              <w:widowControl/>
              <w:spacing w:line="360" w:lineRule="auto"/>
              <w:jc w:val="left"/>
              <w:rPr>
                <w:rFonts w:ascii="宋体" w:hAnsi="宋体" w:cs="宋体"/>
                <w:color w:val="auto"/>
                <w:sz w:val="24"/>
                <w:highlight w:val="none"/>
              </w:rPr>
            </w:pPr>
          </w:p>
        </w:tc>
        <w:tc>
          <w:tcPr>
            <w:tcW w:w="747"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tcPr>
          <w:p w14:paraId="0195317E">
            <w:pPr>
              <w:widowControl/>
              <w:spacing w:line="360" w:lineRule="auto"/>
              <w:jc w:val="left"/>
              <w:rPr>
                <w:rFonts w:ascii="宋体" w:hAnsi="宋体" w:cs="宋体"/>
                <w:color w:val="auto"/>
                <w:sz w:val="24"/>
                <w:highlight w:val="none"/>
              </w:rPr>
            </w:pPr>
          </w:p>
        </w:tc>
        <w:tc>
          <w:tcPr>
            <w:tcW w:w="724"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tcPr>
          <w:p w14:paraId="1DF68157">
            <w:pPr>
              <w:widowControl/>
              <w:spacing w:line="360" w:lineRule="auto"/>
              <w:jc w:val="left"/>
              <w:rPr>
                <w:rFonts w:ascii="宋体" w:hAnsi="宋体" w:cs="宋体"/>
                <w:color w:val="auto"/>
                <w:sz w:val="24"/>
                <w:highlight w:val="none"/>
              </w:rPr>
            </w:pPr>
          </w:p>
        </w:tc>
        <w:tc>
          <w:tcPr>
            <w:tcW w:w="3977"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tcPr>
          <w:p w14:paraId="1DD683CE">
            <w:pPr>
              <w:widowControl/>
              <w:spacing w:line="360" w:lineRule="auto"/>
              <w:jc w:val="left"/>
              <w:rPr>
                <w:rFonts w:ascii="宋体" w:hAnsi="宋体" w:cs="宋体"/>
                <w:color w:val="auto"/>
                <w:sz w:val="24"/>
                <w:highlight w:val="none"/>
              </w:rPr>
            </w:pPr>
          </w:p>
        </w:tc>
      </w:tr>
      <w:tr w14:paraId="560AEEC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616"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4B026CBE">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w:t>
            </w:r>
          </w:p>
        </w:tc>
        <w:tc>
          <w:tcPr>
            <w:tcW w:w="563"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069A6631">
            <w:pPr>
              <w:widowControl/>
              <w:spacing w:line="360" w:lineRule="auto"/>
              <w:jc w:val="left"/>
              <w:rPr>
                <w:rFonts w:ascii="宋体" w:hAnsi="宋体" w:cs="宋体"/>
                <w:color w:val="auto"/>
                <w:sz w:val="24"/>
                <w:highlight w:val="none"/>
              </w:rPr>
            </w:pPr>
          </w:p>
        </w:tc>
        <w:tc>
          <w:tcPr>
            <w:tcW w:w="1060"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tcPr>
          <w:p w14:paraId="224A7346">
            <w:pPr>
              <w:widowControl/>
              <w:spacing w:line="360" w:lineRule="auto"/>
              <w:jc w:val="left"/>
              <w:rPr>
                <w:rFonts w:ascii="宋体" w:hAnsi="宋体" w:cs="宋体"/>
                <w:color w:val="auto"/>
                <w:sz w:val="24"/>
                <w:highlight w:val="none"/>
              </w:rPr>
            </w:pPr>
          </w:p>
        </w:tc>
        <w:tc>
          <w:tcPr>
            <w:tcW w:w="552"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tcPr>
          <w:p w14:paraId="70B99AA4">
            <w:pPr>
              <w:widowControl/>
              <w:spacing w:line="360" w:lineRule="auto"/>
              <w:jc w:val="left"/>
              <w:rPr>
                <w:rFonts w:ascii="宋体" w:hAnsi="宋体" w:cs="宋体"/>
                <w:color w:val="auto"/>
                <w:sz w:val="24"/>
                <w:highlight w:val="none"/>
              </w:rPr>
            </w:pPr>
          </w:p>
        </w:tc>
        <w:tc>
          <w:tcPr>
            <w:tcW w:w="747"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tcPr>
          <w:p w14:paraId="408160DF">
            <w:pPr>
              <w:widowControl/>
              <w:spacing w:line="360" w:lineRule="auto"/>
              <w:jc w:val="left"/>
              <w:rPr>
                <w:rFonts w:ascii="宋体" w:hAnsi="宋体" w:cs="宋体"/>
                <w:color w:val="auto"/>
                <w:sz w:val="24"/>
                <w:highlight w:val="none"/>
              </w:rPr>
            </w:pPr>
          </w:p>
        </w:tc>
        <w:tc>
          <w:tcPr>
            <w:tcW w:w="724"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tcPr>
          <w:p w14:paraId="527F92B0">
            <w:pPr>
              <w:widowControl/>
              <w:spacing w:line="360" w:lineRule="auto"/>
              <w:jc w:val="left"/>
              <w:rPr>
                <w:rFonts w:ascii="宋体" w:hAnsi="宋体" w:cs="宋体"/>
                <w:color w:val="auto"/>
                <w:sz w:val="24"/>
                <w:highlight w:val="none"/>
              </w:rPr>
            </w:pPr>
          </w:p>
        </w:tc>
        <w:tc>
          <w:tcPr>
            <w:tcW w:w="3977"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tcPr>
          <w:p w14:paraId="46EBCB6C">
            <w:pPr>
              <w:widowControl/>
              <w:spacing w:line="360" w:lineRule="auto"/>
              <w:jc w:val="left"/>
              <w:rPr>
                <w:rFonts w:ascii="宋体" w:hAnsi="宋体" w:cs="宋体"/>
                <w:color w:val="auto"/>
                <w:sz w:val="24"/>
                <w:highlight w:val="none"/>
              </w:rPr>
            </w:pPr>
          </w:p>
        </w:tc>
      </w:tr>
    </w:tbl>
    <w:p w14:paraId="7B5CA7A8">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※注意：</w:t>
      </w:r>
    </w:p>
    <w:p w14:paraId="2AA3793B">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1、本表应按照下列规定填写：</w:t>
      </w:r>
    </w:p>
    <w:p w14:paraId="38E85CA3">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1.1“采购包”、“品目号”、“投标标的”及“数量”应与征集文件《采购标的一览表》中的有关内容（“采购包”、“品目号”、“采购标的”及“数量”）保持一致。</w:t>
      </w:r>
    </w:p>
    <w:p w14:paraId="109A64DF">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1.2“投标标的”为货物的：</w:t>
      </w:r>
      <w:r>
        <w:rPr>
          <w:rStyle w:val="17"/>
          <w:rFonts w:hint="eastAsia" w:ascii="宋体" w:hAnsi="宋体" w:cs="宋体"/>
          <w:color w:val="auto"/>
          <w:highlight w:val="none"/>
        </w:rPr>
        <w:t>“规格”</w:t>
      </w:r>
      <w:r>
        <w:rPr>
          <w:rFonts w:hint="eastAsia" w:ascii="宋体" w:hAnsi="宋体" w:cs="宋体"/>
          <w:color w:val="auto"/>
          <w:highlight w:val="none"/>
        </w:rPr>
        <w:t>项下应填写货物制造厂商赋予的品牌（属于节能、环保清单产品的货物，填写的品牌名称应与清单载明的品牌名称保持一致）及具体型号。</w:t>
      </w:r>
      <w:r>
        <w:rPr>
          <w:rStyle w:val="17"/>
          <w:rFonts w:hint="eastAsia" w:ascii="宋体" w:hAnsi="宋体" w:cs="宋体"/>
          <w:color w:val="auto"/>
          <w:highlight w:val="none"/>
        </w:rPr>
        <w:t>“来源地”</w:t>
      </w:r>
      <w:r>
        <w:rPr>
          <w:rFonts w:hint="eastAsia" w:ascii="宋体" w:hAnsi="宋体" w:cs="宋体"/>
          <w:color w:val="auto"/>
          <w:highlight w:val="none"/>
        </w:rPr>
        <w:t>应填写货物的原产地。</w:t>
      </w:r>
      <w:r>
        <w:rPr>
          <w:rStyle w:val="17"/>
          <w:rFonts w:hint="eastAsia" w:ascii="宋体" w:hAnsi="宋体" w:cs="宋体"/>
          <w:color w:val="auto"/>
          <w:highlight w:val="none"/>
        </w:rPr>
        <w:t>“备注”</w:t>
      </w:r>
      <w:r>
        <w:rPr>
          <w:rFonts w:hint="eastAsia" w:ascii="宋体" w:hAnsi="宋体" w:cs="宋体"/>
          <w:color w:val="auto"/>
          <w:highlight w:val="none"/>
        </w:rPr>
        <w:t>项下应填写货物的详细性能说明及供货范围清单（若有），其中供货范围清单包括但不限于：组成货物的主要件和关键件的名称、数量、原产地，专用工具（若有）的名称、数量、原产地，备品备件（若有）的名称、数量、原产地等。</w:t>
      </w:r>
    </w:p>
    <w:p w14:paraId="50272B19">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1.3“投标标的”为服务的：</w:t>
      </w:r>
      <w:r>
        <w:rPr>
          <w:rStyle w:val="17"/>
          <w:rFonts w:hint="eastAsia" w:ascii="宋体" w:hAnsi="宋体" w:cs="宋体"/>
          <w:color w:val="auto"/>
          <w:highlight w:val="none"/>
        </w:rPr>
        <w:t>“规格”</w:t>
      </w:r>
      <w:r>
        <w:rPr>
          <w:rFonts w:hint="eastAsia" w:ascii="宋体" w:hAnsi="宋体" w:cs="宋体"/>
          <w:color w:val="auto"/>
          <w:highlight w:val="none"/>
        </w:rPr>
        <w:t>项下应填写服务提供者提供的服务标准及品牌（若有）。</w:t>
      </w:r>
      <w:r>
        <w:rPr>
          <w:rStyle w:val="17"/>
          <w:rFonts w:hint="eastAsia" w:ascii="宋体" w:hAnsi="宋体" w:cs="宋体"/>
          <w:color w:val="auto"/>
          <w:highlight w:val="none"/>
        </w:rPr>
        <w:t>“来源地”</w:t>
      </w:r>
      <w:r>
        <w:rPr>
          <w:rFonts w:hint="eastAsia" w:ascii="宋体" w:hAnsi="宋体" w:cs="宋体"/>
          <w:color w:val="auto"/>
          <w:highlight w:val="none"/>
        </w:rPr>
        <w:t>应填写服务提供者的所在地。</w:t>
      </w:r>
      <w:r>
        <w:rPr>
          <w:rStyle w:val="17"/>
          <w:rFonts w:hint="eastAsia" w:ascii="宋体" w:hAnsi="宋体" w:cs="宋体"/>
          <w:color w:val="auto"/>
          <w:highlight w:val="none"/>
        </w:rPr>
        <w:t>“备注”</w:t>
      </w:r>
      <w:r>
        <w:rPr>
          <w:rFonts w:hint="eastAsia" w:ascii="宋体" w:hAnsi="宋体" w:cs="宋体"/>
          <w:color w:val="auto"/>
          <w:highlight w:val="none"/>
        </w:rPr>
        <w:t>项下应填写关于服务标准所涵盖的具体项目或内容的说明等。</w:t>
      </w:r>
    </w:p>
    <w:p w14:paraId="5E0A5042">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2、投标人需要说明的内容若需特殊表达，应先在本表中进行相应说明，再另页应答，但应做好标注说明，方便评委查阅评审。未标注说明可能导致的不利的评审后果由投标人自行承担。</w:t>
      </w:r>
    </w:p>
    <w:p w14:paraId="1687A2CF">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39A03B3E">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388C3B96">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投标人：</w:t>
      </w:r>
      <w:r>
        <w:rPr>
          <w:rFonts w:hint="eastAsia" w:ascii="宋体" w:hAnsi="宋体" w:cs="宋体"/>
          <w:color w:val="auto"/>
          <w:highlight w:val="none"/>
          <w:u w:val="single"/>
        </w:rPr>
        <w:t>（全称并加盖单位公章）</w:t>
      </w:r>
    </w:p>
    <w:p w14:paraId="6BA7C255">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日期：</w:t>
      </w:r>
      <w:r>
        <w:rPr>
          <w:rFonts w:hint="eastAsia" w:ascii="宋体" w:hAnsi="宋体" w:cs="宋体"/>
          <w:color w:val="auto"/>
          <w:highlight w:val="none"/>
          <w:u w:val="single"/>
        </w:rPr>
        <w:t>    </w:t>
      </w:r>
      <w:r>
        <w:rPr>
          <w:rFonts w:hint="eastAsia" w:ascii="宋体" w:hAnsi="宋体" w:cs="宋体"/>
          <w:color w:val="auto"/>
          <w:highlight w:val="none"/>
        </w:rPr>
        <w:t>年</w:t>
      </w:r>
      <w:r>
        <w:rPr>
          <w:rFonts w:hint="eastAsia" w:ascii="宋体" w:hAnsi="宋体" w:cs="宋体"/>
          <w:color w:val="auto"/>
          <w:highlight w:val="none"/>
          <w:u w:val="single"/>
        </w:rPr>
        <w:t>   </w:t>
      </w:r>
      <w:r>
        <w:rPr>
          <w:rFonts w:hint="eastAsia" w:ascii="宋体" w:hAnsi="宋体" w:cs="宋体"/>
          <w:color w:val="auto"/>
          <w:highlight w:val="none"/>
        </w:rPr>
        <w:t>月</w:t>
      </w:r>
      <w:r>
        <w:rPr>
          <w:rFonts w:hint="eastAsia" w:ascii="宋体" w:hAnsi="宋体" w:cs="宋体"/>
          <w:color w:val="auto"/>
          <w:highlight w:val="none"/>
          <w:u w:val="single"/>
        </w:rPr>
        <w:t>   </w:t>
      </w:r>
      <w:r>
        <w:rPr>
          <w:rFonts w:hint="eastAsia" w:ascii="宋体" w:hAnsi="宋体" w:cs="宋体"/>
          <w:color w:val="auto"/>
          <w:highlight w:val="none"/>
        </w:rPr>
        <w:t>日</w:t>
      </w:r>
    </w:p>
    <w:p w14:paraId="40737DD0">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6F15CDDB">
      <w:pPr>
        <w:pStyle w:val="12"/>
        <w:widowControl/>
        <w:spacing w:before="0" w:beforeAutospacing="0" w:after="0" w:afterAutospacing="0" w:line="360" w:lineRule="auto"/>
        <w:rPr>
          <w:rFonts w:hint="eastAsia" w:ascii="宋体" w:hAnsi="宋体" w:cs="宋体"/>
          <w:color w:val="auto"/>
          <w:highlight w:val="none"/>
        </w:rPr>
      </w:pPr>
      <w:r>
        <w:rPr>
          <w:rFonts w:hint="eastAsia" w:ascii="宋体" w:hAnsi="宋体" w:cs="宋体"/>
          <w:color w:val="auto"/>
          <w:highlight w:val="none"/>
        </w:rPr>
        <w:t> </w:t>
      </w:r>
    </w:p>
    <w:p w14:paraId="3254941D">
      <w:pPr>
        <w:pStyle w:val="12"/>
        <w:widowControl/>
        <w:spacing w:before="0" w:beforeAutospacing="0" w:after="0" w:afterAutospacing="0" w:line="360" w:lineRule="auto"/>
        <w:rPr>
          <w:rFonts w:hint="eastAsia" w:ascii="宋体" w:hAnsi="宋体" w:cs="宋体"/>
          <w:color w:val="auto"/>
          <w:highlight w:val="none"/>
        </w:rPr>
      </w:pPr>
    </w:p>
    <w:p w14:paraId="29EC8F7B">
      <w:pPr>
        <w:pStyle w:val="12"/>
        <w:widowControl/>
        <w:spacing w:before="0" w:beforeAutospacing="0" w:after="0" w:afterAutospacing="0" w:line="360" w:lineRule="auto"/>
        <w:rPr>
          <w:rFonts w:hint="eastAsia" w:ascii="宋体" w:hAnsi="宋体" w:cs="宋体"/>
          <w:color w:val="auto"/>
          <w:highlight w:val="none"/>
        </w:rPr>
      </w:pPr>
    </w:p>
    <w:p w14:paraId="1B1DC644">
      <w:pPr>
        <w:pStyle w:val="12"/>
        <w:widowControl/>
        <w:spacing w:before="0" w:beforeAutospacing="0" w:after="0" w:afterAutospacing="0" w:line="360" w:lineRule="auto"/>
        <w:rPr>
          <w:rFonts w:hint="eastAsia" w:ascii="宋体" w:hAnsi="宋体" w:cs="宋体"/>
          <w:color w:val="auto"/>
          <w:highlight w:val="none"/>
        </w:rPr>
      </w:pPr>
    </w:p>
    <w:p w14:paraId="098C27E8">
      <w:pPr>
        <w:pStyle w:val="12"/>
        <w:widowControl/>
        <w:spacing w:before="0" w:beforeAutospacing="0" w:after="0" w:afterAutospacing="0" w:line="360" w:lineRule="auto"/>
        <w:rPr>
          <w:rFonts w:hint="eastAsia" w:ascii="宋体" w:hAnsi="宋体" w:cs="宋体"/>
          <w:color w:val="auto"/>
          <w:highlight w:val="none"/>
        </w:rPr>
      </w:pPr>
    </w:p>
    <w:p w14:paraId="230B36B2">
      <w:pPr>
        <w:pStyle w:val="12"/>
        <w:widowControl/>
        <w:spacing w:before="0" w:beforeAutospacing="0" w:after="0" w:afterAutospacing="0" w:line="360" w:lineRule="auto"/>
        <w:rPr>
          <w:rFonts w:hint="eastAsia" w:ascii="宋体" w:hAnsi="宋体" w:cs="宋体"/>
          <w:color w:val="auto"/>
          <w:highlight w:val="none"/>
        </w:rPr>
      </w:pPr>
    </w:p>
    <w:p w14:paraId="30E38274">
      <w:pPr>
        <w:pStyle w:val="12"/>
        <w:widowControl/>
        <w:spacing w:before="0" w:beforeAutospacing="0" w:after="0" w:afterAutospacing="0" w:line="360" w:lineRule="auto"/>
        <w:rPr>
          <w:rFonts w:hint="eastAsia" w:ascii="宋体" w:hAnsi="宋体" w:cs="宋体"/>
          <w:color w:val="auto"/>
          <w:highlight w:val="none"/>
        </w:rPr>
      </w:pPr>
    </w:p>
    <w:p w14:paraId="0397E5F3">
      <w:pPr>
        <w:pStyle w:val="12"/>
        <w:widowControl/>
        <w:spacing w:before="0" w:beforeAutospacing="0" w:after="0" w:afterAutospacing="0" w:line="360" w:lineRule="auto"/>
        <w:rPr>
          <w:rFonts w:hint="eastAsia" w:ascii="宋体" w:hAnsi="宋体" w:cs="宋体"/>
          <w:color w:val="auto"/>
          <w:highlight w:val="none"/>
        </w:rPr>
      </w:pPr>
    </w:p>
    <w:p w14:paraId="232F4F43">
      <w:pPr>
        <w:pStyle w:val="12"/>
        <w:widowControl/>
        <w:spacing w:before="0" w:beforeAutospacing="0" w:after="0" w:afterAutospacing="0" w:line="360" w:lineRule="auto"/>
        <w:rPr>
          <w:rFonts w:hint="eastAsia" w:ascii="宋体" w:hAnsi="宋体" w:cs="宋体"/>
          <w:color w:val="auto"/>
          <w:highlight w:val="none"/>
        </w:rPr>
      </w:pPr>
    </w:p>
    <w:p w14:paraId="326A3A5E">
      <w:pPr>
        <w:pStyle w:val="12"/>
        <w:widowControl/>
        <w:spacing w:before="0" w:beforeAutospacing="0" w:after="0" w:afterAutospacing="0" w:line="360" w:lineRule="auto"/>
        <w:rPr>
          <w:rFonts w:hint="eastAsia" w:ascii="宋体" w:hAnsi="宋体" w:cs="宋体"/>
          <w:color w:val="auto"/>
          <w:highlight w:val="none"/>
        </w:rPr>
      </w:pPr>
    </w:p>
    <w:p w14:paraId="31FC6EA6">
      <w:pPr>
        <w:pStyle w:val="12"/>
        <w:widowControl/>
        <w:spacing w:before="0" w:beforeAutospacing="0" w:after="0" w:afterAutospacing="0" w:line="360" w:lineRule="auto"/>
        <w:rPr>
          <w:rFonts w:hint="eastAsia" w:ascii="宋体" w:hAnsi="宋体" w:cs="宋体"/>
          <w:color w:val="auto"/>
          <w:highlight w:val="none"/>
        </w:rPr>
      </w:pPr>
    </w:p>
    <w:p w14:paraId="31B233C6">
      <w:pPr>
        <w:pStyle w:val="12"/>
        <w:widowControl/>
        <w:spacing w:before="0" w:beforeAutospacing="0" w:after="0" w:afterAutospacing="0" w:line="360" w:lineRule="auto"/>
        <w:rPr>
          <w:rFonts w:hint="eastAsia" w:ascii="宋体" w:hAnsi="宋体" w:cs="宋体"/>
          <w:color w:val="auto"/>
          <w:highlight w:val="none"/>
        </w:rPr>
      </w:pPr>
    </w:p>
    <w:p w14:paraId="113D1BAC">
      <w:pPr>
        <w:pStyle w:val="12"/>
        <w:widowControl/>
        <w:spacing w:before="0" w:beforeAutospacing="0" w:after="0" w:afterAutospacing="0" w:line="360" w:lineRule="auto"/>
        <w:jc w:val="center"/>
        <w:rPr>
          <w:rStyle w:val="17"/>
          <w:rFonts w:hint="eastAsia" w:ascii="宋体" w:hAnsi="宋体" w:cs="宋体"/>
          <w:color w:val="auto"/>
          <w:highlight w:val="none"/>
        </w:rPr>
      </w:pPr>
      <w:r>
        <w:rPr>
          <w:rStyle w:val="17"/>
          <w:rFonts w:hint="eastAsia" w:ascii="宋体" w:hAnsi="宋体" w:cs="宋体"/>
          <w:color w:val="auto"/>
          <w:highlight w:val="none"/>
        </w:rPr>
        <w:br w:type="textWrapping"/>
      </w:r>
    </w:p>
    <w:p w14:paraId="7D30939D">
      <w:pPr>
        <w:pStyle w:val="12"/>
        <w:widowControl/>
        <w:spacing w:before="0" w:beforeAutospacing="0" w:after="0" w:afterAutospacing="0" w:line="360" w:lineRule="auto"/>
        <w:jc w:val="center"/>
        <w:rPr>
          <w:rStyle w:val="17"/>
          <w:rFonts w:hint="eastAsia" w:ascii="宋体" w:hAnsi="宋体" w:cs="宋体"/>
          <w:color w:val="auto"/>
          <w:highlight w:val="none"/>
        </w:rPr>
      </w:pPr>
    </w:p>
    <w:p w14:paraId="3D6CD4AC">
      <w:pPr>
        <w:pStyle w:val="12"/>
        <w:widowControl/>
        <w:spacing w:before="0" w:beforeAutospacing="0" w:after="0" w:afterAutospacing="0" w:line="360" w:lineRule="auto"/>
        <w:jc w:val="center"/>
        <w:outlineLvl w:val="1"/>
        <w:rPr>
          <w:rFonts w:ascii="宋体" w:hAnsi="宋体" w:cs="宋体"/>
          <w:color w:val="auto"/>
          <w:highlight w:val="none"/>
        </w:rPr>
      </w:pPr>
      <w:r>
        <w:rPr>
          <w:rStyle w:val="17"/>
          <w:rFonts w:hint="eastAsia" w:ascii="宋体" w:hAnsi="宋体" w:cs="宋体"/>
          <w:color w:val="auto"/>
          <w:highlight w:val="none"/>
          <w:lang w:val="en-US"/>
        </w:rPr>
        <w:t>四</w:t>
      </w:r>
      <w:r>
        <w:rPr>
          <w:rStyle w:val="17"/>
          <w:rFonts w:hint="eastAsia" w:ascii="宋体" w:hAnsi="宋体" w:cs="宋体"/>
          <w:color w:val="auto"/>
          <w:highlight w:val="none"/>
        </w:rPr>
        <w:t>、技术和服务要求响应表</w:t>
      </w:r>
    </w:p>
    <w:p w14:paraId="0149D54F">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0E5228D7">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项目编号：</w:t>
      </w:r>
      <w:r>
        <w:rPr>
          <w:rFonts w:hint="eastAsia" w:ascii="宋体" w:hAnsi="宋体" w:cs="宋体"/>
          <w:color w:val="auto"/>
          <w:highlight w:val="none"/>
          <w:u w:val="single"/>
        </w:rPr>
        <w:t>                   </w:t>
      </w:r>
    </w:p>
    <w:tbl>
      <w:tblPr>
        <w:tblStyle w:val="14"/>
        <w:tblW w:w="8337" w:type="dxa"/>
        <w:tblCellSpacing w:w="15"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672"/>
        <w:gridCol w:w="597"/>
        <w:gridCol w:w="1931"/>
        <w:gridCol w:w="1218"/>
        <w:gridCol w:w="3919"/>
      </w:tblGrid>
      <w:tr w14:paraId="627F35D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70" w:hRule="atLeast"/>
          <w:tblCellSpacing w:w="15" w:type="dxa"/>
        </w:trPr>
        <w:tc>
          <w:tcPr>
            <w:tcW w:w="627"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071C5E7E">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采购包</w:t>
            </w:r>
          </w:p>
        </w:tc>
        <w:tc>
          <w:tcPr>
            <w:tcW w:w="567"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25D0C010">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品目号</w:t>
            </w:r>
          </w:p>
        </w:tc>
        <w:tc>
          <w:tcPr>
            <w:tcW w:w="1901"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61B83F94">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技术和服务要求</w:t>
            </w:r>
          </w:p>
        </w:tc>
        <w:tc>
          <w:tcPr>
            <w:tcW w:w="1188"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11769F29">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投标响应</w:t>
            </w:r>
          </w:p>
        </w:tc>
        <w:tc>
          <w:tcPr>
            <w:tcW w:w="3874"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328D6D2A">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是否偏离及说明</w:t>
            </w:r>
          </w:p>
        </w:tc>
      </w:tr>
      <w:tr w14:paraId="1A1CD99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627" w:type="dxa"/>
            <w:vMerge w:val="restart"/>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0B9821D4">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w:t>
            </w:r>
          </w:p>
        </w:tc>
        <w:tc>
          <w:tcPr>
            <w:tcW w:w="567"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21B56808">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*-1</w:t>
            </w:r>
          </w:p>
        </w:tc>
        <w:tc>
          <w:tcPr>
            <w:tcW w:w="1901"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tcPr>
          <w:p w14:paraId="0057919C">
            <w:pPr>
              <w:widowControl/>
              <w:spacing w:line="360" w:lineRule="auto"/>
              <w:jc w:val="left"/>
              <w:rPr>
                <w:rFonts w:ascii="宋体" w:hAnsi="宋体" w:cs="宋体"/>
                <w:color w:val="auto"/>
                <w:sz w:val="24"/>
                <w:highlight w:val="none"/>
              </w:rPr>
            </w:pPr>
          </w:p>
        </w:tc>
        <w:tc>
          <w:tcPr>
            <w:tcW w:w="1188"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tcPr>
          <w:p w14:paraId="1000C948">
            <w:pPr>
              <w:widowControl/>
              <w:spacing w:line="360" w:lineRule="auto"/>
              <w:jc w:val="left"/>
              <w:rPr>
                <w:rFonts w:ascii="宋体" w:hAnsi="宋体" w:cs="宋体"/>
                <w:color w:val="auto"/>
                <w:sz w:val="24"/>
                <w:highlight w:val="none"/>
              </w:rPr>
            </w:pPr>
          </w:p>
        </w:tc>
        <w:tc>
          <w:tcPr>
            <w:tcW w:w="3874"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tcPr>
          <w:p w14:paraId="37E7A3DC">
            <w:pPr>
              <w:widowControl/>
              <w:spacing w:line="360" w:lineRule="auto"/>
              <w:jc w:val="left"/>
              <w:rPr>
                <w:rFonts w:ascii="宋体" w:hAnsi="宋体" w:cs="宋体"/>
                <w:color w:val="auto"/>
                <w:sz w:val="24"/>
                <w:highlight w:val="none"/>
              </w:rPr>
            </w:pPr>
          </w:p>
        </w:tc>
      </w:tr>
      <w:tr w14:paraId="7F50952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627" w:type="dxa"/>
            <w:vMerge w:val="continue"/>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6DC87570">
            <w:pPr>
              <w:spacing w:line="360" w:lineRule="auto"/>
              <w:rPr>
                <w:rFonts w:ascii="宋体" w:hAnsi="宋体" w:cs="宋体"/>
                <w:color w:val="auto"/>
                <w:sz w:val="24"/>
                <w:highlight w:val="none"/>
              </w:rPr>
            </w:pPr>
          </w:p>
        </w:tc>
        <w:tc>
          <w:tcPr>
            <w:tcW w:w="567"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62ECF129">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w:t>
            </w:r>
          </w:p>
        </w:tc>
        <w:tc>
          <w:tcPr>
            <w:tcW w:w="1901"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tcPr>
          <w:p w14:paraId="6B03E8CF">
            <w:pPr>
              <w:widowControl/>
              <w:spacing w:line="360" w:lineRule="auto"/>
              <w:jc w:val="left"/>
              <w:rPr>
                <w:rFonts w:ascii="宋体" w:hAnsi="宋体" w:cs="宋体"/>
                <w:color w:val="auto"/>
                <w:sz w:val="24"/>
                <w:highlight w:val="none"/>
              </w:rPr>
            </w:pPr>
          </w:p>
        </w:tc>
        <w:tc>
          <w:tcPr>
            <w:tcW w:w="1188"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tcPr>
          <w:p w14:paraId="23D5332A">
            <w:pPr>
              <w:widowControl/>
              <w:spacing w:line="360" w:lineRule="auto"/>
              <w:jc w:val="left"/>
              <w:rPr>
                <w:rFonts w:ascii="宋体" w:hAnsi="宋体" w:cs="宋体"/>
                <w:color w:val="auto"/>
                <w:sz w:val="24"/>
                <w:highlight w:val="none"/>
              </w:rPr>
            </w:pPr>
          </w:p>
        </w:tc>
        <w:tc>
          <w:tcPr>
            <w:tcW w:w="3874"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tcPr>
          <w:p w14:paraId="70E2F786">
            <w:pPr>
              <w:widowControl/>
              <w:spacing w:line="360" w:lineRule="auto"/>
              <w:jc w:val="left"/>
              <w:rPr>
                <w:rFonts w:ascii="宋体" w:hAnsi="宋体" w:cs="宋体"/>
                <w:color w:val="auto"/>
                <w:sz w:val="24"/>
                <w:highlight w:val="none"/>
              </w:rPr>
            </w:pPr>
          </w:p>
        </w:tc>
      </w:tr>
      <w:tr w14:paraId="75E0DBD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627"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3760EBCB">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w:t>
            </w:r>
          </w:p>
        </w:tc>
        <w:tc>
          <w:tcPr>
            <w:tcW w:w="567"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60F3E1CD">
            <w:pPr>
              <w:widowControl/>
              <w:spacing w:line="360" w:lineRule="auto"/>
              <w:jc w:val="left"/>
              <w:rPr>
                <w:rFonts w:ascii="宋体" w:hAnsi="宋体" w:cs="宋体"/>
                <w:color w:val="auto"/>
                <w:sz w:val="24"/>
                <w:highlight w:val="none"/>
              </w:rPr>
            </w:pPr>
          </w:p>
        </w:tc>
        <w:tc>
          <w:tcPr>
            <w:tcW w:w="1901"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2293AA57">
            <w:pPr>
              <w:widowControl/>
              <w:spacing w:line="360" w:lineRule="auto"/>
              <w:jc w:val="left"/>
              <w:rPr>
                <w:rFonts w:ascii="宋体" w:hAnsi="宋体" w:cs="宋体"/>
                <w:color w:val="auto"/>
                <w:sz w:val="24"/>
                <w:highlight w:val="none"/>
              </w:rPr>
            </w:pPr>
          </w:p>
        </w:tc>
        <w:tc>
          <w:tcPr>
            <w:tcW w:w="1188"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7D52D524">
            <w:pPr>
              <w:widowControl/>
              <w:spacing w:line="360" w:lineRule="auto"/>
              <w:jc w:val="left"/>
              <w:rPr>
                <w:rFonts w:ascii="宋体" w:hAnsi="宋体" w:cs="宋体"/>
                <w:color w:val="auto"/>
                <w:sz w:val="24"/>
                <w:highlight w:val="none"/>
              </w:rPr>
            </w:pPr>
          </w:p>
        </w:tc>
        <w:tc>
          <w:tcPr>
            <w:tcW w:w="3874"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6C8E1D51">
            <w:pPr>
              <w:widowControl/>
              <w:spacing w:line="360" w:lineRule="auto"/>
              <w:jc w:val="left"/>
              <w:rPr>
                <w:rFonts w:ascii="宋体" w:hAnsi="宋体" w:cs="宋体"/>
                <w:color w:val="auto"/>
                <w:sz w:val="24"/>
                <w:highlight w:val="none"/>
              </w:rPr>
            </w:pPr>
          </w:p>
        </w:tc>
      </w:tr>
    </w:tbl>
    <w:p w14:paraId="7EE404E9">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※注意：</w:t>
      </w:r>
    </w:p>
    <w:p w14:paraId="2899BDE8">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1、本表应按照下列规定填写：</w:t>
      </w:r>
    </w:p>
    <w:p w14:paraId="1F982D00">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1.1“技术和服务要求”项下填写的内容应与征集文件第五章“技术和服务要求”的内容保持一致。</w:t>
      </w:r>
    </w:p>
    <w:p w14:paraId="7000B569">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1.2“投标响应”项下应填写具体的响应内容并与“技术和服务要求”项下填写的内容逐项对应；对征集文件“技术和服务要求”项下涉及“≥或＞”、“≤或＜”及某个区间值范围内的内容，投标响应应填写具体的数值，但技术指标只能以范围作响应的除外。</w:t>
      </w:r>
    </w:p>
    <w:p w14:paraId="4453937D">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1.3“是否偏离及说明”项下应按下列规定填写：优于的，填写“正偏离”；符合的，填写“无偏离”；低于的，填写“负偏离”。</w:t>
      </w:r>
    </w:p>
    <w:p w14:paraId="2716DC88">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2、投标人需要说明的内容若需特殊表达，应先在本表中进行相应说明，再另页应答，但应做好标注说明，方便评委查阅评审。未标注说明可能导致的不利的评审后果由投标人自行承担。</w:t>
      </w:r>
    </w:p>
    <w:p w14:paraId="0584E19C">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0A49B587">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3E0E2606">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投标人：</w:t>
      </w:r>
      <w:r>
        <w:rPr>
          <w:rFonts w:hint="eastAsia" w:ascii="宋体" w:hAnsi="宋体" w:cs="宋体"/>
          <w:color w:val="auto"/>
          <w:highlight w:val="none"/>
          <w:u w:val="single"/>
        </w:rPr>
        <w:t>（全称并加盖单位公章）</w:t>
      </w:r>
    </w:p>
    <w:p w14:paraId="33F7B9C0">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日期：</w:t>
      </w:r>
      <w:r>
        <w:rPr>
          <w:rFonts w:hint="eastAsia" w:ascii="宋体" w:hAnsi="宋体" w:cs="宋体"/>
          <w:color w:val="auto"/>
          <w:highlight w:val="none"/>
          <w:u w:val="single"/>
        </w:rPr>
        <w:t>    </w:t>
      </w:r>
      <w:r>
        <w:rPr>
          <w:rFonts w:hint="eastAsia" w:ascii="宋体" w:hAnsi="宋体" w:cs="宋体"/>
          <w:color w:val="auto"/>
          <w:highlight w:val="none"/>
        </w:rPr>
        <w:t>年</w:t>
      </w:r>
      <w:r>
        <w:rPr>
          <w:rFonts w:hint="eastAsia" w:ascii="宋体" w:hAnsi="宋体" w:cs="宋体"/>
          <w:color w:val="auto"/>
          <w:highlight w:val="none"/>
          <w:u w:val="single"/>
        </w:rPr>
        <w:t>   </w:t>
      </w:r>
      <w:r>
        <w:rPr>
          <w:rFonts w:hint="eastAsia" w:ascii="宋体" w:hAnsi="宋体" w:cs="宋体"/>
          <w:color w:val="auto"/>
          <w:highlight w:val="none"/>
        </w:rPr>
        <w:t>月</w:t>
      </w:r>
      <w:r>
        <w:rPr>
          <w:rFonts w:hint="eastAsia" w:ascii="宋体" w:hAnsi="宋体" w:cs="宋体"/>
          <w:color w:val="auto"/>
          <w:highlight w:val="none"/>
          <w:u w:val="single"/>
        </w:rPr>
        <w:t>   </w:t>
      </w:r>
      <w:r>
        <w:rPr>
          <w:rFonts w:hint="eastAsia" w:ascii="宋体" w:hAnsi="宋体" w:cs="宋体"/>
          <w:color w:val="auto"/>
          <w:highlight w:val="none"/>
        </w:rPr>
        <w:t>日</w:t>
      </w:r>
    </w:p>
    <w:p w14:paraId="03354884">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44C3DC32">
      <w:pPr>
        <w:pStyle w:val="12"/>
        <w:widowControl/>
        <w:spacing w:before="0" w:beforeAutospacing="0" w:after="0" w:afterAutospacing="0" w:line="360" w:lineRule="auto"/>
        <w:rPr>
          <w:rFonts w:hint="eastAsia" w:ascii="宋体" w:hAnsi="宋体" w:cs="宋体"/>
          <w:color w:val="auto"/>
          <w:highlight w:val="none"/>
        </w:rPr>
      </w:pPr>
      <w:r>
        <w:rPr>
          <w:rFonts w:hint="eastAsia" w:ascii="宋体" w:hAnsi="宋体" w:cs="宋体"/>
          <w:color w:val="auto"/>
          <w:highlight w:val="none"/>
        </w:rPr>
        <w:t> </w:t>
      </w:r>
    </w:p>
    <w:p w14:paraId="7D098056">
      <w:pPr>
        <w:pStyle w:val="12"/>
        <w:widowControl/>
        <w:spacing w:before="0" w:beforeAutospacing="0" w:after="0" w:afterAutospacing="0" w:line="360" w:lineRule="auto"/>
        <w:rPr>
          <w:rFonts w:hint="eastAsia" w:ascii="宋体" w:hAnsi="宋体" w:cs="宋体"/>
          <w:color w:val="auto"/>
          <w:highlight w:val="none"/>
        </w:rPr>
      </w:pPr>
    </w:p>
    <w:p w14:paraId="5301A455">
      <w:pPr>
        <w:pStyle w:val="12"/>
        <w:widowControl/>
        <w:spacing w:before="0" w:beforeAutospacing="0" w:after="0" w:afterAutospacing="0" w:line="360" w:lineRule="auto"/>
        <w:rPr>
          <w:rFonts w:hint="eastAsia" w:ascii="宋体" w:hAnsi="宋体" w:cs="宋体"/>
          <w:color w:val="auto"/>
          <w:highlight w:val="none"/>
        </w:rPr>
      </w:pPr>
    </w:p>
    <w:p w14:paraId="405CE40E">
      <w:pPr>
        <w:pStyle w:val="12"/>
        <w:widowControl/>
        <w:spacing w:before="0" w:beforeAutospacing="0" w:after="0" w:afterAutospacing="0" w:line="360" w:lineRule="auto"/>
        <w:rPr>
          <w:rFonts w:hint="eastAsia" w:ascii="宋体" w:hAnsi="宋体" w:cs="宋体"/>
          <w:color w:val="auto"/>
          <w:highlight w:val="none"/>
        </w:rPr>
      </w:pPr>
    </w:p>
    <w:p w14:paraId="236B6187">
      <w:pPr>
        <w:pStyle w:val="12"/>
        <w:widowControl/>
        <w:spacing w:before="0" w:beforeAutospacing="0" w:after="0" w:afterAutospacing="0" w:line="360" w:lineRule="auto"/>
        <w:rPr>
          <w:rFonts w:hint="eastAsia" w:ascii="宋体" w:hAnsi="宋体" w:cs="宋体"/>
          <w:color w:val="auto"/>
          <w:highlight w:val="none"/>
        </w:rPr>
      </w:pPr>
    </w:p>
    <w:p w14:paraId="33BEEA2C">
      <w:pPr>
        <w:pStyle w:val="12"/>
        <w:widowControl/>
        <w:spacing w:before="0" w:beforeAutospacing="0" w:after="0" w:afterAutospacing="0" w:line="360" w:lineRule="auto"/>
        <w:rPr>
          <w:rFonts w:hint="eastAsia" w:ascii="宋体" w:hAnsi="宋体" w:cs="宋体"/>
          <w:color w:val="auto"/>
          <w:highlight w:val="none"/>
        </w:rPr>
      </w:pPr>
    </w:p>
    <w:p w14:paraId="77F35CB7">
      <w:pPr>
        <w:pStyle w:val="12"/>
        <w:widowControl/>
        <w:spacing w:before="0" w:beforeAutospacing="0" w:after="0" w:afterAutospacing="0" w:line="360" w:lineRule="auto"/>
        <w:rPr>
          <w:rFonts w:hint="eastAsia" w:ascii="宋体" w:hAnsi="宋体" w:cs="宋体"/>
          <w:color w:val="auto"/>
          <w:highlight w:val="none"/>
        </w:rPr>
      </w:pPr>
    </w:p>
    <w:p w14:paraId="4889A2D2">
      <w:pPr>
        <w:pStyle w:val="12"/>
        <w:widowControl/>
        <w:spacing w:before="0" w:beforeAutospacing="0" w:after="0" w:afterAutospacing="0" w:line="360" w:lineRule="auto"/>
        <w:rPr>
          <w:rFonts w:hint="eastAsia" w:ascii="宋体" w:hAnsi="宋体" w:cs="宋体"/>
          <w:color w:val="auto"/>
          <w:highlight w:val="none"/>
        </w:rPr>
      </w:pPr>
    </w:p>
    <w:p w14:paraId="5C47EADB">
      <w:pPr>
        <w:pStyle w:val="12"/>
        <w:widowControl/>
        <w:spacing w:before="0" w:beforeAutospacing="0" w:after="0" w:afterAutospacing="0" w:line="360" w:lineRule="auto"/>
        <w:rPr>
          <w:rFonts w:hint="eastAsia" w:ascii="宋体" w:hAnsi="宋体" w:cs="宋体"/>
          <w:color w:val="auto"/>
          <w:highlight w:val="none"/>
        </w:rPr>
      </w:pPr>
    </w:p>
    <w:p w14:paraId="79993293">
      <w:pPr>
        <w:pStyle w:val="12"/>
        <w:widowControl/>
        <w:spacing w:before="0" w:beforeAutospacing="0" w:after="0" w:afterAutospacing="0" w:line="360" w:lineRule="auto"/>
        <w:rPr>
          <w:rFonts w:hint="eastAsia" w:ascii="宋体" w:hAnsi="宋体" w:cs="宋体"/>
          <w:color w:val="auto"/>
          <w:highlight w:val="none"/>
        </w:rPr>
      </w:pPr>
    </w:p>
    <w:p w14:paraId="607CFF55">
      <w:pPr>
        <w:pStyle w:val="12"/>
        <w:widowControl/>
        <w:spacing w:before="0" w:beforeAutospacing="0" w:after="0" w:afterAutospacing="0" w:line="360" w:lineRule="auto"/>
        <w:rPr>
          <w:rFonts w:hint="eastAsia" w:ascii="宋体" w:hAnsi="宋体" w:cs="宋体"/>
          <w:color w:val="auto"/>
          <w:highlight w:val="none"/>
        </w:rPr>
      </w:pPr>
    </w:p>
    <w:p w14:paraId="5D7ACA2F">
      <w:pPr>
        <w:pStyle w:val="12"/>
        <w:widowControl/>
        <w:spacing w:before="0" w:beforeAutospacing="0" w:after="0" w:afterAutospacing="0" w:line="360" w:lineRule="auto"/>
        <w:rPr>
          <w:rFonts w:hint="eastAsia" w:ascii="宋体" w:hAnsi="宋体" w:cs="宋体"/>
          <w:color w:val="auto"/>
          <w:highlight w:val="none"/>
        </w:rPr>
      </w:pPr>
    </w:p>
    <w:p w14:paraId="428FDECA">
      <w:pPr>
        <w:pStyle w:val="12"/>
        <w:widowControl/>
        <w:spacing w:before="0" w:beforeAutospacing="0" w:after="0" w:afterAutospacing="0" w:line="360" w:lineRule="auto"/>
        <w:rPr>
          <w:rFonts w:hint="eastAsia" w:ascii="宋体" w:hAnsi="宋体" w:cs="宋体"/>
          <w:color w:val="auto"/>
          <w:highlight w:val="none"/>
        </w:rPr>
      </w:pPr>
    </w:p>
    <w:p w14:paraId="247146A1">
      <w:pPr>
        <w:pStyle w:val="12"/>
        <w:widowControl/>
        <w:spacing w:before="0" w:beforeAutospacing="0" w:after="0" w:afterAutospacing="0" w:line="360" w:lineRule="auto"/>
        <w:rPr>
          <w:rFonts w:hint="eastAsia" w:ascii="宋体" w:hAnsi="宋体" w:cs="宋体"/>
          <w:color w:val="auto"/>
          <w:highlight w:val="none"/>
        </w:rPr>
      </w:pPr>
    </w:p>
    <w:p w14:paraId="68B8AEEB">
      <w:pPr>
        <w:pStyle w:val="12"/>
        <w:widowControl/>
        <w:spacing w:before="0" w:beforeAutospacing="0" w:after="0" w:afterAutospacing="0" w:line="360" w:lineRule="auto"/>
        <w:rPr>
          <w:rFonts w:hint="eastAsia" w:ascii="宋体" w:hAnsi="宋体" w:cs="宋体"/>
          <w:color w:val="auto"/>
          <w:highlight w:val="none"/>
        </w:rPr>
      </w:pPr>
    </w:p>
    <w:p w14:paraId="1F89E65F">
      <w:pPr>
        <w:pStyle w:val="12"/>
        <w:widowControl/>
        <w:spacing w:before="0" w:beforeAutospacing="0" w:after="0" w:afterAutospacing="0" w:line="360" w:lineRule="auto"/>
        <w:rPr>
          <w:rFonts w:hint="eastAsia" w:ascii="宋体" w:hAnsi="宋体" w:cs="宋体"/>
          <w:color w:val="auto"/>
          <w:highlight w:val="none"/>
        </w:rPr>
      </w:pPr>
    </w:p>
    <w:p w14:paraId="18DCA744">
      <w:pPr>
        <w:pStyle w:val="12"/>
        <w:widowControl/>
        <w:spacing w:before="0" w:beforeAutospacing="0" w:after="0" w:afterAutospacing="0" w:line="360" w:lineRule="auto"/>
        <w:rPr>
          <w:rFonts w:hint="eastAsia" w:ascii="宋体" w:hAnsi="宋体" w:cs="宋体"/>
          <w:color w:val="auto"/>
          <w:highlight w:val="none"/>
        </w:rPr>
      </w:pPr>
    </w:p>
    <w:p w14:paraId="22633EB6">
      <w:pPr>
        <w:pStyle w:val="12"/>
        <w:widowControl/>
        <w:spacing w:before="0" w:beforeAutospacing="0" w:after="0" w:afterAutospacing="0" w:line="360" w:lineRule="auto"/>
        <w:rPr>
          <w:rFonts w:hint="eastAsia" w:ascii="宋体" w:hAnsi="宋体" w:cs="宋体"/>
          <w:color w:val="auto"/>
          <w:highlight w:val="none"/>
        </w:rPr>
      </w:pPr>
    </w:p>
    <w:p w14:paraId="745F8717">
      <w:pPr>
        <w:pStyle w:val="12"/>
        <w:widowControl/>
        <w:spacing w:before="0" w:beforeAutospacing="0" w:after="0" w:afterAutospacing="0" w:line="360" w:lineRule="auto"/>
        <w:jc w:val="center"/>
        <w:rPr>
          <w:rStyle w:val="17"/>
          <w:rFonts w:hint="eastAsia" w:ascii="宋体" w:hAnsi="宋体" w:cs="宋体"/>
          <w:color w:val="auto"/>
          <w:highlight w:val="none"/>
        </w:rPr>
      </w:pPr>
    </w:p>
    <w:p w14:paraId="4AF5C9D7">
      <w:pPr>
        <w:pStyle w:val="12"/>
        <w:widowControl/>
        <w:spacing w:before="0" w:beforeAutospacing="0" w:after="0" w:afterAutospacing="0" w:line="360" w:lineRule="auto"/>
        <w:ind w:firstLine="2891" w:firstLineChars="1200"/>
        <w:jc w:val="both"/>
        <w:outlineLvl w:val="1"/>
        <w:rPr>
          <w:rFonts w:ascii="宋体" w:hAnsi="宋体" w:cs="宋体"/>
          <w:color w:val="auto"/>
          <w:highlight w:val="none"/>
        </w:rPr>
      </w:pPr>
      <w:r>
        <w:rPr>
          <w:rStyle w:val="17"/>
          <w:rFonts w:hint="eastAsia" w:ascii="宋体" w:hAnsi="宋体" w:cs="宋体"/>
          <w:color w:val="auto"/>
          <w:highlight w:val="none"/>
          <w:lang w:val="en-US"/>
        </w:rPr>
        <w:t>五</w:t>
      </w:r>
      <w:r>
        <w:rPr>
          <w:rStyle w:val="17"/>
          <w:rFonts w:hint="eastAsia" w:ascii="宋体" w:hAnsi="宋体" w:cs="宋体"/>
          <w:color w:val="auto"/>
          <w:highlight w:val="none"/>
        </w:rPr>
        <w:t>、商务条件响应表</w:t>
      </w:r>
    </w:p>
    <w:p w14:paraId="336F3F7F">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3BFD735A">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项目编号：</w:t>
      </w:r>
      <w:r>
        <w:rPr>
          <w:rFonts w:hint="eastAsia" w:ascii="宋体" w:hAnsi="宋体" w:cs="宋体"/>
          <w:color w:val="auto"/>
          <w:highlight w:val="none"/>
          <w:u w:val="single"/>
        </w:rPr>
        <w:t>                   </w:t>
      </w:r>
    </w:p>
    <w:tbl>
      <w:tblPr>
        <w:tblStyle w:val="14"/>
        <w:tblW w:w="8337" w:type="dxa"/>
        <w:tblCellSpacing w:w="15"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672"/>
        <w:gridCol w:w="597"/>
        <w:gridCol w:w="1931"/>
        <w:gridCol w:w="1218"/>
        <w:gridCol w:w="3919"/>
      </w:tblGrid>
      <w:tr w14:paraId="40420F0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627"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68EC1CB0">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采购包</w:t>
            </w:r>
          </w:p>
        </w:tc>
        <w:tc>
          <w:tcPr>
            <w:tcW w:w="567"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3B952B25">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品目号</w:t>
            </w:r>
          </w:p>
        </w:tc>
        <w:tc>
          <w:tcPr>
            <w:tcW w:w="1901"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02C2EA31">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商务条件</w:t>
            </w:r>
          </w:p>
        </w:tc>
        <w:tc>
          <w:tcPr>
            <w:tcW w:w="1188"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0999C657">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投标响应</w:t>
            </w:r>
          </w:p>
        </w:tc>
        <w:tc>
          <w:tcPr>
            <w:tcW w:w="3874"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3A20BB48">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是否偏离及说明</w:t>
            </w:r>
          </w:p>
        </w:tc>
      </w:tr>
      <w:tr w14:paraId="4CCFB6E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627" w:type="dxa"/>
            <w:vMerge w:val="restart"/>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178FF3E1">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w:t>
            </w:r>
          </w:p>
        </w:tc>
        <w:tc>
          <w:tcPr>
            <w:tcW w:w="567"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5BDB2AA1">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*-1</w:t>
            </w:r>
          </w:p>
        </w:tc>
        <w:tc>
          <w:tcPr>
            <w:tcW w:w="1901"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tcPr>
          <w:p w14:paraId="26B4C7DD">
            <w:pPr>
              <w:widowControl/>
              <w:spacing w:line="360" w:lineRule="auto"/>
              <w:jc w:val="left"/>
              <w:rPr>
                <w:rFonts w:ascii="宋体" w:hAnsi="宋体" w:cs="宋体"/>
                <w:color w:val="auto"/>
                <w:sz w:val="24"/>
                <w:highlight w:val="none"/>
              </w:rPr>
            </w:pPr>
          </w:p>
        </w:tc>
        <w:tc>
          <w:tcPr>
            <w:tcW w:w="1188"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tcPr>
          <w:p w14:paraId="6EF681D1">
            <w:pPr>
              <w:widowControl/>
              <w:spacing w:line="360" w:lineRule="auto"/>
              <w:jc w:val="left"/>
              <w:rPr>
                <w:rFonts w:ascii="宋体" w:hAnsi="宋体" w:cs="宋体"/>
                <w:color w:val="auto"/>
                <w:sz w:val="24"/>
                <w:highlight w:val="none"/>
              </w:rPr>
            </w:pPr>
          </w:p>
        </w:tc>
        <w:tc>
          <w:tcPr>
            <w:tcW w:w="3874"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tcPr>
          <w:p w14:paraId="42C46B5A">
            <w:pPr>
              <w:widowControl/>
              <w:spacing w:line="360" w:lineRule="auto"/>
              <w:jc w:val="left"/>
              <w:rPr>
                <w:rFonts w:ascii="宋体" w:hAnsi="宋体" w:cs="宋体"/>
                <w:color w:val="auto"/>
                <w:sz w:val="24"/>
                <w:highlight w:val="none"/>
              </w:rPr>
            </w:pPr>
          </w:p>
        </w:tc>
      </w:tr>
      <w:tr w14:paraId="487064A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627" w:type="dxa"/>
            <w:vMerge w:val="continue"/>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14FEB65C">
            <w:pPr>
              <w:spacing w:line="360" w:lineRule="auto"/>
              <w:rPr>
                <w:rFonts w:ascii="宋体" w:hAnsi="宋体" w:cs="宋体"/>
                <w:color w:val="auto"/>
                <w:sz w:val="24"/>
                <w:highlight w:val="none"/>
              </w:rPr>
            </w:pPr>
          </w:p>
        </w:tc>
        <w:tc>
          <w:tcPr>
            <w:tcW w:w="567"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76EEBA06">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w:t>
            </w:r>
          </w:p>
        </w:tc>
        <w:tc>
          <w:tcPr>
            <w:tcW w:w="1901"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tcPr>
          <w:p w14:paraId="7E8C746D">
            <w:pPr>
              <w:widowControl/>
              <w:spacing w:line="360" w:lineRule="auto"/>
              <w:jc w:val="left"/>
              <w:rPr>
                <w:rFonts w:ascii="宋体" w:hAnsi="宋体" w:cs="宋体"/>
                <w:color w:val="auto"/>
                <w:sz w:val="24"/>
                <w:highlight w:val="none"/>
              </w:rPr>
            </w:pPr>
          </w:p>
        </w:tc>
        <w:tc>
          <w:tcPr>
            <w:tcW w:w="1188"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tcPr>
          <w:p w14:paraId="4FE00F6E">
            <w:pPr>
              <w:widowControl/>
              <w:spacing w:line="360" w:lineRule="auto"/>
              <w:jc w:val="left"/>
              <w:rPr>
                <w:rFonts w:ascii="宋体" w:hAnsi="宋体" w:cs="宋体"/>
                <w:color w:val="auto"/>
                <w:sz w:val="24"/>
                <w:highlight w:val="none"/>
              </w:rPr>
            </w:pPr>
          </w:p>
        </w:tc>
        <w:tc>
          <w:tcPr>
            <w:tcW w:w="3874"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tcPr>
          <w:p w14:paraId="19813209">
            <w:pPr>
              <w:widowControl/>
              <w:spacing w:line="360" w:lineRule="auto"/>
              <w:jc w:val="left"/>
              <w:rPr>
                <w:rFonts w:ascii="宋体" w:hAnsi="宋体" w:cs="宋体"/>
                <w:color w:val="auto"/>
                <w:sz w:val="24"/>
                <w:highlight w:val="none"/>
              </w:rPr>
            </w:pPr>
          </w:p>
        </w:tc>
      </w:tr>
      <w:tr w14:paraId="62AA10C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627"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34EC6EAE">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w:t>
            </w:r>
          </w:p>
        </w:tc>
        <w:tc>
          <w:tcPr>
            <w:tcW w:w="567"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27670856">
            <w:pPr>
              <w:widowControl/>
              <w:spacing w:line="360" w:lineRule="auto"/>
              <w:jc w:val="left"/>
              <w:rPr>
                <w:rFonts w:ascii="宋体" w:hAnsi="宋体" w:cs="宋体"/>
                <w:color w:val="auto"/>
                <w:sz w:val="24"/>
                <w:highlight w:val="none"/>
              </w:rPr>
            </w:pPr>
          </w:p>
        </w:tc>
        <w:tc>
          <w:tcPr>
            <w:tcW w:w="1901"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385EDB2F">
            <w:pPr>
              <w:widowControl/>
              <w:spacing w:line="360" w:lineRule="auto"/>
              <w:jc w:val="left"/>
              <w:rPr>
                <w:rFonts w:ascii="宋体" w:hAnsi="宋体" w:cs="宋体"/>
                <w:color w:val="auto"/>
                <w:sz w:val="24"/>
                <w:highlight w:val="none"/>
              </w:rPr>
            </w:pPr>
          </w:p>
        </w:tc>
        <w:tc>
          <w:tcPr>
            <w:tcW w:w="1188"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77A44AFF">
            <w:pPr>
              <w:widowControl/>
              <w:spacing w:line="360" w:lineRule="auto"/>
              <w:jc w:val="left"/>
              <w:rPr>
                <w:rFonts w:ascii="宋体" w:hAnsi="宋体" w:cs="宋体"/>
                <w:color w:val="auto"/>
                <w:sz w:val="24"/>
                <w:highlight w:val="none"/>
              </w:rPr>
            </w:pPr>
          </w:p>
        </w:tc>
        <w:tc>
          <w:tcPr>
            <w:tcW w:w="3874"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04C299A8">
            <w:pPr>
              <w:widowControl/>
              <w:spacing w:line="360" w:lineRule="auto"/>
              <w:jc w:val="left"/>
              <w:rPr>
                <w:rFonts w:ascii="宋体" w:hAnsi="宋体" w:cs="宋体"/>
                <w:color w:val="auto"/>
                <w:sz w:val="24"/>
                <w:highlight w:val="none"/>
              </w:rPr>
            </w:pPr>
          </w:p>
        </w:tc>
      </w:tr>
    </w:tbl>
    <w:p w14:paraId="00D36094">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※注意：</w:t>
      </w:r>
    </w:p>
    <w:p w14:paraId="0DBDE5E8">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1、本表应按照下列规定填写：</w:t>
      </w:r>
    </w:p>
    <w:p w14:paraId="513DA5E6">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1.1“商务条件”项下填写的内容应与征集文件第五章“商务条件”的内容保持一致。</w:t>
      </w:r>
    </w:p>
    <w:p w14:paraId="503CCB80">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1.2“投标响应”项下应填写具体的响应内容并与“商务条件”项下填写的内容逐项对应；对“商务条件”项下涉及“≥或＞”、“≤或＜”及某个区间值范围内的内容，应填写具体的数值。</w:t>
      </w:r>
    </w:p>
    <w:p w14:paraId="18894F4C">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1.3“是否偏离及说明”项下应按下列规定填写：优于的，填写“正偏离”；符合的，填写“无偏离”；低于的，填写“负偏离”。</w:t>
      </w:r>
    </w:p>
    <w:p w14:paraId="0249A373">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2、投标人需要说明的内容若需特殊表达，应先在本表中进行相应说明，再另页应答，但应做好标注说明，方便评委查阅评审。未标注说明可能导致的不利的评审后果由投标人自行承担。</w:t>
      </w:r>
    </w:p>
    <w:p w14:paraId="72FB13E5">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投标人：</w:t>
      </w:r>
      <w:r>
        <w:rPr>
          <w:rFonts w:hint="eastAsia" w:ascii="宋体" w:hAnsi="宋体" w:cs="宋体"/>
          <w:color w:val="auto"/>
          <w:highlight w:val="none"/>
          <w:u w:val="single"/>
        </w:rPr>
        <w:t>（全称并加盖单位公章）</w:t>
      </w:r>
    </w:p>
    <w:p w14:paraId="446E4B34">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日期：</w:t>
      </w:r>
      <w:r>
        <w:rPr>
          <w:rFonts w:hint="eastAsia" w:ascii="宋体" w:hAnsi="宋体" w:cs="宋体"/>
          <w:color w:val="auto"/>
          <w:highlight w:val="none"/>
          <w:u w:val="single"/>
        </w:rPr>
        <w:t>    </w:t>
      </w:r>
      <w:r>
        <w:rPr>
          <w:rFonts w:hint="eastAsia" w:ascii="宋体" w:hAnsi="宋体" w:cs="宋体"/>
          <w:color w:val="auto"/>
          <w:highlight w:val="none"/>
        </w:rPr>
        <w:t>年</w:t>
      </w:r>
      <w:r>
        <w:rPr>
          <w:rFonts w:hint="eastAsia" w:ascii="宋体" w:hAnsi="宋体" w:cs="宋体"/>
          <w:color w:val="auto"/>
          <w:highlight w:val="none"/>
          <w:u w:val="single"/>
        </w:rPr>
        <w:t>   </w:t>
      </w:r>
      <w:r>
        <w:rPr>
          <w:rFonts w:hint="eastAsia" w:ascii="宋体" w:hAnsi="宋体" w:cs="宋体"/>
          <w:color w:val="auto"/>
          <w:highlight w:val="none"/>
        </w:rPr>
        <w:t>月</w:t>
      </w:r>
      <w:r>
        <w:rPr>
          <w:rFonts w:hint="eastAsia" w:ascii="宋体" w:hAnsi="宋体" w:cs="宋体"/>
          <w:color w:val="auto"/>
          <w:highlight w:val="none"/>
          <w:u w:val="single"/>
        </w:rPr>
        <w:t>   </w:t>
      </w:r>
      <w:r>
        <w:rPr>
          <w:rFonts w:hint="eastAsia" w:ascii="宋体" w:hAnsi="宋体" w:cs="宋体"/>
          <w:color w:val="auto"/>
          <w:highlight w:val="none"/>
        </w:rPr>
        <w:t>日</w:t>
      </w:r>
    </w:p>
    <w:p w14:paraId="7257CBA9">
      <w:pPr>
        <w:pStyle w:val="12"/>
        <w:widowControl/>
        <w:spacing w:before="0" w:beforeAutospacing="0" w:after="0" w:afterAutospacing="0" w:line="360" w:lineRule="auto"/>
        <w:jc w:val="center"/>
        <w:outlineLvl w:val="1"/>
        <w:rPr>
          <w:rFonts w:ascii="宋体" w:hAnsi="宋体" w:cs="宋体"/>
          <w:color w:val="auto"/>
          <w:highlight w:val="none"/>
        </w:rPr>
      </w:pPr>
      <w:r>
        <w:rPr>
          <w:rStyle w:val="17"/>
          <w:rFonts w:hint="eastAsia" w:ascii="宋体" w:hAnsi="宋体" w:cs="宋体"/>
          <w:color w:val="auto"/>
          <w:highlight w:val="none"/>
          <w:lang w:val="en-US"/>
        </w:rPr>
        <w:t>六</w:t>
      </w:r>
      <w:r>
        <w:rPr>
          <w:rStyle w:val="17"/>
          <w:rFonts w:hint="eastAsia" w:ascii="宋体" w:hAnsi="宋体" w:cs="宋体"/>
          <w:color w:val="auto"/>
          <w:highlight w:val="none"/>
        </w:rPr>
        <w:t>、投标人提交的其他资料（若有）</w:t>
      </w:r>
    </w:p>
    <w:p w14:paraId="1F96B124">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69F798F7">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1A116A24">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编制说明</w:t>
      </w:r>
    </w:p>
    <w:p w14:paraId="065487D2">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62FD23C2">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1、征集文件要求提交的除</w:t>
      </w:r>
      <w:r>
        <w:rPr>
          <w:rStyle w:val="17"/>
          <w:rFonts w:hint="eastAsia" w:ascii="宋体" w:hAnsi="宋体" w:cs="宋体"/>
          <w:color w:val="auto"/>
          <w:highlight w:val="none"/>
        </w:rPr>
        <w:t>“资格及资信证明部分”、“报价部分”</w:t>
      </w:r>
      <w:r>
        <w:rPr>
          <w:rFonts w:hint="eastAsia" w:ascii="宋体" w:hAnsi="宋体" w:cs="宋体"/>
          <w:color w:val="auto"/>
          <w:highlight w:val="none"/>
        </w:rPr>
        <w:t>外的其他证明材料或资料加盖投标人的单位公章后应在此项下提交。</w:t>
      </w:r>
    </w:p>
    <w:p w14:paraId="29BA784D">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2、征集文件要求投标人提供方案（包括但不限于：组织、实施、技术、服务方案等）的，投标人应在此项下提交。</w:t>
      </w:r>
    </w:p>
    <w:p w14:paraId="465C7EC5">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3、除征集文件另有规定外，投标人认为需要提交的其他证明材料或资料加盖投标人的单位公章后应在此项下提交。</w:t>
      </w:r>
    </w:p>
    <w:p w14:paraId="63C80178">
      <w:pPr>
        <w:pStyle w:val="12"/>
        <w:widowControl/>
        <w:rPr>
          <w:rFonts w:ascii="宋体" w:hAnsi="宋体" w:cs="宋体"/>
          <w:color w:val="auto"/>
          <w:sz w:val="28"/>
          <w:szCs w:val="28"/>
          <w:highlight w:val="none"/>
        </w:rPr>
      </w:pPr>
      <w:r>
        <w:rPr>
          <w:rFonts w:hint="eastAsia" w:ascii="宋体" w:hAnsi="宋体" w:cs="宋体"/>
          <w:color w:val="auto"/>
          <w:sz w:val="28"/>
          <w:szCs w:val="28"/>
          <w:highlight w:val="none"/>
        </w:rPr>
        <w:t> </w:t>
      </w:r>
    </w:p>
    <w:p w14:paraId="0BB01CCC">
      <w:pPr>
        <w:pStyle w:val="12"/>
        <w:widowControl/>
        <w:rPr>
          <w:rFonts w:ascii="宋体" w:hAnsi="宋体" w:cs="宋体"/>
          <w:color w:val="auto"/>
          <w:sz w:val="28"/>
          <w:szCs w:val="28"/>
          <w:highlight w:val="none"/>
        </w:rPr>
      </w:pPr>
      <w:r>
        <w:rPr>
          <w:rFonts w:hint="eastAsia" w:ascii="宋体" w:hAnsi="宋体" w:cs="宋体"/>
          <w:color w:val="auto"/>
          <w:sz w:val="28"/>
          <w:szCs w:val="28"/>
          <w:highlight w:val="none"/>
        </w:rPr>
        <w:t> </w:t>
      </w:r>
    </w:p>
    <w:p w14:paraId="6418D45D">
      <w:pPr>
        <w:pStyle w:val="12"/>
        <w:widowControl/>
        <w:spacing w:before="50" w:beforeAutospacing="0" w:after="50" w:afterAutospacing="0"/>
        <w:rPr>
          <w:rFonts w:ascii="宋体" w:hAnsi="宋体" w:cs="宋体"/>
          <w:color w:val="auto"/>
          <w:sz w:val="28"/>
          <w:szCs w:val="28"/>
          <w:highlight w:val="none"/>
        </w:rPr>
      </w:pPr>
      <w:r>
        <w:rPr>
          <w:rFonts w:hint="eastAsia" w:ascii="宋体" w:hAnsi="宋体" w:cs="宋体"/>
          <w:color w:val="auto"/>
          <w:sz w:val="28"/>
          <w:szCs w:val="28"/>
          <w:highlight w:val="none"/>
        </w:rPr>
        <w:t> </w:t>
      </w:r>
    </w:p>
    <w:p w14:paraId="58829AAB">
      <w:pPr>
        <w:widowControl/>
        <w:outlineLvl w:val="9"/>
        <w:rPr>
          <w:rFonts w:hint="eastAsia" w:cs="宋体"/>
          <w:b/>
          <w:bCs/>
          <w:color w:val="auto"/>
          <w:sz w:val="28"/>
          <w:szCs w:val="28"/>
          <w:highlight w:val="none"/>
          <w:lang w:eastAsia="zh-CN"/>
        </w:rPr>
        <w:sectPr>
          <w:footerReference r:id="rId5" w:type="default"/>
          <w:pgSz w:w="11906" w:h="16838"/>
          <w:pgMar w:top="1440" w:right="1803" w:bottom="1440" w:left="1803" w:header="851" w:footer="992" w:gutter="0"/>
          <w:pgNumType w:fmt="decimal"/>
          <w:cols w:space="0" w:num="1"/>
          <w:rtlGutter w:val="0"/>
          <w:docGrid w:type="lines" w:linePitch="395" w:charSpace="0"/>
        </w:sectPr>
      </w:pPr>
    </w:p>
    <w:p w14:paraId="3EC7C7E5">
      <w:pPr>
        <w:widowControl/>
        <w:outlineLvl w:val="1"/>
        <w:rPr>
          <w:rFonts w:hint="default" w:cs="宋体"/>
          <w:b/>
          <w:bCs/>
          <w:color w:val="auto"/>
          <w:sz w:val="28"/>
          <w:szCs w:val="28"/>
          <w:highlight w:val="none"/>
        </w:rPr>
      </w:pPr>
      <w:r>
        <w:rPr>
          <w:rFonts w:hint="eastAsia" w:cs="宋体"/>
          <w:b/>
          <w:bCs/>
          <w:color w:val="auto"/>
          <w:sz w:val="28"/>
          <w:szCs w:val="28"/>
          <w:highlight w:val="none"/>
          <w:lang w:eastAsia="zh-CN"/>
        </w:rPr>
        <w:t>征集文件</w:t>
      </w:r>
      <w:r>
        <w:rPr>
          <w:rFonts w:cs="宋体"/>
          <w:b/>
          <w:bCs/>
          <w:color w:val="auto"/>
          <w:sz w:val="28"/>
          <w:szCs w:val="28"/>
          <w:highlight w:val="none"/>
        </w:rPr>
        <w:t>相关附件</w:t>
      </w:r>
    </w:p>
    <w:p w14:paraId="3B70D33E">
      <w:pPr>
        <w:rPr>
          <w:color w:val="auto"/>
          <w:highlight w:val="none"/>
        </w:rPr>
      </w:pPr>
    </w:p>
    <w:p w14:paraId="33C6897F">
      <w:pPr>
        <w:pStyle w:val="12"/>
        <w:widowControl/>
        <w:spacing w:before="0" w:beforeAutospacing="0" w:after="0" w:afterAutospacing="0" w:line="360" w:lineRule="auto"/>
        <w:jc w:val="center"/>
        <w:rPr>
          <w:rStyle w:val="17"/>
          <w:rFonts w:hint="eastAsia" w:ascii="宋体" w:hAnsi="宋体" w:cs="宋体"/>
          <w:color w:val="auto"/>
          <w:sz w:val="44"/>
          <w:szCs w:val="44"/>
          <w:highlight w:val="none"/>
        </w:rPr>
      </w:pPr>
    </w:p>
    <w:p w14:paraId="1A369C45">
      <w:pPr>
        <w:pStyle w:val="12"/>
        <w:widowControl/>
        <w:spacing w:before="0" w:beforeAutospacing="0" w:after="0" w:afterAutospacing="0" w:line="360" w:lineRule="auto"/>
        <w:jc w:val="center"/>
        <w:rPr>
          <w:rStyle w:val="17"/>
          <w:rFonts w:hint="eastAsia" w:ascii="宋体" w:hAnsi="宋体" w:cs="宋体"/>
          <w:color w:val="auto"/>
          <w:sz w:val="44"/>
          <w:szCs w:val="44"/>
          <w:highlight w:val="none"/>
        </w:rPr>
      </w:pPr>
    </w:p>
    <w:p w14:paraId="75D9D357">
      <w:pPr>
        <w:pStyle w:val="12"/>
        <w:widowControl/>
        <w:spacing w:before="0" w:beforeAutospacing="0" w:after="0" w:afterAutospacing="0" w:line="360" w:lineRule="auto"/>
        <w:jc w:val="center"/>
        <w:rPr>
          <w:rFonts w:ascii="宋体" w:hAnsi="宋体" w:cs="宋体"/>
          <w:color w:val="auto"/>
          <w:sz w:val="44"/>
          <w:szCs w:val="44"/>
          <w:highlight w:val="none"/>
        </w:rPr>
      </w:pPr>
      <w:r>
        <w:rPr>
          <w:rStyle w:val="17"/>
          <w:rFonts w:hint="eastAsia" w:ascii="宋体" w:hAnsi="宋体" w:cs="宋体"/>
          <w:color w:val="auto"/>
          <w:sz w:val="44"/>
          <w:szCs w:val="44"/>
          <w:highlight w:val="none"/>
        </w:rPr>
        <w:t>封面格式</w:t>
      </w:r>
    </w:p>
    <w:p w14:paraId="5A5E4B6A">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1BD25404">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250117F4">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725175A5">
      <w:pPr>
        <w:pStyle w:val="12"/>
        <w:widowControl/>
        <w:spacing w:before="0" w:beforeAutospacing="0" w:after="0" w:afterAutospacing="0" w:line="360" w:lineRule="auto"/>
        <w:jc w:val="center"/>
        <w:rPr>
          <w:rFonts w:ascii="宋体" w:hAnsi="宋体" w:cs="宋体"/>
          <w:color w:val="auto"/>
          <w:highlight w:val="none"/>
        </w:rPr>
      </w:pPr>
      <w:r>
        <w:rPr>
          <w:rStyle w:val="17"/>
          <w:rFonts w:hint="eastAsia" w:ascii="宋体" w:hAnsi="宋体" w:cs="宋体"/>
          <w:color w:val="auto"/>
          <w:highlight w:val="none"/>
        </w:rPr>
        <w:t>投标文件</w:t>
      </w:r>
    </w:p>
    <w:p w14:paraId="77153817">
      <w:pPr>
        <w:pStyle w:val="12"/>
        <w:widowControl/>
        <w:spacing w:before="0" w:beforeAutospacing="0" w:after="0" w:afterAutospacing="0" w:line="360" w:lineRule="auto"/>
        <w:jc w:val="center"/>
        <w:rPr>
          <w:rFonts w:ascii="宋体" w:hAnsi="宋体" w:cs="宋体"/>
          <w:color w:val="auto"/>
          <w:highlight w:val="none"/>
        </w:rPr>
      </w:pPr>
      <w:r>
        <w:rPr>
          <w:rStyle w:val="17"/>
          <w:rFonts w:hint="eastAsia" w:ascii="宋体" w:hAnsi="宋体" w:cs="宋体"/>
          <w:color w:val="auto"/>
          <w:highlight w:val="none"/>
        </w:rPr>
        <w:t>（报价部分）</w:t>
      </w:r>
    </w:p>
    <w:p w14:paraId="799786F1">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53EF1511">
      <w:pPr>
        <w:pStyle w:val="12"/>
        <w:widowControl/>
        <w:spacing w:before="0" w:beforeAutospacing="0" w:after="0" w:afterAutospacing="0" w:line="360" w:lineRule="auto"/>
        <w:jc w:val="center"/>
        <w:rPr>
          <w:rFonts w:ascii="宋体" w:hAnsi="宋体" w:cs="宋体"/>
          <w:color w:val="auto"/>
          <w:highlight w:val="none"/>
        </w:rPr>
      </w:pPr>
      <w:r>
        <w:rPr>
          <w:rStyle w:val="17"/>
          <w:rFonts w:hint="eastAsia" w:ascii="宋体" w:hAnsi="宋体" w:cs="宋体"/>
          <w:color w:val="auto"/>
          <w:highlight w:val="none"/>
          <w:u w:val="single"/>
        </w:rPr>
        <w:t>（填写正本或副本）</w:t>
      </w:r>
    </w:p>
    <w:p w14:paraId="352D5009">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4D363C31">
      <w:pPr>
        <w:pStyle w:val="12"/>
        <w:widowControl/>
        <w:spacing w:before="0" w:beforeAutospacing="0" w:after="0" w:afterAutospacing="0" w:line="360" w:lineRule="auto"/>
        <w:ind w:firstLine="1280"/>
        <w:rPr>
          <w:rFonts w:ascii="宋体" w:hAnsi="宋体" w:cs="宋体"/>
          <w:color w:val="auto"/>
          <w:highlight w:val="none"/>
        </w:rPr>
      </w:pPr>
      <w:r>
        <w:rPr>
          <w:rStyle w:val="17"/>
          <w:rFonts w:hint="eastAsia" w:ascii="宋体" w:hAnsi="宋体" w:cs="宋体"/>
          <w:color w:val="auto"/>
          <w:highlight w:val="none"/>
        </w:rPr>
        <w:t>项目名称：</w:t>
      </w:r>
      <w:r>
        <w:rPr>
          <w:rStyle w:val="17"/>
          <w:rFonts w:hint="eastAsia" w:ascii="宋体" w:hAnsi="宋体" w:cs="宋体"/>
          <w:color w:val="auto"/>
          <w:highlight w:val="none"/>
          <w:u w:val="single"/>
        </w:rPr>
        <w:t>（由投标人填写）</w:t>
      </w:r>
    </w:p>
    <w:p w14:paraId="127C6A73">
      <w:pPr>
        <w:pStyle w:val="12"/>
        <w:widowControl/>
        <w:spacing w:before="0" w:beforeAutospacing="0" w:after="0" w:afterAutospacing="0" w:line="360" w:lineRule="auto"/>
        <w:ind w:firstLine="1280"/>
        <w:rPr>
          <w:rFonts w:ascii="宋体" w:hAnsi="宋体" w:cs="宋体"/>
          <w:color w:val="auto"/>
          <w:highlight w:val="none"/>
        </w:rPr>
      </w:pPr>
      <w:r>
        <w:rPr>
          <w:rStyle w:val="17"/>
          <w:rFonts w:hint="eastAsia" w:ascii="宋体" w:hAnsi="宋体" w:cs="宋体"/>
          <w:color w:val="auto"/>
          <w:highlight w:val="none"/>
        </w:rPr>
        <w:t>项目编号：</w:t>
      </w:r>
      <w:r>
        <w:rPr>
          <w:rStyle w:val="17"/>
          <w:rFonts w:hint="eastAsia" w:ascii="宋体" w:hAnsi="宋体" w:cs="宋体"/>
          <w:color w:val="auto"/>
          <w:highlight w:val="none"/>
          <w:u w:val="single"/>
        </w:rPr>
        <w:t>（由投标人填写）</w:t>
      </w:r>
    </w:p>
    <w:p w14:paraId="73AB7C02">
      <w:pPr>
        <w:pStyle w:val="12"/>
        <w:widowControl/>
        <w:spacing w:before="0" w:beforeAutospacing="0" w:after="0" w:afterAutospacing="0" w:line="360" w:lineRule="auto"/>
        <w:ind w:firstLine="1280"/>
        <w:rPr>
          <w:rFonts w:ascii="宋体" w:hAnsi="宋体" w:cs="宋体"/>
          <w:color w:val="auto"/>
          <w:highlight w:val="none"/>
        </w:rPr>
      </w:pPr>
      <w:r>
        <w:rPr>
          <w:rStyle w:val="17"/>
          <w:rFonts w:hint="eastAsia" w:ascii="宋体" w:hAnsi="宋体" w:cs="宋体"/>
          <w:color w:val="auto"/>
          <w:highlight w:val="none"/>
        </w:rPr>
        <w:t>所投采购包：</w:t>
      </w:r>
      <w:r>
        <w:rPr>
          <w:rStyle w:val="17"/>
          <w:rFonts w:hint="eastAsia" w:ascii="宋体" w:hAnsi="宋体" w:cs="宋体"/>
          <w:color w:val="auto"/>
          <w:highlight w:val="none"/>
          <w:u w:val="single"/>
        </w:rPr>
        <w:t>（由投标人填写）</w:t>
      </w:r>
    </w:p>
    <w:p w14:paraId="7EEE8B84">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3C0A62B2">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0C4D8A0F">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5C23C9F4">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6BF07895">
      <w:pPr>
        <w:pStyle w:val="12"/>
        <w:widowControl/>
        <w:spacing w:before="0" w:beforeAutospacing="0" w:after="0" w:afterAutospacing="0" w:line="360" w:lineRule="auto"/>
        <w:jc w:val="center"/>
        <w:rPr>
          <w:rFonts w:ascii="宋体" w:hAnsi="宋体" w:cs="宋体"/>
          <w:color w:val="auto"/>
          <w:highlight w:val="none"/>
        </w:rPr>
      </w:pPr>
      <w:r>
        <w:rPr>
          <w:rStyle w:val="17"/>
          <w:rFonts w:hint="eastAsia" w:ascii="宋体" w:hAnsi="宋体" w:cs="宋体"/>
          <w:color w:val="auto"/>
          <w:highlight w:val="none"/>
        </w:rPr>
        <w:t>投标人：</w:t>
      </w:r>
      <w:r>
        <w:rPr>
          <w:rStyle w:val="17"/>
          <w:rFonts w:hint="eastAsia" w:ascii="宋体" w:hAnsi="宋体" w:cs="宋体"/>
          <w:color w:val="auto"/>
          <w:highlight w:val="none"/>
          <w:u w:val="single"/>
        </w:rPr>
        <w:t>（填写“全称”）</w:t>
      </w:r>
    </w:p>
    <w:p w14:paraId="009A5FA2">
      <w:pPr>
        <w:pStyle w:val="12"/>
        <w:widowControl/>
        <w:spacing w:before="0" w:beforeAutospacing="0" w:after="0" w:afterAutospacing="0" w:line="360" w:lineRule="auto"/>
        <w:jc w:val="center"/>
        <w:rPr>
          <w:rFonts w:ascii="宋体" w:hAnsi="宋体" w:cs="宋体"/>
          <w:color w:val="auto"/>
          <w:highlight w:val="none"/>
        </w:rPr>
      </w:pPr>
      <w:r>
        <w:rPr>
          <w:rStyle w:val="17"/>
          <w:rFonts w:hint="eastAsia" w:ascii="宋体" w:hAnsi="宋体" w:cs="宋体"/>
          <w:color w:val="auto"/>
          <w:highlight w:val="none"/>
          <w:u w:val="single"/>
        </w:rPr>
        <w:t>（由投标人填写）</w:t>
      </w:r>
      <w:r>
        <w:rPr>
          <w:rStyle w:val="17"/>
          <w:rFonts w:hint="eastAsia" w:ascii="宋体" w:hAnsi="宋体" w:cs="宋体"/>
          <w:color w:val="auto"/>
          <w:highlight w:val="none"/>
        </w:rPr>
        <w:t>年</w:t>
      </w:r>
      <w:r>
        <w:rPr>
          <w:rStyle w:val="17"/>
          <w:rFonts w:hint="eastAsia" w:ascii="宋体" w:hAnsi="宋体" w:cs="宋体"/>
          <w:color w:val="auto"/>
          <w:highlight w:val="none"/>
          <w:u w:val="single"/>
        </w:rPr>
        <w:t>（由投标人填写）</w:t>
      </w:r>
      <w:r>
        <w:rPr>
          <w:rStyle w:val="17"/>
          <w:rFonts w:hint="eastAsia" w:ascii="宋体" w:hAnsi="宋体" w:cs="宋体"/>
          <w:color w:val="auto"/>
          <w:highlight w:val="none"/>
        </w:rPr>
        <w:t>月</w:t>
      </w:r>
    </w:p>
    <w:p w14:paraId="04926BD1">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07ABE236">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 </w:t>
      </w:r>
      <w:r>
        <w:rPr>
          <w:rStyle w:val="17"/>
          <w:rFonts w:hint="eastAsia" w:ascii="宋体" w:hAnsi="宋体" w:cs="宋体"/>
          <w:color w:val="auto"/>
          <w:highlight w:val="none"/>
        </w:rPr>
        <w:t>索引</w:t>
      </w:r>
    </w:p>
    <w:p w14:paraId="13C93FB3">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一、开标一览表</w:t>
      </w:r>
    </w:p>
    <w:p w14:paraId="298A564E">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二、投标分项报价表</w:t>
      </w:r>
    </w:p>
    <w:p w14:paraId="7B924694">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三、征集文件规定的价格扣除证明材料（若有）</w:t>
      </w:r>
    </w:p>
    <w:p w14:paraId="365C5E32">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258D8A90">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3FA46CFA">
      <w:pPr>
        <w:pStyle w:val="12"/>
        <w:widowControl/>
        <w:spacing w:before="0" w:beforeAutospacing="0" w:after="0" w:afterAutospacing="0" w:line="360" w:lineRule="auto"/>
        <w:jc w:val="center"/>
        <w:rPr>
          <w:rFonts w:hint="eastAsia" w:ascii="宋体" w:hAnsi="宋体" w:cs="宋体"/>
          <w:color w:val="auto"/>
          <w:highlight w:val="none"/>
        </w:rPr>
      </w:pPr>
      <w:r>
        <w:rPr>
          <w:rFonts w:hint="eastAsia" w:ascii="宋体" w:hAnsi="宋体" w:cs="宋体"/>
          <w:color w:val="auto"/>
          <w:highlight w:val="none"/>
        </w:rPr>
        <w:br w:type="textWrapping"/>
      </w:r>
    </w:p>
    <w:p w14:paraId="5810D838">
      <w:pPr>
        <w:pStyle w:val="12"/>
        <w:widowControl/>
        <w:spacing w:before="0" w:beforeAutospacing="0" w:after="0" w:afterAutospacing="0" w:line="360" w:lineRule="auto"/>
        <w:jc w:val="center"/>
        <w:rPr>
          <w:rFonts w:hint="eastAsia" w:ascii="宋体" w:hAnsi="宋体" w:cs="宋体"/>
          <w:color w:val="auto"/>
          <w:highlight w:val="none"/>
        </w:rPr>
      </w:pPr>
    </w:p>
    <w:p w14:paraId="79686DDA">
      <w:pPr>
        <w:pStyle w:val="12"/>
        <w:widowControl/>
        <w:spacing w:before="0" w:beforeAutospacing="0" w:after="0" w:afterAutospacing="0" w:line="360" w:lineRule="auto"/>
        <w:jc w:val="center"/>
        <w:rPr>
          <w:rFonts w:hint="eastAsia" w:ascii="宋体" w:hAnsi="宋体" w:cs="宋体"/>
          <w:color w:val="auto"/>
          <w:highlight w:val="none"/>
        </w:rPr>
      </w:pPr>
    </w:p>
    <w:p w14:paraId="467221F4">
      <w:pPr>
        <w:pStyle w:val="12"/>
        <w:widowControl/>
        <w:spacing w:before="0" w:beforeAutospacing="0" w:after="0" w:afterAutospacing="0" w:line="360" w:lineRule="auto"/>
        <w:jc w:val="center"/>
        <w:rPr>
          <w:rFonts w:hint="eastAsia" w:ascii="宋体" w:hAnsi="宋体" w:cs="宋体"/>
          <w:color w:val="auto"/>
          <w:highlight w:val="none"/>
        </w:rPr>
      </w:pPr>
    </w:p>
    <w:p w14:paraId="6BD561BD">
      <w:pPr>
        <w:pStyle w:val="12"/>
        <w:widowControl/>
        <w:spacing w:before="0" w:beforeAutospacing="0" w:after="0" w:afterAutospacing="0" w:line="360" w:lineRule="auto"/>
        <w:jc w:val="center"/>
        <w:rPr>
          <w:rFonts w:hint="eastAsia" w:ascii="宋体" w:hAnsi="宋体" w:cs="宋体"/>
          <w:color w:val="auto"/>
          <w:highlight w:val="none"/>
        </w:rPr>
      </w:pPr>
    </w:p>
    <w:p w14:paraId="0FF14203">
      <w:pPr>
        <w:pStyle w:val="12"/>
        <w:widowControl/>
        <w:spacing w:before="0" w:beforeAutospacing="0" w:after="0" w:afterAutospacing="0" w:line="360" w:lineRule="auto"/>
        <w:jc w:val="center"/>
        <w:rPr>
          <w:rFonts w:hint="eastAsia" w:ascii="宋体" w:hAnsi="宋体" w:cs="宋体"/>
          <w:color w:val="auto"/>
          <w:highlight w:val="none"/>
        </w:rPr>
      </w:pPr>
    </w:p>
    <w:p w14:paraId="6E350A4C">
      <w:pPr>
        <w:pStyle w:val="12"/>
        <w:widowControl/>
        <w:spacing w:before="0" w:beforeAutospacing="0" w:after="0" w:afterAutospacing="0" w:line="360" w:lineRule="auto"/>
        <w:jc w:val="center"/>
        <w:rPr>
          <w:rFonts w:hint="eastAsia" w:ascii="宋体" w:hAnsi="宋体" w:cs="宋体"/>
          <w:color w:val="auto"/>
          <w:highlight w:val="none"/>
        </w:rPr>
      </w:pPr>
    </w:p>
    <w:p w14:paraId="7315F2B9">
      <w:pPr>
        <w:pStyle w:val="12"/>
        <w:widowControl/>
        <w:spacing w:before="0" w:beforeAutospacing="0" w:after="0" w:afterAutospacing="0" w:line="360" w:lineRule="auto"/>
        <w:jc w:val="center"/>
        <w:rPr>
          <w:rFonts w:hint="eastAsia" w:ascii="宋体" w:hAnsi="宋体" w:cs="宋体"/>
          <w:color w:val="auto"/>
          <w:highlight w:val="none"/>
        </w:rPr>
      </w:pPr>
    </w:p>
    <w:p w14:paraId="7AFD690F">
      <w:pPr>
        <w:pStyle w:val="12"/>
        <w:widowControl/>
        <w:spacing w:before="0" w:beforeAutospacing="0" w:after="0" w:afterAutospacing="0" w:line="360" w:lineRule="auto"/>
        <w:jc w:val="center"/>
        <w:rPr>
          <w:rFonts w:hint="eastAsia" w:ascii="宋体" w:hAnsi="宋体" w:cs="宋体"/>
          <w:color w:val="auto"/>
          <w:highlight w:val="none"/>
        </w:rPr>
      </w:pPr>
    </w:p>
    <w:p w14:paraId="0072A1CE">
      <w:pPr>
        <w:pStyle w:val="12"/>
        <w:widowControl/>
        <w:spacing w:before="0" w:beforeAutospacing="0" w:after="0" w:afterAutospacing="0" w:line="360" w:lineRule="auto"/>
        <w:jc w:val="center"/>
        <w:rPr>
          <w:rFonts w:hint="eastAsia" w:ascii="宋体" w:hAnsi="宋体" w:cs="宋体"/>
          <w:color w:val="auto"/>
          <w:highlight w:val="none"/>
        </w:rPr>
      </w:pPr>
    </w:p>
    <w:p w14:paraId="3478DF6C">
      <w:pPr>
        <w:pStyle w:val="12"/>
        <w:widowControl/>
        <w:spacing w:before="0" w:beforeAutospacing="0" w:after="0" w:afterAutospacing="0" w:line="360" w:lineRule="auto"/>
        <w:jc w:val="center"/>
        <w:rPr>
          <w:rFonts w:hint="eastAsia" w:ascii="宋体" w:hAnsi="宋体" w:cs="宋体"/>
          <w:color w:val="auto"/>
          <w:highlight w:val="none"/>
        </w:rPr>
      </w:pPr>
    </w:p>
    <w:p w14:paraId="510951EE">
      <w:pPr>
        <w:pStyle w:val="12"/>
        <w:widowControl/>
        <w:spacing w:before="0" w:beforeAutospacing="0" w:after="0" w:afterAutospacing="0" w:line="360" w:lineRule="auto"/>
        <w:jc w:val="center"/>
        <w:rPr>
          <w:rFonts w:hint="eastAsia" w:ascii="宋体" w:hAnsi="宋体" w:cs="宋体"/>
          <w:color w:val="auto"/>
          <w:highlight w:val="none"/>
        </w:rPr>
      </w:pPr>
    </w:p>
    <w:p w14:paraId="3F27B67B">
      <w:pPr>
        <w:pStyle w:val="12"/>
        <w:widowControl/>
        <w:spacing w:before="0" w:beforeAutospacing="0" w:after="0" w:afterAutospacing="0" w:line="360" w:lineRule="auto"/>
        <w:jc w:val="center"/>
        <w:rPr>
          <w:rFonts w:hint="eastAsia" w:ascii="宋体" w:hAnsi="宋体" w:cs="宋体"/>
          <w:color w:val="auto"/>
          <w:highlight w:val="none"/>
        </w:rPr>
      </w:pPr>
    </w:p>
    <w:p w14:paraId="3C2F5BCC">
      <w:pPr>
        <w:pStyle w:val="12"/>
        <w:widowControl/>
        <w:spacing w:before="0" w:beforeAutospacing="0" w:after="0" w:afterAutospacing="0" w:line="360" w:lineRule="auto"/>
        <w:jc w:val="center"/>
        <w:rPr>
          <w:rFonts w:hint="eastAsia" w:ascii="宋体" w:hAnsi="宋体" w:cs="宋体"/>
          <w:color w:val="auto"/>
          <w:highlight w:val="none"/>
        </w:rPr>
      </w:pPr>
    </w:p>
    <w:p w14:paraId="470B4D93">
      <w:pPr>
        <w:pStyle w:val="12"/>
        <w:widowControl/>
        <w:spacing w:before="0" w:beforeAutospacing="0" w:after="0" w:afterAutospacing="0" w:line="360" w:lineRule="auto"/>
        <w:jc w:val="center"/>
        <w:rPr>
          <w:rFonts w:hint="eastAsia" w:ascii="宋体" w:hAnsi="宋体" w:cs="宋体"/>
          <w:color w:val="auto"/>
          <w:highlight w:val="none"/>
        </w:rPr>
      </w:pPr>
    </w:p>
    <w:p w14:paraId="6534FAE9">
      <w:pPr>
        <w:pStyle w:val="12"/>
        <w:widowControl/>
        <w:spacing w:before="0" w:beforeAutospacing="0" w:after="0" w:afterAutospacing="0" w:line="360" w:lineRule="auto"/>
        <w:jc w:val="center"/>
        <w:rPr>
          <w:rFonts w:hint="eastAsia" w:ascii="宋体" w:hAnsi="宋体" w:cs="宋体"/>
          <w:color w:val="auto"/>
          <w:highlight w:val="none"/>
        </w:rPr>
      </w:pPr>
    </w:p>
    <w:p w14:paraId="174915D5">
      <w:pPr>
        <w:pStyle w:val="12"/>
        <w:widowControl/>
        <w:spacing w:before="0" w:beforeAutospacing="0" w:after="0" w:afterAutospacing="0" w:line="360" w:lineRule="auto"/>
        <w:jc w:val="center"/>
        <w:rPr>
          <w:rStyle w:val="17"/>
          <w:rFonts w:hint="eastAsia" w:ascii="宋体" w:hAnsi="宋体" w:cs="宋体"/>
          <w:color w:val="auto"/>
          <w:highlight w:val="none"/>
        </w:rPr>
        <w:sectPr>
          <w:pgSz w:w="11906" w:h="16838"/>
          <w:pgMar w:top="1440" w:right="1803" w:bottom="1440" w:left="1803" w:header="851" w:footer="992" w:gutter="0"/>
          <w:pgNumType w:fmt="decimal"/>
          <w:cols w:space="0" w:num="1"/>
          <w:rtlGutter w:val="0"/>
          <w:docGrid w:type="lines" w:linePitch="395" w:charSpace="0"/>
        </w:sectPr>
      </w:pPr>
    </w:p>
    <w:p w14:paraId="2E06F68B">
      <w:pPr>
        <w:pStyle w:val="12"/>
        <w:widowControl/>
        <w:spacing w:before="0" w:beforeAutospacing="0" w:after="0" w:afterAutospacing="0" w:line="360" w:lineRule="auto"/>
        <w:jc w:val="center"/>
        <w:outlineLvl w:val="1"/>
        <w:rPr>
          <w:rFonts w:ascii="宋体" w:hAnsi="宋体" w:cs="宋体"/>
          <w:color w:val="auto"/>
          <w:highlight w:val="none"/>
        </w:rPr>
      </w:pPr>
      <w:r>
        <w:rPr>
          <w:rStyle w:val="17"/>
          <w:rFonts w:hint="eastAsia" w:ascii="宋体" w:hAnsi="宋体" w:cs="宋体"/>
          <w:color w:val="auto"/>
          <w:highlight w:val="none"/>
        </w:rPr>
        <w:t>一、开标一览表</w:t>
      </w:r>
    </w:p>
    <w:p w14:paraId="5B2C3697">
      <w:pPr>
        <w:spacing w:line="360" w:lineRule="auto"/>
        <w:rPr>
          <w:rFonts w:hint="eastAsia" w:ascii="宋体" w:hAnsi="宋体" w:eastAsia="宋体" w:cs="宋体"/>
          <w:color w:val="auto"/>
          <w:sz w:val="24"/>
          <w:szCs w:val="24"/>
          <w:highlight w:val="none"/>
        </w:rPr>
      </w:pPr>
      <w:r>
        <w:rPr>
          <w:rFonts w:hint="eastAsia" w:ascii="宋体" w:hAnsi="宋体" w:cs="宋体"/>
          <w:color w:val="auto"/>
          <w:highlight w:val="none"/>
        </w:rPr>
        <w:t> </w:t>
      </w:r>
      <w:r>
        <w:rPr>
          <w:rFonts w:hint="eastAsia" w:ascii="宋体" w:hAnsi="宋体" w:eastAsia="宋体" w:cs="宋体"/>
          <w:color w:val="auto"/>
          <w:sz w:val="24"/>
          <w:szCs w:val="24"/>
          <w:highlight w:val="none"/>
        </w:rPr>
        <w:t>投标人（全称并加盖公章）：                              招标编号</w:t>
      </w:r>
      <w:r>
        <w:rPr>
          <w:rFonts w:hint="default" w:ascii="宋体" w:hAnsi="宋体" w:cs="宋体"/>
          <w:color w:val="auto"/>
          <w:sz w:val="24"/>
          <w:szCs w:val="24"/>
          <w:highlight w:val="none"/>
        </w:rPr>
        <w:t>：</w:t>
      </w:r>
      <w:r>
        <w:rPr>
          <w:rFonts w:hint="eastAsia" w:ascii="宋体" w:hAnsi="宋体" w:eastAsia="宋体" w:cs="宋体"/>
          <w:color w:val="auto"/>
          <w:sz w:val="24"/>
          <w:szCs w:val="24"/>
          <w:highlight w:val="none"/>
        </w:rPr>
        <w:t xml:space="preserve">                      货币单位：</w:t>
      </w:r>
    </w:p>
    <w:tbl>
      <w:tblPr>
        <w:tblStyle w:val="14"/>
        <w:tblW w:w="1490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2108"/>
        <w:gridCol w:w="1312"/>
        <w:gridCol w:w="768"/>
        <w:gridCol w:w="998"/>
        <w:gridCol w:w="1918"/>
        <w:gridCol w:w="1557"/>
        <w:gridCol w:w="1072"/>
        <w:gridCol w:w="1260"/>
        <w:gridCol w:w="1260"/>
        <w:gridCol w:w="1027"/>
      </w:tblGrid>
      <w:tr w14:paraId="443BB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620" w:type="dxa"/>
            <w:noWrap w:val="0"/>
            <w:vAlign w:val="center"/>
          </w:tcPr>
          <w:p w14:paraId="068E5915">
            <w:pPr>
              <w:spacing w:line="360" w:lineRule="auto"/>
              <w:jc w:val="center"/>
              <w:rPr>
                <w:rFonts w:hint="eastAsia" w:ascii="宋体" w:hAnsi="宋体" w:eastAsia="宋体" w:cs="宋体"/>
                <w:color w:val="auto"/>
                <w:sz w:val="24"/>
                <w:szCs w:val="24"/>
                <w:highlight w:val="none"/>
                <w:u w:val="single"/>
              </w:rPr>
            </w:pPr>
            <w:r>
              <w:rPr>
                <w:rFonts w:hint="eastAsia" w:ascii="宋体" w:hAnsi="宋体" w:eastAsia="宋体" w:cs="宋体"/>
                <w:bCs/>
                <w:color w:val="auto"/>
                <w:sz w:val="24"/>
                <w:szCs w:val="24"/>
                <w:highlight w:val="none"/>
              </w:rPr>
              <w:t>合同包</w:t>
            </w:r>
          </w:p>
        </w:tc>
        <w:tc>
          <w:tcPr>
            <w:tcW w:w="2108" w:type="dxa"/>
            <w:noWrap w:val="0"/>
            <w:vAlign w:val="center"/>
          </w:tcPr>
          <w:p w14:paraId="6D85C9B5">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货物（服务）名称</w:t>
            </w:r>
          </w:p>
        </w:tc>
        <w:tc>
          <w:tcPr>
            <w:tcW w:w="1312" w:type="dxa"/>
            <w:noWrap w:val="0"/>
            <w:vAlign w:val="center"/>
          </w:tcPr>
          <w:p w14:paraId="300149B7">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型号规格</w:t>
            </w:r>
          </w:p>
        </w:tc>
        <w:tc>
          <w:tcPr>
            <w:tcW w:w="768" w:type="dxa"/>
            <w:noWrap w:val="0"/>
            <w:vAlign w:val="center"/>
          </w:tcPr>
          <w:p w14:paraId="535470DA">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数量</w:t>
            </w:r>
          </w:p>
        </w:tc>
        <w:tc>
          <w:tcPr>
            <w:tcW w:w="998" w:type="dxa"/>
            <w:noWrap w:val="0"/>
            <w:vAlign w:val="center"/>
          </w:tcPr>
          <w:p w14:paraId="7B132127">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制造商</w:t>
            </w:r>
          </w:p>
        </w:tc>
        <w:tc>
          <w:tcPr>
            <w:tcW w:w="1918" w:type="dxa"/>
            <w:noWrap w:val="0"/>
            <w:vAlign w:val="center"/>
          </w:tcPr>
          <w:p w14:paraId="0CF06E28">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投标</w:t>
            </w:r>
            <w:r>
              <w:rPr>
                <w:rFonts w:hint="eastAsia" w:ascii="宋体" w:hAnsi="宋体" w:eastAsia="宋体" w:cs="宋体"/>
                <w:bCs/>
                <w:color w:val="auto"/>
                <w:sz w:val="24"/>
                <w:szCs w:val="24"/>
                <w:highlight w:val="none"/>
                <w:lang w:val="en-US" w:eastAsia="zh-CN"/>
              </w:rPr>
              <w:t>报价</w:t>
            </w:r>
            <w:r>
              <w:rPr>
                <w:rFonts w:hint="eastAsia" w:ascii="宋体" w:hAnsi="宋体" w:eastAsia="宋体" w:cs="宋体"/>
                <w:bCs/>
                <w:color w:val="auto"/>
                <w:sz w:val="24"/>
                <w:szCs w:val="24"/>
                <w:highlight w:val="none"/>
              </w:rPr>
              <w:t>（元）(现场交货价)</w:t>
            </w:r>
          </w:p>
        </w:tc>
        <w:tc>
          <w:tcPr>
            <w:tcW w:w="1557" w:type="dxa"/>
            <w:noWrap w:val="0"/>
            <w:vAlign w:val="center"/>
          </w:tcPr>
          <w:p w14:paraId="36A81B71">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投标保证金</w:t>
            </w:r>
          </w:p>
        </w:tc>
        <w:tc>
          <w:tcPr>
            <w:tcW w:w="1072" w:type="dxa"/>
            <w:noWrap w:val="0"/>
            <w:vAlign w:val="center"/>
          </w:tcPr>
          <w:p w14:paraId="4F37B3B8">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交付使用期</w:t>
            </w:r>
          </w:p>
        </w:tc>
        <w:tc>
          <w:tcPr>
            <w:tcW w:w="1260" w:type="dxa"/>
            <w:noWrap w:val="0"/>
            <w:vAlign w:val="top"/>
          </w:tcPr>
          <w:p w14:paraId="2E0643B7">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是否联合体投标</w:t>
            </w:r>
          </w:p>
        </w:tc>
        <w:tc>
          <w:tcPr>
            <w:tcW w:w="1260" w:type="dxa"/>
            <w:noWrap w:val="0"/>
            <w:vAlign w:val="top"/>
          </w:tcPr>
          <w:p w14:paraId="3C4F9AF1">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联合体组成单位</w:t>
            </w:r>
          </w:p>
        </w:tc>
        <w:tc>
          <w:tcPr>
            <w:tcW w:w="1027" w:type="dxa"/>
            <w:noWrap w:val="0"/>
            <w:vAlign w:val="center"/>
          </w:tcPr>
          <w:p w14:paraId="481A368A">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备注</w:t>
            </w:r>
          </w:p>
        </w:tc>
      </w:tr>
      <w:tr w14:paraId="039EE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620" w:type="dxa"/>
            <w:noWrap w:val="0"/>
            <w:vAlign w:val="center"/>
          </w:tcPr>
          <w:p w14:paraId="5860023C">
            <w:pPr>
              <w:spacing w:line="360" w:lineRule="auto"/>
              <w:jc w:val="center"/>
              <w:rPr>
                <w:rFonts w:hint="eastAsia" w:ascii="宋体" w:hAnsi="宋体" w:eastAsia="宋体" w:cs="宋体"/>
                <w:bCs/>
                <w:color w:val="auto"/>
                <w:sz w:val="24"/>
                <w:szCs w:val="24"/>
                <w:highlight w:val="none"/>
              </w:rPr>
            </w:pPr>
          </w:p>
        </w:tc>
        <w:tc>
          <w:tcPr>
            <w:tcW w:w="2108" w:type="dxa"/>
            <w:noWrap w:val="0"/>
            <w:vAlign w:val="center"/>
          </w:tcPr>
          <w:p w14:paraId="6FBA95AD">
            <w:pPr>
              <w:spacing w:line="360" w:lineRule="auto"/>
              <w:jc w:val="center"/>
              <w:rPr>
                <w:rFonts w:hint="eastAsia" w:ascii="宋体" w:hAnsi="宋体" w:eastAsia="宋体" w:cs="宋体"/>
                <w:bCs/>
                <w:color w:val="auto"/>
                <w:sz w:val="24"/>
                <w:szCs w:val="24"/>
                <w:highlight w:val="none"/>
              </w:rPr>
            </w:pPr>
          </w:p>
        </w:tc>
        <w:tc>
          <w:tcPr>
            <w:tcW w:w="1312" w:type="dxa"/>
            <w:noWrap w:val="0"/>
            <w:vAlign w:val="top"/>
          </w:tcPr>
          <w:p w14:paraId="568BA549">
            <w:pPr>
              <w:spacing w:line="360" w:lineRule="auto"/>
              <w:jc w:val="center"/>
              <w:rPr>
                <w:rFonts w:hint="eastAsia" w:ascii="宋体" w:hAnsi="宋体" w:eastAsia="宋体" w:cs="宋体"/>
                <w:color w:val="auto"/>
                <w:sz w:val="24"/>
                <w:szCs w:val="24"/>
                <w:highlight w:val="none"/>
              </w:rPr>
            </w:pPr>
          </w:p>
        </w:tc>
        <w:tc>
          <w:tcPr>
            <w:tcW w:w="768" w:type="dxa"/>
            <w:noWrap w:val="0"/>
            <w:vAlign w:val="center"/>
          </w:tcPr>
          <w:p w14:paraId="04B5043D">
            <w:pPr>
              <w:spacing w:line="360" w:lineRule="auto"/>
              <w:jc w:val="center"/>
              <w:rPr>
                <w:rFonts w:hint="eastAsia" w:ascii="宋体" w:hAnsi="宋体" w:eastAsia="宋体" w:cs="宋体"/>
                <w:color w:val="auto"/>
                <w:sz w:val="24"/>
                <w:szCs w:val="24"/>
                <w:highlight w:val="none"/>
              </w:rPr>
            </w:pPr>
          </w:p>
        </w:tc>
        <w:tc>
          <w:tcPr>
            <w:tcW w:w="998" w:type="dxa"/>
            <w:noWrap w:val="0"/>
            <w:vAlign w:val="top"/>
          </w:tcPr>
          <w:p w14:paraId="4D42542D">
            <w:pPr>
              <w:spacing w:line="360" w:lineRule="auto"/>
              <w:jc w:val="center"/>
              <w:rPr>
                <w:rFonts w:hint="eastAsia" w:ascii="宋体" w:hAnsi="宋体" w:eastAsia="宋体" w:cs="宋体"/>
                <w:bCs/>
                <w:color w:val="auto"/>
                <w:sz w:val="24"/>
                <w:szCs w:val="24"/>
                <w:highlight w:val="none"/>
              </w:rPr>
            </w:pPr>
          </w:p>
        </w:tc>
        <w:tc>
          <w:tcPr>
            <w:tcW w:w="1918" w:type="dxa"/>
            <w:noWrap w:val="0"/>
            <w:vAlign w:val="top"/>
          </w:tcPr>
          <w:p w14:paraId="392D6CC2">
            <w:pPr>
              <w:spacing w:line="360" w:lineRule="auto"/>
              <w:jc w:val="center"/>
              <w:rPr>
                <w:rFonts w:hint="eastAsia" w:ascii="宋体" w:hAnsi="宋体" w:eastAsia="宋体" w:cs="宋体"/>
                <w:bCs/>
                <w:color w:val="auto"/>
                <w:sz w:val="24"/>
                <w:szCs w:val="24"/>
                <w:highlight w:val="none"/>
              </w:rPr>
            </w:pPr>
          </w:p>
        </w:tc>
        <w:tc>
          <w:tcPr>
            <w:tcW w:w="1557" w:type="dxa"/>
            <w:noWrap w:val="0"/>
            <w:vAlign w:val="center"/>
          </w:tcPr>
          <w:p w14:paraId="19AA63CB">
            <w:pPr>
              <w:spacing w:line="360" w:lineRule="auto"/>
              <w:jc w:val="center"/>
              <w:rPr>
                <w:rFonts w:hint="eastAsia" w:ascii="宋体" w:hAnsi="宋体" w:eastAsia="宋体" w:cs="宋体"/>
                <w:color w:val="auto"/>
                <w:sz w:val="24"/>
                <w:szCs w:val="24"/>
                <w:highlight w:val="none"/>
              </w:rPr>
            </w:pPr>
          </w:p>
        </w:tc>
        <w:tc>
          <w:tcPr>
            <w:tcW w:w="1072" w:type="dxa"/>
            <w:noWrap w:val="0"/>
            <w:vAlign w:val="center"/>
          </w:tcPr>
          <w:p w14:paraId="31B305B4">
            <w:pPr>
              <w:spacing w:line="360" w:lineRule="auto"/>
              <w:jc w:val="center"/>
              <w:rPr>
                <w:rFonts w:hint="eastAsia" w:ascii="宋体" w:hAnsi="宋体" w:eastAsia="宋体" w:cs="宋体"/>
                <w:color w:val="auto"/>
                <w:sz w:val="24"/>
                <w:szCs w:val="24"/>
                <w:highlight w:val="none"/>
              </w:rPr>
            </w:pPr>
          </w:p>
        </w:tc>
        <w:tc>
          <w:tcPr>
            <w:tcW w:w="1260" w:type="dxa"/>
            <w:noWrap w:val="0"/>
            <w:vAlign w:val="top"/>
          </w:tcPr>
          <w:p w14:paraId="6E5C1606">
            <w:pPr>
              <w:spacing w:line="360" w:lineRule="auto"/>
              <w:jc w:val="center"/>
              <w:rPr>
                <w:rFonts w:hint="eastAsia" w:ascii="宋体" w:hAnsi="宋体" w:eastAsia="宋体" w:cs="宋体"/>
                <w:bCs/>
                <w:color w:val="auto"/>
                <w:sz w:val="24"/>
                <w:szCs w:val="24"/>
                <w:highlight w:val="none"/>
              </w:rPr>
            </w:pPr>
          </w:p>
        </w:tc>
        <w:tc>
          <w:tcPr>
            <w:tcW w:w="1260" w:type="dxa"/>
            <w:noWrap w:val="0"/>
            <w:vAlign w:val="top"/>
          </w:tcPr>
          <w:p w14:paraId="39D0F0C6">
            <w:pPr>
              <w:spacing w:line="360" w:lineRule="auto"/>
              <w:jc w:val="center"/>
              <w:rPr>
                <w:rFonts w:hint="eastAsia" w:ascii="宋体" w:hAnsi="宋体" w:eastAsia="宋体" w:cs="宋体"/>
                <w:bCs/>
                <w:color w:val="auto"/>
                <w:sz w:val="24"/>
                <w:szCs w:val="24"/>
                <w:highlight w:val="none"/>
              </w:rPr>
            </w:pPr>
          </w:p>
        </w:tc>
        <w:tc>
          <w:tcPr>
            <w:tcW w:w="1027" w:type="dxa"/>
            <w:noWrap w:val="0"/>
            <w:vAlign w:val="top"/>
          </w:tcPr>
          <w:p w14:paraId="75D44A7F">
            <w:pPr>
              <w:spacing w:line="360" w:lineRule="auto"/>
              <w:jc w:val="center"/>
              <w:rPr>
                <w:rFonts w:hint="eastAsia" w:ascii="宋体" w:hAnsi="宋体" w:eastAsia="宋体" w:cs="宋体"/>
                <w:bCs/>
                <w:color w:val="auto"/>
                <w:sz w:val="24"/>
                <w:szCs w:val="24"/>
                <w:highlight w:val="none"/>
              </w:rPr>
            </w:pPr>
          </w:p>
        </w:tc>
      </w:tr>
      <w:tr w14:paraId="753B5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620" w:type="dxa"/>
            <w:noWrap w:val="0"/>
            <w:vAlign w:val="center"/>
          </w:tcPr>
          <w:p w14:paraId="3EA8FFFF">
            <w:pPr>
              <w:spacing w:line="360" w:lineRule="auto"/>
              <w:jc w:val="center"/>
              <w:rPr>
                <w:rFonts w:hint="eastAsia" w:ascii="宋体" w:hAnsi="宋体" w:eastAsia="宋体" w:cs="宋体"/>
                <w:bCs/>
                <w:color w:val="auto"/>
                <w:sz w:val="24"/>
                <w:szCs w:val="24"/>
                <w:highlight w:val="none"/>
              </w:rPr>
            </w:pPr>
          </w:p>
        </w:tc>
        <w:tc>
          <w:tcPr>
            <w:tcW w:w="2108" w:type="dxa"/>
            <w:noWrap w:val="0"/>
            <w:vAlign w:val="center"/>
          </w:tcPr>
          <w:p w14:paraId="19A95B90">
            <w:pPr>
              <w:spacing w:line="360" w:lineRule="auto"/>
              <w:jc w:val="center"/>
              <w:rPr>
                <w:rFonts w:hint="eastAsia" w:ascii="宋体" w:hAnsi="宋体" w:eastAsia="宋体" w:cs="宋体"/>
                <w:bCs/>
                <w:color w:val="auto"/>
                <w:sz w:val="24"/>
                <w:szCs w:val="24"/>
                <w:highlight w:val="none"/>
              </w:rPr>
            </w:pPr>
          </w:p>
        </w:tc>
        <w:tc>
          <w:tcPr>
            <w:tcW w:w="1312" w:type="dxa"/>
            <w:noWrap w:val="0"/>
            <w:vAlign w:val="top"/>
          </w:tcPr>
          <w:p w14:paraId="4E7E7DE3">
            <w:pPr>
              <w:spacing w:line="360" w:lineRule="auto"/>
              <w:jc w:val="center"/>
              <w:rPr>
                <w:rFonts w:hint="eastAsia" w:ascii="宋体" w:hAnsi="宋体" w:eastAsia="宋体" w:cs="宋体"/>
                <w:color w:val="auto"/>
                <w:sz w:val="24"/>
                <w:szCs w:val="24"/>
                <w:highlight w:val="none"/>
              </w:rPr>
            </w:pPr>
          </w:p>
        </w:tc>
        <w:tc>
          <w:tcPr>
            <w:tcW w:w="768" w:type="dxa"/>
            <w:noWrap w:val="0"/>
            <w:vAlign w:val="center"/>
          </w:tcPr>
          <w:p w14:paraId="2ADC3D79">
            <w:pPr>
              <w:spacing w:line="360" w:lineRule="auto"/>
              <w:jc w:val="center"/>
              <w:rPr>
                <w:rFonts w:hint="eastAsia" w:ascii="宋体" w:hAnsi="宋体" w:eastAsia="宋体" w:cs="宋体"/>
                <w:color w:val="auto"/>
                <w:sz w:val="24"/>
                <w:szCs w:val="24"/>
                <w:highlight w:val="none"/>
              </w:rPr>
            </w:pPr>
          </w:p>
        </w:tc>
        <w:tc>
          <w:tcPr>
            <w:tcW w:w="998" w:type="dxa"/>
            <w:noWrap w:val="0"/>
            <w:vAlign w:val="top"/>
          </w:tcPr>
          <w:p w14:paraId="5405CD84">
            <w:pPr>
              <w:spacing w:line="360" w:lineRule="auto"/>
              <w:jc w:val="center"/>
              <w:rPr>
                <w:rFonts w:hint="eastAsia" w:ascii="宋体" w:hAnsi="宋体" w:eastAsia="宋体" w:cs="宋体"/>
                <w:bCs/>
                <w:color w:val="auto"/>
                <w:sz w:val="24"/>
                <w:szCs w:val="24"/>
                <w:highlight w:val="none"/>
              </w:rPr>
            </w:pPr>
          </w:p>
        </w:tc>
        <w:tc>
          <w:tcPr>
            <w:tcW w:w="1918" w:type="dxa"/>
            <w:noWrap w:val="0"/>
            <w:vAlign w:val="top"/>
          </w:tcPr>
          <w:p w14:paraId="2FEC4FB2">
            <w:pPr>
              <w:spacing w:line="360" w:lineRule="auto"/>
              <w:jc w:val="center"/>
              <w:rPr>
                <w:rFonts w:hint="eastAsia" w:ascii="宋体" w:hAnsi="宋体" w:eastAsia="宋体" w:cs="宋体"/>
                <w:bCs/>
                <w:color w:val="auto"/>
                <w:sz w:val="24"/>
                <w:szCs w:val="24"/>
                <w:highlight w:val="none"/>
              </w:rPr>
            </w:pPr>
          </w:p>
        </w:tc>
        <w:tc>
          <w:tcPr>
            <w:tcW w:w="1557" w:type="dxa"/>
            <w:noWrap w:val="0"/>
            <w:vAlign w:val="center"/>
          </w:tcPr>
          <w:p w14:paraId="739885FC">
            <w:pPr>
              <w:spacing w:line="360" w:lineRule="auto"/>
              <w:jc w:val="center"/>
              <w:rPr>
                <w:rFonts w:hint="eastAsia" w:ascii="宋体" w:hAnsi="宋体" w:eastAsia="宋体" w:cs="宋体"/>
                <w:color w:val="auto"/>
                <w:sz w:val="24"/>
                <w:szCs w:val="24"/>
                <w:highlight w:val="none"/>
              </w:rPr>
            </w:pPr>
          </w:p>
        </w:tc>
        <w:tc>
          <w:tcPr>
            <w:tcW w:w="1072" w:type="dxa"/>
            <w:noWrap w:val="0"/>
            <w:vAlign w:val="center"/>
          </w:tcPr>
          <w:p w14:paraId="0CAA1921">
            <w:pPr>
              <w:spacing w:line="360" w:lineRule="auto"/>
              <w:jc w:val="center"/>
              <w:rPr>
                <w:rFonts w:hint="eastAsia" w:ascii="宋体" w:hAnsi="宋体" w:eastAsia="宋体" w:cs="宋体"/>
                <w:color w:val="auto"/>
                <w:sz w:val="24"/>
                <w:szCs w:val="24"/>
                <w:highlight w:val="none"/>
              </w:rPr>
            </w:pPr>
          </w:p>
        </w:tc>
        <w:tc>
          <w:tcPr>
            <w:tcW w:w="1260" w:type="dxa"/>
            <w:noWrap w:val="0"/>
            <w:vAlign w:val="top"/>
          </w:tcPr>
          <w:p w14:paraId="3A6A817B">
            <w:pPr>
              <w:spacing w:line="360" w:lineRule="auto"/>
              <w:jc w:val="center"/>
              <w:rPr>
                <w:rFonts w:hint="eastAsia" w:ascii="宋体" w:hAnsi="宋体" w:eastAsia="宋体" w:cs="宋体"/>
                <w:bCs/>
                <w:color w:val="auto"/>
                <w:sz w:val="24"/>
                <w:szCs w:val="24"/>
                <w:highlight w:val="none"/>
              </w:rPr>
            </w:pPr>
          </w:p>
        </w:tc>
        <w:tc>
          <w:tcPr>
            <w:tcW w:w="1260" w:type="dxa"/>
            <w:noWrap w:val="0"/>
            <w:vAlign w:val="top"/>
          </w:tcPr>
          <w:p w14:paraId="265220FC">
            <w:pPr>
              <w:spacing w:line="360" w:lineRule="auto"/>
              <w:jc w:val="center"/>
              <w:rPr>
                <w:rFonts w:hint="eastAsia" w:ascii="宋体" w:hAnsi="宋体" w:eastAsia="宋体" w:cs="宋体"/>
                <w:bCs/>
                <w:color w:val="auto"/>
                <w:sz w:val="24"/>
                <w:szCs w:val="24"/>
                <w:highlight w:val="none"/>
              </w:rPr>
            </w:pPr>
          </w:p>
        </w:tc>
        <w:tc>
          <w:tcPr>
            <w:tcW w:w="1027" w:type="dxa"/>
            <w:noWrap w:val="0"/>
            <w:vAlign w:val="top"/>
          </w:tcPr>
          <w:p w14:paraId="42078268">
            <w:pPr>
              <w:spacing w:line="360" w:lineRule="auto"/>
              <w:jc w:val="center"/>
              <w:rPr>
                <w:rFonts w:hint="eastAsia" w:ascii="宋体" w:hAnsi="宋体" w:eastAsia="宋体" w:cs="宋体"/>
                <w:bCs/>
                <w:color w:val="auto"/>
                <w:sz w:val="24"/>
                <w:szCs w:val="24"/>
                <w:highlight w:val="none"/>
              </w:rPr>
            </w:pPr>
          </w:p>
        </w:tc>
      </w:tr>
      <w:tr w14:paraId="7927D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620" w:type="dxa"/>
            <w:noWrap w:val="0"/>
            <w:vAlign w:val="center"/>
          </w:tcPr>
          <w:p w14:paraId="58C3C88B">
            <w:pPr>
              <w:spacing w:line="360" w:lineRule="auto"/>
              <w:jc w:val="center"/>
              <w:rPr>
                <w:rFonts w:hint="eastAsia" w:ascii="宋体" w:hAnsi="宋体" w:eastAsia="宋体" w:cs="宋体"/>
                <w:bCs/>
                <w:color w:val="auto"/>
                <w:sz w:val="24"/>
                <w:szCs w:val="24"/>
                <w:highlight w:val="none"/>
              </w:rPr>
            </w:pPr>
          </w:p>
        </w:tc>
        <w:tc>
          <w:tcPr>
            <w:tcW w:w="2108" w:type="dxa"/>
            <w:noWrap w:val="0"/>
            <w:vAlign w:val="center"/>
          </w:tcPr>
          <w:p w14:paraId="2834CD93">
            <w:pPr>
              <w:spacing w:line="360" w:lineRule="auto"/>
              <w:jc w:val="center"/>
              <w:rPr>
                <w:rFonts w:hint="eastAsia" w:ascii="宋体" w:hAnsi="宋体" w:eastAsia="宋体" w:cs="宋体"/>
                <w:bCs/>
                <w:color w:val="auto"/>
                <w:sz w:val="24"/>
                <w:szCs w:val="24"/>
                <w:highlight w:val="none"/>
              </w:rPr>
            </w:pPr>
          </w:p>
        </w:tc>
        <w:tc>
          <w:tcPr>
            <w:tcW w:w="1312" w:type="dxa"/>
            <w:noWrap w:val="0"/>
            <w:vAlign w:val="top"/>
          </w:tcPr>
          <w:p w14:paraId="715FF0A7">
            <w:pPr>
              <w:spacing w:line="360" w:lineRule="auto"/>
              <w:jc w:val="center"/>
              <w:rPr>
                <w:rFonts w:hint="eastAsia" w:ascii="宋体" w:hAnsi="宋体" w:eastAsia="宋体" w:cs="宋体"/>
                <w:color w:val="auto"/>
                <w:sz w:val="24"/>
                <w:szCs w:val="24"/>
                <w:highlight w:val="none"/>
              </w:rPr>
            </w:pPr>
          </w:p>
        </w:tc>
        <w:tc>
          <w:tcPr>
            <w:tcW w:w="768" w:type="dxa"/>
            <w:noWrap w:val="0"/>
            <w:vAlign w:val="center"/>
          </w:tcPr>
          <w:p w14:paraId="23C2F0CD">
            <w:pPr>
              <w:spacing w:line="360" w:lineRule="auto"/>
              <w:jc w:val="center"/>
              <w:rPr>
                <w:rFonts w:hint="eastAsia" w:ascii="宋体" w:hAnsi="宋体" w:eastAsia="宋体" w:cs="宋体"/>
                <w:color w:val="auto"/>
                <w:sz w:val="24"/>
                <w:szCs w:val="24"/>
                <w:highlight w:val="none"/>
              </w:rPr>
            </w:pPr>
          </w:p>
        </w:tc>
        <w:tc>
          <w:tcPr>
            <w:tcW w:w="998" w:type="dxa"/>
            <w:noWrap w:val="0"/>
            <w:vAlign w:val="top"/>
          </w:tcPr>
          <w:p w14:paraId="4CC9DCB3">
            <w:pPr>
              <w:spacing w:line="360" w:lineRule="auto"/>
              <w:jc w:val="center"/>
              <w:rPr>
                <w:rFonts w:hint="eastAsia" w:ascii="宋体" w:hAnsi="宋体" w:eastAsia="宋体" w:cs="宋体"/>
                <w:bCs/>
                <w:color w:val="auto"/>
                <w:sz w:val="24"/>
                <w:szCs w:val="24"/>
                <w:highlight w:val="none"/>
              </w:rPr>
            </w:pPr>
          </w:p>
        </w:tc>
        <w:tc>
          <w:tcPr>
            <w:tcW w:w="1918" w:type="dxa"/>
            <w:noWrap w:val="0"/>
            <w:vAlign w:val="top"/>
          </w:tcPr>
          <w:p w14:paraId="29821E09">
            <w:pPr>
              <w:spacing w:line="360" w:lineRule="auto"/>
              <w:jc w:val="center"/>
              <w:rPr>
                <w:rFonts w:hint="eastAsia" w:ascii="宋体" w:hAnsi="宋体" w:eastAsia="宋体" w:cs="宋体"/>
                <w:bCs/>
                <w:color w:val="auto"/>
                <w:sz w:val="24"/>
                <w:szCs w:val="24"/>
                <w:highlight w:val="none"/>
              </w:rPr>
            </w:pPr>
          </w:p>
        </w:tc>
        <w:tc>
          <w:tcPr>
            <w:tcW w:w="1557" w:type="dxa"/>
            <w:noWrap w:val="0"/>
            <w:vAlign w:val="center"/>
          </w:tcPr>
          <w:p w14:paraId="436329CA">
            <w:pPr>
              <w:spacing w:line="360" w:lineRule="auto"/>
              <w:jc w:val="center"/>
              <w:rPr>
                <w:rFonts w:hint="eastAsia" w:ascii="宋体" w:hAnsi="宋体" w:eastAsia="宋体" w:cs="宋体"/>
                <w:color w:val="auto"/>
                <w:sz w:val="24"/>
                <w:szCs w:val="24"/>
                <w:highlight w:val="none"/>
              </w:rPr>
            </w:pPr>
          </w:p>
        </w:tc>
        <w:tc>
          <w:tcPr>
            <w:tcW w:w="1072" w:type="dxa"/>
            <w:noWrap w:val="0"/>
            <w:vAlign w:val="center"/>
          </w:tcPr>
          <w:p w14:paraId="73CF6752">
            <w:pPr>
              <w:spacing w:line="360" w:lineRule="auto"/>
              <w:jc w:val="center"/>
              <w:rPr>
                <w:rFonts w:hint="eastAsia" w:ascii="宋体" w:hAnsi="宋体" w:eastAsia="宋体" w:cs="宋体"/>
                <w:color w:val="auto"/>
                <w:sz w:val="24"/>
                <w:szCs w:val="24"/>
                <w:highlight w:val="none"/>
              </w:rPr>
            </w:pPr>
          </w:p>
        </w:tc>
        <w:tc>
          <w:tcPr>
            <w:tcW w:w="1260" w:type="dxa"/>
            <w:noWrap w:val="0"/>
            <w:vAlign w:val="top"/>
          </w:tcPr>
          <w:p w14:paraId="3B8A1FAB">
            <w:pPr>
              <w:spacing w:line="360" w:lineRule="auto"/>
              <w:jc w:val="center"/>
              <w:rPr>
                <w:rFonts w:hint="eastAsia" w:ascii="宋体" w:hAnsi="宋体" w:eastAsia="宋体" w:cs="宋体"/>
                <w:bCs/>
                <w:color w:val="auto"/>
                <w:sz w:val="24"/>
                <w:szCs w:val="24"/>
                <w:highlight w:val="none"/>
              </w:rPr>
            </w:pPr>
          </w:p>
        </w:tc>
        <w:tc>
          <w:tcPr>
            <w:tcW w:w="1260" w:type="dxa"/>
            <w:noWrap w:val="0"/>
            <w:vAlign w:val="top"/>
          </w:tcPr>
          <w:p w14:paraId="16683260">
            <w:pPr>
              <w:spacing w:line="360" w:lineRule="auto"/>
              <w:jc w:val="center"/>
              <w:rPr>
                <w:rFonts w:hint="eastAsia" w:ascii="宋体" w:hAnsi="宋体" w:eastAsia="宋体" w:cs="宋体"/>
                <w:bCs/>
                <w:color w:val="auto"/>
                <w:sz w:val="24"/>
                <w:szCs w:val="24"/>
                <w:highlight w:val="none"/>
              </w:rPr>
            </w:pPr>
          </w:p>
        </w:tc>
        <w:tc>
          <w:tcPr>
            <w:tcW w:w="1027" w:type="dxa"/>
            <w:noWrap w:val="0"/>
            <w:vAlign w:val="top"/>
          </w:tcPr>
          <w:p w14:paraId="2EBE914F">
            <w:pPr>
              <w:spacing w:line="360" w:lineRule="auto"/>
              <w:jc w:val="center"/>
              <w:rPr>
                <w:rFonts w:hint="eastAsia" w:ascii="宋体" w:hAnsi="宋体" w:eastAsia="宋体" w:cs="宋体"/>
                <w:bCs/>
                <w:color w:val="auto"/>
                <w:sz w:val="24"/>
                <w:szCs w:val="24"/>
                <w:highlight w:val="none"/>
              </w:rPr>
            </w:pPr>
          </w:p>
        </w:tc>
      </w:tr>
      <w:tr w14:paraId="3BC99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620" w:type="dxa"/>
            <w:noWrap w:val="0"/>
            <w:vAlign w:val="center"/>
          </w:tcPr>
          <w:p w14:paraId="7BF0DFB1">
            <w:pPr>
              <w:spacing w:line="360" w:lineRule="auto"/>
              <w:jc w:val="center"/>
              <w:rPr>
                <w:rFonts w:hint="eastAsia" w:ascii="宋体" w:hAnsi="宋体" w:eastAsia="宋体" w:cs="宋体"/>
                <w:bCs/>
                <w:color w:val="auto"/>
                <w:sz w:val="24"/>
                <w:szCs w:val="24"/>
                <w:highlight w:val="none"/>
              </w:rPr>
            </w:pPr>
          </w:p>
        </w:tc>
        <w:tc>
          <w:tcPr>
            <w:tcW w:w="2108" w:type="dxa"/>
            <w:noWrap w:val="0"/>
            <w:vAlign w:val="center"/>
          </w:tcPr>
          <w:p w14:paraId="68EA3D27">
            <w:pPr>
              <w:spacing w:line="360" w:lineRule="auto"/>
              <w:jc w:val="center"/>
              <w:rPr>
                <w:rFonts w:hint="eastAsia" w:ascii="宋体" w:hAnsi="宋体" w:eastAsia="宋体" w:cs="宋体"/>
                <w:bCs/>
                <w:color w:val="auto"/>
                <w:sz w:val="24"/>
                <w:szCs w:val="24"/>
                <w:highlight w:val="none"/>
              </w:rPr>
            </w:pPr>
          </w:p>
        </w:tc>
        <w:tc>
          <w:tcPr>
            <w:tcW w:w="1312" w:type="dxa"/>
            <w:noWrap w:val="0"/>
            <w:vAlign w:val="top"/>
          </w:tcPr>
          <w:p w14:paraId="083EF31F">
            <w:pPr>
              <w:spacing w:line="360" w:lineRule="auto"/>
              <w:jc w:val="center"/>
              <w:rPr>
                <w:rFonts w:hint="eastAsia" w:ascii="宋体" w:hAnsi="宋体" w:eastAsia="宋体" w:cs="宋体"/>
                <w:color w:val="auto"/>
                <w:sz w:val="24"/>
                <w:szCs w:val="24"/>
                <w:highlight w:val="none"/>
              </w:rPr>
            </w:pPr>
          </w:p>
        </w:tc>
        <w:tc>
          <w:tcPr>
            <w:tcW w:w="768" w:type="dxa"/>
            <w:noWrap w:val="0"/>
            <w:vAlign w:val="center"/>
          </w:tcPr>
          <w:p w14:paraId="267F3678">
            <w:pPr>
              <w:spacing w:line="360" w:lineRule="auto"/>
              <w:jc w:val="center"/>
              <w:rPr>
                <w:rFonts w:hint="eastAsia" w:ascii="宋体" w:hAnsi="宋体" w:eastAsia="宋体" w:cs="宋体"/>
                <w:color w:val="auto"/>
                <w:sz w:val="24"/>
                <w:szCs w:val="24"/>
                <w:highlight w:val="none"/>
              </w:rPr>
            </w:pPr>
          </w:p>
        </w:tc>
        <w:tc>
          <w:tcPr>
            <w:tcW w:w="998" w:type="dxa"/>
            <w:noWrap w:val="0"/>
            <w:vAlign w:val="top"/>
          </w:tcPr>
          <w:p w14:paraId="3145C43A">
            <w:pPr>
              <w:spacing w:line="360" w:lineRule="auto"/>
              <w:jc w:val="center"/>
              <w:rPr>
                <w:rFonts w:hint="eastAsia" w:ascii="宋体" w:hAnsi="宋体" w:eastAsia="宋体" w:cs="宋体"/>
                <w:bCs/>
                <w:color w:val="auto"/>
                <w:sz w:val="24"/>
                <w:szCs w:val="24"/>
                <w:highlight w:val="none"/>
              </w:rPr>
            </w:pPr>
          </w:p>
        </w:tc>
        <w:tc>
          <w:tcPr>
            <w:tcW w:w="1918" w:type="dxa"/>
            <w:noWrap w:val="0"/>
            <w:vAlign w:val="top"/>
          </w:tcPr>
          <w:p w14:paraId="22A080A1">
            <w:pPr>
              <w:spacing w:line="360" w:lineRule="auto"/>
              <w:jc w:val="center"/>
              <w:rPr>
                <w:rFonts w:hint="eastAsia" w:ascii="宋体" w:hAnsi="宋体" w:eastAsia="宋体" w:cs="宋体"/>
                <w:bCs/>
                <w:color w:val="auto"/>
                <w:sz w:val="24"/>
                <w:szCs w:val="24"/>
                <w:highlight w:val="none"/>
              </w:rPr>
            </w:pPr>
          </w:p>
        </w:tc>
        <w:tc>
          <w:tcPr>
            <w:tcW w:w="1557" w:type="dxa"/>
            <w:noWrap w:val="0"/>
            <w:vAlign w:val="center"/>
          </w:tcPr>
          <w:p w14:paraId="48237868">
            <w:pPr>
              <w:spacing w:line="360" w:lineRule="auto"/>
              <w:jc w:val="center"/>
              <w:rPr>
                <w:rFonts w:hint="eastAsia" w:ascii="宋体" w:hAnsi="宋体" w:eastAsia="宋体" w:cs="宋体"/>
                <w:color w:val="auto"/>
                <w:sz w:val="24"/>
                <w:szCs w:val="24"/>
                <w:highlight w:val="none"/>
              </w:rPr>
            </w:pPr>
          </w:p>
        </w:tc>
        <w:tc>
          <w:tcPr>
            <w:tcW w:w="1072" w:type="dxa"/>
            <w:noWrap w:val="0"/>
            <w:vAlign w:val="center"/>
          </w:tcPr>
          <w:p w14:paraId="16AC5812">
            <w:pPr>
              <w:spacing w:line="360" w:lineRule="auto"/>
              <w:jc w:val="center"/>
              <w:rPr>
                <w:rFonts w:hint="eastAsia" w:ascii="宋体" w:hAnsi="宋体" w:eastAsia="宋体" w:cs="宋体"/>
                <w:color w:val="auto"/>
                <w:sz w:val="24"/>
                <w:szCs w:val="24"/>
                <w:highlight w:val="none"/>
              </w:rPr>
            </w:pPr>
          </w:p>
        </w:tc>
        <w:tc>
          <w:tcPr>
            <w:tcW w:w="1260" w:type="dxa"/>
            <w:noWrap w:val="0"/>
            <w:vAlign w:val="top"/>
          </w:tcPr>
          <w:p w14:paraId="3781BB60">
            <w:pPr>
              <w:spacing w:line="360" w:lineRule="auto"/>
              <w:jc w:val="center"/>
              <w:rPr>
                <w:rFonts w:hint="eastAsia" w:ascii="宋体" w:hAnsi="宋体" w:eastAsia="宋体" w:cs="宋体"/>
                <w:bCs/>
                <w:color w:val="auto"/>
                <w:sz w:val="24"/>
                <w:szCs w:val="24"/>
                <w:highlight w:val="none"/>
              </w:rPr>
            </w:pPr>
          </w:p>
        </w:tc>
        <w:tc>
          <w:tcPr>
            <w:tcW w:w="1260" w:type="dxa"/>
            <w:noWrap w:val="0"/>
            <w:vAlign w:val="top"/>
          </w:tcPr>
          <w:p w14:paraId="4356D175">
            <w:pPr>
              <w:spacing w:line="360" w:lineRule="auto"/>
              <w:jc w:val="center"/>
              <w:rPr>
                <w:rFonts w:hint="eastAsia" w:ascii="宋体" w:hAnsi="宋体" w:eastAsia="宋体" w:cs="宋体"/>
                <w:bCs/>
                <w:color w:val="auto"/>
                <w:sz w:val="24"/>
                <w:szCs w:val="24"/>
                <w:highlight w:val="none"/>
              </w:rPr>
            </w:pPr>
          </w:p>
        </w:tc>
        <w:tc>
          <w:tcPr>
            <w:tcW w:w="1027" w:type="dxa"/>
            <w:noWrap w:val="0"/>
            <w:vAlign w:val="top"/>
          </w:tcPr>
          <w:p w14:paraId="36EEEC71">
            <w:pPr>
              <w:spacing w:line="360" w:lineRule="auto"/>
              <w:jc w:val="center"/>
              <w:rPr>
                <w:rFonts w:hint="eastAsia" w:ascii="宋体" w:hAnsi="宋体" w:eastAsia="宋体" w:cs="宋体"/>
                <w:bCs/>
                <w:color w:val="auto"/>
                <w:sz w:val="24"/>
                <w:szCs w:val="24"/>
                <w:highlight w:val="none"/>
              </w:rPr>
            </w:pPr>
          </w:p>
        </w:tc>
      </w:tr>
      <w:tr w14:paraId="23C68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620" w:type="dxa"/>
            <w:noWrap w:val="0"/>
            <w:vAlign w:val="center"/>
          </w:tcPr>
          <w:p w14:paraId="6261FE01">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投标总价</w:t>
            </w:r>
          </w:p>
        </w:tc>
        <w:tc>
          <w:tcPr>
            <w:tcW w:w="13280" w:type="dxa"/>
            <w:gridSpan w:val="10"/>
            <w:noWrap w:val="0"/>
            <w:vAlign w:val="center"/>
          </w:tcPr>
          <w:p w14:paraId="1F7E0735">
            <w:pPr>
              <w:spacing w:line="360" w:lineRule="auto"/>
              <w:jc w:val="center"/>
              <w:rPr>
                <w:rFonts w:hint="eastAsia" w:ascii="宋体" w:hAnsi="宋体" w:eastAsia="宋体" w:cs="宋体"/>
                <w:bCs/>
                <w:color w:val="auto"/>
                <w:sz w:val="24"/>
                <w:szCs w:val="24"/>
                <w:highlight w:val="none"/>
              </w:rPr>
            </w:pPr>
          </w:p>
        </w:tc>
      </w:tr>
    </w:tbl>
    <w:p w14:paraId="1A6A78E7">
      <w:pPr>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注：1、投标人如果为联合体投标，则应在开标一览表中注明是否为联合体投标、联合体的组成单位，否则将导致废标。</w:t>
      </w:r>
    </w:p>
    <w:p w14:paraId="64251086">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2、开标一览表以合同包为单位，每个开标一览表中只能体现一个投标总价（多个合同包请按照要求提供每个合同包的开标一览表）。</w:t>
      </w:r>
    </w:p>
    <w:p w14:paraId="50D4B12A">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3、开标一览表中投标总价即为本项目（合同包）的投标总报价。</w:t>
      </w:r>
    </w:p>
    <w:p w14:paraId="24347233">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4、此表原件应与投标保证金缴交凭证一同单独密封。</w:t>
      </w:r>
    </w:p>
    <w:p w14:paraId="75E97C64">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5、详细报价清单应另纸详列，且标明所报各种货物的数量、品牌和金额。           投标人代表签字</w:t>
      </w:r>
      <w:r>
        <w:rPr>
          <w:rFonts w:hint="eastAsia" w:ascii="宋体" w:hAnsi="宋体" w:eastAsia="宋体" w:cs="宋体"/>
          <w:color w:val="auto"/>
          <w:sz w:val="24"/>
          <w:szCs w:val="24"/>
          <w:highlight w:val="none"/>
          <w:u w:val="single"/>
        </w:rPr>
        <w:t xml:space="preserve">：               </w:t>
      </w:r>
    </w:p>
    <w:p w14:paraId="05CE9ED1">
      <w:pPr>
        <w:widowControl/>
        <w:spacing w:line="360" w:lineRule="auto"/>
        <w:ind w:firstLine="43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6、当一个合同包有多个品目号时，投标人应计算出该合同包的合计价。</w:t>
      </w:r>
    </w:p>
    <w:p w14:paraId="22F1F651">
      <w:pPr>
        <w:pStyle w:val="12"/>
        <w:widowControl/>
        <w:spacing w:before="0" w:beforeAutospacing="0" w:after="0" w:afterAutospacing="0" w:line="360" w:lineRule="auto"/>
        <w:rPr>
          <w:rFonts w:ascii="宋体" w:hAnsi="宋体" w:cs="宋体"/>
          <w:color w:val="auto"/>
          <w:highlight w:val="none"/>
        </w:rPr>
        <w:sectPr>
          <w:pgSz w:w="16838" w:h="11906" w:orient="landscape"/>
          <w:pgMar w:top="1803" w:right="1440" w:bottom="1803" w:left="1440" w:header="851" w:footer="992" w:gutter="0"/>
          <w:pgNumType w:fmt="decimal"/>
          <w:cols w:space="0" w:num="1"/>
          <w:rtlGutter w:val="0"/>
          <w:docGrid w:type="lines" w:linePitch="395" w:charSpace="0"/>
        </w:sectPr>
      </w:pPr>
    </w:p>
    <w:p w14:paraId="1A5D38AA">
      <w:pPr>
        <w:pStyle w:val="12"/>
        <w:widowControl/>
        <w:spacing w:before="0" w:beforeAutospacing="0" w:after="0" w:afterAutospacing="0" w:line="360" w:lineRule="auto"/>
        <w:rPr>
          <w:rFonts w:ascii="宋体" w:hAnsi="宋体" w:cs="宋体"/>
          <w:color w:val="auto"/>
          <w:highlight w:val="none"/>
        </w:rPr>
      </w:pPr>
    </w:p>
    <w:p w14:paraId="7F342390">
      <w:pPr>
        <w:pStyle w:val="12"/>
        <w:widowControl/>
        <w:spacing w:before="0" w:beforeAutospacing="0" w:after="0" w:afterAutospacing="0" w:line="360" w:lineRule="auto"/>
        <w:jc w:val="center"/>
        <w:outlineLvl w:val="1"/>
        <w:rPr>
          <w:rFonts w:ascii="宋体" w:hAnsi="宋体" w:cs="宋体"/>
          <w:color w:val="auto"/>
          <w:highlight w:val="none"/>
        </w:rPr>
      </w:pPr>
      <w:r>
        <w:rPr>
          <w:rStyle w:val="17"/>
          <w:rFonts w:hint="eastAsia" w:ascii="宋体" w:hAnsi="宋体" w:cs="宋体"/>
          <w:color w:val="auto"/>
          <w:highlight w:val="none"/>
        </w:rPr>
        <w:t>二、投标分项报价表</w:t>
      </w:r>
    </w:p>
    <w:p w14:paraId="66105243">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投标人名称：             招标编号：               货币单位： </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20"/>
        <w:gridCol w:w="1108"/>
        <w:gridCol w:w="1400"/>
        <w:gridCol w:w="1110"/>
        <w:gridCol w:w="975"/>
        <w:gridCol w:w="976"/>
        <w:gridCol w:w="932"/>
        <w:gridCol w:w="932"/>
        <w:gridCol w:w="933"/>
      </w:tblGrid>
      <w:tr w14:paraId="60FA3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23" w:hRule="atLeast"/>
        </w:trPr>
        <w:tc>
          <w:tcPr>
            <w:tcW w:w="520" w:type="dxa"/>
            <w:tcBorders>
              <w:top w:val="single" w:color="auto" w:sz="4" w:space="0"/>
              <w:left w:val="single" w:color="auto" w:sz="4" w:space="0"/>
              <w:bottom w:val="single" w:color="auto" w:sz="4" w:space="0"/>
              <w:right w:val="single" w:color="auto" w:sz="4" w:space="0"/>
            </w:tcBorders>
            <w:noWrap w:val="0"/>
            <w:vAlign w:val="center"/>
          </w:tcPr>
          <w:p w14:paraId="14EF726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508" w:type="dxa"/>
            <w:gridSpan w:val="2"/>
            <w:tcBorders>
              <w:top w:val="single" w:color="auto" w:sz="4" w:space="0"/>
              <w:left w:val="single" w:color="auto" w:sz="4" w:space="0"/>
              <w:bottom w:val="single" w:color="auto" w:sz="4" w:space="0"/>
              <w:right w:val="single" w:color="auto" w:sz="4" w:space="0"/>
            </w:tcBorders>
            <w:noWrap w:val="0"/>
            <w:vAlign w:val="center"/>
          </w:tcPr>
          <w:p w14:paraId="5EBABF3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投标货物合同包</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371DA5A2">
            <w:pPr>
              <w:spacing w:line="360" w:lineRule="auto"/>
              <w:rPr>
                <w:rFonts w:hint="eastAsia" w:ascii="宋体" w:hAnsi="宋体" w:eastAsia="宋体" w:cs="宋体"/>
                <w:color w:val="auto"/>
                <w:sz w:val="24"/>
                <w:szCs w:val="24"/>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14:paraId="3C048ECB">
            <w:pPr>
              <w:spacing w:line="360" w:lineRule="auto"/>
              <w:rPr>
                <w:rFonts w:hint="eastAsia" w:ascii="宋体" w:hAnsi="宋体" w:eastAsia="宋体" w:cs="宋体"/>
                <w:color w:val="auto"/>
                <w:sz w:val="24"/>
                <w:szCs w:val="24"/>
                <w:highlight w:val="none"/>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49A343BC">
            <w:pPr>
              <w:spacing w:line="360" w:lineRule="auto"/>
              <w:rPr>
                <w:rFonts w:hint="eastAsia" w:ascii="宋体" w:hAnsi="宋体" w:eastAsia="宋体" w:cs="宋体"/>
                <w:color w:val="auto"/>
                <w:sz w:val="24"/>
                <w:szCs w:val="24"/>
                <w:highlight w:val="none"/>
              </w:rPr>
            </w:pPr>
          </w:p>
        </w:tc>
        <w:tc>
          <w:tcPr>
            <w:tcW w:w="932" w:type="dxa"/>
            <w:tcBorders>
              <w:top w:val="single" w:color="auto" w:sz="4" w:space="0"/>
              <w:left w:val="single" w:color="auto" w:sz="4" w:space="0"/>
              <w:bottom w:val="single" w:color="auto" w:sz="4" w:space="0"/>
              <w:right w:val="single" w:color="auto" w:sz="4" w:space="0"/>
            </w:tcBorders>
            <w:noWrap w:val="0"/>
            <w:vAlign w:val="center"/>
          </w:tcPr>
          <w:p w14:paraId="7A13415E">
            <w:pPr>
              <w:spacing w:line="360" w:lineRule="auto"/>
              <w:rPr>
                <w:rFonts w:hint="eastAsia" w:ascii="宋体" w:hAnsi="宋体" w:eastAsia="宋体" w:cs="宋体"/>
                <w:color w:val="auto"/>
                <w:sz w:val="24"/>
                <w:szCs w:val="24"/>
                <w:highlight w:val="none"/>
              </w:rPr>
            </w:pPr>
          </w:p>
        </w:tc>
        <w:tc>
          <w:tcPr>
            <w:tcW w:w="932" w:type="dxa"/>
            <w:tcBorders>
              <w:top w:val="single" w:color="auto" w:sz="4" w:space="0"/>
              <w:left w:val="single" w:color="auto" w:sz="4" w:space="0"/>
              <w:bottom w:val="single" w:color="auto" w:sz="4" w:space="0"/>
              <w:right w:val="single" w:color="auto" w:sz="4" w:space="0"/>
            </w:tcBorders>
            <w:noWrap w:val="0"/>
            <w:vAlign w:val="center"/>
          </w:tcPr>
          <w:p w14:paraId="2EC071B5">
            <w:pPr>
              <w:spacing w:line="360" w:lineRule="auto"/>
              <w:rPr>
                <w:rFonts w:hint="eastAsia" w:ascii="宋体" w:hAnsi="宋体" w:eastAsia="宋体" w:cs="宋体"/>
                <w:color w:val="auto"/>
                <w:sz w:val="24"/>
                <w:szCs w:val="24"/>
                <w:highlight w:val="none"/>
              </w:rPr>
            </w:pPr>
          </w:p>
        </w:tc>
        <w:tc>
          <w:tcPr>
            <w:tcW w:w="933" w:type="dxa"/>
            <w:tcBorders>
              <w:top w:val="single" w:color="auto" w:sz="4" w:space="0"/>
              <w:left w:val="single" w:color="auto" w:sz="4" w:space="0"/>
              <w:bottom w:val="single" w:color="auto" w:sz="4" w:space="0"/>
              <w:right w:val="single" w:color="auto" w:sz="4" w:space="0"/>
            </w:tcBorders>
            <w:noWrap w:val="0"/>
            <w:vAlign w:val="center"/>
          </w:tcPr>
          <w:p w14:paraId="1AD6556E">
            <w:pPr>
              <w:spacing w:line="360" w:lineRule="auto"/>
              <w:rPr>
                <w:rFonts w:hint="eastAsia" w:ascii="宋体" w:hAnsi="宋体" w:eastAsia="宋体" w:cs="宋体"/>
                <w:color w:val="auto"/>
                <w:sz w:val="24"/>
                <w:szCs w:val="24"/>
                <w:highlight w:val="none"/>
              </w:rPr>
            </w:pPr>
          </w:p>
        </w:tc>
      </w:tr>
      <w:tr w14:paraId="1AE33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23" w:hRule="atLeast"/>
        </w:trPr>
        <w:tc>
          <w:tcPr>
            <w:tcW w:w="520" w:type="dxa"/>
            <w:tcBorders>
              <w:top w:val="single" w:color="auto" w:sz="4" w:space="0"/>
              <w:left w:val="single" w:color="auto" w:sz="4" w:space="0"/>
              <w:bottom w:val="single" w:color="auto" w:sz="4" w:space="0"/>
              <w:right w:val="single" w:color="auto" w:sz="4" w:space="0"/>
            </w:tcBorders>
            <w:noWrap w:val="0"/>
            <w:vAlign w:val="center"/>
          </w:tcPr>
          <w:p w14:paraId="0C61839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508" w:type="dxa"/>
            <w:gridSpan w:val="2"/>
            <w:tcBorders>
              <w:top w:val="single" w:color="auto" w:sz="4" w:space="0"/>
              <w:left w:val="single" w:color="auto" w:sz="4" w:space="0"/>
              <w:bottom w:val="single" w:color="auto" w:sz="4" w:space="0"/>
              <w:right w:val="single" w:color="auto" w:sz="4" w:space="0"/>
            </w:tcBorders>
            <w:noWrap w:val="0"/>
            <w:vAlign w:val="center"/>
          </w:tcPr>
          <w:p w14:paraId="622A0131">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货物名称</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6B9F3B4F">
            <w:pPr>
              <w:spacing w:line="360" w:lineRule="auto"/>
              <w:rPr>
                <w:rFonts w:hint="eastAsia" w:ascii="宋体" w:hAnsi="宋体" w:eastAsia="宋体" w:cs="宋体"/>
                <w:color w:val="auto"/>
                <w:sz w:val="24"/>
                <w:szCs w:val="24"/>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14:paraId="7A9F4D51">
            <w:pPr>
              <w:spacing w:line="360" w:lineRule="auto"/>
              <w:rPr>
                <w:rFonts w:hint="eastAsia" w:ascii="宋体" w:hAnsi="宋体" w:eastAsia="宋体" w:cs="宋体"/>
                <w:color w:val="auto"/>
                <w:sz w:val="24"/>
                <w:szCs w:val="24"/>
                <w:highlight w:val="none"/>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25CEB673">
            <w:pPr>
              <w:spacing w:line="360" w:lineRule="auto"/>
              <w:rPr>
                <w:rFonts w:hint="eastAsia" w:ascii="宋体" w:hAnsi="宋体" w:eastAsia="宋体" w:cs="宋体"/>
                <w:color w:val="auto"/>
                <w:sz w:val="24"/>
                <w:szCs w:val="24"/>
                <w:highlight w:val="none"/>
              </w:rPr>
            </w:pPr>
          </w:p>
        </w:tc>
        <w:tc>
          <w:tcPr>
            <w:tcW w:w="932" w:type="dxa"/>
            <w:tcBorders>
              <w:top w:val="single" w:color="auto" w:sz="4" w:space="0"/>
              <w:left w:val="single" w:color="auto" w:sz="4" w:space="0"/>
              <w:bottom w:val="single" w:color="auto" w:sz="4" w:space="0"/>
              <w:right w:val="single" w:color="auto" w:sz="4" w:space="0"/>
            </w:tcBorders>
            <w:noWrap w:val="0"/>
            <w:vAlign w:val="center"/>
          </w:tcPr>
          <w:p w14:paraId="6BA8E0B5">
            <w:pPr>
              <w:spacing w:line="360" w:lineRule="auto"/>
              <w:rPr>
                <w:rFonts w:hint="eastAsia" w:ascii="宋体" w:hAnsi="宋体" w:eastAsia="宋体" w:cs="宋体"/>
                <w:color w:val="auto"/>
                <w:sz w:val="24"/>
                <w:szCs w:val="24"/>
                <w:highlight w:val="none"/>
              </w:rPr>
            </w:pPr>
          </w:p>
        </w:tc>
        <w:tc>
          <w:tcPr>
            <w:tcW w:w="932" w:type="dxa"/>
            <w:tcBorders>
              <w:top w:val="single" w:color="auto" w:sz="4" w:space="0"/>
              <w:left w:val="single" w:color="auto" w:sz="4" w:space="0"/>
              <w:bottom w:val="single" w:color="auto" w:sz="4" w:space="0"/>
              <w:right w:val="single" w:color="auto" w:sz="4" w:space="0"/>
            </w:tcBorders>
            <w:noWrap w:val="0"/>
            <w:vAlign w:val="center"/>
          </w:tcPr>
          <w:p w14:paraId="168DB9EB">
            <w:pPr>
              <w:spacing w:line="360" w:lineRule="auto"/>
              <w:rPr>
                <w:rFonts w:hint="eastAsia" w:ascii="宋体" w:hAnsi="宋体" w:eastAsia="宋体" w:cs="宋体"/>
                <w:color w:val="auto"/>
                <w:sz w:val="24"/>
                <w:szCs w:val="24"/>
                <w:highlight w:val="none"/>
              </w:rPr>
            </w:pPr>
          </w:p>
        </w:tc>
        <w:tc>
          <w:tcPr>
            <w:tcW w:w="933" w:type="dxa"/>
            <w:tcBorders>
              <w:top w:val="single" w:color="auto" w:sz="4" w:space="0"/>
              <w:left w:val="single" w:color="auto" w:sz="4" w:space="0"/>
              <w:bottom w:val="single" w:color="auto" w:sz="4" w:space="0"/>
              <w:right w:val="single" w:color="auto" w:sz="4" w:space="0"/>
            </w:tcBorders>
            <w:noWrap w:val="0"/>
            <w:vAlign w:val="center"/>
          </w:tcPr>
          <w:p w14:paraId="005CF573">
            <w:pPr>
              <w:spacing w:line="360" w:lineRule="auto"/>
              <w:rPr>
                <w:rFonts w:hint="eastAsia" w:ascii="宋体" w:hAnsi="宋体" w:eastAsia="宋体" w:cs="宋体"/>
                <w:color w:val="auto"/>
                <w:sz w:val="24"/>
                <w:szCs w:val="24"/>
                <w:highlight w:val="none"/>
              </w:rPr>
            </w:pPr>
          </w:p>
        </w:tc>
      </w:tr>
      <w:tr w14:paraId="11CEF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05" w:hRule="atLeast"/>
        </w:trPr>
        <w:tc>
          <w:tcPr>
            <w:tcW w:w="520" w:type="dxa"/>
            <w:tcBorders>
              <w:top w:val="single" w:color="auto" w:sz="4" w:space="0"/>
              <w:left w:val="single" w:color="auto" w:sz="4" w:space="0"/>
              <w:bottom w:val="single" w:color="auto" w:sz="4" w:space="0"/>
              <w:right w:val="single" w:color="auto" w:sz="4" w:space="0"/>
            </w:tcBorders>
            <w:noWrap w:val="0"/>
            <w:vAlign w:val="center"/>
          </w:tcPr>
          <w:p w14:paraId="26B312B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508" w:type="dxa"/>
            <w:gridSpan w:val="2"/>
            <w:tcBorders>
              <w:top w:val="single" w:color="auto" w:sz="4" w:space="0"/>
              <w:left w:val="single" w:color="auto" w:sz="4" w:space="0"/>
              <w:bottom w:val="single" w:color="auto" w:sz="4" w:space="0"/>
              <w:right w:val="single" w:color="auto" w:sz="4" w:space="0"/>
            </w:tcBorders>
            <w:noWrap w:val="0"/>
            <w:vAlign w:val="center"/>
          </w:tcPr>
          <w:p w14:paraId="3F7E0F9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原产地</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7F19030C">
            <w:pPr>
              <w:spacing w:line="360" w:lineRule="auto"/>
              <w:rPr>
                <w:rFonts w:hint="eastAsia" w:ascii="宋体" w:hAnsi="宋体" w:eastAsia="宋体" w:cs="宋体"/>
                <w:color w:val="auto"/>
                <w:sz w:val="24"/>
                <w:szCs w:val="24"/>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14:paraId="2F880357">
            <w:pPr>
              <w:spacing w:line="360" w:lineRule="auto"/>
              <w:rPr>
                <w:rFonts w:hint="eastAsia" w:ascii="宋体" w:hAnsi="宋体" w:eastAsia="宋体" w:cs="宋体"/>
                <w:color w:val="auto"/>
                <w:sz w:val="24"/>
                <w:szCs w:val="24"/>
                <w:highlight w:val="none"/>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684231B0">
            <w:pPr>
              <w:spacing w:line="360" w:lineRule="auto"/>
              <w:rPr>
                <w:rFonts w:hint="eastAsia" w:ascii="宋体" w:hAnsi="宋体" w:eastAsia="宋体" w:cs="宋体"/>
                <w:color w:val="auto"/>
                <w:sz w:val="24"/>
                <w:szCs w:val="24"/>
                <w:highlight w:val="none"/>
              </w:rPr>
            </w:pPr>
          </w:p>
        </w:tc>
        <w:tc>
          <w:tcPr>
            <w:tcW w:w="932" w:type="dxa"/>
            <w:tcBorders>
              <w:top w:val="single" w:color="auto" w:sz="4" w:space="0"/>
              <w:left w:val="single" w:color="auto" w:sz="4" w:space="0"/>
              <w:bottom w:val="single" w:color="auto" w:sz="4" w:space="0"/>
              <w:right w:val="single" w:color="auto" w:sz="4" w:space="0"/>
            </w:tcBorders>
            <w:noWrap w:val="0"/>
            <w:vAlign w:val="center"/>
          </w:tcPr>
          <w:p w14:paraId="5FADB4B4">
            <w:pPr>
              <w:spacing w:line="360" w:lineRule="auto"/>
              <w:rPr>
                <w:rFonts w:hint="eastAsia" w:ascii="宋体" w:hAnsi="宋体" w:eastAsia="宋体" w:cs="宋体"/>
                <w:color w:val="auto"/>
                <w:sz w:val="24"/>
                <w:szCs w:val="24"/>
                <w:highlight w:val="none"/>
              </w:rPr>
            </w:pPr>
          </w:p>
        </w:tc>
        <w:tc>
          <w:tcPr>
            <w:tcW w:w="932" w:type="dxa"/>
            <w:tcBorders>
              <w:top w:val="single" w:color="auto" w:sz="4" w:space="0"/>
              <w:left w:val="single" w:color="auto" w:sz="4" w:space="0"/>
              <w:bottom w:val="single" w:color="auto" w:sz="4" w:space="0"/>
              <w:right w:val="single" w:color="auto" w:sz="4" w:space="0"/>
            </w:tcBorders>
            <w:noWrap w:val="0"/>
            <w:vAlign w:val="center"/>
          </w:tcPr>
          <w:p w14:paraId="5DE80D5E">
            <w:pPr>
              <w:spacing w:line="360" w:lineRule="auto"/>
              <w:rPr>
                <w:rFonts w:hint="eastAsia" w:ascii="宋体" w:hAnsi="宋体" w:eastAsia="宋体" w:cs="宋体"/>
                <w:color w:val="auto"/>
                <w:sz w:val="24"/>
                <w:szCs w:val="24"/>
                <w:highlight w:val="none"/>
              </w:rPr>
            </w:pPr>
          </w:p>
        </w:tc>
        <w:tc>
          <w:tcPr>
            <w:tcW w:w="933" w:type="dxa"/>
            <w:tcBorders>
              <w:top w:val="single" w:color="auto" w:sz="4" w:space="0"/>
              <w:left w:val="single" w:color="auto" w:sz="4" w:space="0"/>
              <w:bottom w:val="single" w:color="auto" w:sz="4" w:space="0"/>
              <w:right w:val="single" w:color="auto" w:sz="4" w:space="0"/>
            </w:tcBorders>
            <w:noWrap w:val="0"/>
            <w:vAlign w:val="center"/>
          </w:tcPr>
          <w:p w14:paraId="348A64B6">
            <w:pPr>
              <w:spacing w:line="360" w:lineRule="auto"/>
              <w:rPr>
                <w:rFonts w:hint="eastAsia" w:ascii="宋体" w:hAnsi="宋体" w:eastAsia="宋体" w:cs="宋体"/>
                <w:color w:val="auto"/>
                <w:sz w:val="24"/>
                <w:szCs w:val="24"/>
                <w:highlight w:val="none"/>
              </w:rPr>
            </w:pPr>
          </w:p>
        </w:tc>
      </w:tr>
      <w:tr w14:paraId="394FF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05" w:hRule="atLeast"/>
        </w:trPr>
        <w:tc>
          <w:tcPr>
            <w:tcW w:w="520" w:type="dxa"/>
            <w:tcBorders>
              <w:top w:val="single" w:color="auto" w:sz="4" w:space="0"/>
              <w:left w:val="single" w:color="auto" w:sz="4" w:space="0"/>
              <w:bottom w:val="single" w:color="auto" w:sz="4" w:space="0"/>
              <w:right w:val="single" w:color="auto" w:sz="4" w:space="0"/>
            </w:tcBorders>
            <w:noWrap w:val="0"/>
            <w:vAlign w:val="center"/>
          </w:tcPr>
          <w:p w14:paraId="6C314F4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508" w:type="dxa"/>
            <w:gridSpan w:val="2"/>
            <w:tcBorders>
              <w:top w:val="single" w:color="auto" w:sz="4" w:space="0"/>
              <w:left w:val="single" w:color="auto" w:sz="4" w:space="0"/>
              <w:bottom w:val="single" w:color="auto" w:sz="4" w:space="0"/>
              <w:right w:val="single" w:color="auto" w:sz="4" w:space="0"/>
            </w:tcBorders>
            <w:noWrap w:val="0"/>
            <w:vAlign w:val="center"/>
          </w:tcPr>
          <w:p w14:paraId="0EC8CB2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制造商</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091FB1E7">
            <w:pPr>
              <w:spacing w:line="360" w:lineRule="auto"/>
              <w:rPr>
                <w:rFonts w:hint="eastAsia" w:ascii="宋体" w:hAnsi="宋体" w:eastAsia="宋体" w:cs="宋体"/>
                <w:color w:val="auto"/>
                <w:sz w:val="24"/>
                <w:szCs w:val="24"/>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14:paraId="6FE703C1">
            <w:pPr>
              <w:spacing w:line="360" w:lineRule="auto"/>
              <w:rPr>
                <w:rFonts w:hint="eastAsia" w:ascii="宋体" w:hAnsi="宋体" w:eastAsia="宋体" w:cs="宋体"/>
                <w:color w:val="auto"/>
                <w:sz w:val="24"/>
                <w:szCs w:val="24"/>
                <w:highlight w:val="none"/>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29208EC3">
            <w:pPr>
              <w:spacing w:line="360" w:lineRule="auto"/>
              <w:rPr>
                <w:rFonts w:hint="eastAsia" w:ascii="宋体" w:hAnsi="宋体" w:eastAsia="宋体" w:cs="宋体"/>
                <w:color w:val="auto"/>
                <w:sz w:val="24"/>
                <w:szCs w:val="24"/>
                <w:highlight w:val="none"/>
              </w:rPr>
            </w:pPr>
          </w:p>
        </w:tc>
        <w:tc>
          <w:tcPr>
            <w:tcW w:w="932" w:type="dxa"/>
            <w:tcBorders>
              <w:top w:val="single" w:color="auto" w:sz="4" w:space="0"/>
              <w:left w:val="single" w:color="auto" w:sz="4" w:space="0"/>
              <w:bottom w:val="single" w:color="auto" w:sz="4" w:space="0"/>
              <w:right w:val="single" w:color="auto" w:sz="4" w:space="0"/>
            </w:tcBorders>
            <w:noWrap w:val="0"/>
            <w:vAlign w:val="center"/>
          </w:tcPr>
          <w:p w14:paraId="12F6B08C">
            <w:pPr>
              <w:spacing w:line="360" w:lineRule="auto"/>
              <w:rPr>
                <w:rFonts w:hint="eastAsia" w:ascii="宋体" w:hAnsi="宋体" w:eastAsia="宋体" w:cs="宋体"/>
                <w:color w:val="auto"/>
                <w:sz w:val="24"/>
                <w:szCs w:val="24"/>
                <w:highlight w:val="none"/>
              </w:rPr>
            </w:pPr>
          </w:p>
        </w:tc>
        <w:tc>
          <w:tcPr>
            <w:tcW w:w="932" w:type="dxa"/>
            <w:tcBorders>
              <w:top w:val="single" w:color="auto" w:sz="4" w:space="0"/>
              <w:left w:val="single" w:color="auto" w:sz="4" w:space="0"/>
              <w:bottom w:val="single" w:color="auto" w:sz="4" w:space="0"/>
              <w:right w:val="single" w:color="auto" w:sz="4" w:space="0"/>
            </w:tcBorders>
            <w:noWrap w:val="0"/>
            <w:vAlign w:val="center"/>
          </w:tcPr>
          <w:p w14:paraId="7DACE55D">
            <w:pPr>
              <w:spacing w:line="360" w:lineRule="auto"/>
              <w:rPr>
                <w:rFonts w:hint="eastAsia" w:ascii="宋体" w:hAnsi="宋体" w:eastAsia="宋体" w:cs="宋体"/>
                <w:color w:val="auto"/>
                <w:sz w:val="24"/>
                <w:szCs w:val="24"/>
                <w:highlight w:val="none"/>
              </w:rPr>
            </w:pPr>
          </w:p>
        </w:tc>
        <w:tc>
          <w:tcPr>
            <w:tcW w:w="933" w:type="dxa"/>
            <w:tcBorders>
              <w:top w:val="single" w:color="auto" w:sz="4" w:space="0"/>
              <w:left w:val="single" w:color="auto" w:sz="4" w:space="0"/>
              <w:bottom w:val="single" w:color="auto" w:sz="4" w:space="0"/>
              <w:right w:val="single" w:color="auto" w:sz="4" w:space="0"/>
            </w:tcBorders>
            <w:noWrap w:val="0"/>
            <w:vAlign w:val="center"/>
          </w:tcPr>
          <w:p w14:paraId="680C76AF">
            <w:pPr>
              <w:spacing w:line="360" w:lineRule="auto"/>
              <w:rPr>
                <w:rFonts w:hint="eastAsia" w:ascii="宋体" w:hAnsi="宋体" w:eastAsia="宋体" w:cs="宋体"/>
                <w:color w:val="auto"/>
                <w:sz w:val="24"/>
                <w:szCs w:val="24"/>
                <w:highlight w:val="none"/>
              </w:rPr>
            </w:pPr>
          </w:p>
        </w:tc>
      </w:tr>
      <w:tr w14:paraId="601C0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23" w:hRule="atLeast"/>
        </w:trPr>
        <w:tc>
          <w:tcPr>
            <w:tcW w:w="520" w:type="dxa"/>
            <w:tcBorders>
              <w:top w:val="single" w:color="auto" w:sz="4" w:space="0"/>
              <w:left w:val="single" w:color="auto" w:sz="4" w:space="0"/>
              <w:bottom w:val="single" w:color="auto" w:sz="4" w:space="0"/>
              <w:right w:val="single" w:color="auto" w:sz="4" w:space="0"/>
            </w:tcBorders>
            <w:noWrap w:val="0"/>
            <w:vAlign w:val="center"/>
          </w:tcPr>
          <w:p w14:paraId="11FD9BB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508" w:type="dxa"/>
            <w:gridSpan w:val="2"/>
            <w:tcBorders>
              <w:top w:val="single" w:color="auto" w:sz="4" w:space="0"/>
              <w:left w:val="single" w:color="auto" w:sz="4" w:space="0"/>
              <w:bottom w:val="single" w:color="auto" w:sz="4" w:space="0"/>
              <w:right w:val="single" w:color="auto" w:sz="4" w:space="0"/>
            </w:tcBorders>
            <w:noWrap w:val="0"/>
            <w:vAlign w:val="center"/>
          </w:tcPr>
          <w:p w14:paraId="79268C3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数量、型号、规格</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64B4C1B0">
            <w:pPr>
              <w:spacing w:line="360" w:lineRule="auto"/>
              <w:rPr>
                <w:rFonts w:hint="eastAsia" w:ascii="宋体" w:hAnsi="宋体" w:eastAsia="宋体" w:cs="宋体"/>
                <w:color w:val="auto"/>
                <w:sz w:val="24"/>
                <w:szCs w:val="24"/>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14:paraId="1FC47B95">
            <w:pPr>
              <w:spacing w:line="360" w:lineRule="auto"/>
              <w:rPr>
                <w:rFonts w:hint="eastAsia" w:ascii="宋体" w:hAnsi="宋体" w:eastAsia="宋体" w:cs="宋体"/>
                <w:color w:val="auto"/>
                <w:sz w:val="24"/>
                <w:szCs w:val="24"/>
                <w:highlight w:val="none"/>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41B99154">
            <w:pPr>
              <w:spacing w:line="360" w:lineRule="auto"/>
              <w:rPr>
                <w:rFonts w:hint="eastAsia" w:ascii="宋体" w:hAnsi="宋体" w:eastAsia="宋体" w:cs="宋体"/>
                <w:color w:val="auto"/>
                <w:sz w:val="24"/>
                <w:szCs w:val="24"/>
                <w:highlight w:val="none"/>
              </w:rPr>
            </w:pPr>
          </w:p>
        </w:tc>
        <w:tc>
          <w:tcPr>
            <w:tcW w:w="932" w:type="dxa"/>
            <w:tcBorders>
              <w:top w:val="single" w:color="auto" w:sz="4" w:space="0"/>
              <w:left w:val="single" w:color="auto" w:sz="4" w:space="0"/>
              <w:bottom w:val="single" w:color="auto" w:sz="4" w:space="0"/>
              <w:right w:val="single" w:color="auto" w:sz="4" w:space="0"/>
            </w:tcBorders>
            <w:noWrap w:val="0"/>
            <w:vAlign w:val="center"/>
          </w:tcPr>
          <w:p w14:paraId="62A13EF0">
            <w:pPr>
              <w:spacing w:line="360" w:lineRule="auto"/>
              <w:rPr>
                <w:rFonts w:hint="eastAsia" w:ascii="宋体" w:hAnsi="宋体" w:eastAsia="宋体" w:cs="宋体"/>
                <w:color w:val="auto"/>
                <w:sz w:val="24"/>
                <w:szCs w:val="24"/>
                <w:highlight w:val="none"/>
              </w:rPr>
            </w:pPr>
          </w:p>
        </w:tc>
        <w:tc>
          <w:tcPr>
            <w:tcW w:w="932" w:type="dxa"/>
            <w:tcBorders>
              <w:top w:val="single" w:color="auto" w:sz="4" w:space="0"/>
              <w:left w:val="single" w:color="auto" w:sz="4" w:space="0"/>
              <w:bottom w:val="single" w:color="auto" w:sz="4" w:space="0"/>
              <w:right w:val="single" w:color="auto" w:sz="4" w:space="0"/>
            </w:tcBorders>
            <w:noWrap w:val="0"/>
            <w:vAlign w:val="center"/>
          </w:tcPr>
          <w:p w14:paraId="2E1D04C1">
            <w:pPr>
              <w:spacing w:line="360" w:lineRule="auto"/>
              <w:rPr>
                <w:rFonts w:hint="eastAsia" w:ascii="宋体" w:hAnsi="宋体" w:eastAsia="宋体" w:cs="宋体"/>
                <w:color w:val="auto"/>
                <w:sz w:val="24"/>
                <w:szCs w:val="24"/>
                <w:highlight w:val="none"/>
              </w:rPr>
            </w:pPr>
          </w:p>
        </w:tc>
        <w:tc>
          <w:tcPr>
            <w:tcW w:w="933" w:type="dxa"/>
            <w:tcBorders>
              <w:top w:val="single" w:color="auto" w:sz="4" w:space="0"/>
              <w:left w:val="single" w:color="auto" w:sz="4" w:space="0"/>
              <w:bottom w:val="single" w:color="auto" w:sz="4" w:space="0"/>
              <w:right w:val="single" w:color="auto" w:sz="4" w:space="0"/>
            </w:tcBorders>
            <w:noWrap w:val="0"/>
            <w:vAlign w:val="center"/>
          </w:tcPr>
          <w:p w14:paraId="60D371F5">
            <w:pPr>
              <w:spacing w:line="360" w:lineRule="auto"/>
              <w:rPr>
                <w:rFonts w:hint="eastAsia" w:ascii="宋体" w:hAnsi="宋体" w:eastAsia="宋体" w:cs="宋体"/>
                <w:color w:val="auto"/>
                <w:sz w:val="24"/>
                <w:szCs w:val="24"/>
                <w:highlight w:val="none"/>
              </w:rPr>
            </w:pPr>
          </w:p>
        </w:tc>
      </w:tr>
      <w:tr w14:paraId="070AA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23" w:hRule="atLeast"/>
        </w:trPr>
        <w:tc>
          <w:tcPr>
            <w:tcW w:w="520" w:type="dxa"/>
            <w:tcBorders>
              <w:top w:val="single" w:color="auto" w:sz="4" w:space="0"/>
              <w:left w:val="single" w:color="auto" w:sz="4" w:space="0"/>
              <w:bottom w:val="single" w:color="auto" w:sz="4" w:space="0"/>
              <w:right w:val="single" w:color="auto" w:sz="4" w:space="0"/>
            </w:tcBorders>
            <w:noWrap w:val="0"/>
            <w:vAlign w:val="center"/>
          </w:tcPr>
          <w:p w14:paraId="67D7598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508" w:type="dxa"/>
            <w:gridSpan w:val="2"/>
            <w:tcBorders>
              <w:top w:val="single" w:color="auto" w:sz="4" w:space="0"/>
              <w:left w:val="single" w:color="auto" w:sz="4" w:space="0"/>
              <w:bottom w:val="single" w:color="auto" w:sz="4" w:space="0"/>
              <w:right w:val="single" w:color="auto" w:sz="4" w:space="0"/>
            </w:tcBorders>
            <w:noWrap w:val="0"/>
            <w:vAlign w:val="center"/>
          </w:tcPr>
          <w:p w14:paraId="5CCF64E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主机和标准附件单价</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5B2C9A46">
            <w:pPr>
              <w:spacing w:line="360" w:lineRule="auto"/>
              <w:rPr>
                <w:rFonts w:hint="eastAsia" w:ascii="宋体" w:hAnsi="宋体" w:eastAsia="宋体" w:cs="宋体"/>
                <w:color w:val="auto"/>
                <w:sz w:val="24"/>
                <w:szCs w:val="24"/>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14:paraId="35F9763E">
            <w:pPr>
              <w:spacing w:line="360" w:lineRule="auto"/>
              <w:rPr>
                <w:rFonts w:hint="eastAsia" w:ascii="宋体" w:hAnsi="宋体" w:eastAsia="宋体" w:cs="宋体"/>
                <w:color w:val="auto"/>
                <w:sz w:val="24"/>
                <w:szCs w:val="24"/>
                <w:highlight w:val="none"/>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006463F6">
            <w:pPr>
              <w:spacing w:line="360" w:lineRule="auto"/>
              <w:rPr>
                <w:rFonts w:hint="eastAsia" w:ascii="宋体" w:hAnsi="宋体" w:eastAsia="宋体" w:cs="宋体"/>
                <w:color w:val="auto"/>
                <w:sz w:val="24"/>
                <w:szCs w:val="24"/>
                <w:highlight w:val="none"/>
              </w:rPr>
            </w:pPr>
          </w:p>
        </w:tc>
        <w:tc>
          <w:tcPr>
            <w:tcW w:w="932" w:type="dxa"/>
            <w:tcBorders>
              <w:top w:val="single" w:color="auto" w:sz="4" w:space="0"/>
              <w:left w:val="single" w:color="auto" w:sz="4" w:space="0"/>
              <w:bottom w:val="single" w:color="auto" w:sz="4" w:space="0"/>
              <w:right w:val="single" w:color="auto" w:sz="4" w:space="0"/>
            </w:tcBorders>
            <w:noWrap w:val="0"/>
            <w:vAlign w:val="center"/>
          </w:tcPr>
          <w:p w14:paraId="746964FA">
            <w:pPr>
              <w:spacing w:line="360" w:lineRule="auto"/>
              <w:rPr>
                <w:rFonts w:hint="eastAsia" w:ascii="宋体" w:hAnsi="宋体" w:eastAsia="宋体" w:cs="宋体"/>
                <w:color w:val="auto"/>
                <w:sz w:val="24"/>
                <w:szCs w:val="24"/>
                <w:highlight w:val="none"/>
              </w:rPr>
            </w:pPr>
          </w:p>
        </w:tc>
        <w:tc>
          <w:tcPr>
            <w:tcW w:w="932" w:type="dxa"/>
            <w:tcBorders>
              <w:top w:val="single" w:color="auto" w:sz="4" w:space="0"/>
              <w:left w:val="single" w:color="auto" w:sz="4" w:space="0"/>
              <w:bottom w:val="single" w:color="auto" w:sz="4" w:space="0"/>
              <w:right w:val="single" w:color="auto" w:sz="4" w:space="0"/>
            </w:tcBorders>
            <w:noWrap w:val="0"/>
            <w:vAlign w:val="center"/>
          </w:tcPr>
          <w:p w14:paraId="4288AB85">
            <w:pPr>
              <w:spacing w:line="360" w:lineRule="auto"/>
              <w:rPr>
                <w:rFonts w:hint="eastAsia" w:ascii="宋体" w:hAnsi="宋体" w:eastAsia="宋体" w:cs="宋体"/>
                <w:color w:val="auto"/>
                <w:sz w:val="24"/>
                <w:szCs w:val="24"/>
                <w:highlight w:val="none"/>
              </w:rPr>
            </w:pPr>
          </w:p>
        </w:tc>
        <w:tc>
          <w:tcPr>
            <w:tcW w:w="933" w:type="dxa"/>
            <w:tcBorders>
              <w:top w:val="single" w:color="auto" w:sz="4" w:space="0"/>
              <w:left w:val="single" w:color="auto" w:sz="4" w:space="0"/>
              <w:bottom w:val="single" w:color="auto" w:sz="4" w:space="0"/>
              <w:right w:val="single" w:color="auto" w:sz="4" w:space="0"/>
            </w:tcBorders>
            <w:noWrap w:val="0"/>
            <w:vAlign w:val="center"/>
          </w:tcPr>
          <w:p w14:paraId="27BCF3B9">
            <w:pPr>
              <w:spacing w:line="360" w:lineRule="auto"/>
              <w:rPr>
                <w:rFonts w:hint="eastAsia" w:ascii="宋体" w:hAnsi="宋体" w:eastAsia="宋体" w:cs="宋体"/>
                <w:color w:val="auto"/>
                <w:sz w:val="24"/>
                <w:szCs w:val="24"/>
                <w:highlight w:val="none"/>
              </w:rPr>
            </w:pPr>
          </w:p>
        </w:tc>
      </w:tr>
      <w:tr w14:paraId="4E407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23" w:hRule="atLeast"/>
        </w:trPr>
        <w:tc>
          <w:tcPr>
            <w:tcW w:w="520" w:type="dxa"/>
            <w:tcBorders>
              <w:top w:val="single" w:color="auto" w:sz="4" w:space="0"/>
              <w:left w:val="single" w:color="auto" w:sz="4" w:space="0"/>
              <w:bottom w:val="single" w:color="auto" w:sz="4" w:space="0"/>
              <w:right w:val="single" w:color="auto" w:sz="4" w:space="0"/>
            </w:tcBorders>
            <w:noWrap w:val="0"/>
            <w:vAlign w:val="center"/>
          </w:tcPr>
          <w:p w14:paraId="3E0B1BB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2508" w:type="dxa"/>
            <w:gridSpan w:val="2"/>
            <w:tcBorders>
              <w:top w:val="single" w:color="auto" w:sz="4" w:space="0"/>
              <w:left w:val="single" w:color="auto" w:sz="4" w:space="0"/>
              <w:bottom w:val="single" w:color="auto" w:sz="4" w:space="0"/>
              <w:right w:val="single" w:color="auto" w:sz="4" w:space="0"/>
            </w:tcBorders>
            <w:noWrap w:val="0"/>
            <w:vAlign w:val="center"/>
          </w:tcPr>
          <w:p w14:paraId="7598904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备品备件价</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754AA3F1">
            <w:pPr>
              <w:spacing w:line="360" w:lineRule="auto"/>
              <w:rPr>
                <w:rFonts w:hint="eastAsia" w:ascii="宋体" w:hAnsi="宋体" w:eastAsia="宋体" w:cs="宋体"/>
                <w:color w:val="auto"/>
                <w:sz w:val="24"/>
                <w:szCs w:val="24"/>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14:paraId="635A4DA8">
            <w:pPr>
              <w:spacing w:line="360" w:lineRule="auto"/>
              <w:rPr>
                <w:rFonts w:hint="eastAsia" w:ascii="宋体" w:hAnsi="宋体" w:eastAsia="宋体" w:cs="宋体"/>
                <w:color w:val="auto"/>
                <w:sz w:val="24"/>
                <w:szCs w:val="24"/>
                <w:highlight w:val="none"/>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61E944D3">
            <w:pPr>
              <w:spacing w:line="360" w:lineRule="auto"/>
              <w:rPr>
                <w:rFonts w:hint="eastAsia" w:ascii="宋体" w:hAnsi="宋体" w:eastAsia="宋体" w:cs="宋体"/>
                <w:color w:val="auto"/>
                <w:sz w:val="24"/>
                <w:szCs w:val="24"/>
                <w:highlight w:val="none"/>
              </w:rPr>
            </w:pPr>
          </w:p>
        </w:tc>
        <w:tc>
          <w:tcPr>
            <w:tcW w:w="932" w:type="dxa"/>
            <w:tcBorders>
              <w:top w:val="single" w:color="auto" w:sz="4" w:space="0"/>
              <w:left w:val="single" w:color="auto" w:sz="4" w:space="0"/>
              <w:bottom w:val="single" w:color="auto" w:sz="4" w:space="0"/>
              <w:right w:val="single" w:color="auto" w:sz="4" w:space="0"/>
            </w:tcBorders>
            <w:noWrap w:val="0"/>
            <w:vAlign w:val="center"/>
          </w:tcPr>
          <w:p w14:paraId="4C49AF3C">
            <w:pPr>
              <w:spacing w:line="360" w:lineRule="auto"/>
              <w:rPr>
                <w:rFonts w:hint="eastAsia" w:ascii="宋体" w:hAnsi="宋体" w:eastAsia="宋体" w:cs="宋体"/>
                <w:color w:val="auto"/>
                <w:sz w:val="24"/>
                <w:szCs w:val="24"/>
                <w:highlight w:val="none"/>
              </w:rPr>
            </w:pPr>
          </w:p>
        </w:tc>
        <w:tc>
          <w:tcPr>
            <w:tcW w:w="932" w:type="dxa"/>
            <w:tcBorders>
              <w:top w:val="single" w:color="auto" w:sz="4" w:space="0"/>
              <w:left w:val="single" w:color="auto" w:sz="4" w:space="0"/>
              <w:bottom w:val="single" w:color="auto" w:sz="4" w:space="0"/>
              <w:right w:val="single" w:color="auto" w:sz="4" w:space="0"/>
            </w:tcBorders>
            <w:noWrap w:val="0"/>
            <w:vAlign w:val="center"/>
          </w:tcPr>
          <w:p w14:paraId="67136475">
            <w:pPr>
              <w:spacing w:line="360" w:lineRule="auto"/>
              <w:rPr>
                <w:rFonts w:hint="eastAsia" w:ascii="宋体" w:hAnsi="宋体" w:eastAsia="宋体" w:cs="宋体"/>
                <w:color w:val="auto"/>
                <w:sz w:val="24"/>
                <w:szCs w:val="24"/>
                <w:highlight w:val="none"/>
              </w:rPr>
            </w:pPr>
          </w:p>
        </w:tc>
        <w:tc>
          <w:tcPr>
            <w:tcW w:w="933" w:type="dxa"/>
            <w:tcBorders>
              <w:top w:val="single" w:color="auto" w:sz="4" w:space="0"/>
              <w:left w:val="single" w:color="auto" w:sz="4" w:space="0"/>
              <w:bottom w:val="single" w:color="auto" w:sz="4" w:space="0"/>
              <w:right w:val="single" w:color="auto" w:sz="4" w:space="0"/>
            </w:tcBorders>
            <w:noWrap w:val="0"/>
            <w:vAlign w:val="center"/>
          </w:tcPr>
          <w:p w14:paraId="10314C5E">
            <w:pPr>
              <w:spacing w:line="360" w:lineRule="auto"/>
              <w:rPr>
                <w:rFonts w:hint="eastAsia" w:ascii="宋体" w:hAnsi="宋体" w:eastAsia="宋体" w:cs="宋体"/>
                <w:color w:val="auto"/>
                <w:sz w:val="24"/>
                <w:szCs w:val="24"/>
                <w:highlight w:val="none"/>
              </w:rPr>
            </w:pPr>
          </w:p>
        </w:tc>
      </w:tr>
      <w:tr w14:paraId="2B551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23" w:hRule="atLeast"/>
        </w:trPr>
        <w:tc>
          <w:tcPr>
            <w:tcW w:w="520" w:type="dxa"/>
            <w:tcBorders>
              <w:top w:val="single" w:color="auto" w:sz="4" w:space="0"/>
              <w:left w:val="single" w:color="auto" w:sz="4" w:space="0"/>
              <w:bottom w:val="single" w:color="auto" w:sz="4" w:space="0"/>
              <w:right w:val="single" w:color="auto" w:sz="4" w:space="0"/>
            </w:tcBorders>
            <w:noWrap w:val="0"/>
            <w:vAlign w:val="center"/>
          </w:tcPr>
          <w:p w14:paraId="58D09A2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2508" w:type="dxa"/>
            <w:gridSpan w:val="2"/>
            <w:tcBorders>
              <w:top w:val="single" w:color="auto" w:sz="4" w:space="0"/>
              <w:left w:val="single" w:color="auto" w:sz="4" w:space="0"/>
              <w:bottom w:val="single" w:color="auto" w:sz="4" w:space="0"/>
              <w:right w:val="single" w:color="auto" w:sz="4" w:space="0"/>
            </w:tcBorders>
            <w:noWrap w:val="0"/>
            <w:vAlign w:val="center"/>
          </w:tcPr>
          <w:p w14:paraId="7BE24C4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专用工具价</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60CA4230">
            <w:pPr>
              <w:spacing w:line="360" w:lineRule="auto"/>
              <w:rPr>
                <w:rFonts w:hint="eastAsia" w:ascii="宋体" w:hAnsi="宋体" w:eastAsia="宋体" w:cs="宋体"/>
                <w:color w:val="auto"/>
                <w:sz w:val="24"/>
                <w:szCs w:val="24"/>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14:paraId="7FBDED5A">
            <w:pPr>
              <w:spacing w:line="360" w:lineRule="auto"/>
              <w:rPr>
                <w:rFonts w:hint="eastAsia" w:ascii="宋体" w:hAnsi="宋体" w:eastAsia="宋体" w:cs="宋体"/>
                <w:color w:val="auto"/>
                <w:sz w:val="24"/>
                <w:szCs w:val="24"/>
                <w:highlight w:val="none"/>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76F5A556">
            <w:pPr>
              <w:spacing w:line="360" w:lineRule="auto"/>
              <w:rPr>
                <w:rFonts w:hint="eastAsia" w:ascii="宋体" w:hAnsi="宋体" w:eastAsia="宋体" w:cs="宋体"/>
                <w:color w:val="auto"/>
                <w:sz w:val="24"/>
                <w:szCs w:val="24"/>
                <w:highlight w:val="none"/>
              </w:rPr>
            </w:pPr>
          </w:p>
        </w:tc>
        <w:tc>
          <w:tcPr>
            <w:tcW w:w="932" w:type="dxa"/>
            <w:tcBorders>
              <w:top w:val="single" w:color="auto" w:sz="4" w:space="0"/>
              <w:left w:val="single" w:color="auto" w:sz="4" w:space="0"/>
              <w:bottom w:val="single" w:color="auto" w:sz="4" w:space="0"/>
              <w:right w:val="single" w:color="auto" w:sz="4" w:space="0"/>
            </w:tcBorders>
            <w:noWrap w:val="0"/>
            <w:vAlign w:val="center"/>
          </w:tcPr>
          <w:p w14:paraId="228CC134">
            <w:pPr>
              <w:spacing w:line="360" w:lineRule="auto"/>
              <w:rPr>
                <w:rFonts w:hint="eastAsia" w:ascii="宋体" w:hAnsi="宋体" w:eastAsia="宋体" w:cs="宋体"/>
                <w:color w:val="auto"/>
                <w:sz w:val="24"/>
                <w:szCs w:val="24"/>
                <w:highlight w:val="none"/>
              </w:rPr>
            </w:pPr>
          </w:p>
        </w:tc>
        <w:tc>
          <w:tcPr>
            <w:tcW w:w="932" w:type="dxa"/>
            <w:tcBorders>
              <w:top w:val="single" w:color="auto" w:sz="4" w:space="0"/>
              <w:left w:val="single" w:color="auto" w:sz="4" w:space="0"/>
              <w:bottom w:val="single" w:color="auto" w:sz="4" w:space="0"/>
              <w:right w:val="single" w:color="auto" w:sz="4" w:space="0"/>
            </w:tcBorders>
            <w:noWrap w:val="0"/>
            <w:vAlign w:val="center"/>
          </w:tcPr>
          <w:p w14:paraId="71F4BB84">
            <w:pPr>
              <w:spacing w:line="360" w:lineRule="auto"/>
              <w:rPr>
                <w:rFonts w:hint="eastAsia" w:ascii="宋体" w:hAnsi="宋体" w:eastAsia="宋体" w:cs="宋体"/>
                <w:color w:val="auto"/>
                <w:sz w:val="24"/>
                <w:szCs w:val="24"/>
                <w:highlight w:val="none"/>
              </w:rPr>
            </w:pPr>
          </w:p>
        </w:tc>
        <w:tc>
          <w:tcPr>
            <w:tcW w:w="933" w:type="dxa"/>
            <w:tcBorders>
              <w:top w:val="single" w:color="auto" w:sz="4" w:space="0"/>
              <w:left w:val="single" w:color="auto" w:sz="4" w:space="0"/>
              <w:bottom w:val="single" w:color="auto" w:sz="4" w:space="0"/>
              <w:right w:val="single" w:color="auto" w:sz="4" w:space="0"/>
            </w:tcBorders>
            <w:noWrap w:val="0"/>
            <w:vAlign w:val="center"/>
          </w:tcPr>
          <w:p w14:paraId="44B73DBE">
            <w:pPr>
              <w:spacing w:line="360" w:lineRule="auto"/>
              <w:rPr>
                <w:rFonts w:hint="eastAsia" w:ascii="宋体" w:hAnsi="宋体" w:eastAsia="宋体" w:cs="宋体"/>
                <w:color w:val="auto"/>
                <w:sz w:val="24"/>
                <w:szCs w:val="24"/>
                <w:highlight w:val="none"/>
              </w:rPr>
            </w:pPr>
          </w:p>
        </w:tc>
      </w:tr>
      <w:tr w14:paraId="773BA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24" w:hRule="atLeast"/>
        </w:trPr>
        <w:tc>
          <w:tcPr>
            <w:tcW w:w="520" w:type="dxa"/>
            <w:tcBorders>
              <w:top w:val="single" w:color="auto" w:sz="4" w:space="0"/>
              <w:left w:val="single" w:color="auto" w:sz="4" w:space="0"/>
              <w:bottom w:val="single" w:color="auto" w:sz="4" w:space="0"/>
              <w:right w:val="single" w:color="auto" w:sz="4" w:space="0"/>
            </w:tcBorders>
            <w:noWrap w:val="0"/>
            <w:vAlign w:val="center"/>
          </w:tcPr>
          <w:p w14:paraId="60BEDD25">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2508" w:type="dxa"/>
            <w:gridSpan w:val="2"/>
            <w:tcBorders>
              <w:top w:val="single" w:color="auto" w:sz="4" w:space="0"/>
              <w:left w:val="single" w:color="auto" w:sz="4" w:space="0"/>
              <w:bottom w:val="single" w:color="auto" w:sz="4" w:space="0"/>
              <w:right w:val="single" w:color="auto" w:sz="4" w:space="0"/>
            </w:tcBorders>
            <w:noWrap w:val="0"/>
            <w:vAlign w:val="center"/>
          </w:tcPr>
          <w:p w14:paraId="22BFD39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技术服务费</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772510CE">
            <w:pPr>
              <w:spacing w:line="360" w:lineRule="auto"/>
              <w:rPr>
                <w:rFonts w:hint="eastAsia" w:ascii="宋体" w:hAnsi="宋体" w:eastAsia="宋体" w:cs="宋体"/>
                <w:color w:val="auto"/>
                <w:sz w:val="24"/>
                <w:szCs w:val="24"/>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14:paraId="0DED1AB3">
            <w:pPr>
              <w:spacing w:line="360" w:lineRule="auto"/>
              <w:rPr>
                <w:rFonts w:hint="eastAsia" w:ascii="宋体" w:hAnsi="宋体" w:eastAsia="宋体" w:cs="宋体"/>
                <w:color w:val="auto"/>
                <w:sz w:val="24"/>
                <w:szCs w:val="24"/>
                <w:highlight w:val="none"/>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6AC6B267">
            <w:pPr>
              <w:spacing w:line="360" w:lineRule="auto"/>
              <w:rPr>
                <w:rFonts w:hint="eastAsia" w:ascii="宋体" w:hAnsi="宋体" w:eastAsia="宋体" w:cs="宋体"/>
                <w:color w:val="auto"/>
                <w:sz w:val="24"/>
                <w:szCs w:val="24"/>
                <w:highlight w:val="none"/>
              </w:rPr>
            </w:pPr>
          </w:p>
        </w:tc>
        <w:tc>
          <w:tcPr>
            <w:tcW w:w="932" w:type="dxa"/>
            <w:tcBorders>
              <w:top w:val="single" w:color="auto" w:sz="4" w:space="0"/>
              <w:left w:val="single" w:color="auto" w:sz="4" w:space="0"/>
              <w:bottom w:val="single" w:color="auto" w:sz="4" w:space="0"/>
              <w:right w:val="single" w:color="auto" w:sz="4" w:space="0"/>
            </w:tcBorders>
            <w:noWrap w:val="0"/>
            <w:vAlign w:val="center"/>
          </w:tcPr>
          <w:p w14:paraId="6CBE7CF4">
            <w:pPr>
              <w:spacing w:line="360" w:lineRule="auto"/>
              <w:rPr>
                <w:rFonts w:hint="eastAsia" w:ascii="宋体" w:hAnsi="宋体" w:eastAsia="宋体" w:cs="宋体"/>
                <w:color w:val="auto"/>
                <w:sz w:val="24"/>
                <w:szCs w:val="24"/>
                <w:highlight w:val="none"/>
              </w:rPr>
            </w:pPr>
          </w:p>
        </w:tc>
        <w:tc>
          <w:tcPr>
            <w:tcW w:w="932" w:type="dxa"/>
            <w:tcBorders>
              <w:top w:val="single" w:color="auto" w:sz="4" w:space="0"/>
              <w:left w:val="single" w:color="auto" w:sz="4" w:space="0"/>
              <w:bottom w:val="single" w:color="auto" w:sz="4" w:space="0"/>
              <w:right w:val="single" w:color="auto" w:sz="4" w:space="0"/>
            </w:tcBorders>
            <w:noWrap w:val="0"/>
            <w:vAlign w:val="center"/>
          </w:tcPr>
          <w:p w14:paraId="322014D4">
            <w:pPr>
              <w:spacing w:line="360" w:lineRule="auto"/>
              <w:rPr>
                <w:rFonts w:hint="eastAsia" w:ascii="宋体" w:hAnsi="宋体" w:eastAsia="宋体" w:cs="宋体"/>
                <w:color w:val="auto"/>
                <w:sz w:val="24"/>
                <w:szCs w:val="24"/>
                <w:highlight w:val="none"/>
              </w:rPr>
            </w:pPr>
          </w:p>
        </w:tc>
        <w:tc>
          <w:tcPr>
            <w:tcW w:w="933" w:type="dxa"/>
            <w:tcBorders>
              <w:top w:val="single" w:color="auto" w:sz="4" w:space="0"/>
              <w:left w:val="single" w:color="auto" w:sz="4" w:space="0"/>
              <w:bottom w:val="single" w:color="auto" w:sz="4" w:space="0"/>
              <w:right w:val="single" w:color="auto" w:sz="4" w:space="0"/>
            </w:tcBorders>
            <w:noWrap w:val="0"/>
            <w:vAlign w:val="center"/>
          </w:tcPr>
          <w:p w14:paraId="424EB6D9">
            <w:pPr>
              <w:spacing w:line="360" w:lineRule="auto"/>
              <w:rPr>
                <w:rFonts w:hint="eastAsia" w:ascii="宋体" w:hAnsi="宋体" w:eastAsia="宋体" w:cs="宋体"/>
                <w:color w:val="auto"/>
                <w:sz w:val="24"/>
                <w:szCs w:val="24"/>
                <w:highlight w:val="none"/>
              </w:rPr>
            </w:pPr>
          </w:p>
        </w:tc>
      </w:tr>
      <w:tr w14:paraId="3586E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23" w:hRule="atLeast"/>
        </w:trPr>
        <w:tc>
          <w:tcPr>
            <w:tcW w:w="520" w:type="dxa"/>
            <w:tcBorders>
              <w:top w:val="single" w:color="auto" w:sz="4" w:space="0"/>
              <w:left w:val="single" w:color="auto" w:sz="4" w:space="0"/>
              <w:bottom w:val="single" w:color="auto" w:sz="4" w:space="0"/>
              <w:right w:val="single" w:color="auto" w:sz="4" w:space="0"/>
            </w:tcBorders>
            <w:noWrap w:val="0"/>
            <w:vAlign w:val="center"/>
          </w:tcPr>
          <w:p w14:paraId="58FD2A5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2508" w:type="dxa"/>
            <w:gridSpan w:val="2"/>
            <w:tcBorders>
              <w:top w:val="single" w:color="auto" w:sz="4" w:space="0"/>
              <w:left w:val="single" w:color="auto" w:sz="4" w:space="0"/>
              <w:bottom w:val="single" w:color="auto" w:sz="4" w:space="0"/>
              <w:right w:val="single" w:color="auto" w:sz="4" w:space="0"/>
            </w:tcBorders>
            <w:noWrap w:val="0"/>
            <w:vAlign w:val="center"/>
          </w:tcPr>
          <w:p w14:paraId="078B0A30">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安装调试费</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4D3FF139">
            <w:pPr>
              <w:spacing w:line="360" w:lineRule="auto"/>
              <w:rPr>
                <w:rFonts w:hint="eastAsia" w:ascii="宋体" w:hAnsi="宋体" w:eastAsia="宋体" w:cs="宋体"/>
                <w:color w:val="auto"/>
                <w:sz w:val="24"/>
                <w:szCs w:val="24"/>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14:paraId="6FC1DD74">
            <w:pPr>
              <w:spacing w:line="360" w:lineRule="auto"/>
              <w:rPr>
                <w:rFonts w:hint="eastAsia" w:ascii="宋体" w:hAnsi="宋体" w:eastAsia="宋体" w:cs="宋体"/>
                <w:color w:val="auto"/>
                <w:sz w:val="24"/>
                <w:szCs w:val="24"/>
                <w:highlight w:val="none"/>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43B0D9FA">
            <w:pPr>
              <w:spacing w:line="360" w:lineRule="auto"/>
              <w:rPr>
                <w:rFonts w:hint="eastAsia" w:ascii="宋体" w:hAnsi="宋体" w:eastAsia="宋体" w:cs="宋体"/>
                <w:color w:val="auto"/>
                <w:sz w:val="24"/>
                <w:szCs w:val="24"/>
                <w:highlight w:val="none"/>
              </w:rPr>
            </w:pPr>
          </w:p>
        </w:tc>
        <w:tc>
          <w:tcPr>
            <w:tcW w:w="932" w:type="dxa"/>
            <w:tcBorders>
              <w:top w:val="single" w:color="auto" w:sz="4" w:space="0"/>
              <w:left w:val="single" w:color="auto" w:sz="4" w:space="0"/>
              <w:bottom w:val="single" w:color="auto" w:sz="4" w:space="0"/>
              <w:right w:val="single" w:color="auto" w:sz="4" w:space="0"/>
            </w:tcBorders>
            <w:noWrap w:val="0"/>
            <w:vAlign w:val="center"/>
          </w:tcPr>
          <w:p w14:paraId="1EA836F9">
            <w:pPr>
              <w:spacing w:line="360" w:lineRule="auto"/>
              <w:rPr>
                <w:rFonts w:hint="eastAsia" w:ascii="宋体" w:hAnsi="宋体" w:eastAsia="宋体" w:cs="宋体"/>
                <w:color w:val="auto"/>
                <w:sz w:val="24"/>
                <w:szCs w:val="24"/>
                <w:highlight w:val="none"/>
              </w:rPr>
            </w:pPr>
          </w:p>
        </w:tc>
        <w:tc>
          <w:tcPr>
            <w:tcW w:w="932" w:type="dxa"/>
            <w:tcBorders>
              <w:top w:val="single" w:color="auto" w:sz="4" w:space="0"/>
              <w:left w:val="single" w:color="auto" w:sz="4" w:space="0"/>
              <w:bottom w:val="single" w:color="auto" w:sz="4" w:space="0"/>
              <w:right w:val="single" w:color="auto" w:sz="4" w:space="0"/>
            </w:tcBorders>
            <w:noWrap w:val="0"/>
            <w:vAlign w:val="center"/>
          </w:tcPr>
          <w:p w14:paraId="31A33887">
            <w:pPr>
              <w:spacing w:line="360" w:lineRule="auto"/>
              <w:rPr>
                <w:rFonts w:hint="eastAsia" w:ascii="宋体" w:hAnsi="宋体" w:eastAsia="宋体" w:cs="宋体"/>
                <w:color w:val="auto"/>
                <w:sz w:val="24"/>
                <w:szCs w:val="24"/>
                <w:highlight w:val="none"/>
              </w:rPr>
            </w:pPr>
          </w:p>
        </w:tc>
        <w:tc>
          <w:tcPr>
            <w:tcW w:w="933" w:type="dxa"/>
            <w:tcBorders>
              <w:top w:val="single" w:color="auto" w:sz="4" w:space="0"/>
              <w:left w:val="single" w:color="auto" w:sz="4" w:space="0"/>
              <w:bottom w:val="single" w:color="auto" w:sz="4" w:space="0"/>
              <w:right w:val="single" w:color="auto" w:sz="4" w:space="0"/>
            </w:tcBorders>
            <w:noWrap w:val="0"/>
            <w:vAlign w:val="center"/>
          </w:tcPr>
          <w:p w14:paraId="55C227BE">
            <w:pPr>
              <w:spacing w:line="360" w:lineRule="auto"/>
              <w:rPr>
                <w:rFonts w:hint="eastAsia" w:ascii="宋体" w:hAnsi="宋体" w:eastAsia="宋体" w:cs="宋体"/>
                <w:color w:val="auto"/>
                <w:sz w:val="24"/>
                <w:szCs w:val="24"/>
                <w:highlight w:val="none"/>
              </w:rPr>
            </w:pPr>
          </w:p>
        </w:tc>
      </w:tr>
      <w:tr w14:paraId="00FDB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23" w:hRule="atLeast"/>
        </w:trPr>
        <w:tc>
          <w:tcPr>
            <w:tcW w:w="520" w:type="dxa"/>
            <w:tcBorders>
              <w:top w:val="single" w:color="auto" w:sz="4" w:space="0"/>
              <w:left w:val="single" w:color="auto" w:sz="4" w:space="0"/>
              <w:bottom w:val="single" w:color="auto" w:sz="4" w:space="0"/>
              <w:right w:val="single" w:color="auto" w:sz="4" w:space="0"/>
            </w:tcBorders>
            <w:noWrap w:val="0"/>
            <w:vAlign w:val="center"/>
          </w:tcPr>
          <w:p w14:paraId="656C3AD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2508" w:type="dxa"/>
            <w:gridSpan w:val="2"/>
            <w:tcBorders>
              <w:top w:val="single" w:color="auto" w:sz="4" w:space="0"/>
              <w:left w:val="single" w:color="auto" w:sz="4" w:space="0"/>
              <w:bottom w:val="single" w:color="auto" w:sz="4" w:space="0"/>
              <w:right w:val="single" w:color="auto" w:sz="4" w:space="0"/>
            </w:tcBorders>
            <w:noWrap w:val="0"/>
            <w:vAlign w:val="center"/>
          </w:tcPr>
          <w:p w14:paraId="6746E92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检验培训费</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1238E5DA">
            <w:pPr>
              <w:spacing w:line="360" w:lineRule="auto"/>
              <w:rPr>
                <w:rFonts w:hint="eastAsia" w:ascii="宋体" w:hAnsi="宋体" w:eastAsia="宋体" w:cs="宋体"/>
                <w:color w:val="auto"/>
                <w:sz w:val="24"/>
                <w:szCs w:val="24"/>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14:paraId="6DB147DD">
            <w:pPr>
              <w:spacing w:line="360" w:lineRule="auto"/>
              <w:rPr>
                <w:rFonts w:hint="eastAsia" w:ascii="宋体" w:hAnsi="宋体" w:eastAsia="宋体" w:cs="宋体"/>
                <w:color w:val="auto"/>
                <w:sz w:val="24"/>
                <w:szCs w:val="24"/>
                <w:highlight w:val="none"/>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15604AF8">
            <w:pPr>
              <w:spacing w:line="360" w:lineRule="auto"/>
              <w:rPr>
                <w:rFonts w:hint="eastAsia" w:ascii="宋体" w:hAnsi="宋体" w:eastAsia="宋体" w:cs="宋体"/>
                <w:color w:val="auto"/>
                <w:sz w:val="24"/>
                <w:szCs w:val="24"/>
                <w:highlight w:val="none"/>
              </w:rPr>
            </w:pPr>
          </w:p>
        </w:tc>
        <w:tc>
          <w:tcPr>
            <w:tcW w:w="932" w:type="dxa"/>
            <w:tcBorders>
              <w:top w:val="single" w:color="auto" w:sz="4" w:space="0"/>
              <w:left w:val="single" w:color="auto" w:sz="4" w:space="0"/>
              <w:bottom w:val="single" w:color="auto" w:sz="4" w:space="0"/>
              <w:right w:val="single" w:color="auto" w:sz="4" w:space="0"/>
            </w:tcBorders>
            <w:noWrap w:val="0"/>
            <w:vAlign w:val="center"/>
          </w:tcPr>
          <w:p w14:paraId="138541A2">
            <w:pPr>
              <w:spacing w:line="360" w:lineRule="auto"/>
              <w:rPr>
                <w:rFonts w:hint="eastAsia" w:ascii="宋体" w:hAnsi="宋体" w:eastAsia="宋体" w:cs="宋体"/>
                <w:color w:val="auto"/>
                <w:sz w:val="24"/>
                <w:szCs w:val="24"/>
                <w:highlight w:val="none"/>
              </w:rPr>
            </w:pPr>
          </w:p>
        </w:tc>
        <w:tc>
          <w:tcPr>
            <w:tcW w:w="932" w:type="dxa"/>
            <w:tcBorders>
              <w:top w:val="single" w:color="auto" w:sz="4" w:space="0"/>
              <w:left w:val="single" w:color="auto" w:sz="4" w:space="0"/>
              <w:bottom w:val="single" w:color="auto" w:sz="4" w:space="0"/>
              <w:right w:val="single" w:color="auto" w:sz="4" w:space="0"/>
            </w:tcBorders>
            <w:noWrap w:val="0"/>
            <w:vAlign w:val="center"/>
          </w:tcPr>
          <w:p w14:paraId="6FD6BE97">
            <w:pPr>
              <w:spacing w:line="360" w:lineRule="auto"/>
              <w:rPr>
                <w:rFonts w:hint="eastAsia" w:ascii="宋体" w:hAnsi="宋体" w:eastAsia="宋体" w:cs="宋体"/>
                <w:color w:val="auto"/>
                <w:sz w:val="24"/>
                <w:szCs w:val="24"/>
                <w:highlight w:val="none"/>
              </w:rPr>
            </w:pPr>
          </w:p>
        </w:tc>
        <w:tc>
          <w:tcPr>
            <w:tcW w:w="933" w:type="dxa"/>
            <w:tcBorders>
              <w:top w:val="single" w:color="auto" w:sz="4" w:space="0"/>
              <w:left w:val="single" w:color="auto" w:sz="4" w:space="0"/>
              <w:bottom w:val="single" w:color="auto" w:sz="4" w:space="0"/>
              <w:right w:val="single" w:color="auto" w:sz="4" w:space="0"/>
            </w:tcBorders>
            <w:noWrap w:val="0"/>
            <w:vAlign w:val="center"/>
          </w:tcPr>
          <w:p w14:paraId="3E9530BF">
            <w:pPr>
              <w:spacing w:line="360" w:lineRule="auto"/>
              <w:rPr>
                <w:rFonts w:hint="eastAsia" w:ascii="宋体" w:hAnsi="宋体" w:eastAsia="宋体" w:cs="宋体"/>
                <w:color w:val="auto"/>
                <w:sz w:val="24"/>
                <w:szCs w:val="24"/>
                <w:highlight w:val="none"/>
              </w:rPr>
            </w:pPr>
          </w:p>
        </w:tc>
      </w:tr>
      <w:tr w14:paraId="20C8B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23" w:hRule="atLeast"/>
        </w:trPr>
        <w:tc>
          <w:tcPr>
            <w:tcW w:w="520" w:type="dxa"/>
            <w:tcBorders>
              <w:top w:val="single" w:color="auto" w:sz="4" w:space="0"/>
              <w:left w:val="single" w:color="auto" w:sz="4" w:space="0"/>
              <w:bottom w:val="single" w:color="auto" w:sz="4" w:space="0"/>
              <w:right w:val="single" w:color="auto" w:sz="4" w:space="0"/>
            </w:tcBorders>
            <w:noWrap w:val="0"/>
            <w:vAlign w:val="center"/>
          </w:tcPr>
          <w:p w14:paraId="1262EE7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2508" w:type="dxa"/>
            <w:gridSpan w:val="2"/>
            <w:tcBorders>
              <w:top w:val="single" w:color="auto" w:sz="4" w:space="0"/>
              <w:left w:val="single" w:color="auto" w:sz="4" w:space="0"/>
              <w:bottom w:val="single" w:color="auto" w:sz="4" w:space="0"/>
              <w:right w:val="single" w:color="auto" w:sz="4" w:space="0"/>
            </w:tcBorders>
            <w:noWrap w:val="0"/>
            <w:vAlign w:val="center"/>
          </w:tcPr>
          <w:p w14:paraId="0DAECA0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运输费用</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0846978F">
            <w:pPr>
              <w:spacing w:line="360" w:lineRule="auto"/>
              <w:rPr>
                <w:rFonts w:hint="eastAsia" w:ascii="宋体" w:hAnsi="宋体" w:eastAsia="宋体" w:cs="宋体"/>
                <w:color w:val="auto"/>
                <w:sz w:val="24"/>
                <w:szCs w:val="24"/>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14:paraId="73DCA67A">
            <w:pPr>
              <w:spacing w:line="360" w:lineRule="auto"/>
              <w:rPr>
                <w:rFonts w:hint="eastAsia" w:ascii="宋体" w:hAnsi="宋体" w:eastAsia="宋体" w:cs="宋体"/>
                <w:color w:val="auto"/>
                <w:sz w:val="24"/>
                <w:szCs w:val="24"/>
                <w:highlight w:val="none"/>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5108F98E">
            <w:pPr>
              <w:spacing w:line="360" w:lineRule="auto"/>
              <w:rPr>
                <w:rFonts w:hint="eastAsia" w:ascii="宋体" w:hAnsi="宋体" w:eastAsia="宋体" w:cs="宋体"/>
                <w:color w:val="auto"/>
                <w:sz w:val="24"/>
                <w:szCs w:val="24"/>
                <w:highlight w:val="none"/>
              </w:rPr>
            </w:pPr>
          </w:p>
        </w:tc>
        <w:tc>
          <w:tcPr>
            <w:tcW w:w="932" w:type="dxa"/>
            <w:tcBorders>
              <w:top w:val="single" w:color="auto" w:sz="4" w:space="0"/>
              <w:left w:val="single" w:color="auto" w:sz="4" w:space="0"/>
              <w:bottom w:val="single" w:color="auto" w:sz="4" w:space="0"/>
              <w:right w:val="single" w:color="auto" w:sz="4" w:space="0"/>
            </w:tcBorders>
            <w:noWrap w:val="0"/>
            <w:vAlign w:val="center"/>
          </w:tcPr>
          <w:p w14:paraId="5EE6655C">
            <w:pPr>
              <w:spacing w:line="360" w:lineRule="auto"/>
              <w:rPr>
                <w:rFonts w:hint="eastAsia" w:ascii="宋体" w:hAnsi="宋体" w:eastAsia="宋体" w:cs="宋体"/>
                <w:color w:val="auto"/>
                <w:sz w:val="24"/>
                <w:szCs w:val="24"/>
                <w:highlight w:val="none"/>
              </w:rPr>
            </w:pPr>
          </w:p>
        </w:tc>
        <w:tc>
          <w:tcPr>
            <w:tcW w:w="932" w:type="dxa"/>
            <w:tcBorders>
              <w:top w:val="single" w:color="auto" w:sz="4" w:space="0"/>
              <w:left w:val="single" w:color="auto" w:sz="4" w:space="0"/>
              <w:bottom w:val="single" w:color="auto" w:sz="4" w:space="0"/>
              <w:right w:val="single" w:color="auto" w:sz="4" w:space="0"/>
            </w:tcBorders>
            <w:noWrap w:val="0"/>
            <w:vAlign w:val="center"/>
          </w:tcPr>
          <w:p w14:paraId="5C86707A">
            <w:pPr>
              <w:spacing w:line="360" w:lineRule="auto"/>
              <w:rPr>
                <w:rFonts w:hint="eastAsia" w:ascii="宋体" w:hAnsi="宋体" w:eastAsia="宋体" w:cs="宋体"/>
                <w:color w:val="auto"/>
                <w:sz w:val="24"/>
                <w:szCs w:val="24"/>
                <w:highlight w:val="none"/>
              </w:rPr>
            </w:pPr>
          </w:p>
        </w:tc>
        <w:tc>
          <w:tcPr>
            <w:tcW w:w="933" w:type="dxa"/>
            <w:tcBorders>
              <w:top w:val="single" w:color="auto" w:sz="4" w:space="0"/>
              <w:left w:val="single" w:color="auto" w:sz="4" w:space="0"/>
              <w:bottom w:val="single" w:color="auto" w:sz="4" w:space="0"/>
              <w:right w:val="single" w:color="auto" w:sz="4" w:space="0"/>
            </w:tcBorders>
            <w:noWrap w:val="0"/>
            <w:vAlign w:val="center"/>
          </w:tcPr>
          <w:p w14:paraId="10F7C4E6">
            <w:pPr>
              <w:spacing w:line="360" w:lineRule="auto"/>
              <w:rPr>
                <w:rFonts w:hint="eastAsia" w:ascii="宋体" w:hAnsi="宋体" w:eastAsia="宋体" w:cs="宋体"/>
                <w:color w:val="auto"/>
                <w:sz w:val="24"/>
                <w:szCs w:val="24"/>
                <w:highlight w:val="none"/>
              </w:rPr>
            </w:pPr>
          </w:p>
        </w:tc>
      </w:tr>
      <w:tr w14:paraId="5A394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23" w:hRule="atLeast"/>
        </w:trPr>
        <w:tc>
          <w:tcPr>
            <w:tcW w:w="520" w:type="dxa"/>
            <w:tcBorders>
              <w:top w:val="single" w:color="auto" w:sz="4" w:space="0"/>
              <w:left w:val="single" w:color="auto" w:sz="4" w:space="0"/>
              <w:bottom w:val="single" w:color="auto" w:sz="4" w:space="0"/>
              <w:right w:val="single" w:color="auto" w:sz="4" w:space="0"/>
            </w:tcBorders>
            <w:noWrap w:val="0"/>
            <w:vAlign w:val="center"/>
          </w:tcPr>
          <w:p w14:paraId="33EE8A6E">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2508" w:type="dxa"/>
            <w:gridSpan w:val="2"/>
            <w:tcBorders>
              <w:top w:val="single" w:color="auto" w:sz="4" w:space="0"/>
              <w:left w:val="single" w:color="auto" w:sz="4" w:space="0"/>
              <w:bottom w:val="single" w:color="auto" w:sz="4" w:space="0"/>
              <w:right w:val="single" w:color="auto" w:sz="4" w:space="0"/>
            </w:tcBorders>
            <w:noWrap w:val="0"/>
            <w:vAlign w:val="center"/>
          </w:tcPr>
          <w:p w14:paraId="11EE96F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保险费用</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0CA59069">
            <w:pPr>
              <w:spacing w:line="360" w:lineRule="auto"/>
              <w:rPr>
                <w:rFonts w:hint="eastAsia" w:ascii="宋体" w:hAnsi="宋体" w:eastAsia="宋体" w:cs="宋体"/>
                <w:color w:val="auto"/>
                <w:sz w:val="24"/>
                <w:szCs w:val="24"/>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14:paraId="36CCDEE9">
            <w:pPr>
              <w:spacing w:line="360" w:lineRule="auto"/>
              <w:rPr>
                <w:rFonts w:hint="eastAsia" w:ascii="宋体" w:hAnsi="宋体" w:eastAsia="宋体" w:cs="宋体"/>
                <w:color w:val="auto"/>
                <w:sz w:val="24"/>
                <w:szCs w:val="24"/>
                <w:highlight w:val="none"/>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76FA5937">
            <w:pPr>
              <w:spacing w:line="360" w:lineRule="auto"/>
              <w:rPr>
                <w:rFonts w:hint="eastAsia" w:ascii="宋体" w:hAnsi="宋体" w:eastAsia="宋体" w:cs="宋体"/>
                <w:color w:val="auto"/>
                <w:sz w:val="24"/>
                <w:szCs w:val="24"/>
                <w:highlight w:val="none"/>
              </w:rPr>
            </w:pPr>
          </w:p>
        </w:tc>
        <w:tc>
          <w:tcPr>
            <w:tcW w:w="932" w:type="dxa"/>
            <w:tcBorders>
              <w:top w:val="single" w:color="auto" w:sz="4" w:space="0"/>
              <w:left w:val="single" w:color="auto" w:sz="4" w:space="0"/>
              <w:bottom w:val="single" w:color="auto" w:sz="4" w:space="0"/>
              <w:right w:val="single" w:color="auto" w:sz="4" w:space="0"/>
            </w:tcBorders>
            <w:noWrap w:val="0"/>
            <w:vAlign w:val="center"/>
          </w:tcPr>
          <w:p w14:paraId="38859D53">
            <w:pPr>
              <w:spacing w:line="360" w:lineRule="auto"/>
              <w:rPr>
                <w:rFonts w:hint="eastAsia" w:ascii="宋体" w:hAnsi="宋体" w:eastAsia="宋体" w:cs="宋体"/>
                <w:color w:val="auto"/>
                <w:sz w:val="24"/>
                <w:szCs w:val="24"/>
                <w:highlight w:val="none"/>
              </w:rPr>
            </w:pPr>
          </w:p>
        </w:tc>
        <w:tc>
          <w:tcPr>
            <w:tcW w:w="932" w:type="dxa"/>
            <w:tcBorders>
              <w:top w:val="single" w:color="auto" w:sz="4" w:space="0"/>
              <w:left w:val="single" w:color="auto" w:sz="4" w:space="0"/>
              <w:bottom w:val="single" w:color="auto" w:sz="4" w:space="0"/>
              <w:right w:val="single" w:color="auto" w:sz="4" w:space="0"/>
            </w:tcBorders>
            <w:noWrap w:val="0"/>
            <w:vAlign w:val="center"/>
          </w:tcPr>
          <w:p w14:paraId="1EA198AB">
            <w:pPr>
              <w:spacing w:line="360" w:lineRule="auto"/>
              <w:rPr>
                <w:rFonts w:hint="eastAsia" w:ascii="宋体" w:hAnsi="宋体" w:eastAsia="宋体" w:cs="宋体"/>
                <w:color w:val="auto"/>
                <w:sz w:val="24"/>
                <w:szCs w:val="24"/>
                <w:highlight w:val="none"/>
              </w:rPr>
            </w:pPr>
          </w:p>
        </w:tc>
        <w:tc>
          <w:tcPr>
            <w:tcW w:w="933" w:type="dxa"/>
            <w:tcBorders>
              <w:top w:val="single" w:color="auto" w:sz="4" w:space="0"/>
              <w:left w:val="single" w:color="auto" w:sz="4" w:space="0"/>
              <w:bottom w:val="single" w:color="auto" w:sz="4" w:space="0"/>
              <w:right w:val="single" w:color="auto" w:sz="4" w:space="0"/>
            </w:tcBorders>
            <w:noWrap w:val="0"/>
            <w:vAlign w:val="center"/>
          </w:tcPr>
          <w:p w14:paraId="2858F9BA">
            <w:pPr>
              <w:spacing w:line="360" w:lineRule="auto"/>
              <w:rPr>
                <w:rFonts w:hint="eastAsia" w:ascii="宋体" w:hAnsi="宋体" w:eastAsia="宋体" w:cs="宋体"/>
                <w:color w:val="auto"/>
                <w:sz w:val="24"/>
                <w:szCs w:val="24"/>
                <w:highlight w:val="none"/>
              </w:rPr>
            </w:pPr>
          </w:p>
        </w:tc>
      </w:tr>
      <w:tr w14:paraId="52291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23" w:hRule="atLeast"/>
        </w:trPr>
        <w:tc>
          <w:tcPr>
            <w:tcW w:w="520" w:type="dxa"/>
            <w:vMerge w:val="restart"/>
            <w:tcBorders>
              <w:top w:val="single" w:color="auto" w:sz="4" w:space="0"/>
              <w:left w:val="single" w:color="auto" w:sz="4" w:space="0"/>
              <w:bottom w:val="single" w:color="auto" w:sz="4" w:space="0"/>
              <w:right w:val="single" w:color="auto" w:sz="4" w:space="0"/>
            </w:tcBorders>
            <w:noWrap w:val="0"/>
            <w:vAlign w:val="center"/>
          </w:tcPr>
          <w:p w14:paraId="6FA76D0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1108" w:type="dxa"/>
            <w:vMerge w:val="restart"/>
            <w:tcBorders>
              <w:top w:val="single" w:color="auto" w:sz="4" w:space="0"/>
              <w:left w:val="single" w:color="auto" w:sz="4" w:space="0"/>
              <w:bottom w:val="single" w:color="auto" w:sz="4" w:space="0"/>
              <w:right w:val="single" w:color="auto" w:sz="4" w:space="0"/>
            </w:tcBorders>
            <w:noWrap w:val="0"/>
            <w:vAlign w:val="center"/>
          </w:tcPr>
          <w:p w14:paraId="3A9EF855">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投标价格</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2204B4C6">
            <w:pPr>
              <w:spacing w:line="360" w:lineRule="auto"/>
              <w:rPr>
                <w:rFonts w:hint="eastAsia" w:ascii="宋体" w:hAnsi="宋体" w:eastAsia="宋体" w:cs="宋体"/>
                <w:color w:val="auto"/>
                <w:sz w:val="24"/>
                <w:szCs w:val="24"/>
                <w:highlight w:val="none"/>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14:paraId="7873B739">
            <w:pPr>
              <w:spacing w:line="360" w:lineRule="auto"/>
              <w:rPr>
                <w:rFonts w:hint="eastAsia" w:ascii="宋体" w:hAnsi="宋体" w:eastAsia="宋体" w:cs="宋体"/>
                <w:color w:val="auto"/>
                <w:sz w:val="24"/>
                <w:szCs w:val="24"/>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14:paraId="50309C61">
            <w:pPr>
              <w:spacing w:line="360" w:lineRule="auto"/>
              <w:rPr>
                <w:rFonts w:hint="eastAsia" w:ascii="宋体" w:hAnsi="宋体" w:eastAsia="宋体" w:cs="宋体"/>
                <w:color w:val="auto"/>
                <w:sz w:val="24"/>
                <w:szCs w:val="24"/>
                <w:highlight w:val="none"/>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3E3BF1D7">
            <w:pPr>
              <w:spacing w:line="360" w:lineRule="auto"/>
              <w:rPr>
                <w:rFonts w:hint="eastAsia" w:ascii="宋体" w:hAnsi="宋体" w:eastAsia="宋体" w:cs="宋体"/>
                <w:color w:val="auto"/>
                <w:sz w:val="24"/>
                <w:szCs w:val="24"/>
                <w:highlight w:val="none"/>
              </w:rPr>
            </w:pPr>
          </w:p>
        </w:tc>
        <w:tc>
          <w:tcPr>
            <w:tcW w:w="932" w:type="dxa"/>
            <w:tcBorders>
              <w:top w:val="single" w:color="auto" w:sz="4" w:space="0"/>
              <w:left w:val="single" w:color="auto" w:sz="4" w:space="0"/>
              <w:bottom w:val="single" w:color="auto" w:sz="4" w:space="0"/>
              <w:right w:val="single" w:color="auto" w:sz="4" w:space="0"/>
            </w:tcBorders>
            <w:noWrap w:val="0"/>
            <w:vAlign w:val="center"/>
          </w:tcPr>
          <w:p w14:paraId="4B616523">
            <w:pPr>
              <w:spacing w:line="360" w:lineRule="auto"/>
              <w:rPr>
                <w:rFonts w:hint="eastAsia" w:ascii="宋体" w:hAnsi="宋体" w:eastAsia="宋体" w:cs="宋体"/>
                <w:color w:val="auto"/>
                <w:sz w:val="24"/>
                <w:szCs w:val="24"/>
                <w:highlight w:val="none"/>
              </w:rPr>
            </w:pPr>
          </w:p>
        </w:tc>
        <w:tc>
          <w:tcPr>
            <w:tcW w:w="932" w:type="dxa"/>
            <w:tcBorders>
              <w:top w:val="single" w:color="auto" w:sz="4" w:space="0"/>
              <w:left w:val="single" w:color="auto" w:sz="4" w:space="0"/>
              <w:bottom w:val="single" w:color="auto" w:sz="4" w:space="0"/>
              <w:right w:val="single" w:color="auto" w:sz="4" w:space="0"/>
            </w:tcBorders>
            <w:noWrap w:val="0"/>
            <w:vAlign w:val="center"/>
          </w:tcPr>
          <w:p w14:paraId="5C5D651D">
            <w:pPr>
              <w:spacing w:line="360" w:lineRule="auto"/>
              <w:rPr>
                <w:rFonts w:hint="eastAsia" w:ascii="宋体" w:hAnsi="宋体" w:eastAsia="宋体" w:cs="宋体"/>
                <w:color w:val="auto"/>
                <w:sz w:val="24"/>
                <w:szCs w:val="24"/>
                <w:highlight w:val="none"/>
              </w:rPr>
            </w:pPr>
          </w:p>
        </w:tc>
        <w:tc>
          <w:tcPr>
            <w:tcW w:w="933" w:type="dxa"/>
            <w:tcBorders>
              <w:top w:val="single" w:color="auto" w:sz="4" w:space="0"/>
              <w:left w:val="single" w:color="auto" w:sz="4" w:space="0"/>
              <w:bottom w:val="single" w:color="auto" w:sz="4" w:space="0"/>
              <w:right w:val="single" w:color="auto" w:sz="4" w:space="0"/>
            </w:tcBorders>
            <w:noWrap w:val="0"/>
            <w:vAlign w:val="center"/>
          </w:tcPr>
          <w:p w14:paraId="2B45FDB9">
            <w:pPr>
              <w:spacing w:line="360" w:lineRule="auto"/>
              <w:rPr>
                <w:rFonts w:hint="eastAsia" w:ascii="宋体" w:hAnsi="宋体" w:eastAsia="宋体" w:cs="宋体"/>
                <w:color w:val="auto"/>
                <w:sz w:val="24"/>
                <w:szCs w:val="24"/>
                <w:highlight w:val="none"/>
              </w:rPr>
            </w:pPr>
          </w:p>
        </w:tc>
      </w:tr>
      <w:tr w14:paraId="1D882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23" w:hRule="atLeast"/>
        </w:trPr>
        <w:tc>
          <w:tcPr>
            <w:tcW w:w="520" w:type="dxa"/>
            <w:vMerge w:val="continue"/>
            <w:tcBorders>
              <w:top w:val="single" w:color="auto" w:sz="4" w:space="0"/>
              <w:left w:val="single" w:color="auto" w:sz="4" w:space="0"/>
              <w:bottom w:val="single" w:color="auto" w:sz="4" w:space="0"/>
              <w:right w:val="single" w:color="auto" w:sz="4" w:space="0"/>
            </w:tcBorders>
            <w:noWrap w:val="0"/>
            <w:vAlign w:val="center"/>
          </w:tcPr>
          <w:p w14:paraId="622C279B">
            <w:pPr>
              <w:widowControl/>
              <w:spacing w:line="360" w:lineRule="auto"/>
              <w:jc w:val="left"/>
              <w:rPr>
                <w:rFonts w:hint="eastAsia" w:ascii="宋体" w:hAnsi="宋体" w:eastAsia="宋体" w:cs="宋体"/>
                <w:color w:val="auto"/>
                <w:sz w:val="24"/>
                <w:szCs w:val="24"/>
                <w:highlight w:val="none"/>
              </w:rPr>
            </w:pPr>
          </w:p>
        </w:tc>
        <w:tc>
          <w:tcPr>
            <w:tcW w:w="1108" w:type="dxa"/>
            <w:vMerge w:val="continue"/>
            <w:tcBorders>
              <w:top w:val="single" w:color="auto" w:sz="4" w:space="0"/>
              <w:left w:val="single" w:color="auto" w:sz="4" w:space="0"/>
              <w:bottom w:val="single" w:color="auto" w:sz="4" w:space="0"/>
              <w:right w:val="single" w:color="auto" w:sz="4" w:space="0"/>
            </w:tcBorders>
            <w:noWrap w:val="0"/>
            <w:vAlign w:val="center"/>
          </w:tcPr>
          <w:p w14:paraId="700DFB4F">
            <w:pPr>
              <w:widowControl/>
              <w:spacing w:line="360" w:lineRule="auto"/>
              <w:jc w:val="left"/>
              <w:rPr>
                <w:rFonts w:hint="eastAsia" w:ascii="宋体" w:hAnsi="宋体" w:eastAsia="宋体" w:cs="宋体"/>
                <w:color w:val="auto"/>
                <w:sz w:val="24"/>
                <w:szCs w:val="24"/>
                <w:highlight w:val="none"/>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79CCE357">
            <w:pPr>
              <w:spacing w:line="360" w:lineRule="auto"/>
              <w:rPr>
                <w:rFonts w:hint="eastAsia" w:ascii="宋体" w:hAnsi="宋体" w:eastAsia="宋体" w:cs="宋体"/>
                <w:color w:val="auto"/>
                <w:sz w:val="24"/>
                <w:szCs w:val="24"/>
                <w:highlight w:val="none"/>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14:paraId="4834FA03">
            <w:pPr>
              <w:spacing w:line="360" w:lineRule="auto"/>
              <w:rPr>
                <w:rFonts w:hint="eastAsia" w:ascii="宋体" w:hAnsi="宋体" w:eastAsia="宋体" w:cs="宋体"/>
                <w:color w:val="auto"/>
                <w:sz w:val="24"/>
                <w:szCs w:val="24"/>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14:paraId="22768263">
            <w:pPr>
              <w:spacing w:line="360" w:lineRule="auto"/>
              <w:rPr>
                <w:rFonts w:hint="eastAsia" w:ascii="宋体" w:hAnsi="宋体" w:eastAsia="宋体" w:cs="宋体"/>
                <w:color w:val="auto"/>
                <w:sz w:val="24"/>
                <w:szCs w:val="24"/>
                <w:highlight w:val="none"/>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4568A2D9">
            <w:pPr>
              <w:spacing w:line="360" w:lineRule="auto"/>
              <w:rPr>
                <w:rFonts w:hint="eastAsia" w:ascii="宋体" w:hAnsi="宋体" w:eastAsia="宋体" w:cs="宋体"/>
                <w:color w:val="auto"/>
                <w:sz w:val="24"/>
                <w:szCs w:val="24"/>
                <w:highlight w:val="none"/>
              </w:rPr>
            </w:pPr>
          </w:p>
        </w:tc>
        <w:tc>
          <w:tcPr>
            <w:tcW w:w="932" w:type="dxa"/>
            <w:tcBorders>
              <w:top w:val="single" w:color="auto" w:sz="4" w:space="0"/>
              <w:left w:val="single" w:color="auto" w:sz="4" w:space="0"/>
              <w:bottom w:val="single" w:color="auto" w:sz="4" w:space="0"/>
              <w:right w:val="single" w:color="auto" w:sz="4" w:space="0"/>
            </w:tcBorders>
            <w:noWrap w:val="0"/>
            <w:vAlign w:val="center"/>
          </w:tcPr>
          <w:p w14:paraId="48A3B7AC">
            <w:pPr>
              <w:spacing w:line="360" w:lineRule="auto"/>
              <w:rPr>
                <w:rFonts w:hint="eastAsia" w:ascii="宋体" w:hAnsi="宋体" w:eastAsia="宋体" w:cs="宋体"/>
                <w:color w:val="auto"/>
                <w:sz w:val="24"/>
                <w:szCs w:val="24"/>
                <w:highlight w:val="none"/>
              </w:rPr>
            </w:pPr>
          </w:p>
        </w:tc>
        <w:tc>
          <w:tcPr>
            <w:tcW w:w="932" w:type="dxa"/>
            <w:tcBorders>
              <w:top w:val="single" w:color="auto" w:sz="4" w:space="0"/>
              <w:left w:val="single" w:color="auto" w:sz="4" w:space="0"/>
              <w:bottom w:val="single" w:color="auto" w:sz="4" w:space="0"/>
              <w:right w:val="single" w:color="auto" w:sz="4" w:space="0"/>
            </w:tcBorders>
            <w:noWrap w:val="0"/>
            <w:vAlign w:val="center"/>
          </w:tcPr>
          <w:p w14:paraId="2821C782">
            <w:pPr>
              <w:spacing w:line="360" w:lineRule="auto"/>
              <w:rPr>
                <w:rFonts w:hint="eastAsia" w:ascii="宋体" w:hAnsi="宋体" w:eastAsia="宋体" w:cs="宋体"/>
                <w:color w:val="auto"/>
                <w:sz w:val="24"/>
                <w:szCs w:val="24"/>
                <w:highlight w:val="none"/>
              </w:rPr>
            </w:pPr>
          </w:p>
        </w:tc>
        <w:tc>
          <w:tcPr>
            <w:tcW w:w="933" w:type="dxa"/>
            <w:tcBorders>
              <w:top w:val="single" w:color="auto" w:sz="4" w:space="0"/>
              <w:left w:val="single" w:color="auto" w:sz="4" w:space="0"/>
              <w:bottom w:val="single" w:color="auto" w:sz="4" w:space="0"/>
              <w:right w:val="single" w:color="auto" w:sz="4" w:space="0"/>
            </w:tcBorders>
            <w:noWrap w:val="0"/>
            <w:vAlign w:val="center"/>
          </w:tcPr>
          <w:p w14:paraId="194F58A4">
            <w:pPr>
              <w:spacing w:line="360" w:lineRule="auto"/>
              <w:rPr>
                <w:rFonts w:hint="eastAsia" w:ascii="宋体" w:hAnsi="宋体" w:eastAsia="宋体" w:cs="宋体"/>
                <w:color w:val="auto"/>
                <w:sz w:val="24"/>
                <w:szCs w:val="24"/>
                <w:highlight w:val="none"/>
              </w:rPr>
            </w:pPr>
          </w:p>
        </w:tc>
      </w:tr>
      <w:tr w14:paraId="421F5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23" w:hRule="atLeast"/>
        </w:trPr>
        <w:tc>
          <w:tcPr>
            <w:tcW w:w="520" w:type="dxa"/>
            <w:tcBorders>
              <w:top w:val="single" w:color="auto" w:sz="4" w:space="0"/>
              <w:left w:val="single" w:color="auto" w:sz="4" w:space="0"/>
              <w:bottom w:val="single" w:color="auto" w:sz="4" w:space="0"/>
              <w:right w:val="single" w:color="auto" w:sz="4" w:space="0"/>
            </w:tcBorders>
            <w:noWrap w:val="0"/>
            <w:vAlign w:val="center"/>
          </w:tcPr>
          <w:p w14:paraId="03D7D58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2508" w:type="dxa"/>
            <w:gridSpan w:val="2"/>
            <w:tcBorders>
              <w:top w:val="single" w:color="auto" w:sz="4" w:space="0"/>
              <w:left w:val="single" w:color="auto" w:sz="4" w:space="0"/>
              <w:bottom w:val="single" w:color="auto" w:sz="4" w:space="0"/>
              <w:right w:val="single" w:color="auto" w:sz="4" w:space="0"/>
            </w:tcBorders>
            <w:noWrap w:val="0"/>
            <w:vAlign w:val="center"/>
          </w:tcPr>
          <w:p w14:paraId="77F0592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投标总价</w:t>
            </w:r>
          </w:p>
        </w:tc>
        <w:tc>
          <w:tcPr>
            <w:tcW w:w="5858" w:type="dxa"/>
            <w:gridSpan w:val="6"/>
            <w:tcBorders>
              <w:top w:val="single" w:color="auto" w:sz="4" w:space="0"/>
              <w:left w:val="single" w:color="auto" w:sz="4" w:space="0"/>
              <w:bottom w:val="single" w:color="auto" w:sz="4" w:space="0"/>
              <w:right w:val="single" w:color="auto" w:sz="4" w:space="0"/>
            </w:tcBorders>
            <w:noWrap w:val="0"/>
            <w:vAlign w:val="center"/>
          </w:tcPr>
          <w:p w14:paraId="2D3842A3">
            <w:pPr>
              <w:spacing w:line="360" w:lineRule="auto"/>
              <w:rPr>
                <w:rFonts w:hint="eastAsia" w:ascii="宋体" w:hAnsi="宋体" w:eastAsia="宋体" w:cs="宋体"/>
                <w:color w:val="auto"/>
                <w:sz w:val="24"/>
                <w:szCs w:val="24"/>
                <w:highlight w:val="none"/>
              </w:rPr>
            </w:pPr>
          </w:p>
        </w:tc>
      </w:tr>
    </w:tbl>
    <w:p w14:paraId="6D70B27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注：1．第1栏投标货物合同包/品目号系指“招标货物一览表”中该货物的合同包/品目号。</w:t>
      </w:r>
    </w:p>
    <w:p w14:paraId="7FA4D1B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2．出厂价投标价格＝栏目6×栏目5（数量）＋栏目7至栏目11的各项费用。</w:t>
      </w:r>
    </w:p>
    <w:p w14:paraId="1C4E7B3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3．现场交货投标价格＝栏目6×栏目5（数量）＋栏目7至栏目13的各项费用。</w:t>
      </w:r>
    </w:p>
    <w:p w14:paraId="0DC0B13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4．选购件价不包括在本报价表内，应另附纸分项单报。</w:t>
      </w:r>
    </w:p>
    <w:p w14:paraId="61C5D05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5．此表第15项投标价若与开标一览表有出入，以开标一览表投标价格为准。</w:t>
      </w:r>
    </w:p>
    <w:p w14:paraId="516109D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rPr>
        <w:t>按货物的不同规格型号详细分项报价，</w:t>
      </w:r>
      <w:r>
        <w:rPr>
          <w:rFonts w:hint="eastAsia" w:ascii="宋体" w:hAnsi="宋体" w:eastAsia="宋体" w:cs="宋体"/>
          <w:color w:val="auto"/>
          <w:sz w:val="24"/>
          <w:szCs w:val="24"/>
          <w:highlight w:val="none"/>
        </w:rPr>
        <w:t>若未详细分项报价将被视为没有实质性响应</w:t>
      </w:r>
      <w:r>
        <w:rPr>
          <w:rFonts w:hint="eastAsia" w:ascii="宋体" w:hAnsi="宋体" w:cs="宋体"/>
          <w:color w:val="auto"/>
          <w:sz w:val="24"/>
          <w:szCs w:val="24"/>
          <w:highlight w:val="none"/>
          <w:lang w:eastAsia="zh-CN"/>
        </w:rPr>
        <w:t>征集文件</w:t>
      </w:r>
      <w:r>
        <w:rPr>
          <w:rFonts w:hint="eastAsia" w:ascii="宋体" w:hAnsi="宋体" w:eastAsia="宋体" w:cs="宋体"/>
          <w:color w:val="auto"/>
          <w:sz w:val="24"/>
          <w:szCs w:val="24"/>
          <w:highlight w:val="none"/>
        </w:rPr>
        <w:t>。</w:t>
      </w:r>
    </w:p>
    <w:p w14:paraId="6F70B7B8">
      <w:pPr>
        <w:widowControl/>
        <w:spacing w:line="360" w:lineRule="auto"/>
        <w:jc w:val="left"/>
        <w:rPr>
          <w:rFonts w:hint="eastAsia" w:ascii="宋体" w:hAnsi="宋体" w:eastAsia="宋体" w:cs="宋体"/>
          <w:color w:val="auto"/>
          <w:sz w:val="24"/>
          <w:szCs w:val="24"/>
          <w:highlight w:val="none"/>
        </w:rPr>
        <w:sectPr>
          <w:pgSz w:w="11907" w:h="16840"/>
          <w:pgMar w:top="1440" w:right="1752" w:bottom="1440" w:left="1752" w:header="851" w:footer="992" w:gutter="0"/>
          <w:cols w:space="720" w:num="1"/>
          <w:docGrid w:type="linesAndChars" w:linePitch="323" w:charSpace="-2"/>
        </w:sectPr>
      </w:pPr>
    </w:p>
    <w:p w14:paraId="15C633D4">
      <w:pPr>
        <w:pStyle w:val="12"/>
        <w:widowControl/>
        <w:spacing w:before="0" w:beforeAutospacing="0" w:after="0" w:afterAutospacing="0" w:line="360" w:lineRule="auto"/>
        <w:jc w:val="center"/>
        <w:outlineLvl w:val="1"/>
        <w:rPr>
          <w:rFonts w:ascii="宋体" w:hAnsi="宋体" w:cs="宋体"/>
          <w:color w:val="auto"/>
          <w:highlight w:val="none"/>
        </w:rPr>
      </w:pPr>
      <w:r>
        <w:rPr>
          <w:rStyle w:val="17"/>
          <w:rFonts w:hint="eastAsia" w:ascii="宋体" w:hAnsi="宋体" w:cs="宋体"/>
          <w:color w:val="auto"/>
          <w:highlight w:val="none"/>
        </w:rPr>
        <w:t>三、征集文件规定的价格扣除证明材料（若有）</w:t>
      </w:r>
    </w:p>
    <w:p w14:paraId="245D026F">
      <w:pPr>
        <w:pStyle w:val="12"/>
        <w:widowControl/>
        <w:spacing w:before="0" w:beforeAutospacing="0" w:after="0" w:afterAutospacing="0" w:line="360" w:lineRule="auto"/>
        <w:jc w:val="center"/>
        <w:rPr>
          <w:rFonts w:ascii="宋体" w:hAnsi="宋体" w:cs="宋体"/>
          <w:color w:val="auto"/>
          <w:highlight w:val="none"/>
        </w:rPr>
      </w:pPr>
      <w:r>
        <w:rPr>
          <w:rStyle w:val="17"/>
          <w:rFonts w:hint="eastAsia" w:ascii="宋体" w:hAnsi="宋体" w:cs="宋体"/>
          <w:color w:val="auto"/>
          <w:highlight w:val="none"/>
        </w:rPr>
        <w:t> </w:t>
      </w:r>
    </w:p>
    <w:p w14:paraId="1AF415F5">
      <w:pPr>
        <w:pStyle w:val="12"/>
        <w:widowControl/>
        <w:spacing w:before="0" w:beforeAutospacing="0" w:after="0" w:afterAutospacing="0" w:line="360" w:lineRule="auto"/>
        <w:jc w:val="center"/>
        <w:rPr>
          <w:rFonts w:ascii="宋体" w:hAnsi="宋体" w:cs="宋体"/>
          <w:color w:val="auto"/>
          <w:highlight w:val="none"/>
        </w:rPr>
      </w:pPr>
      <w:r>
        <w:rPr>
          <w:rStyle w:val="17"/>
          <w:rFonts w:hint="eastAsia" w:ascii="宋体" w:hAnsi="宋体" w:cs="宋体"/>
          <w:color w:val="auto"/>
          <w:highlight w:val="none"/>
        </w:rPr>
        <w:t>三-1优先类环境标志产品价格扣除证明材料（若有）</w:t>
      </w:r>
    </w:p>
    <w:p w14:paraId="36DB4781">
      <w:pPr>
        <w:pStyle w:val="12"/>
        <w:widowControl/>
        <w:spacing w:before="0" w:beforeAutospacing="0" w:after="0" w:afterAutospacing="0" w:line="360" w:lineRule="auto"/>
        <w:jc w:val="center"/>
        <w:rPr>
          <w:rFonts w:ascii="宋体" w:hAnsi="宋体" w:cs="宋体"/>
          <w:color w:val="auto"/>
          <w:highlight w:val="none"/>
        </w:rPr>
      </w:pPr>
      <w:r>
        <w:rPr>
          <w:rStyle w:val="17"/>
          <w:rFonts w:hint="eastAsia" w:ascii="宋体" w:hAnsi="宋体" w:cs="宋体"/>
          <w:color w:val="auto"/>
          <w:highlight w:val="none"/>
        </w:rPr>
        <w:t> </w:t>
      </w:r>
    </w:p>
    <w:p w14:paraId="3DBAE06B">
      <w:pPr>
        <w:pStyle w:val="12"/>
        <w:widowControl/>
        <w:spacing w:before="0" w:beforeAutospacing="0" w:after="0" w:afterAutospacing="0" w:line="360" w:lineRule="auto"/>
        <w:jc w:val="center"/>
        <w:rPr>
          <w:rFonts w:ascii="宋体" w:hAnsi="宋体" w:cs="宋体"/>
          <w:color w:val="auto"/>
          <w:highlight w:val="none"/>
        </w:rPr>
      </w:pPr>
      <w:r>
        <w:rPr>
          <w:rStyle w:val="17"/>
          <w:rFonts w:hint="eastAsia" w:ascii="宋体" w:hAnsi="宋体" w:cs="宋体"/>
          <w:color w:val="auto"/>
          <w:highlight w:val="none"/>
        </w:rPr>
        <w:t>三-1-①优先类环境标志产品统计表（价格扣除适用，若有）</w:t>
      </w:r>
    </w:p>
    <w:p w14:paraId="4CD83D60">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6A6FAD42">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项目编号：</w:t>
      </w:r>
      <w:r>
        <w:rPr>
          <w:rFonts w:hint="eastAsia" w:ascii="宋体" w:hAnsi="宋体" w:cs="宋体"/>
          <w:color w:val="auto"/>
          <w:highlight w:val="none"/>
          <w:u w:val="single"/>
        </w:rPr>
        <w:t>                   </w:t>
      </w:r>
    </w:p>
    <w:p w14:paraId="6BF66B59">
      <w:pPr>
        <w:pStyle w:val="12"/>
        <w:widowControl/>
        <w:spacing w:before="0" w:beforeAutospacing="0" w:after="0" w:afterAutospacing="0" w:line="360" w:lineRule="auto"/>
        <w:ind w:right="480"/>
        <w:rPr>
          <w:rFonts w:ascii="宋体" w:hAnsi="宋体" w:cs="宋体"/>
          <w:color w:val="auto"/>
          <w:highlight w:val="none"/>
        </w:rPr>
      </w:pPr>
      <w:r>
        <w:rPr>
          <w:rFonts w:hint="eastAsia" w:ascii="宋体" w:hAnsi="宋体" w:cs="宋体"/>
          <w:color w:val="auto"/>
          <w:highlight w:val="none"/>
        </w:rPr>
        <w:t>货币及单位：人民币元</w:t>
      </w:r>
    </w:p>
    <w:tbl>
      <w:tblPr>
        <w:tblStyle w:val="14"/>
        <w:tblW w:w="8395" w:type="dxa"/>
        <w:tblCellSpacing w:w="15"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771"/>
        <w:gridCol w:w="840"/>
        <w:gridCol w:w="831"/>
        <w:gridCol w:w="848"/>
        <w:gridCol w:w="831"/>
        <w:gridCol w:w="848"/>
        <w:gridCol w:w="3426"/>
      </w:tblGrid>
      <w:tr w14:paraId="59EAE1C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62" w:hRule="atLeast"/>
          <w:tblCellSpacing w:w="15" w:type="dxa"/>
        </w:trPr>
        <w:tc>
          <w:tcPr>
            <w:tcW w:w="726"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0754E82F">
            <w:pPr>
              <w:widowControl/>
              <w:spacing w:line="360" w:lineRule="auto"/>
              <w:jc w:val="left"/>
              <w:rPr>
                <w:rFonts w:ascii="宋体" w:hAnsi="宋体" w:cs="宋体"/>
                <w:color w:val="auto"/>
                <w:sz w:val="24"/>
                <w:highlight w:val="none"/>
              </w:rPr>
            </w:pPr>
          </w:p>
        </w:tc>
        <w:tc>
          <w:tcPr>
            <w:tcW w:w="7579" w:type="dxa"/>
            <w:gridSpan w:val="6"/>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277EE71C">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本采购包内属于环境标志产品的情况</w:t>
            </w:r>
          </w:p>
        </w:tc>
      </w:tr>
      <w:tr w14:paraId="24142BB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817" w:hRule="atLeast"/>
          <w:tblCellSpacing w:w="15" w:type="dxa"/>
        </w:trPr>
        <w:tc>
          <w:tcPr>
            <w:tcW w:w="726"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46053025">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采购包</w:t>
            </w:r>
          </w:p>
        </w:tc>
        <w:tc>
          <w:tcPr>
            <w:tcW w:w="810"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58C25B14">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品目号</w:t>
            </w:r>
          </w:p>
        </w:tc>
        <w:tc>
          <w:tcPr>
            <w:tcW w:w="801"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042AD4BF">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货物名称</w:t>
            </w:r>
          </w:p>
        </w:tc>
        <w:tc>
          <w:tcPr>
            <w:tcW w:w="818"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25F0C084">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单价</w:t>
            </w:r>
          </w:p>
          <w:p w14:paraId="060FC766">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（现场）</w:t>
            </w:r>
          </w:p>
        </w:tc>
        <w:tc>
          <w:tcPr>
            <w:tcW w:w="801"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0BDB9172">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数量</w:t>
            </w:r>
          </w:p>
        </w:tc>
        <w:tc>
          <w:tcPr>
            <w:tcW w:w="818"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435ED50F">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总价</w:t>
            </w:r>
          </w:p>
          <w:p w14:paraId="562C8C52">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（现场）</w:t>
            </w:r>
          </w:p>
        </w:tc>
        <w:tc>
          <w:tcPr>
            <w:tcW w:w="3381"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7CD3C9B1">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认证种类</w:t>
            </w:r>
          </w:p>
        </w:tc>
      </w:tr>
      <w:tr w14:paraId="7C5FB95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32" w:hRule="atLeast"/>
          <w:tblCellSpacing w:w="15" w:type="dxa"/>
        </w:trPr>
        <w:tc>
          <w:tcPr>
            <w:tcW w:w="726" w:type="dxa"/>
            <w:vMerge w:val="restart"/>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09544939">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w:t>
            </w:r>
          </w:p>
        </w:tc>
        <w:tc>
          <w:tcPr>
            <w:tcW w:w="810"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24608349">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*-1</w:t>
            </w:r>
          </w:p>
        </w:tc>
        <w:tc>
          <w:tcPr>
            <w:tcW w:w="801"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1F208505">
            <w:pPr>
              <w:widowControl/>
              <w:spacing w:line="360" w:lineRule="auto"/>
              <w:jc w:val="left"/>
              <w:rPr>
                <w:rFonts w:ascii="宋体" w:hAnsi="宋体" w:cs="宋体"/>
                <w:color w:val="auto"/>
                <w:sz w:val="24"/>
                <w:highlight w:val="none"/>
              </w:rPr>
            </w:pPr>
          </w:p>
        </w:tc>
        <w:tc>
          <w:tcPr>
            <w:tcW w:w="818"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5CBED3E2">
            <w:pPr>
              <w:widowControl/>
              <w:spacing w:line="360" w:lineRule="auto"/>
              <w:jc w:val="left"/>
              <w:rPr>
                <w:rFonts w:ascii="宋体" w:hAnsi="宋体" w:cs="宋体"/>
                <w:color w:val="auto"/>
                <w:sz w:val="24"/>
                <w:highlight w:val="none"/>
              </w:rPr>
            </w:pPr>
          </w:p>
        </w:tc>
        <w:tc>
          <w:tcPr>
            <w:tcW w:w="801"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2BFF73BB">
            <w:pPr>
              <w:widowControl/>
              <w:spacing w:line="360" w:lineRule="auto"/>
              <w:jc w:val="left"/>
              <w:rPr>
                <w:rFonts w:ascii="宋体" w:hAnsi="宋体" w:cs="宋体"/>
                <w:color w:val="auto"/>
                <w:sz w:val="24"/>
                <w:highlight w:val="none"/>
              </w:rPr>
            </w:pPr>
          </w:p>
        </w:tc>
        <w:tc>
          <w:tcPr>
            <w:tcW w:w="818"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5E9529A9">
            <w:pPr>
              <w:widowControl/>
              <w:spacing w:line="360" w:lineRule="auto"/>
              <w:jc w:val="left"/>
              <w:rPr>
                <w:rFonts w:ascii="宋体" w:hAnsi="宋体" w:cs="宋体"/>
                <w:color w:val="auto"/>
                <w:sz w:val="24"/>
                <w:highlight w:val="none"/>
              </w:rPr>
            </w:pPr>
          </w:p>
        </w:tc>
        <w:tc>
          <w:tcPr>
            <w:tcW w:w="3381"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73686262">
            <w:pPr>
              <w:widowControl/>
              <w:spacing w:line="360" w:lineRule="auto"/>
              <w:jc w:val="left"/>
              <w:rPr>
                <w:rFonts w:ascii="宋体" w:hAnsi="宋体" w:cs="宋体"/>
                <w:color w:val="auto"/>
                <w:sz w:val="24"/>
                <w:highlight w:val="none"/>
              </w:rPr>
            </w:pPr>
          </w:p>
        </w:tc>
      </w:tr>
      <w:tr w14:paraId="73562EA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32" w:hRule="atLeast"/>
          <w:tblCellSpacing w:w="15" w:type="dxa"/>
        </w:trPr>
        <w:tc>
          <w:tcPr>
            <w:tcW w:w="726" w:type="dxa"/>
            <w:vMerge w:val="continue"/>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40A36910">
            <w:pPr>
              <w:spacing w:line="360" w:lineRule="auto"/>
              <w:rPr>
                <w:rFonts w:ascii="宋体" w:hAnsi="宋体" w:cs="宋体"/>
                <w:color w:val="auto"/>
                <w:sz w:val="24"/>
                <w:highlight w:val="none"/>
              </w:rPr>
            </w:pPr>
          </w:p>
        </w:tc>
        <w:tc>
          <w:tcPr>
            <w:tcW w:w="810"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01F1F478">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w:t>
            </w:r>
          </w:p>
        </w:tc>
        <w:tc>
          <w:tcPr>
            <w:tcW w:w="801"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55F33EF4">
            <w:pPr>
              <w:widowControl/>
              <w:spacing w:line="360" w:lineRule="auto"/>
              <w:jc w:val="left"/>
              <w:rPr>
                <w:rFonts w:ascii="宋体" w:hAnsi="宋体" w:cs="宋体"/>
                <w:color w:val="auto"/>
                <w:sz w:val="24"/>
                <w:highlight w:val="none"/>
              </w:rPr>
            </w:pPr>
          </w:p>
        </w:tc>
        <w:tc>
          <w:tcPr>
            <w:tcW w:w="818"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46EE3D6C">
            <w:pPr>
              <w:widowControl/>
              <w:spacing w:line="360" w:lineRule="auto"/>
              <w:jc w:val="left"/>
              <w:rPr>
                <w:rFonts w:ascii="宋体" w:hAnsi="宋体" w:cs="宋体"/>
                <w:color w:val="auto"/>
                <w:sz w:val="24"/>
                <w:highlight w:val="none"/>
              </w:rPr>
            </w:pPr>
          </w:p>
        </w:tc>
        <w:tc>
          <w:tcPr>
            <w:tcW w:w="801"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2E19D566">
            <w:pPr>
              <w:widowControl/>
              <w:spacing w:line="360" w:lineRule="auto"/>
              <w:jc w:val="left"/>
              <w:rPr>
                <w:rFonts w:ascii="宋体" w:hAnsi="宋体" w:cs="宋体"/>
                <w:color w:val="auto"/>
                <w:sz w:val="24"/>
                <w:highlight w:val="none"/>
              </w:rPr>
            </w:pPr>
          </w:p>
        </w:tc>
        <w:tc>
          <w:tcPr>
            <w:tcW w:w="818"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226A0B06">
            <w:pPr>
              <w:widowControl/>
              <w:spacing w:line="360" w:lineRule="auto"/>
              <w:jc w:val="left"/>
              <w:rPr>
                <w:rFonts w:ascii="宋体" w:hAnsi="宋体" w:cs="宋体"/>
                <w:color w:val="auto"/>
                <w:sz w:val="24"/>
                <w:highlight w:val="none"/>
              </w:rPr>
            </w:pPr>
          </w:p>
        </w:tc>
        <w:tc>
          <w:tcPr>
            <w:tcW w:w="3381"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5AC4CE74">
            <w:pPr>
              <w:widowControl/>
              <w:spacing w:line="360" w:lineRule="auto"/>
              <w:jc w:val="left"/>
              <w:rPr>
                <w:rFonts w:ascii="宋体" w:hAnsi="宋体" w:cs="宋体"/>
                <w:color w:val="auto"/>
                <w:sz w:val="24"/>
                <w:highlight w:val="none"/>
              </w:rPr>
            </w:pPr>
          </w:p>
        </w:tc>
      </w:tr>
      <w:tr w14:paraId="7D24814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440" w:hRule="atLeast"/>
          <w:tblCellSpacing w:w="15" w:type="dxa"/>
        </w:trPr>
        <w:tc>
          <w:tcPr>
            <w:tcW w:w="726" w:type="dxa"/>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vAlign w:val="center"/>
          </w:tcPr>
          <w:p w14:paraId="683C5BA4">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备注</w:t>
            </w:r>
          </w:p>
        </w:tc>
        <w:tc>
          <w:tcPr>
            <w:tcW w:w="7579" w:type="dxa"/>
            <w:gridSpan w:val="6"/>
            <w:tcBorders>
              <w:top w:val="single" w:color="auto" w:sz="0" w:space="0"/>
              <w:left w:val="single" w:color="auto" w:sz="0" w:space="0"/>
              <w:bottom w:val="single" w:color="auto" w:sz="0" w:space="0"/>
              <w:right w:val="single" w:color="auto" w:sz="0" w:space="0"/>
            </w:tcBorders>
            <w:tcMar>
              <w:top w:w="0" w:type="dxa"/>
              <w:left w:w="70" w:type="dxa"/>
              <w:bottom w:w="0" w:type="dxa"/>
              <w:right w:w="70" w:type="dxa"/>
            </w:tcMar>
          </w:tcPr>
          <w:p w14:paraId="4568632A">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a.采购包内属于环境标志产品的报价总金额：</w:t>
            </w:r>
            <w:r>
              <w:rPr>
                <w:rFonts w:hint="eastAsia" w:ascii="宋体" w:hAnsi="宋体" w:cs="宋体"/>
                <w:color w:val="auto"/>
                <w:highlight w:val="none"/>
                <w:u w:val="single"/>
              </w:rPr>
              <w:t>              </w:t>
            </w:r>
            <w:r>
              <w:rPr>
                <w:rFonts w:hint="eastAsia" w:ascii="宋体" w:hAnsi="宋体" w:cs="宋体"/>
                <w:color w:val="auto"/>
                <w:highlight w:val="none"/>
              </w:rPr>
              <w:t>；</w:t>
            </w:r>
          </w:p>
          <w:p w14:paraId="5C00E8B0">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b.采购包投标总价（报价总金额）：</w:t>
            </w:r>
            <w:r>
              <w:rPr>
                <w:rFonts w:hint="eastAsia" w:ascii="宋体" w:hAnsi="宋体" w:cs="宋体"/>
                <w:color w:val="auto"/>
                <w:highlight w:val="none"/>
                <w:u w:val="single"/>
              </w:rPr>
              <w:t>              </w:t>
            </w:r>
            <w:r>
              <w:rPr>
                <w:rFonts w:hint="eastAsia" w:ascii="宋体" w:hAnsi="宋体" w:cs="宋体"/>
                <w:color w:val="auto"/>
                <w:highlight w:val="none"/>
              </w:rPr>
              <w:t>；</w:t>
            </w:r>
          </w:p>
          <w:p w14:paraId="72BA95F4">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c.“采购包内属于环境标志产品的报价总金额”占“采购包投标总价（报价总金额）”的比例（以%列示）：</w:t>
            </w:r>
            <w:r>
              <w:rPr>
                <w:rFonts w:hint="eastAsia" w:ascii="宋体" w:hAnsi="宋体" w:cs="宋体"/>
                <w:color w:val="auto"/>
                <w:highlight w:val="none"/>
                <w:u w:val="single"/>
              </w:rPr>
              <w:t>              </w:t>
            </w:r>
            <w:r>
              <w:rPr>
                <w:rFonts w:hint="eastAsia" w:ascii="宋体" w:hAnsi="宋体" w:cs="宋体"/>
                <w:color w:val="auto"/>
                <w:highlight w:val="none"/>
              </w:rPr>
              <w:t>。</w:t>
            </w:r>
          </w:p>
        </w:tc>
      </w:tr>
    </w:tbl>
    <w:p w14:paraId="2CB4074D">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※注意：</w:t>
      </w:r>
    </w:p>
    <w:p w14:paraId="65B28D91">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1、对环境标志产品计算价格扣除时，只依据投标文件</w:t>
      </w:r>
      <w:r>
        <w:rPr>
          <w:rStyle w:val="17"/>
          <w:rFonts w:hint="eastAsia" w:ascii="宋体" w:hAnsi="宋体" w:cs="宋体"/>
          <w:color w:val="auto"/>
          <w:highlight w:val="none"/>
        </w:rPr>
        <w:t>“三-1-②优先类环境标志产品证明材料（价格扣除适用，若有）”。</w:t>
      </w:r>
    </w:p>
    <w:p w14:paraId="664D27AD">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2、本表以采购包为单位，不同采购包请分别填写；同一采购包请按照其品目号顺序分别填写。</w:t>
      </w:r>
    </w:p>
    <w:p w14:paraId="67B4C9AF">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3、具体统计、计算：</w:t>
      </w:r>
    </w:p>
    <w:p w14:paraId="463ADAC6">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3.1若节能、环境标志产品仅是构成投标产品的部件、组件或零件，则该投标产品不享受鼓励优惠政策。同一品目中各认证证书不重复计算价格扣除。强制类节能产品不享受价格扣除。</w:t>
      </w:r>
    </w:p>
    <w:p w14:paraId="664B1FF8">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3.2计算结果若除不尽，可四舍五入保留到小数点后两位。</w:t>
      </w:r>
    </w:p>
    <w:p w14:paraId="046AE45A">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3.3投标人应按照征集文件要求认真统计、计算，否则评标委员会不予认定。</w:t>
      </w:r>
    </w:p>
    <w:p w14:paraId="37FB61B7">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3.4若无节能、环境标志产品，不填写本表，否则，</w:t>
      </w:r>
      <w:r>
        <w:rPr>
          <w:rStyle w:val="17"/>
          <w:rFonts w:hint="eastAsia" w:ascii="宋体" w:hAnsi="宋体" w:cs="宋体"/>
          <w:color w:val="auto"/>
          <w:highlight w:val="none"/>
        </w:rPr>
        <w:t>视为提供虚假材料。</w:t>
      </w:r>
    </w:p>
    <w:p w14:paraId="06793948">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5C811F3F">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30E7C607">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投标人：</w:t>
      </w:r>
      <w:r>
        <w:rPr>
          <w:rFonts w:hint="eastAsia" w:ascii="宋体" w:hAnsi="宋体" w:cs="宋体"/>
          <w:color w:val="auto"/>
          <w:highlight w:val="none"/>
          <w:u w:val="single"/>
        </w:rPr>
        <w:t>（全称并加盖单位公章）</w:t>
      </w:r>
    </w:p>
    <w:p w14:paraId="20A9F315">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日期：</w:t>
      </w:r>
      <w:r>
        <w:rPr>
          <w:rFonts w:hint="eastAsia" w:ascii="宋体" w:hAnsi="宋体" w:cs="宋体"/>
          <w:color w:val="auto"/>
          <w:highlight w:val="none"/>
          <w:u w:val="single"/>
        </w:rPr>
        <w:t>    </w:t>
      </w:r>
      <w:r>
        <w:rPr>
          <w:rFonts w:hint="eastAsia" w:ascii="宋体" w:hAnsi="宋体" w:cs="宋体"/>
          <w:color w:val="auto"/>
          <w:highlight w:val="none"/>
        </w:rPr>
        <w:t>年</w:t>
      </w:r>
      <w:r>
        <w:rPr>
          <w:rFonts w:hint="eastAsia" w:ascii="宋体" w:hAnsi="宋体" w:cs="宋体"/>
          <w:color w:val="auto"/>
          <w:highlight w:val="none"/>
          <w:u w:val="single"/>
        </w:rPr>
        <w:t>   </w:t>
      </w:r>
      <w:r>
        <w:rPr>
          <w:rFonts w:hint="eastAsia" w:ascii="宋体" w:hAnsi="宋体" w:cs="宋体"/>
          <w:color w:val="auto"/>
          <w:highlight w:val="none"/>
        </w:rPr>
        <w:t>月</w:t>
      </w:r>
      <w:r>
        <w:rPr>
          <w:rFonts w:hint="eastAsia" w:ascii="宋体" w:hAnsi="宋体" w:cs="宋体"/>
          <w:color w:val="auto"/>
          <w:highlight w:val="none"/>
          <w:u w:val="single"/>
        </w:rPr>
        <w:t>   </w:t>
      </w:r>
      <w:r>
        <w:rPr>
          <w:rFonts w:hint="eastAsia" w:ascii="宋体" w:hAnsi="宋体" w:cs="宋体"/>
          <w:color w:val="auto"/>
          <w:highlight w:val="none"/>
        </w:rPr>
        <w:t>日</w:t>
      </w:r>
    </w:p>
    <w:p w14:paraId="257CA500">
      <w:pPr>
        <w:pStyle w:val="12"/>
        <w:widowControl/>
        <w:spacing w:before="0" w:beforeAutospacing="0" w:after="0" w:afterAutospacing="0" w:line="360" w:lineRule="auto"/>
        <w:rPr>
          <w:rFonts w:ascii="宋体" w:hAnsi="宋体" w:cs="宋体"/>
          <w:color w:val="auto"/>
          <w:highlight w:val="none"/>
        </w:rPr>
      </w:pPr>
      <w:r>
        <w:rPr>
          <w:rStyle w:val="17"/>
          <w:rFonts w:hint="eastAsia" w:ascii="宋体" w:hAnsi="宋体" w:cs="宋体"/>
          <w:color w:val="auto"/>
          <w:highlight w:val="none"/>
        </w:rPr>
        <w:t> </w:t>
      </w:r>
    </w:p>
    <w:p w14:paraId="6F06EAAD">
      <w:pPr>
        <w:pStyle w:val="12"/>
        <w:widowControl/>
        <w:spacing w:before="0" w:beforeAutospacing="0" w:after="0" w:afterAutospacing="0" w:line="360" w:lineRule="auto"/>
        <w:rPr>
          <w:rStyle w:val="17"/>
          <w:rFonts w:hint="eastAsia" w:ascii="宋体" w:hAnsi="宋体" w:cs="宋体"/>
          <w:color w:val="auto"/>
          <w:highlight w:val="none"/>
        </w:rPr>
      </w:pPr>
      <w:r>
        <w:rPr>
          <w:rStyle w:val="17"/>
          <w:rFonts w:hint="eastAsia" w:ascii="宋体" w:hAnsi="宋体" w:cs="宋体"/>
          <w:color w:val="auto"/>
          <w:highlight w:val="none"/>
        </w:rPr>
        <w:t> </w:t>
      </w:r>
    </w:p>
    <w:p w14:paraId="5C7CA4C5">
      <w:pPr>
        <w:pStyle w:val="12"/>
        <w:widowControl/>
        <w:spacing w:before="0" w:beforeAutospacing="0" w:after="0" w:afterAutospacing="0" w:line="360" w:lineRule="auto"/>
        <w:jc w:val="center"/>
        <w:rPr>
          <w:rStyle w:val="17"/>
          <w:rFonts w:hint="eastAsia" w:ascii="宋体" w:hAnsi="宋体" w:cs="宋体"/>
          <w:color w:val="auto"/>
          <w:highlight w:val="none"/>
        </w:rPr>
        <w:sectPr>
          <w:pgSz w:w="11906" w:h="16838"/>
          <w:pgMar w:top="1440" w:right="1803" w:bottom="1440" w:left="1803" w:header="851" w:footer="992" w:gutter="0"/>
          <w:pgNumType w:fmt="decimal"/>
          <w:cols w:space="0" w:num="1"/>
          <w:rtlGutter w:val="0"/>
          <w:docGrid w:type="lines" w:linePitch="395" w:charSpace="0"/>
        </w:sectPr>
      </w:pPr>
    </w:p>
    <w:p w14:paraId="71A790AD">
      <w:pPr>
        <w:pStyle w:val="12"/>
        <w:widowControl/>
        <w:spacing w:before="0" w:beforeAutospacing="0" w:after="0" w:afterAutospacing="0" w:line="360" w:lineRule="auto"/>
        <w:jc w:val="center"/>
        <w:rPr>
          <w:rFonts w:ascii="宋体" w:hAnsi="宋体" w:cs="宋体"/>
          <w:color w:val="auto"/>
          <w:highlight w:val="none"/>
        </w:rPr>
      </w:pPr>
      <w:r>
        <w:rPr>
          <w:rStyle w:val="17"/>
          <w:rFonts w:hint="eastAsia" w:ascii="宋体" w:hAnsi="宋体" w:cs="宋体"/>
          <w:color w:val="auto"/>
          <w:highlight w:val="none"/>
        </w:rPr>
        <w:t>三-1-②优先类节能产品、环境标志产品证明材料（价格扣除适用，若有）</w:t>
      </w:r>
    </w:p>
    <w:p w14:paraId="765505EB">
      <w:pPr>
        <w:pStyle w:val="12"/>
        <w:widowControl/>
        <w:spacing w:before="0" w:beforeAutospacing="0" w:after="0" w:afterAutospacing="0" w:line="360" w:lineRule="auto"/>
        <w:jc w:val="center"/>
        <w:rPr>
          <w:rFonts w:ascii="宋体" w:hAnsi="宋体" w:cs="宋体"/>
          <w:color w:val="auto"/>
          <w:highlight w:val="none"/>
        </w:rPr>
      </w:pPr>
      <w:r>
        <w:rPr>
          <w:rStyle w:val="17"/>
          <w:rFonts w:hint="eastAsia" w:ascii="宋体" w:hAnsi="宋体" w:cs="宋体"/>
          <w:color w:val="auto"/>
          <w:highlight w:val="none"/>
        </w:rPr>
        <w:br w:type="textWrapping"/>
      </w:r>
      <w:r>
        <w:rPr>
          <w:rStyle w:val="17"/>
          <w:rFonts w:hint="eastAsia" w:ascii="宋体" w:hAnsi="宋体" w:cs="宋体"/>
          <w:color w:val="auto"/>
          <w:highlight w:val="none"/>
        </w:rPr>
        <w:t>三-2小型、微型企业产品等价格扣除证明材料（若有）</w:t>
      </w:r>
    </w:p>
    <w:p w14:paraId="26F6471D">
      <w:pPr>
        <w:pStyle w:val="12"/>
        <w:widowControl/>
        <w:spacing w:before="0" w:beforeAutospacing="0" w:after="0" w:afterAutospacing="0" w:line="360" w:lineRule="auto"/>
        <w:jc w:val="center"/>
        <w:rPr>
          <w:rFonts w:ascii="宋体" w:hAnsi="宋体" w:cs="宋体"/>
          <w:color w:val="auto"/>
          <w:highlight w:val="none"/>
        </w:rPr>
      </w:pPr>
      <w:r>
        <w:rPr>
          <w:rStyle w:val="17"/>
          <w:rFonts w:hint="eastAsia" w:ascii="宋体" w:hAnsi="宋体" w:cs="宋体"/>
          <w:color w:val="auto"/>
          <w:highlight w:val="none"/>
        </w:rPr>
        <w:br w:type="textWrapping"/>
      </w:r>
      <w:r>
        <w:rPr>
          <w:rStyle w:val="17"/>
          <w:rFonts w:hint="eastAsia" w:ascii="宋体" w:hAnsi="宋体" w:cs="宋体"/>
          <w:color w:val="auto"/>
          <w:highlight w:val="none"/>
        </w:rPr>
        <w:t>三-2-①中小企业声明函（价格扣除适用，若有）</w:t>
      </w:r>
    </w:p>
    <w:p w14:paraId="5A18C1B7">
      <w:pPr>
        <w:pStyle w:val="12"/>
        <w:widowControl/>
        <w:spacing w:before="0" w:beforeAutospacing="0" w:after="0" w:afterAutospacing="0" w:line="360" w:lineRule="auto"/>
        <w:rPr>
          <w:rFonts w:ascii="宋体" w:hAnsi="宋体" w:cs="宋体"/>
          <w:color w:val="auto"/>
          <w:highlight w:val="none"/>
        </w:rPr>
      </w:pPr>
    </w:p>
    <w:p w14:paraId="78A21996">
      <w:pPr>
        <w:widowControl/>
        <w:spacing w:before="0" w:beforeAutospacing="0" w:after="0" w:afterAutospacing="0" w:line="360" w:lineRule="auto"/>
        <w:jc w:val="center"/>
        <w:outlineLvl w:val="9"/>
        <w:rPr>
          <w:rFonts w:hint="default" w:cs="宋体"/>
          <w:color w:val="auto"/>
          <w:sz w:val="24"/>
          <w:szCs w:val="24"/>
          <w:highlight w:val="none"/>
        </w:rPr>
      </w:pPr>
      <w:r>
        <w:rPr>
          <w:rStyle w:val="17"/>
          <w:rFonts w:cs="宋体"/>
          <w:b w:val="0"/>
          <w:color w:val="auto"/>
          <w:sz w:val="24"/>
          <w:highlight w:val="none"/>
        </w:rPr>
        <w:t>中小企业声明函（货物）</w:t>
      </w:r>
    </w:p>
    <w:p w14:paraId="227D9F9C">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 的具体情况如下：</w:t>
      </w:r>
    </w:p>
    <w:p w14:paraId="46D11111">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1. </w:t>
      </w:r>
      <w:r>
        <w:rPr>
          <w:rFonts w:hint="eastAsia" w:ascii="宋体" w:hAnsi="宋体" w:cs="宋体"/>
          <w:color w:val="auto"/>
          <w:highlight w:val="none"/>
          <w:u w:val="single"/>
        </w:rPr>
        <w:t> （标的名称） </w:t>
      </w:r>
      <w:r>
        <w:rPr>
          <w:rFonts w:hint="eastAsia" w:ascii="宋体" w:hAnsi="宋体" w:cs="宋体"/>
          <w:color w:val="auto"/>
          <w:highlight w:val="none"/>
        </w:rPr>
        <w:t>，属于</w:t>
      </w:r>
      <w:r>
        <w:rPr>
          <w:rFonts w:hint="eastAsia" w:ascii="宋体" w:hAnsi="宋体" w:cs="宋体"/>
          <w:color w:val="auto"/>
          <w:highlight w:val="none"/>
          <w:u w:val="single"/>
        </w:rPr>
        <w:t>（</w:t>
      </w:r>
      <w:r>
        <w:rPr>
          <w:rFonts w:hint="eastAsia" w:ascii="宋体" w:hAnsi="宋体" w:cs="宋体"/>
          <w:color w:val="auto"/>
          <w:highlight w:val="none"/>
          <w:u w:val="single"/>
          <w:lang w:eastAsia="zh-CN"/>
        </w:rPr>
        <w:t>征集文件</w:t>
      </w:r>
      <w:r>
        <w:rPr>
          <w:rFonts w:hint="eastAsia" w:ascii="宋体" w:hAnsi="宋体" w:cs="宋体"/>
          <w:color w:val="auto"/>
          <w:highlight w:val="none"/>
          <w:u w:val="single"/>
        </w:rPr>
        <w:t>中明确的所属行业）</w:t>
      </w:r>
      <w:r>
        <w:rPr>
          <w:rFonts w:hint="eastAsia" w:ascii="宋体" w:hAnsi="宋体" w:cs="宋体"/>
          <w:color w:val="auto"/>
          <w:highlight w:val="none"/>
        </w:rPr>
        <w:t>行业；制造商为（企业名称），从业人员</w:t>
      </w:r>
      <w:r>
        <w:rPr>
          <w:rFonts w:hint="eastAsia" w:ascii="宋体" w:hAnsi="宋体" w:cs="宋体"/>
          <w:color w:val="auto"/>
          <w:highlight w:val="none"/>
          <w:u w:val="single"/>
        </w:rPr>
        <w:t>  </w:t>
      </w:r>
      <w:r>
        <w:rPr>
          <w:rFonts w:hint="eastAsia" w:ascii="宋体" w:hAnsi="宋体" w:cs="宋体"/>
          <w:color w:val="auto"/>
          <w:highlight w:val="none"/>
        </w:rPr>
        <w:t>人，营业收入为</w:t>
      </w:r>
      <w:r>
        <w:rPr>
          <w:rFonts w:hint="eastAsia" w:ascii="宋体" w:hAnsi="宋体" w:cs="宋体"/>
          <w:color w:val="auto"/>
          <w:highlight w:val="none"/>
          <w:u w:val="single"/>
        </w:rPr>
        <w:t>  </w:t>
      </w:r>
      <w:r>
        <w:rPr>
          <w:rFonts w:hint="eastAsia" w:ascii="宋体" w:hAnsi="宋体" w:cs="宋体"/>
          <w:color w:val="auto"/>
          <w:highlight w:val="none"/>
        </w:rPr>
        <w:t>万元，资产总额为</w:t>
      </w:r>
      <w:r>
        <w:rPr>
          <w:rFonts w:hint="eastAsia" w:ascii="宋体" w:hAnsi="宋体" w:cs="宋体"/>
          <w:color w:val="auto"/>
          <w:highlight w:val="none"/>
          <w:u w:val="single"/>
        </w:rPr>
        <w:t>  </w:t>
      </w:r>
      <w:r>
        <w:rPr>
          <w:rFonts w:hint="eastAsia" w:ascii="宋体" w:hAnsi="宋体" w:cs="宋体"/>
          <w:color w:val="auto"/>
          <w:highlight w:val="none"/>
        </w:rPr>
        <w:t>万元</w:t>
      </w:r>
      <w:r>
        <w:rPr>
          <w:rFonts w:hint="eastAsia" w:ascii="宋体" w:hAnsi="宋体" w:cs="宋体"/>
          <w:color w:val="auto"/>
          <w:highlight w:val="none"/>
          <w:vertAlign w:val="superscript"/>
        </w:rPr>
        <w:t>1</w:t>
      </w:r>
      <w:r>
        <w:rPr>
          <w:rFonts w:hint="eastAsia" w:ascii="宋体" w:hAnsi="宋体" w:cs="宋体"/>
          <w:color w:val="auto"/>
          <w:highlight w:val="none"/>
        </w:rPr>
        <w:t>，属于</w:t>
      </w:r>
      <w:r>
        <w:rPr>
          <w:rFonts w:hint="eastAsia" w:ascii="宋体" w:hAnsi="宋体" w:cs="宋体"/>
          <w:color w:val="auto"/>
          <w:highlight w:val="none"/>
          <w:u w:val="single"/>
        </w:rPr>
        <w:t>（中型企业、小型企业、微型企业）</w:t>
      </w:r>
      <w:r>
        <w:rPr>
          <w:rFonts w:hint="eastAsia" w:ascii="宋体" w:hAnsi="宋体" w:cs="宋体"/>
          <w:color w:val="auto"/>
          <w:highlight w:val="none"/>
        </w:rPr>
        <w:t>；</w:t>
      </w:r>
    </w:p>
    <w:p w14:paraId="27B100E3">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2. </w:t>
      </w:r>
      <w:r>
        <w:rPr>
          <w:rFonts w:hint="eastAsia" w:ascii="宋体" w:hAnsi="宋体" w:cs="宋体"/>
          <w:color w:val="auto"/>
          <w:highlight w:val="none"/>
          <w:u w:val="single"/>
        </w:rPr>
        <w:t> （标的名称） </w:t>
      </w:r>
      <w:r>
        <w:rPr>
          <w:rFonts w:hint="eastAsia" w:ascii="宋体" w:hAnsi="宋体" w:cs="宋体"/>
          <w:color w:val="auto"/>
          <w:highlight w:val="none"/>
        </w:rPr>
        <w:t>， 属于</w:t>
      </w:r>
      <w:r>
        <w:rPr>
          <w:rFonts w:hint="eastAsia" w:ascii="宋体" w:hAnsi="宋体" w:cs="宋体"/>
          <w:color w:val="auto"/>
          <w:highlight w:val="none"/>
          <w:u w:val="single"/>
        </w:rPr>
        <w:t> （</w:t>
      </w:r>
      <w:r>
        <w:rPr>
          <w:rFonts w:hint="eastAsia" w:ascii="宋体" w:hAnsi="宋体" w:cs="宋体"/>
          <w:color w:val="auto"/>
          <w:highlight w:val="none"/>
          <w:u w:val="single"/>
          <w:lang w:eastAsia="zh-CN"/>
        </w:rPr>
        <w:t>征集文件</w:t>
      </w:r>
      <w:r>
        <w:rPr>
          <w:rFonts w:hint="eastAsia" w:ascii="宋体" w:hAnsi="宋体" w:cs="宋体"/>
          <w:color w:val="auto"/>
          <w:highlight w:val="none"/>
          <w:u w:val="single"/>
        </w:rPr>
        <w:t>中明确的所属行业 ）</w:t>
      </w:r>
      <w:r>
        <w:rPr>
          <w:rFonts w:hint="eastAsia" w:ascii="宋体" w:hAnsi="宋体" w:cs="宋体"/>
          <w:color w:val="auto"/>
          <w:highlight w:val="none"/>
        </w:rPr>
        <w:t>行业；制造商为</w:t>
      </w:r>
      <w:r>
        <w:rPr>
          <w:rFonts w:hint="eastAsia" w:ascii="宋体" w:hAnsi="宋体" w:cs="宋体"/>
          <w:color w:val="auto"/>
          <w:highlight w:val="none"/>
          <w:u w:val="single"/>
        </w:rPr>
        <w:t>（企业名称）</w:t>
      </w:r>
      <w:r>
        <w:rPr>
          <w:rFonts w:hint="eastAsia" w:ascii="宋体" w:hAnsi="宋体" w:cs="宋体"/>
          <w:color w:val="auto"/>
          <w:highlight w:val="none"/>
        </w:rPr>
        <w:t>，从业人员</w:t>
      </w:r>
      <w:r>
        <w:rPr>
          <w:rFonts w:hint="eastAsia" w:ascii="宋体" w:hAnsi="宋体" w:cs="宋体"/>
          <w:color w:val="auto"/>
          <w:highlight w:val="none"/>
          <w:u w:val="single"/>
        </w:rPr>
        <w:t>  </w:t>
      </w:r>
      <w:r>
        <w:rPr>
          <w:rFonts w:hint="eastAsia" w:ascii="宋体" w:hAnsi="宋体" w:cs="宋体"/>
          <w:color w:val="auto"/>
          <w:highlight w:val="none"/>
        </w:rPr>
        <w:t>人，营业收入为</w:t>
      </w:r>
      <w:r>
        <w:rPr>
          <w:rFonts w:hint="eastAsia" w:ascii="宋体" w:hAnsi="宋体" w:cs="宋体"/>
          <w:color w:val="auto"/>
          <w:highlight w:val="none"/>
          <w:u w:val="single"/>
        </w:rPr>
        <w:t>  </w:t>
      </w:r>
      <w:r>
        <w:rPr>
          <w:rFonts w:hint="eastAsia" w:ascii="宋体" w:hAnsi="宋体" w:cs="宋体"/>
          <w:color w:val="auto"/>
          <w:highlight w:val="none"/>
        </w:rPr>
        <w:t>万元，资产总额为</w:t>
      </w:r>
      <w:r>
        <w:rPr>
          <w:rFonts w:hint="eastAsia" w:ascii="宋体" w:hAnsi="宋体" w:cs="宋体"/>
          <w:color w:val="auto"/>
          <w:highlight w:val="none"/>
          <w:u w:val="single"/>
        </w:rPr>
        <w:t>  </w:t>
      </w:r>
      <w:r>
        <w:rPr>
          <w:rFonts w:hint="eastAsia" w:ascii="宋体" w:hAnsi="宋体" w:cs="宋体"/>
          <w:color w:val="auto"/>
          <w:highlight w:val="none"/>
        </w:rPr>
        <w:t>万元，属于</w:t>
      </w:r>
      <w:r>
        <w:rPr>
          <w:rFonts w:hint="eastAsia" w:ascii="宋体" w:hAnsi="宋体" w:cs="宋体"/>
          <w:color w:val="auto"/>
          <w:highlight w:val="none"/>
          <w:u w:val="single"/>
        </w:rPr>
        <w:t>（中型企业、小型企业、微型企业）</w:t>
      </w:r>
      <w:r>
        <w:rPr>
          <w:rFonts w:hint="eastAsia" w:ascii="宋体" w:hAnsi="宋体" w:cs="宋体"/>
          <w:color w:val="auto"/>
          <w:highlight w:val="none"/>
        </w:rPr>
        <w:t>；</w:t>
      </w:r>
    </w:p>
    <w:p w14:paraId="7094E1A2">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  </w:t>
      </w:r>
    </w:p>
    <w:p w14:paraId="58224CFF">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w:t>
      </w:r>
    </w:p>
    <w:p w14:paraId="0689C97E">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 </w:t>
      </w:r>
    </w:p>
    <w:p w14:paraId="6A8B1E79">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以上企业，不属于大企业的分支机构，不存在控股股东为大企业的情形，也不存在与大企业的负责人为同一人的情形。</w:t>
      </w:r>
    </w:p>
    <w:p w14:paraId="07361AB9">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本企业对上述声明内容的真实性负责。如有虚假，将依法承担相应责任。</w:t>
      </w:r>
    </w:p>
    <w:p w14:paraId="3F6ED732">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                                               企业名称（盖章）：                        日期：</w:t>
      </w:r>
    </w:p>
    <w:p w14:paraId="2FE59CE6">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 </w:t>
      </w:r>
    </w:p>
    <w:p w14:paraId="01D29A86">
      <w:pPr>
        <w:pStyle w:val="12"/>
        <w:widowControl/>
        <w:spacing w:before="0" w:beforeAutospacing="0" w:after="0" w:afterAutospacing="0" w:line="360" w:lineRule="auto"/>
        <w:ind w:firstLine="280"/>
        <w:rPr>
          <w:rFonts w:ascii="宋体" w:hAnsi="宋体" w:cs="宋体"/>
          <w:color w:val="auto"/>
          <w:highlight w:val="none"/>
        </w:rPr>
      </w:pPr>
      <w:r>
        <w:rPr>
          <w:rStyle w:val="17"/>
          <w:rFonts w:hint="eastAsia" w:ascii="宋体" w:hAnsi="宋体" w:cs="宋体"/>
          <w:color w:val="auto"/>
          <w:highlight w:val="none"/>
        </w:rPr>
        <w:t>1、从业人员、营业收入、资产总额填报上一年度数据，无上一年度数据的新成立企业可不填报。</w:t>
      </w:r>
    </w:p>
    <w:p w14:paraId="37F50EE5">
      <w:pPr>
        <w:pStyle w:val="12"/>
        <w:widowControl/>
        <w:spacing w:before="0" w:beforeAutospacing="0" w:after="0" w:afterAutospacing="0" w:line="360" w:lineRule="auto"/>
        <w:ind w:firstLine="280"/>
        <w:rPr>
          <w:rFonts w:ascii="宋体" w:hAnsi="宋体" w:cs="宋体"/>
          <w:color w:val="auto"/>
          <w:highlight w:val="none"/>
        </w:rPr>
      </w:pPr>
      <w:r>
        <w:rPr>
          <w:rStyle w:val="17"/>
          <w:rFonts w:hint="eastAsia" w:ascii="宋体" w:hAnsi="宋体" w:cs="宋体"/>
          <w:color w:val="auto"/>
          <w:highlight w:val="none"/>
        </w:rPr>
        <w:t>2、投标人须按征集文件第四章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4ADBFF77">
      <w:pPr>
        <w:pStyle w:val="12"/>
        <w:widowControl/>
        <w:spacing w:before="0" w:beforeAutospacing="0" w:after="0" w:afterAutospacing="0" w:line="360" w:lineRule="auto"/>
        <w:ind w:firstLine="280"/>
        <w:rPr>
          <w:rStyle w:val="17"/>
          <w:rFonts w:hint="eastAsia" w:ascii="宋体" w:hAnsi="宋体" w:cs="宋体"/>
          <w:color w:val="auto"/>
          <w:highlight w:val="none"/>
        </w:rPr>
      </w:pPr>
      <w:r>
        <w:rPr>
          <w:rStyle w:val="17"/>
          <w:rFonts w:hint="eastAsia" w:ascii="宋体" w:hAnsi="宋体" w:cs="宋体"/>
          <w:color w:val="auto"/>
          <w:highlight w:val="none"/>
        </w:rPr>
        <w:t>3、投标人应当对其出具的《中小企业声明函》真实性负责，投标人出具的《中小企业声明函》内容不实的，属于提供虚假材料谋取入围。在实际操作中，项目属性为货物且投标人希望获得中小企业政策支持的，应从制造商处获得充分、准确的信息。对相关制造商信息了解不充分，或者不能确定相关信息真实、准确的，不建议出具《中小企业声明函》。</w:t>
      </w:r>
    </w:p>
    <w:p w14:paraId="0695EC5F">
      <w:pPr>
        <w:pStyle w:val="12"/>
        <w:widowControl/>
        <w:spacing w:before="0" w:beforeAutospacing="0" w:after="0" w:afterAutospacing="0" w:line="360" w:lineRule="auto"/>
        <w:ind w:firstLine="280"/>
        <w:rPr>
          <w:rStyle w:val="17"/>
          <w:rFonts w:hint="eastAsia" w:ascii="宋体" w:hAnsi="宋体" w:cs="宋体"/>
          <w:color w:val="auto"/>
          <w:highlight w:val="none"/>
        </w:rPr>
      </w:pPr>
    </w:p>
    <w:p w14:paraId="4C7A739B">
      <w:pPr>
        <w:pStyle w:val="12"/>
        <w:widowControl/>
        <w:spacing w:before="0" w:beforeAutospacing="0" w:after="0" w:afterAutospacing="0" w:line="360" w:lineRule="auto"/>
        <w:ind w:firstLine="280"/>
        <w:rPr>
          <w:rStyle w:val="17"/>
          <w:rFonts w:hint="eastAsia" w:ascii="宋体" w:hAnsi="宋体" w:cs="宋体"/>
          <w:color w:val="auto"/>
          <w:highlight w:val="none"/>
        </w:rPr>
      </w:pPr>
    </w:p>
    <w:p w14:paraId="0FE3FBAF">
      <w:pPr>
        <w:pStyle w:val="12"/>
        <w:widowControl/>
        <w:spacing w:before="0" w:beforeAutospacing="0" w:after="0" w:afterAutospacing="0" w:line="360" w:lineRule="auto"/>
        <w:ind w:firstLine="280"/>
        <w:rPr>
          <w:rStyle w:val="17"/>
          <w:rFonts w:hint="eastAsia" w:ascii="宋体" w:hAnsi="宋体" w:cs="宋体"/>
          <w:color w:val="auto"/>
          <w:highlight w:val="none"/>
        </w:rPr>
      </w:pPr>
    </w:p>
    <w:p w14:paraId="6C5A7FED">
      <w:pPr>
        <w:pStyle w:val="12"/>
        <w:widowControl/>
        <w:spacing w:before="0" w:beforeAutospacing="0" w:after="0" w:afterAutospacing="0" w:line="360" w:lineRule="auto"/>
        <w:ind w:firstLine="280"/>
        <w:rPr>
          <w:rStyle w:val="17"/>
          <w:rFonts w:hint="eastAsia" w:ascii="宋体" w:hAnsi="宋体" w:cs="宋体"/>
          <w:color w:val="auto"/>
          <w:highlight w:val="none"/>
        </w:rPr>
      </w:pPr>
    </w:p>
    <w:p w14:paraId="07B5EF08">
      <w:pPr>
        <w:pStyle w:val="12"/>
        <w:widowControl/>
        <w:spacing w:before="0" w:beforeAutospacing="0" w:after="0" w:afterAutospacing="0" w:line="360" w:lineRule="auto"/>
        <w:ind w:firstLine="280"/>
        <w:rPr>
          <w:rStyle w:val="17"/>
          <w:rFonts w:hint="eastAsia" w:ascii="宋体" w:hAnsi="宋体" w:cs="宋体"/>
          <w:color w:val="auto"/>
          <w:highlight w:val="none"/>
        </w:rPr>
      </w:pPr>
    </w:p>
    <w:p w14:paraId="24FF4DD5">
      <w:pPr>
        <w:pStyle w:val="12"/>
        <w:widowControl/>
        <w:spacing w:before="0" w:beforeAutospacing="0" w:after="0" w:afterAutospacing="0" w:line="360" w:lineRule="auto"/>
        <w:ind w:firstLine="280"/>
        <w:rPr>
          <w:rStyle w:val="17"/>
          <w:rFonts w:hint="eastAsia" w:ascii="宋体" w:hAnsi="宋体" w:cs="宋体"/>
          <w:color w:val="auto"/>
          <w:highlight w:val="none"/>
        </w:rPr>
      </w:pPr>
    </w:p>
    <w:p w14:paraId="7E29262F">
      <w:pPr>
        <w:pStyle w:val="12"/>
        <w:widowControl/>
        <w:spacing w:before="0" w:beforeAutospacing="0" w:after="0" w:afterAutospacing="0" w:line="360" w:lineRule="auto"/>
        <w:ind w:firstLine="280"/>
        <w:rPr>
          <w:rStyle w:val="17"/>
          <w:rFonts w:hint="eastAsia" w:ascii="宋体" w:hAnsi="宋体" w:cs="宋体"/>
          <w:color w:val="auto"/>
          <w:highlight w:val="none"/>
        </w:rPr>
      </w:pPr>
    </w:p>
    <w:p w14:paraId="10E12319">
      <w:pPr>
        <w:pStyle w:val="12"/>
        <w:widowControl/>
        <w:spacing w:before="0" w:beforeAutospacing="0" w:after="0" w:afterAutospacing="0" w:line="360" w:lineRule="auto"/>
        <w:jc w:val="center"/>
        <w:rPr>
          <w:rStyle w:val="17"/>
          <w:rFonts w:hint="eastAsia" w:ascii="宋体" w:hAnsi="宋体" w:cs="宋体"/>
          <w:color w:val="auto"/>
          <w:highlight w:val="none"/>
        </w:rPr>
      </w:pPr>
    </w:p>
    <w:p w14:paraId="69FB1FA0">
      <w:pPr>
        <w:pStyle w:val="12"/>
        <w:widowControl/>
        <w:spacing w:before="0" w:beforeAutospacing="0" w:after="0" w:afterAutospacing="0" w:line="360" w:lineRule="auto"/>
        <w:jc w:val="center"/>
        <w:rPr>
          <w:rStyle w:val="17"/>
          <w:rFonts w:hint="eastAsia" w:ascii="宋体" w:hAnsi="宋体" w:cs="宋体"/>
          <w:color w:val="auto"/>
          <w:highlight w:val="none"/>
        </w:rPr>
      </w:pPr>
    </w:p>
    <w:p w14:paraId="73908490">
      <w:pPr>
        <w:pStyle w:val="12"/>
        <w:widowControl/>
        <w:spacing w:before="0" w:beforeAutospacing="0" w:after="0" w:afterAutospacing="0" w:line="360" w:lineRule="auto"/>
        <w:jc w:val="center"/>
        <w:rPr>
          <w:rFonts w:ascii="宋体" w:hAnsi="宋体" w:cs="宋体"/>
          <w:color w:val="auto"/>
          <w:highlight w:val="none"/>
        </w:rPr>
      </w:pPr>
      <w:r>
        <w:rPr>
          <w:rStyle w:val="17"/>
          <w:rFonts w:hint="eastAsia" w:ascii="宋体" w:hAnsi="宋体" w:cs="宋体"/>
          <w:color w:val="auto"/>
          <w:highlight w:val="none"/>
        </w:rPr>
        <w:t>三-2-②小型、微型企业等证明材料（价格扣除适用，若有）</w:t>
      </w:r>
    </w:p>
    <w:p w14:paraId="32272C94">
      <w:pPr>
        <w:pStyle w:val="12"/>
        <w:widowControl/>
        <w:spacing w:before="0" w:beforeAutospacing="0" w:after="0" w:afterAutospacing="0" w:line="360" w:lineRule="auto"/>
        <w:rPr>
          <w:rFonts w:ascii="宋体" w:hAnsi="宋体" w:cs="宋体"/>
          <w:color w:val="auto"/>
          <w:highlight w:val="none"/>
        </w:rPr>
      </w:pPr>
      <w:r>
        <w:rPr>
          <w:rStyle w:val="17"/>
          <w:rFonts w:hint="eastAsia" w:ascii="宋体" w:hAnsi="宋体" w:cs="宋体"/>
          <w:color w:val="auto"/>
          <w:highlight w:val="none"/>
        </w:rPr>
        <w:t> </w:t>
      </w:r>
    </w:p>
    <w:p w14:paraId="1CB358CD">
      <w:pPr>
        <w:pStyle w:val="12"/>
        <w:widowControl/>
        <w:spacing w:before="0" w:beforeAutospacing="0" w:after="0" w:afterAutospacing="0" w:line="360" w:lineRule="auto"/>
        <w:rPr>
          <w:rFonts w:ascii="宋体" w:hAnsi="宋体" w:cs="宋体"/>
          <w:color w:val="auto"/>
          <w:highlight w:val="none"/>
        </w:rPr>
      </w:pPr>
      <w:r>
        <w:rPr>
          <w:rStyle w:val="17"/>
          <w:rFonts w:hint="eastAsia" w:ascii="宋体" w:hAnsi="宋体" w:cs="宋体"/>
          <w:color w:val="auto"/>
          <w:highlight w:val="none"/>
        </w:rPr>
        <w:t> </w:t>
      </w:r>
    </w:p>
    <w:p w14:paraId="19116D2E">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编制说明</w:t>
      </w:r>
    </w:p>
    <w:p w14:paraId="54ED2C1D">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 </w:t>
      </w:r>
    </w:p>
    <w:p w14:paraId="6B60D79E">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1、投标人应按照征集文件要求提供相应证明材料，证明材料应与《中小企业声明函》的内容相一致，否则视为《中小企业声明函》内容不真实。</w:t>
      </w:r>
    </w:p>
    <w:p w14:paraId="0806F56B">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2、投标人为监狱企业的，根据其提供的由省级以上监狱管理局、戒毒管理局（含新疆生产建设兵团）出具的属于监狱企业的证明文件进行认定，监狱企业视同小型、微型企业。</w:t>
      </w:r>
    </w:p>
    <w:p w14:paraId="4774982E">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3、投标人为残疾人福利性单位的，根据其提供的《残疾人福利性单位声明函》（格式附后）进行认定，残疾人福利性单位视同小型、微型企业。残疾人福利性单位属于小型、微型企业的，不重复享受政策。</w:t>
      </w:r>
    </w:p>
    <w:p w14:paraId="611F9B23">
      <w:pPr>
        <w:pStyle w:val="12"/>
        <w:widowControl/>
        <w:spacing w:before="0" w:beforeAutospacing="0" w:after="0" w:afterAutospacing="0" w:line="360" w:lineRule="auto"/>
        <w:rPr>
          <w:rFonts w:hint="eastAsia" w:ascii="宋体" w:hAnsi="宋体" w:cs="宋体"/>
          <w:color w:val="auto"/>
          <w:highlight w:val="none"/>
        </w:rPr>
      </w:pPr>
      <w:r>
        <w:rPr>
          <w:rFonts w:hint="eastAsia" w:ascii="宋体" w:hAnsi="宋体" w:cs="宋体"/>
          <w:color w:val="auto"/>
          <w:highlight w:val="none"/>
        </w:rPr>
        <w:t> </w:t>
      </w:r>
    </w:p>
    <w:p w14:paraId="70451762">
      <w:pPr>
        <w:pStyle w:val="12"/>
        <w:widowControl/>
        <w:spacing w:before="0" w:beforeAutospacing="0" w:after="0" w:afterAutospacing="0" w:line="360" w:lineRule="auto"/>
        <w:rPr>
          <w:rFonts w:hint="eastAsia" w:ascii="宋体" w:hAnsi="宋体" w:cs="宋体"/>
          <w:color w:val="auto"/>
          <w:highlight w:val="none"/>
        </w:rPr>
      </w:pPr>
    </w:p>
    <w:p w14:paraId="296C25AE">
      <w:pPr>
        <w:pStyle w:val="12"/>
        <w:widowControl/>
        <w:spacing w:before="0" w:beforeAutospacing="0" w:after="0" w:afterAutospacing="0" w:line="360" w:lineRule="auto"/>
        <w:rPr>
          <w:rFonts w:hint="eastAsia" w:ascii="宋体" w:hAnsi="宋体" w:cs="宋体"/>
          <w:color w:val="auto"/>
          <w:highlight w:val="none"/>
        </w:rPr>
      </w:pPr>
    </w:p>
    <w:p w14:paraId="73C2A583">
      <w:pPr>
        <w:pStyle w:val="12"/>
        <w:widowControl/>
        <w:spacing w:before="0" w:beforeAutospacing="0" w:after="0" w:afterAutospacing="0" w:line="360" w:lineRule="auto"/>
        <w:rPr>
          <w:rFonts w:hint="eastAsia" w:ascii="宋体" w:hAnsi="宋体" w:cs="宋体"/>
          <w:color w:val="auto"/>
          <w:highlight w:val="none"/>
        </w:rPr>
      </w:pPr>
    </w:p>
    <w:p w14:paraId="43F34BA2">
      <w:pPr>
        <w:pStyle w:val="12"/>
        <w:widowControl/>
        <w:spacing w:before="0" w:beforeAutospacing="0" w:after="0" w:afterAutospacing="0" w:line="360" w:lineRule="auto"/>
        <w:rPr>
          <w:rFonts w:hint="eastAsia" w:ascii="宋体" w:hAnsi="宋体" w:cs="宋体"/>
          <w:color w:val="auto"/>
          <w:highlight w:val="none"/>
        </w:rPr>
      </w:pPr>
    </w:p>
    <w:p w14:paraId="0920B2E0">
      <w:pPr>
        <w:pStyle w:val="12"/>
        <w:widowControl/>
        <w:spacing w:before="0" w:beforeAutospacing="0" w:after="0" w:afterAutospacing="0" w:line="360" w:lineRule="auto"/>
        <w:rPr>
          <w:rFonts w:hint="eastAsia" w:ascii="宋体" w:hAnsi="宋体" w:cs="宋体"/>
          <w:color w:val="auto"/>
          <w:highlight w:val="none"/>
        </w:rPr>
      </w:pPr>
    </w:p>
    <w:p w14:paraId="0E5179C6">
      <w:pPr>
        <w:pStyle w:val="12"/>
        <w:widowControl/>
        <w:spacing w:before="0" w:beforeAutospacing="0" w:after="0" w:afterAutospacing="0" w:line="360" w:lineRule="auto"/>
        <w:rPr>
          <w:rFonts w:hint="eastAsia" w:ascii="宋体" w:hAnsi="宋体" w:cs="宋体"/>
          <w:color w:val="auto"/>
          <w:highlight w:val="none"/>
        </w:rPr>
      </w:pPr>
    </w:p>
    <w:p w14:paraId="46A57807">
      <w:pPr>
        <w:pStyle w:val="12"/>
        <w:widowControl/>
        <w:spacing w:before="0" w:beforeAutospacing="0" w:after="0" w:afterAutospacing="0" w:line="360" w:lineRule="auto"/>
        <w:rPr>
          <w:rFonts w:hint="eastAsia" w:ascii="宋体" w:hAnsi="宋体" w:cs="宋体"/>
          <w:color w:val="auto"/>
          <w:highlight w:val="none"/>
        </w:rPr>
      </w:pPr>
    </w:p>
    <w:p w14:paraId="5B507046">
      <w:pPr>
        <w:pStyle w:val="12"/>
        <w:widowControl/>
        <w:spacing w:before="0" w:beforeAutospacing="0" w:after="0" w:afterAutospacing="0" w:line="360" w:lineRule="auto"/>
        <w:rPr>
          <w:rFonts w:hint="eastAsia" w:ascii="宋体" w:hAnsi="宋体" w:cs="宋体"/>
          <w:color w:val="auto"/>
          <w:highlight w:val="none"/>
        </w:rPr>
      </w:pPr>
    </w:p>
    <w:p w14:paraId="0E975041">
      <w:pPr>
        <w:pStyle w:val="12"/>
        <w:widowControl/>
        <w:spacing w:before="0" w:beforeAutospacing="0" w:after="0" w:afterAutospacing="0" w:line="360" w:lineRule="auto"/>
        <w:rPr>
          <w:rFonts w:hint="eastAsia" w:ascii="宋体" w:hAnsi="宋体" w:cs="宋体"/>
          <w:color w:val="auto"/>
          <w:highlight w:val="none"/>
        </w:rPr>
      </w:pPr>
    </w:p>
    <w:p w14:paraId="32D7863D">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附：</w:t>
      </w:r>
    </w:p>
    <w:p w14:paraId="3BB7EAE4">
      <w:pPr>
        <w:pStyle w:val="12"/>
        <w:widowControl/>
        <w:spacing w:before="0" w:beforeAutospacing="0" w:after="0" w:afterAutospacing="0" w:line="360" w:lineRule="auto"/>
        <w:jc w:val="center"/>
        <w:rPr>
          <w:rFonts w:ascii="宋体" w:hAnsi="宋体" w:cs="宋体"/>
          <w:color w:val="auto"/>
          <w:highlight w:val="none"/>
        </w:rPr>
      </w:pPr>
      <w:r>
        <w:rPr>
          <w:rStyle w:val="17"/>
          <w:rFonts w:hint="eastAsia" w:ascii="宋体" w:hAnsi="宋体" w:cs="宋体"/>
          <w:color w:val="auto"/>
          <w:highlight w:val="none"/>
        </w:rPr>
        <w:t>残疾人福利性单位声明函（价格扣除适用，若有）</w:t>
      </w:r>
    </w:p>
    <w:p w14:paraId="6507466A">
      <w:pPr>
        <w:pStyle w:val="12"/>
        <w:widowControl/>
        <w:spacing w:before="0" w:beforeAutospacing="0" w:after="0" w:afterAutospacing="0" w:line="360" w:lineRule="auto"/>
        <w:rPr>
          <w:rFonts w:ascii="宋体" w:hAnsi="宋体" w:cs="宋体"/>
          <w:color w:val="auto"/>
          <w:highlight w:val="none"/>
        </w:rPr>
      </w:pPr>
      <w:r>
        <w:rPr>
          <w:rStyle w:val="17"/>
          <w:rFonts w:hint="eastAsia" w:ascii="宋体" w:hAnsi="宋体" w:cs="宋体"/>
          <w:color w:val="auto"/>
          <w:highlight w:val="none"/>
        </w:rPr>
        <w:t> </w:t>
      </w:r>
    </w:p>
    <w:p w14:paraId="0A80A99A">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w:t>
      </w:r>
      <w:r>
        <w:rPr>
          <w:rFonts w:hint="eastAsia" w:ascii="宋体" w:hAnsi="宋体" w:cs="宋体"/>
          <w:color w:val="auto"/>
          <w:highlight w:val="none"/>
          <w:u w:val="single"/>
        </w:rPr>
        <w:t>（填写“项目名称”）</w:t>
      </w:r>
      <w:r>
        <w:rPr>
          <w:rFonts w:hint="eastAsia" w:ascii="宋体" w:hAnsi="宋体" w:cs="宋体"/>
          <w:color w:val="auto"/>
          <w:highlight w:val="none"/>
        </w:rPr>
        <w:t>项目采购活动：</w:t>
      </w:r>
    </w:p>
    <w:p w14:paraId="07E372C2">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 ）提供本投标人制造的</w:t>
      </w:r>
      <w:r>
        <w:rPr>
          <w:rFonts w:hint="eastAsia" w:ascii="宋体" w:hAnsi="宋体" w:cs="宋体"/>
          <w:color w:val="auto"/>
          <w:highlight w:val="none"/>
          <w:u w:val="single"/>
        </w:rPr>
        <w:t>（填写“所投采购包、品目号”）</w:t>
      </w:r>
      <w:r>
        <w:rPr>
          <w:rFonts w:hint="eastAsia" w:ascii="宋体" w:hAnsi="宋体" w:cs="宋体"/>
          <w:color w:val="auto"/>
          <w:highlight w:val="none"/>
        </w:rPr>
        <w:t>货物，或提供其他残疾人福利性单位制造的</w:t>
      </w:r>
      <w:r>
        <w:rPr>
          <w:rFonts w:hint="eastAsia" w:ascii="宋体" w:hAnsi="宋体" w:cs="宋体"/>
          <w:color w:val="auto"/>
          <w:highlight w:val="none"/>
          <w:u w:val="single"/>
        </w:rPr>
        <w:t>（填写“所投采购包、品目号”）</w:t>
      </w:r>
      <w:r>
        <w:rPr>
          <w:rFonts w:hint="eastAsia" w:ascii="宋体" w:hAnsi="宋体" w:cs="宋体"/>
          <w:color w:val="auto"/>
          <w:highlight w:val="none"/>
        </w:rPr>
        <w:t>货物（不包括使用非残疾人福利性单位注册商标的货物）。（说明：只有部分货物由残疾人福利企业制造的，在该货物后标</w:t>
      </w:r>
      <w:r>
        <w:rPr>
          <w:rFonts w:hint="eastAsia" w:ascii="宋体" w:hAnsi="宋体" w:cs="宋体"/>
          <w:color w:val="auto"/>
          <w:highlight w:val="none"/>
          <w:shd w:val="clear" w:color="auto" w:fill="FFFFFF"/>
        </w:rPr>
        <w:t>★</w:t>
      </w:r>
      <w:r>
        <w:rPr>
          <w:rFonts w:hint="eastAsia" w:ascii="宋体" w:hAnsi="宋体" w:cs="宋体"/>
          <w:color w:val="auto"/>
          <w:highlight w:val="none"/>
        </w:rPr>
        <w:t>）</w:t>
      </w:r>
    </w:p>
    <w:p w14:paraId="12EA041C">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 ）由本投标人承建的</w:t>
      </w:r>
      <w:r>
        <w:rPr>
          <w:rFonts w:hint="eastAsia" w:ascii="宋体" w:hAnsi="宋体" w:cs="宋体"/>
          <w:color w:val="auto"/>
          <w:highlight w:val="none"/>
          <w:u w:val="single"/>
        </w:rPr>
        <w:t>（填写“所投采购包、品目号”）</w:t>
      </w:r>
      <w:r>
        <w:rPr>
          <w:rFonts w:hint="eastAsia" w:ascii="宋体" w:hAnsi="宋体" w:cs="宋体"/>
          <w:color w:val="auto"/>
          <w:highlight w:val="none"/>
        </w:rPr>
        <w:t>工程</w:t>
      </w:r>
    </w:p>
    <w:p w14:paraId="68726FF8">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 ）由本投标人承接的</w:t>
      </w:r>
      <w:r>
        <w:rPr>
          <w:rFonts w:hint="eastAsia" w:ascii="宋体" w:hAnsi="宋体" w:cs="宋体"/>
          <w:color w:val="auto"/>
          <w:highlight w:val="none"/>
          <w:u w:val="single"/>
        </w:rPr>
        <w:t>（填写“所投采购包、品目号”）</w:t>
      </w:r>
      <w:r>
        <w:rPr>
          <w:rFonts w:hint="eastAsia" w:ascii="宋体" w:hAnsi="宋体" w:cs="宋体"/>
          <w:color w:val="auto"/>
          <w:highlight w:val="none"/>
        </w:rPr>
        <w:t>服务；</w:t>
      </w:r>
    </w:p>
    <w:p w14:paraId="085E462E">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本投标人对上述声明的真实性负责。如有虚假，将依法承担相应责任。</w:t>
      </w:r>
    </w:p>
    <w:p w14:paraId="68423A45">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 </w:t>
      </w:r>
    </w:p>
    <w:p w14:paraId="38180719">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备注：</w:t>
      </w:r>
    </w:p>
    <w:p w14:paraId="778118D8">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1、请投标人按照实际情况编制填写本声明函，并在相应的（）中打“√”。</w:t>
      </w:r>
    </w:p>
    <w:p w14:paraId="45EB23C3">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2、若《残疾人福利性单位声明函》内容不真实，</w:t>
      </w:r>
      <w:r>
        <w:rPr>
          <w:rStyle w:val="17"/>
          <w:rFonts w:hint="eastAsia" w:ascii="宋体" w:hAnsi="宋体" w:cs="宋体"/>
          <w:color w:val="auto"/>
          <w:highlight w:val="none"/>
        </w:rPr>
        <w:t>视为提供虚假材料。</w:t>
      </w:r>
    </w:p>
    <w:p w14:paraId="6BC18705">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0049871C">
      <w:pPr>
        <w:pStyle w:val="12"/>
        <w:widowControl/>
        <w:spacing w:before="0" w:beforeAutospacing="0" w:after="0" w:afterAutospacing="0" w:line="360" w:lineRule="auto"/>
        <w:rPr>
          <w:rFonts w:hint="eastAsia" w:ascii="宋体" w:hAnsi="宋体" w:cs="宋体"/>
          <w:color w:val="auto"/>
          <w:highlight w:val="none"/>
          <w:u w:val="single"/>
        </w:rPr>
      </w:pPr>
      <w:r>
        <w:rPr>
          <w:rFonts w:hint="eastAsia" w:ascii="宋体" w:hAnsi="宋体" w:cs="宋体"/>
          <w:color w:val="auto"/>
          <w:highlight w:val="none"/>
        </w:rPr>
        <w:t>投标人：</w:t>
      </w:r>
      <w:r>
        <w:rPr>
          <w:rFonts w:hint="eastAsia" w:ascii="宋体" w:hAnsi="宋体" w:cs="宋体"/>
          <w:color w:val="auto"/>
          <w:highlight w:val="none"/>
          <w:u w:val="single"/>
        </w:rPr>
        <w:t>（全称并加盖单位公章）</w:t>
      </w:r>
    </w:p>
    <w:p w14:paraId="11BB8762">
      <w:pPr>
        <w:pStyle w:val="12"/>
        <w:widowControl/>
        <w:spacing w:before="0" w:beforeAutospacing="0" w:after="0" w:afterAutospacing="0" w:line="360" w:lineRule="auto"/>
        <w:rPr>
          <w:rFonts w:hint="eastAsia" w:ascii="宋体" w:hAnsi="宋体" w:cs="宋体"/>
          <w:color w:val="auto"/>
          <w:highlight w:val="none"/>
          <w:u w:val="single"/>
        </w:rPr>
      </w:pPr>
    </w:p>
    <w:p w14:paraId="6C564A1B">
      <w:pPr>
        <w:pStyle w:val="12"/>
        <w:widowControl/>
        <w:spacing w:before="0" w:beforeAutospacing="0" w:after="0" w:afterAutospacing="0" w:line="360" w:lineRule="auto"/>
        <w:rPr>
          <w:rFonts w:hint="eastAsia" w:ascii="宋体" w:hAnsi="宋体" w:cs="宋体"/>
          <w:color w:val="auto"/>
          <w:highlight w:val="none"/>
        </w:rPr>
      </w:pPr>
      <w:r>
        <w:rPr>
          <w:rFonts w:hint="eastAsia" w:ascii="宋体" w:hAnsi="宋体" w:cs="宋体"/>
          <w:color w:val="auto"/>
          <w:highlight w:val="none"/>
        </w:rPr>
        <w:t>日期：</w:t>
      </w:r>
      <w:r>
        <w:rPr>
          <w:rFonts w:hint="eastAsia" w:ascii="宋体" w:hAnsi="宋体" w:cs="宋体"/>
          <w:color w:val="auto"/>
          <w:highlight w:val="none"/>
          <w:u w:val="single"/>
        </w:rPr>
        <w:t>    </w:t>
      </w:r>
      <w:r>
        <w:rPr>
          <w:rFonts w:hint="eastAsia" w:ascii="宋体" w:hAnsi="宋体" w:cs="宋体"/>
          <w:color w:val="auto"/>
          <w:highlight w:val="none"/>
        </w:rPr>
        <w:t>年</w:t>
      </w:r>
      <w:r>
        <w:rPr>
          <w:rFonts w:hint="eastAsia" w:ascii="宋体" w:hAnsi="宋体" w:cs="宋体"/>
          <w:color w:val="auto"/>
          <w:highlight w:val="none"/>
          <w:u w:val="single"/>
        </w:rPr>
        <w:t>   </w:t>
      </w:r>
      <w:r>
        <w:rPr>
          <w:rFonts w:hint="eastAsia" w:ascii="宋体" w:hAnsi="宋体" w:cs="宋体"/>
          <w:color w:val="auto"/>
          <w:highlight w:val="none"/>
        </w:rPr>
        <w:t>月</w:t>
      </w:r>
      <w:r>
        <w:rPr>
          <w:rFonts w:hint="eastAsia" w:ascii="宋体" w:hAnsi="宋体" w:cs="宋体"/>
          <w:color w:val="auto"/>
          <w:highlight w:val="none"/>
          <w:u w:val="single"/>
        </w:rPr>
        <w:t>   </w:t>
      </w:r>
      <w:r>
        <w:rPr>
          <w:rFonts w:hint="eastAsia" w:ascii="宋体" w:hAnsi="宋体" w:cs="宋体"/>
          <w:color w:val="auto"/>
          <w:highlight w:val="none"/>
        </w:rPr>
        <w:t>日</w:t>
      </w:r>
    </w:p>
    <w:p w14:paraId="74BFD5FC">
      <w:pPr>
        <w:pStyle w:val="12"/>
        <w:widowControl/>
        <w:spacing w:before="0" w:beforeAutospacing="0" w:after="0" w:afterAutospacing="0" w:line="360" w:lineRule="auto"/>
        <w:rPr>
          <w:rFonts w:hint="eastAsia" w:ascii="宋体" w:hAnsi="宋体" w:cs="宋体"/>
          <w:color w:val="auto"/>
          <w:highlight w:val="none"/>
        </w:rPr>
      </w:pPr>
    </w:p>
    <w:p w14:paraId="71ABB411">
      <w:pPr>
        <w:pStyle w:val="12"/>
        <w:widowControl/>
        <w:spacing w:before="0" w:beforeAutospacing="0" w:after="0" w:afterAutospacing="0" w:line="360" w:lineRule="auto"/>
        <w:ind w:firstLine="280"/>
        <w:rPr>
          <w:rFonts w:ascii="宋体" w:hAnsi="宋体" w:cs="宋体"/>
          <w:color w:val="auto"/>
          <w:highlight w:val="none"/>
        </w:rPr>
      </w:pPr>
      <w:r>
        <w:rPr>
          <w:rFonts w:hint="eastAsia" w:ascii="宋体" w:hAnsi="宋体" w:cs="宋体"/>
          <w:color w:val="auto"/>
          <w:highlight w:val="none"/>
        </w:rPr>
        <w:t>附：</w:t>
      </w:r>
    </w:p>
    <w:p w14:paraId="2EEB6505">
      <w:pPr>
        <w:pStyle w:val="12"/>
        <w:widowControl/>
        <w:spacing w:before="0" w:beforeAutospacing="0" w:after="0" w:afterAutospacing="0" w:line="360" w:lineRule="auto"/>
        <w:jc w:val="center"/>
        <w:rPr>
          <w:rFonts w:ascii="宋体" w:hAnsi="宋体" w:cs="宋体"/>
          <w:color w:val="auto"/>
          <w:highlight w:val="none"/>
        </w:rPr>
      </w:pPr>
      <w:r>
        <w:rPr>
          <w:rStyle w:val="17"/>
          <w:rFonts w:hint="eastAsia" w:ascii="宋体" w:hAnsi="宋体" w:cs="宋体"/>
          <w:color w:val="auto"/>
          <w:highlight w:val="none"/>
        </w:rPr>
        <w:t>监狱企业证明材料</w:t>
      </w:r>
    </w:p>
    <w:p w14:paraId="139C2C83">
      <w:pPr>
        <w:pStyle w:val="12"/>
        <w:widowControl/>
        <w:spacing w:before="0" w:beforeAutospacing="0" w:after="0" w:afterAutospacing="0" w:line="360" w:lineRule="auto"/>
        <w:jc w:val="center"/>
        <w:rPr>
          <w:rFonts w:ascii="宋体" w:hAnsi="宋体" w:cs="宋体"/>
          <w:color w:val="auto"/>
          <w:highlight w:val="none"/>
        </w:rPr>
      </w:pPr>
      <w:r>
        <w:rPr>
          <w:rStyle w:val="17"/>
          <w:rFonts w:hint="eastAsia" w:ascii="宋体" w:hAnsi="宋体" w:cs="宋体"/>
          <w:color w:val="auto"/>
          <w:highlight w:val="none"/>
        </w:rPr>
        <w:t> </w:t>
      </w:r>
    </w:p>
    <w:p w14:paraId="1A6924B2">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投标人为监狱企业，提供本单位制造的货物（承接的服务），并在投标文件中提供省级以上监狱管理局、戒毒管理局（含新疆生产建设兵团）出具的属于监狱企业的证明文件。</w:t>
      </w:r>
    </w:p>
    <w:p w14:paraId="4A3BC39D">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br w:type="textWrapping"/>
      </w:r>
      <w:r>
        <w:rPr>
          <w:rFonts w:hint="eastAsia" w:ascii="宋体" w:hAnsi="宋体" w:cs="宋体"/>
          <w:color w:val="auto"/>
          <w:highlight w:val="none"/>
        </w:rPr>
        <w:br w:type="textWrapping"/>
      </w:r>
      <w:r>
        <w:rPr>
          <w:rFonts w:hint="eastAsia" w:ascii="宋体" w:hAnsi="宋体" w:cs="宋体"/>
          <w:color w:val="auto"/>
          <w:highlight w:val="none"/>
        </w:rPr>
        <w:br w:type="textWrapping"/>
      </w:r>
    </w:p>
    <w:p w14:paraId="03DD77D1">
      <w:pPr>
        <w:pStyle w:val="12"/>
        <w:widowControl/>
        <w:spacing w:before="0" w:beforeAutospacing="0" w:after="0" w:afterAutospacing="0" w:line="360" w:lineRule="auto"/>
        <w:jc w:val="center"/>
        <w:rPr>
          <w:rFonts w:hint="eastAsia" w:ascii="宋体" w:hAnsi="宋体" w:cs="宋体"/>
          <w:color w:val="auto"/>
          <w:highlight w:val="none"/>
        </w:rPr>
      </w:pPr>
    </w:p>
    <w:p w14:paraId="3A06E294">
      <w:pPr>
        <w:pStyle w:val="12"/>
        <w:widowControl/>
        <w:spacing w:before="0" w:beforeAutospacing="0" w:after="0" w:afterAutospacing="0" w:line="360" w:lineRule="auto"/>
        <w:jc w:val="center"/>
        <w:rPr>
          <w:rFonts w:hint="eastAsia" w:ascii="宋体" w:hAnsi="宋体" w:cs="宋体"/>
          <w:color w:val="auto"/>
          <w:highlight w:val="none"/>
        </w:rPr>
      </w:pPr>
    </w:p>
    <w:p w14:paraId="386F4E67">
      <w:pPr>
        <w:pStyle w:val="12"/>
        <w:widowControl/>
        <w:spacing w:before="0" w:beforeAutospacing="0" w:after="0" w:afterAutospacing="0" w:line="360" w:lineRule="auto"/>
        <w:jc w:val="center"/>
        <w:rPr>
          <w:rFonts w:hint="eastAsia" w:ascii="宋体" w:hAnsi="宋体" w:cs="宋体"/>
          <w:color w:val="auto"/>
          <w:highlight w:val="none"/>
        </w:rPr>
      </w:pPr>
    </w:p>
    <w:p w14:paraId="10106034">
      <w:pPr>
        <w:pStyle w:val="12"/>
        <w:widowControl/>
        <w:spacing w:before="0" w:beforeAutospacing="0" w:after="0" w:afterAutospacing="0" w:line="360" w:lineRule="auto"/>
        <w:jc w:val="center"/>
        <w:rPr>
          <w:rFonts w:hint="eastAsia" w:ascii="宋体" w:hAnsi="宋体" w:cs="宋体"/>
          <w:color w:val="auto"/>
          <w:highlight w:val="none"/>
        </w:rPr>
      </w:pPr>
    </w:p>
    <w:p w14:paraId="66E1FEA1">
      <w:pPr>
        <w:pStyle w:val="12"/>
        <w:widowControl/>
        <w:spacing w:before="0" w:beforeAutospacing="0" w:after="0" w:afterAutospacing="0" w:line="360" w:lineRule="auto"/>
        <w:jc w:val="center"/>
        <w:rPr>
          <w:rFonts w:hint="eastAsia" w:ascii="宋体" w:hAnsi="宋体" w:cs="宋体"/>
          <w:color w:val="auto"/>
          <w:highlight w:val="none"/>
        </w:rPr>
      </w:pPr>
    </w:p>
    <w:p w14:paraId="32DEEB51">
      <w:pPr>
        <w:pStyle w:val="12"/>
        <w:widowControl/>
        <w:spacing w:before="0" w:beforeAutospacing="0" w:after="0" w:afterAutospacing="0" w:line="360" w:lineRule="auto"/>
        <w:jc w:val="center"/>
        <w:rPr>
          <w:rFonts w:hint="eastAsia" w:ascii="宋体" w:hAnsi="宋体" w:cs="宋体"/>
          <w:color w:val="auto"/>
          <w:highlight w:val="none"/>
        </w:rPr>
      </w:pPr>
    </w:p>
    <w:p w14:paraId="16A897C2">
      <w:pPr>
        <w:pStyle w:val="12"/>
        <w:widowControl/>
        <w:spacing w:before="0" w:beforeAutospacing="0" w:after="0" w:afterAutospacing="0" w:line="360" w:lineRule="auto"/>
        <w:jc w:val="center"/>
        <w:rPr>
          <w:rFonts w:hint="eastAsia" w:ascii="宋体" w:hAnsi="宋体" w:cs="宋体"/>
          <w:color w:val="auto"/>
          <w:highlight w:val="none"/>
        </w:rPr>
      </w:pPr>
    </w:p>
    <w:p w14:paraId="79BD02DD">
      <w:pPr>
        <w:pStyle w:val="12"/>
        <w:widowControl/>
        <w:spacing w:before="0" w:beforeAutospacing="0" w:after="0" w:afterAutospacing="0" w:line="360" w:lineRule="auto"/>
        <w:jc w:val="center"/>
        <w:rPr>
          <w:rFonts w:hint="eastAsia" w:ascii="宋体" w:hAnsi="宋体" w:cs="宋体"/>
          <w:color w:val="auto"/>
          <w:highlight w:val="none"/>
        </w:rPr>
      </w:pPr>
    </w:p>
    <w:p w14:paraId="2D0D7B32">
      <w:pPr>
        <w:pStyle w:val="12"/>
        <w:widowControl/>
        <w:spacing w:before="0" w:beforeAutospacing="0" w:after="0" w:afterAutospacing="0" w:line="360" w:lineRule="auto"/>
        <w:jc w:val="center"/>
        <w:rPr>
          <w:rFonts w:hint="eastAsia" w:ascii="宋体" w:hAnsi="宋体" w:cs="宋体"/>
          <w:color w:val="auto"/>
          <w:highlight w:val="none"/>
        </w:rPr>
      </w:pPr>
    </w:p>
    <w:p w14:paraId="15FB5B30">
      <w:pPr>
        <w:pStyle w:val="12"/>
        <w:widowControl/>
        <w:spacing w:before="0" w:beforeAutospacing="0" w:after="0" w:afterAutospacing="0" w:line="360" w:lineRule="auto"/>
        <w:jc w:val="center"/>
        <w:rPr>
          <w:rFonts w:hint="eastAsia" w:ascii="宋体" w:hAnsi="宋体" w:cs="宋体"/>
          <w:color w:val="auto"/>
          <w:highlight w:val="none"/>
        </w:rPr>
      </w:pPr>
    </w:p>
    <w:p w14:paraId="4ACF6FD8">
      <w:pPr>
        <w:pStyle w:val="12"/>
        <w:widowControl/>
        <w:spacing w:before="0" w:beforeAutospacing="0" w:after="0" w:afterAutospacing="0" w:line="360" w:lineRule="auto"/>
        <w:jc w:val="center"/>
        <w:rPr>
          <w:rFonts w:hint="eastAsia" w:ascii="宋体" w:hAnsi="宋体" w:cs="宋体"/>
          <w:color w:val="auto"/>
          <w:highlight w:val="none"/>
        </w:rPr>
      </w:pPr>
    </w:p>
    <w:p w14:paraId="446A5305">
      <w:pPr>
        <w:pStyle w:val="12"/>
        <w:widowControl/>
        <w:spacing w:before="0" w:beforeAutospacing="0" w:after="0" w:afterAutospacing="0" w:line="360" w:lineRule="auto"/>
        <w:jc w:val="center"/>
        <w:rPr>
          <w:rFonts w:hint="eastAsia" w:ascii="宋体" w:hAnsi="宋体" w:cs="宋体"/>
          <w:color w:val="auto"/>
          <w:highlight w:val="none"/>
        </w:rPr>
      </w:pPr>
    </w:p>
    <w:p w14:paraId="4DE3433A">
      <w:pPr>
        <w:pStyle w:val="12"/>
        <w:widowControl/>
        <w:spacing w:before="0" w:beforeAutospacing="0" w:after="0" w:afterAutospacing="0" w:line="360" w:lineRule="auto"/>
        <w:jc w:val="center"/>
        <w:rPr>
          <w:rFonts w:hint="eastAsia" w:ascii="宋体" w:hAnsi="宋体" w:cs="宋体"/>
          <w:color w:val="auto"/>
          <w:highlight w:val="none"/>
        </w:rPr>
      </w:pPr>
    </w:p>
    <w:p w14:paraId="05BEC55C">
      <w:pPr>
        <w:pStyle w:val="12"/>
        <w:widowControl/>
        <w:spacing w:before="0" w:beforeAutospacing="0" w:after="0" w:afterAutospacing="0" w:line="360" w:lineRule="auto"/>
        <w:jc w:val="center"/>
        <w:rPr>
          <w:rFonts w:ascii="宋体" w:hAnsi="宋体" w:cs="宋体"/>
          <w:color w:val="auto"/>
          <w:highlight w:val="none"/>
        </w:rPr>
      </w:pPr>
      <w:r>
        <w:rPr>
          <w:rStyle w:val="17"/>
          <w:rFonts w:hint="eastAsia" w:ascii="宋体" w:hAnsi="宋体" w:cs="宋体"/>
          <w:color w:val="auto"/>
          <w:highlight w:val="none"/>
        </w:rPr>
        <w:t>三-3征集文件规定的其他价格扣除证明材料（若有）</w:t>
      </w:r>
    </w:p>
    <w:p w14:paraId="1A5661D0">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229C280A">
      <w:pPr>
        <w:pStyle w:val="12"/>
        <w:widowControl/>
        <w:spacing w:before="0" w:beforeAutospacing="0" w:after="0" w:afterAutospacing="0" w:line="360" w:lineRule="auto"/>
        <w:rPr>
          <w:rFonts w:ascii="宋体" w:hAnsi="宋体" w:cs="宋体"/>
          <w:color w:val="auto"/>
          <w:highlight w:val="none"/>
        </w:rPr>
      </w:pPr>
      <w:r>
        <w:rPr>
          <w:rFonts w:hint="eastAsia" w:ascii="宋体" w:hAnsi="宋体" w:cs="宋体"/>
          <w:color w:val="auto"/>
          <w:highlight w:val="none"/>
        </w:rPr>
        <w:t> </w:t>
      </w:r>
    </w:p>
    <w:p w14:paraId="1D76B35A">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编制说明</w:t>
      </w:r>
    </w:p>
    <w:p w14:paraId="089F0ECC">
      <w:pPr>
        <w:pStyle w:val="12"/>
        <w:widowControl/>
        <w:spacing w:before="0" w:beforeAutospacing="0" w:after="0" w:afterAutospacing="0" w:line="360" w:lineRule="auto"/>
        <w:jc w:val="center"/>
        <w:rPr>
          <w:rFonts w:ascii="宋体" w:hAnsi="宋体" w:cs="宋体"/>
          <w:color w:val="auto"/>
          <w:highlight w:val="none"/>
        </w:rPr>
      </w:pPr>
      <w:r>
        <w:rPr>
          <w:rFonts w:hint="eastAsia" w:ascii="宋体" w:hAnsi="宋体" w:cs="宋体"/>
          <w:color w:val="auto"/>
          <w:highlight w:val="none"/>
        </w:rPr>
        <w:t> </w:t>
      </w:r>
    </w:p>
    <w:p w14:paraId="3BD5B8C4">
      <w:pPr>
        <w:pStyle w:val="12"/>
        <w:widowControl/>
        <w:spacing w:before="0" w:beforeAutospacing="0" w:after="0" w:afterAutospacing="0" w:line="360" w:lineRule="auto"/>
        <w:ind w:firstLine="280"/>
        <w:rPr>
          <w:rFonts w:hint="eastAsia" w:ascii="宋体" w:hAnsi="宋体" w:cs="宋体"/>
          <w:color w:val="auto"/>
          <w:highlight w:val="none"/>
        </w:rPr>
      </w:pPr>
      <w:r>
        <w:rPr>
          <w:rFonts w:hint="eastAsia" w:ascii="宋体" w:hAnsi="宋体" w:cs="宋体"/>
          <w:color w:val="auto"/>
          <w:highlight w:val="none"/>
        </w:rPr>
        <w:t>若投标人可享受征集文件规定的除</w:t>
      </w:r>
      <w:r>
        <w:rPr>
          <w:rStyle w:val="17"/>
          <w:rFonts w:hint="eastAsia" w:ascii="宋体" w:hAnsi="宋体" w:cs="宋体"/>
          <w:color w:val="auto"/>
          <w:highlight w:val="none"/>
        </w:rPr>
        <w:t>“节能（非强制类）、环境标志产品价格扣除”及“小型、微型企业产品等价格扣除”</w:t>
      </w:r>
      <w:r>
        <w:rPr>
          <w:rFonts w:hint="eastAsia" w:ascii="宋体" w:hAnsi="宋体" w:cs="宋体"/>
          <w:color w:val="auto"/>
          <w:highlight w:val="none"/>
        </w:rPr>
        <w:t>外的其他价格扣除优惠，则投标人应按照征集文件要求提供相应证明材料。</w:t>
      </w:r>
    </w:p>
    <w:p w14:paraId="7FC55173">
      <w:pPr>
        <w:pStyle w:val="12"/>
        <w:widowControl/>
        <w:spacing w:before="0" w:beforeAutospacing="0" w:after="0" w:afterAutospacing="0" w:line="360" w:lineRule="auto"/>
        <w:ind w:firstLine="280"/>
        <w:rPr>
          <w:rFonts w:hint="eastAsia" w:ascii="宋体" w:hAnsi="宋体" w:cs="宋体"/>
          <w:color w:val="auto"/>
          <w:highlight w:val="none"/>
        </w:rPr>
      </w:pPr>
    </w:p>
    <w:p w14:paraId="3D39AD21">
      <w:pPr>
        <w:pStyle w:val="12"/>
        <w:widowControl/>
        <w:spacing w:before="0" w:beforeAutospacing="0" w:after="0" w:afterAutospacing="0" w:line="360" w:lineRule="auto"/>
        <w:ind w:firstLine="280"/>
        <w:rPr>
          <w:rFonts w:hint="eastAsia" w:ascii="宋体" w:hAnsi="宋体" w:cs="宋体"/>
          <w:color w:val="auto"/>
          <w:highlight w:val="none"/>
        </w:rPr>
      </w:pPr>
    </w:p>
    <w:p w14:paraId="422CAF5A">
      <w:pPr>
        <w:pStyle w:val="12"/>
        <w:widowControl/>
        <w:spacing w:before="0" w:beforeAutospacing="0" w:after="0" w:afterAutospacing="0" w:line="360" w:lineRule="auto"/>
        <w:ind w:firstLine="280"/>
        <w:rPr>
          <w:rFonts w:hint="eastAsia" w:ascii="宋体" w:hAnsi="宋体" w:cs="宋体"/>
          <w:color w:val="auto"/>
          <w:highlight w:val="none"/>
        </w:rPr>
      </w:pPr>
    </w:p>
    <w:p w14:paraId="1156BE1E">
      <w:pPr>
        <w:pStyle w:val="12"/>
        <w:widowControl/>
        <w:spacing w:before="0" w:beforeAutospacing="0" w:after="0" w:afterAutospacing="0" w:line="360" w:lineRule="auto"/>
        <w:ind w:firstLine="280"/>
        <w:rPr>
          <w:rFonts w:hint="eastAsia" w:ascii="宋体" w:hAnsi="宋体" w:cs="宋体"/>
          <w:color w:val="auto"/>
          <w:highlight w:val="none"/>
        </w:rPr>
      </w:pPr>
    </w:p>
    <w:p w14:paraId="4396F03A">
      <w:pPr>
        <w:pStyle w:val="12"/>
        <w:widowControl/>
        <w:spacing w:before="0" w:beforeAutospacing="0" w:after="0" w:afterAutospacing="0" w:line="360" w:lineRule="auto"/>
        <w:ind w:firstLine="280"/>
        <w:rPr>
          <w:rFonts w:hint="eastAsia" w:ascii="宋体" w:hAnsi="宋体" w:cs="宋体"/>
          <w:color w:val="auto"/>
          <w:highlight w:val="none"/>
        </w:rPr>
      </w:pPr>
    </w:p>
    <w:p w14:paraId="085FE274">
      <w:pPr>
        <w:pStyle w:val="12"/>
        <w:widowControl/>
        <w:spacing w:before="0" w:beforeAutospacing="0" w:after="0" w:afterAutospacing="0" w:line="360" w:lineRule="auto"/>
        <w:ind w:firstLine="280"/>
        <w:rPr>
          <w:rFonts w:hint="eastAsia" w:ascii="宋体" w:hAnsi="宋体" w:cs="宋体"/>
          <w:color w:val="auto"/>
          <w:highlight w:val="none"/>
        </w:rPr>
      </w:pPr>
    </w:p>
    <w:p w14:paraId="054C40DC">
      <w:pPr>
        <w:pStyle w:val="12"/>
        <w:widowControl/>
        <w:spacing w:before="0" w:beforeAutospacing="0" w:after="0" w:afterAutospacing="0" w:line="360" w:lineRule="auto"/>
        <w:ind w:firstLine="280"/>
        <w:rPr>
          <w:rFonts w:hint="eastAsia" w:ascii="宋体" w:hAnsi="宋体" w:cs="宋体"/>
          <w:color w:val="auto"/>
          <w:highlight w:val="none"/>
        </w:rPr>
      </w:pPr>
    </w:p>
    <w:p w14:paraId="4FE958D4">
      <w:pPr>
        <w:pStyle w:val="12"/>
        <w:widowControl/>
        <w:spacing w:before="0" w:beforeAutospacing="0" w:after="0" w:afterAutospacing="0" w:line="360" w:lineRule="auto"/>
        <w:ind w:firstLine="280"/>
        <w:rPr>
          <w:rFonts w:hint="eastAsia" w:ascii="宋体" w:hAnsi="宋体" w:cs="宋体"/>
          <w:color w:val="auto"/>
          <w:highlight w:val="none"/>
        </w:rPr>
      </w:pPr>
    </w:p>
    <w:p w14:paraId="4667E3F2">
      <w:pPr>
        <w:rPr>
          <w:color w:val="auto"/>
          <w:highlight w:val="none"/>
        </w:rPr>
      </w:pPr>
    </w:p>
    <w:p w14:paraId="57E2CD50">
      <w:pPr>
        <w:rPr>
          <w:color w:val="auto"/>
          <w:highlight w:val="none"/>
        </w:rPr>
      </w:pPr>
    </w:p>
    <w:p w14:paraId="5D7155A6">
      <w:pPr>
        <w:rPr>
          <w:color w:val="auto"/>
          <w:highlight w:val="none"/>
        </w:rPr>
      </w:pPr>
    </w:p>
    <w:p w14:paraId="455065EC">
      <w:pPr>
        <w:rPr>
          <w:color w:val="auto"/>
          <w:highlight w:val="none"/>
        </w:rPr>
      </w:pPr>
    </w:p>
    <w:p w14:paraId="30F24A24">
      <w:pPr>
        <w:rPr>
          <w:color w:val="auto"/>
          <w:highlight w:val="none"/>
        </w:rPr>
      </w:pPr>
    </w:p>
    <w:p w14:paraId="08A46939">
      <w:pPr>
        <w:rPr>
          <w:color w:val="auto"/>
          <w:highlight w:val="none"/>
        </w:rPr>
      </w:pPr>
    </w:p>
    <w:p w14:paraId="2A4107C2">
      <w:pPr>
        <w:rPr>
          <w:color w:val="auto"/>
          <w:highlight w:val="none"/>
        </w:rPr>
      </w:pPr>
    </w:p>
    <w:p w14:paraId="6C8F32CF">
      <w:pPr>
        <w:rPr>
          <w:color w:val="auto"/>
          <w:highlight w:val="none"/>
        </w:rPr>
      </w:pPr>
    </w:p>
    <w:p w14:paraId="1AD38BAD">
      <w:pPr>
        <w:rPr>
          <w:color w:val="auto"/>
          <w:highlight w:val="none"/>
        </w:rPr>
      </w:pPr>
    </w:p>
    <w:p w14:paraId="614B39A9">
      <w:pPr>
        <w:rPr>
          <w:color w:val="auto"/>
          <w:highlight w:val="none"/>
        </w:rPr>
      </w:pPr>
    </w:p>
    <w:p w14:paraId="1FF10FE2">
      <w:pPr>
        <w:spacing w:line="360" w:lineRule="auto"/>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附：廉洁承诺书</w:t>
      </w:r>
    </w:p>
    <w:p w14:paraId="2063E7A6">
      <w:pPr>
        <w:widowControl/>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32"/>
          <w:szCs w:val="32"/>
          <w:highlight w:val="none"/>
        </w:rPr>
        <w:t>廉洁承诺书</w:t>
      </w:r>
    </w:p>
    <w:p w14:paraId="0A71C9CB">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为促进廉洁自律有关规定的落实，打击贿赂、以权谋私等违法犯罪行为，保证各项经营活动健康有序开展，维护员工职业操守，提高合作效率，本单位在与厦门万翔招标有限公司开展投标业务活动中承诺： </w:t>
      </w:r>
    </w:p>
    <w:p w14:paraId="3E0EB7E8">
      <w:pPr>
        <w:widowControl/>
        <w:spacing w:line="360" w:lineRule="auto"/>
        <w:ind w:firstLine="482" w:firstLineChars="20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一、自觉遵守国家法律、法规，按照《中国共产党纪律处分条例》、《中华人民共和国反不正当竞争法》、《关于禁止商业贿赂行为的暂行规定》以及有关要求进行各项业务活动。</w:t>
      </w:r>
    </w:p>
    <w:p w14:paraId="36B08B63">
      <w:pPr>
        <w:widowControl/>
        <w:spacing w:line="360" w:lineRule="auto"/>
        <w:ind w:firstLine="482" w:firstLineChars="20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二、不向厦门万翔招标有限公司的工作人员及其亲属馈赠礼金、礼品</w:t>
      </w:r>
      <w:r>
        <w:rPr>
          <w:rFonts w:hint="eastAsia" w:ascii="宋体" w:hAnsi="宋体" w:eastAsia="宋体" w:cs="宋体"/>
          <w:color w:val="auto"/>
          <w:sz w:val="24"/>
          <w:szCs w:val="24"/>
          <w:highlight w:val="none"/>
        </w:rPr>
        <w:t>（含有价证券）</w:t>
      </w:r>
      <w:r>
        <w:rPr>
          <w:rFonts w:hint="eastAsia" w:ascii="宋体" w:hAnsi="宋体" w:eastAsia="宋体" w:cs="宋体"/>
          <w:color w:val="auto"/>
          <w:sz w:val="24"/>
          <w:szCs w:val="24"/>
          <w:highlight w:val="none"/>
        </w:rPr>
        <w:t>；不向厦门万翔招标有限公司的工作人员提供任何应由其个人支付报酬的劳务（如：建、修住宅等）和其它服务；不为厦门万翔招标有限公司的工作人员安排可能影响公正执行公务的任何活动（如：旅游、高消费宴请、娱乐等）；不为厦门万翔招标有限公司的工作人员支付应由其个人支付的任何赞助费、宣传费、咨询费、劳务费等；不为厦门万翔招标有限公司的工作人员报销任何名义的个人消费凭证；不为厦门万翔招标有限公司的工作人员安排违反社会公德的活动；不为厦门万翔招标有限公司的工作人员提供经商、办企业、消费提供特殊便利或优惠等。</w:t>
      </w:r>
    </w:p>
    <w:p w14:paraId="78B7CFFD">
      <w:pPr>
        <w:widowControl/>
        <w:spacing w:line="360" w:lineRule="auto"/>
        <w:ind w:firstLine="482" w:firstLineChars="20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三、不与其他经营者串通报价和投标，不排挤其他经营者的公平竞争，损害其他经营者的合法权益；不在工程建设的预决算编制工作中弄虚作假、高估冒算。</w:t>
      </w:r>
    </w:p>
    <w:p w14:paraId="7BF999D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四、发现厦门万翔招标有限公司的工作人员有受贿行为或索贿要求、徇私舞弊、滥用职权时，将予以举报</w:t>
      </w:r>
      <w:r>
        <w:rPr>
          <w:rFonts w:hint="eastAsia" w:ascii="宋体" w:hAnsi="宋体" w:eastAsia="宋体" w:cs="宋体"/>
          <w:color w:val="auto"/>
          <w:sz w:val="24"/>
          <w:szCs w:val="24"/>
          <w:highlight w:val="none"/>
        </w:rPr>
        <w:t>并提供证据</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t>举报电话：5705656或</w:t>
      </w:r>
      <w:r>
        <w:rPr>
          <w:rFonts w:hint="eastAsia" w:ascii="宋体" w:hAnsi="宋体" w:cs="宋体"/>
          <w:color w:val="auto"/>
          <w:sz w:val="24"/>
          <w:szCs w:val="24"/>
          <w:highlight w:val="none"/>
          <w:lang w:eastAsia="zh-CN"/>
        </w:rPr>
        <w:t>5706818</w:t>
      </w:r>
      <w:r>
        <w:rPr>
          <w:rFonts w:hint="eastAsia" w:ascii="宋体" w:hAnsi="宋体" w:eastAsia="宋体" w:cs="宋体"/>
          <w:color w:val="auto"/>
          <w:sz w:val="24"/>
          <w:szCs w:val="24"/>
          <w:highlight w:val="none"/>
        </w:rPr>
        <w:t>；举报邮箱：</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HYPERLINK "mailto:zpk@iport.com.cn"</w:instrText>
      </w:r>
      <w:r>
        <w:rPr>
          <w:rFonts w:hint="eastAsia" w:ascii="宋体" w:hAnsi="宋体" w:eastAsia="宋体" w:cs="宋体"/>
          <w:color w:val="auto"/>
          <w:sz w:val="24"/>
          <w:szCs w:val="24"/>
          <w:highlight w:val="none"/>
        </w:rPr>
        <w:fldChar w:fldCharType="separate"/>
      </w:r>
      <w:r>
        <w:rPr>
          <w:rStyle w:val="19"/>
          <w:rFonts w:hint="eastAsia" w:ascii="宋体" w:hAnsi="宋体" w:cs="宋体"/>
          <w:color w:val="auto"/>
          <w:sz w:val="24"/>
          <w:szCs w:val="24"/>
          <w:highlight w:val="none"/>
          <w:lang w:eastAsia="zh-CN"/>
        </w:rPr>
        <w:t>cts@iport.com.cn</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；举报信件：厦门市湖里区机场北路476号四楼厦门万翔招标有限公司，总经理收。</w:t>
      </w:r>
    </w:p>
    <w:p w14:paraId="119A465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自觉接受监督，本单位及员工若有违反本承诺书（包括但不限于本承诺书所列举禁止项目），致使厦门万翔招标有限公司工作人员受到纪检监察部门党纪、政纪处分，自处分确定之日起三日内，本单位自愿支付贵公司</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万元人民币违约金；致使厦门万翔招标有限公司工作人员受到司法机关刑事追究（判处拘役或有期徒刑以上刑罚处罚），自判决生效之日起三日内，本单位自愿支付贵公司</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万元人民币违约金。</w:t>
      </w:r>
    </w:p>
    <w:p w14:paraId="3AA0B84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特此承诺。</w:t>
      </w:r>
    </w:p>
    <w:p w14:paraId="69B133D0">
      <w:pPr>
        <w:tabs>
          <w:tab w:val="left" w:pos="293"/>
        </w:tabs>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投标人名称（盖章）：</w:t>
      </w:r>
    </w:p>
    <w:p w14:paraId="7221125D">
      <w:pPr>
        <w:spacing w:line="360" w:lineRule="auto"/>
        <w:ind w:firstLine="460" w:firstLineChars="1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rPr>
        <w:t>（或授权代表）</w:t>
      </w:r>
      <w:r>
        <w:rPr>
          <w:rFonts w:hint="eastAsia" w:ascii="宋体" w:hAnsi="宋体" w:eastAsia="宋体" w:cs="宋体"/>
          <w:color w:val="auto"/>
          <w:sz w:val="24"/>
          <w:szCs w:val="24"/>
          <w:highlight w:val="none"/>
        </w:rPr>
        <w:t>：</w:t>
      </w:r>
    </w:p>
    <w:p w14:paraId="7BF05ADB">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                          日期：</w:t>
      </w:r>
    </w:p>
    <w:p w14:paraId="5D311BC2">
      <w:pPr>
        <w:spacing w:line="360" w:lineRule="auto"/>
        <w:ind w:firstLine="360" w:firstLineChars="150"/>
        <w:rPr>
          <w:rFonts w:hint="eastAsia" w:ascii="宋体" w:hAnsi="宋体" w:eastAsia="宋体" w:cs="宋体"/>
          <w:color w:val="auto"/>
          <w:sz w:val="24"/>
          <w:szCs w:val="24"/>
          <w:highlight w:val="none"/>
        </w:rPr>
      </w:pPr>
    </w:p>
    <w:p w14:paraId="5B1134C0">
      <w:pPr>
        <w:spacing w:line="360" w:lineRule="auto"/>
        <w:ind w:firstLine="360" w:firstLineChars="150"/>
        <w:rPr>
          <w:rFonts w:hint="eastAsia" w:ascii="宋体" w:hAnsi="宋体" w:eastAsia="宋体" w:cs="宋体"/>
          <w:color w:val="auto"/>
          <w:sz w:val="24"/>
          <w:szCs w:val="24"/>
          <w:highlight w:val="none"/>
        </w:rPr>
      </w:pPr>
    </w:p>
    <w:p w14:paraId="0B03483B">
      <w:pPr>
        <w:spacing w:line="360" w:lineRule="auto"/>
        <w:ind w:firstLine="360" w:firstLineChars="150"/>
        <w:rPr>
          <w:rFonts w:hint="eastAsia" w:ascii="宋体" w:hAnsi="宋体" w:eastAsia="宋体" w:cs="宋体"/>
          <w:color w:val="auto"/>
          <w:sz w:val="24"/>
          <w:szCs w:val="24"/>
          <w:highlight w:val="none"/>
        </w:rPr>
      </w:pPr>
    </w:p>
    <w:p w14:paraId="3ED6953D">
      <w:pPr>
        <w:spacing w:line="360" w:lineRule="auto"/>
        <w:ind w:firstLine="360" w:firstLineChars="150"/>
        <w:rPr>
          <w:rFonts w:hint="eastAsia" w:ascii="宋体" w:hAnsi="宋体" w:eastAsia="宋体" w:cs="宋体"/>
          <w:color w:val="auto"/>
          <w:sz w:val="24"/>
          <w:szCs w:val="24"/>
          <w:highlight w:val="none"/>
        </w:rPr>
      </w:pPr>
    </w:p>
    <w:p w14:paraId="5813B702">
      <w:pPr>
        <w:spacing w:line="360" w:lineRule="auto"/>
        <w:ind w:firstLine="360" w:firstLineChars="150"/>
        <w:rPr>
          <w:rFonts w:hint="eastAsia" w:ascii="宋体" w:hAnsi="宋体" w:eastAsia="宋体" w:cs="宋体"/>
          <w:color w:val="auto"/>
          <w:sz w:val="24"/>
          <w:szCs w:val="24"/>
          <w:highlight w:val="none"/>
        </w:rPr>
      </w:pPr>
    </w:p>
    <w:p w14:paraId="0583CB57">
      <w:pPr>
        <w:spacing w:line="360" w:lineRule="auto"/>
        <w:ind w:firstLine="360" w:firstLineChars="150"/>
        <w:rPr>
          <w:rFonts w:hint="eastAsia" w:ascii="宋体" w:hAnsi="宋体" w:eastAsia="宋体" w:cs="宋体"/>
          <w:color w:val="auto"/>
          <w:sz w:val="24"/>
          <w:szCs w:val="24"/>
          <w:highlight w:val="none"/>
        </w:rPr>
      </w:pPr>
    </w:p>
    <w:p w14:paraId="5336704F">
      <w:pPr>
        <w:spacing w:line="360" w:lineRule="auto"/>
        <w:ind w:firstLine="360" w:firstLineChars="150"/>
        <w:rPr>
          <w:rFonts w:hint="eastAsia" w:ascii="宋体" w:hAnsi="宋体" w:eastAsia="宋体" w:cs="宋体"/>
          <w:color w:val="auto"/>
          <w:sz w:val="24"/>
          <w:szCs w:val="24"/>
          <w:highlight w:val="none"/>
        </w:rPr>
      </w:pPr>
    </w:p>
    <w:p w14:paraId="3CAAE40B">
      <w:pPr>
        <w:spacing w:line="360" w:lineRule="auto"/>
        <w:ind w:firstLine="360" w:firstLineChars="150"/>
        <w:rPr>
          <w:rFonts w:hint="eastAsia" w:ascii="宋体" w:hAnsi="宋体" w:eastAsia="宋体" w:cs="宋体"/>
          <w:color w:val="auto"/>
          <w:sz w:val="24"/>
          <w:szCs w:val="24"/>
          <w:highlight w:val="none"/>
        </w:rPr>
      </w:pPr>
    </w:p>
    <w:p w14:paraId="27405F13">
      <w:pPr>
        <w:spacing w:line="360" w:lineRule="auto"/>
        <w:ind w:firstLine="360" w:firstLineChars="150"/>
        <w:rPr>
          <w:rFonts w:hint="eastAsia" w:ascii="宋体" w:hAnsi="宋体" w:eastAsia="宋体" w:cs="宋体"/>
          <w:color w:val="auto"/>
          <w:sz w:val="24"/>
          <w:szCs w:val="24"/>
          <w:highlight w:val="none"/>
        </w:rPr>
      </w:pPr>
    </w:p>
    <w:p w14:paraId="26CB50CF">
      <w:pPr>
        <w:spacing w:line="360" w:lineRule="auto"/>
        <w:ind w:firstLine="360" w:firstLineChars="150"/>
        <w:rPr>
          <w:rFonts w:hint="eastAsia" w:ascii="宋体" w:hAnsi="宋体" w:eastAsia="宋体" w:cs="宋体"/>
          <w:color w:val="auto"/>
          <w:sz w:val="24"/>
          <w:szCs w:val="24"/>
          <w:highlight w:val="none"/>
        </w:rPr>
      </w:pPr>
    </w:p>
    <w:p w14:paraId="7D50A05F">
      <w:pPr>
        <w:spacing w:line="360" w:lineRule="auto"/>
        <w:ind w:firstLine="360" w:firstLineChars="150"/>
        <w:rPr>
          <w:rFonts w:hint="eastAsia" w:ascii="宋体" w:hAnsi="宋体" w:eastAsia="宋体" w:cs="宋体"/>
          <w:color w:val="auto"/>
          <w:sz w:val="24"/>
          <w:szCs w:val="24"/>
          <w:highlight w:val="none"/>
        </w:rPr>
      </w:pPr>
    </w:p>
    <w:p w14:paraId="00A0482A">
      <w:pPr>
        <w:spacing w:line="360" w:lineRule="auto"/>
        <w:ind w:firstLine="360" w:firstLineChars="150"/>
        <w:rPr>
          <w:rFonts w:hint="eastAsia" w:ascii="宋体" w:hAnsi="宋体" w:eastAsia="宋体" w:cs="宋体"/>
          <w:color w:val="auto"/>
          <w:sz w:val="24"/>
          <w:szCs w:val="24"/>
          <w:highlight w:val="none"/>
        </w:rPr>
      </w:pPr>
    </w:p>
    <w:p w14:paraId="03BEF244">
      <w:pPr>
        <w:spacing w:line="360" w:lineRule="auto"/>
        <w:ind w:firstLine="360" w:firstLineChars="150"/>
        <w:rPr>
          <w:rFonts w:hint="eastAsia" w:ascii="宋体" w:hAnsi="宋体" w:eastAsia="宋体" w:cs="宋体"/>
          <w:color w:val="auto"/>
          <w:sz w:val="24"/>
          <w:szCs w:val="24"/>
          <w:highlight w:val="none"/>
        </w:rPr>
      </w:pPr>
    </w:p>
    <w:p w14:paraId="54D1BE5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 w:beforeAutospacing="0" w:after="24" w:afterAutospacing="0" w:line="360" w:lineRule="auto"/>
        <w:ind w:left="0" w:right="0" w:firstLine="0"/>
        <w:textAlignment w:val="auto"/>
        <w:rPr>
          <w:rFonts w:hint="eastAsia" w:ascii="宋体" w:hAnsi="宋体" w:eastAsia="宋体" w:cs="宋体"/>
          <w:color w:val="auto"/>
          <w:sz w:val="24"/>
          <w:szCs w:val="24"/>
          <w:highlight w:val="none"/>
        </w:rPr>
      </w:pPr>
      <w:r>
        <w:rPr>
          <w:rStyle w:val="17"/>
          <w:rFonts w:hint="eastAsia" w:ascii="宋体" w:hAnsi="宋体" w:eastAsia="宋体" w:cs="宋体"/>
          <w:color w:val="auto"/>
          <w:sz w:val="24"/>
          <w:szCs w:val="24"/>
          <w:highlight w:val="none"/>
        </w:rPr>
        <w:t>附件</w:t>
      </w:r>
    </w:p>
    <w:p w14:paraId="16D352DA">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 w:beforeAutospacing="0" w:after="24" w:afterAutospacing="0" w:line="360" w:lineRule="auto"/>
        <w:ind w:left="0" w:right="0" w:firstLine="0"/>
        <w:jc w:val="center"/>
        <w:textAlignment w:val="auto"/>
        <w:rPr>
          <w:rFonts w:hint="eastAsia" w:ascii="宋体" w:hAnsi="宋体" w:eastAsia="宋体" w:cs="宋体"/>
          <w:color w:val="auto"/>
          <w:sz w:val="24"/>
          <w:szCs w:val="24"/>
          <w:highlight w:val="none"/>
        </w:rPr>
      </w:pPr>
      <w:r>
        <w:rPr>
          <w:rStyle w:val="17"/>
          <w:rFonts w:hint="eastAsia" w:ascii="宋体" w:hAnsi="宋体" w:eastAsia="宋体" w:cs="宋体"/>
          <w:color w:val="auto"/>
          <w:sz w:val="24"/>
          <w:szCs w:val="24"/>
          <w:highlight w:val="none"/>
        </w:rPr>
        <w:t>关于符合本国产品标准的声明函</w:t>
      </w:r>
    </w:p>
    <w:p w14:paraId="264E434E">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 w:beforeAutospacing="0" w:after="24" w:afterAutospacing="0" w:line="360" w:lineRule="auto"/>
        <w:ind w:left="0" w:right="0"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本公司（单位）郑重声明，根据《国务院办公厅关于在政府采购中实施本国产品标准及相关政策的通知》（国办发〔2025〕34号）的规定，本公司（单位）提供的以下产品属于本国产品。具体情况如下：</w:t>
      </w:r>
    </w:p>
    <w:p w14:paraId="3F57277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 w:beforeAutospacing="0" w:after="24" w:afterAutospacing="0" w:line="360" w:lineRule="auto"/>
        <w:ind w:left="0" w:right="0"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Style w:val="18"/>
          <w:rFonts w:hint="eastAsia" w:ascii="宋体" w:hAnsi="宋体" w:eastAsia="宋体" w:cs="宋体"/>
          <w:color w:val="auto"/>
          <w:sz w:val="24"/>
          <w:szCs w:val="24"/>
          <w:highlight w:val="none"/>
          <w:u w:val="single"/>
        </w:rPr>
        <w:t>（产品名称1）</w:t>
      </w:r>
      <w:r>
        <w:rPr>
          <w:rStyle w:val="18"/>
          <w:rFonts w:hint="eastAsia" w:ascii="宋体" w:hAnsi="宋体" w:eastAsia="宋体" w:cs="宋体"/>
          <w:color w:val="auto"/>
          <w:sz w:val="24"/>
          <w:szCs w:val="24"/>
          <w:highlight w:val="none"/>
          <w:u w:val="none"/>
          <w:vertAlign w:val="superscript"/>
        </w:rPr>
        <w:t>1</w:t>
      </w:r>
      <w:r>
        <w:rPr>
          <w:rFonts w:hint="eastAsia" w:ascii="宋体" w:hAnsi="宋体" w:eastAsia="宋体" w:cs="宋体"/>
          <w:color w:val="auto"/>
          <w:sz w:val="24"/>
          <w:szCs w:val="24"/>
          <w:highlight w:val="none"/>
        </w:rPr>
        <w:t>，生产厂为</w:t>
      </w:r>
      <w:r>
        <w:rPr>
          <w:rStyle w:val="18"/>
          <w:rFonts w:hint="eastAsia" w:ascii="宋体" w:hAnsi="宋体" w:eastAsia="宋体" w:cs="宋体"/>
          <w:color w:val="auto"/>
          <w:sz w:val="24"/>
          <w:szCs w:val="24"/>
          <w:highlight w:val="none"/>
          <w:u w:val="single"/>
        </w:rPr>
        <w:t>（厂名）</w:t>
      </w:r>
      <w:r>
        <w:rPr>
          <w:rStyle w:val="18"/>
          <w:rFonts w:hint="eastAsia" w:ascii="宋体" w:hAnsi="宋体" w:eastAsia="宋体" w:cs="宋体"/>
          <w:color w:val="auto"/>
          <w:sz w:val="24"/>
          <w:szCs w:val="24"/>
          <w:highlight w:val="none"/>
          <w:u w:val="none"/>
          <w:vertAlign w:val="superscript"/>
        </w:rPr>
        <w:t>2</w:t>
      </w:r>
      <w:r>
        <w:rPr>
          <w:rFonts w:hint="eastAsia" w:ascii="宋体" w:hAnsi="宋体" w:eastAsia="宋体" w:cs="宋体"/>
          <w:color w:val="auto"/>
          <w:sz w:val="24"/>
          <w:szCs w:val="24"/>
          <w:highlight w:val="none"/>
        </w:rPr>
        <w:t>，厂址为</w:t>
      </w:r>
      <w:r>
        <w:rPr>
          <w:rStyle w:val="18"/>
          <w:rFonts w:hint="eastAsia" w:ascii="宋体" w:hAnsi="宋体" w:eastAsia="宋体" w:cs="宋体"/>
          <w:color w:val="auto"/>
          <w:sz w:val="24"/>
          <w:szCs w:val="24"/>
          <w:highlight w:val="none"/>
          <w:u w:val="single"/>
        </w:rPr>
        <w:t>（生产厂址）</w:t>
      </w:r>
      <w:r>
        <w:rPr>
          <w:rFonts w:hint="eastAsia" w:ascii="宋体" w:hAnsi="宋体" w:eastAsia="宋体" w:cs="宋体"/>
          <w:color w:val="auto"/>
          <w:sz w:val="24"/>
          <w:szCs w:val="24"/>
          <w:highlight w:val="none"/>
        </w:rPr>
        <w:t>。</w:t>
      </w:r>
      <w:r>
        <w:rPr>
          <w:rStyle w:val="18"/>
          <w:rFonts w:hint="eastAsia" w:ascii="宋体" w:hAnsi="宋体" w:eastAsia="宋体" w:cs="宋体"/>
          <w:color w:val="auto"/>
          <w:sz w:val="24"/>
          <w:szCs w:val="24"/>
          <w:highlight w:val="none"/>
          <w:u w:val="single"/>
        </w:rPr>
        <w:t>（产品名称1）</w:t>
      </w:r>
      <w:r>
        <w:rPr>
          <w:rFonts w:hint="eastAsia" w:ascii="宋体" w:hAnsi="宋体" w:eastAsia="宋体" w:cs="宋体"/>
          <w:color w:val="auto"/>
          <w:sz w:val="24"/>
          <w:szCs w:val="24"/>
          <w:highlight w:val="none"/>
        </w:rPr>
        <w:t>的中国境内生产的组件成本占比≥</w:t>
      </w:r>
      <w:r>
        <w:rPr>
          <w:rStyle w:val="18"/>
          <w:rFonts w:hint="eastAsia" w:ascii="宋体" w:hAnsi="宋体" w:eastAsia="宋体" w:cs="宋体"/>
          <w:color w:val="auto"/>
          <w:sz w:val="24"/>
          <w:szCs w:val="24"/>
          <w:highlight w:val="none"/>
          <w:u w:val="single"/>
        </w:rPr>
        <w:t>（规定比例）</w:t>
      </w:r>
      <w:r>
        <w:rPr>
          <w:rStyle w:val="18"/>
          <w:rFonts w:hint="eastAsia" w:ascii="宋体" w:hAnsi="宋体" w:eastAsia="宋体" w:cs="宋体"/>
          <w:color w:val="auto"/>
          <w:sz w:val="24"/>
          <w:szCs w:val="24"/>
          <w:highlight w:val="none"/>
          <w:u w:val="none"/>
          <w:vertAlign w:val="superscript"/>
        </w:rPr>
        <w:t>3</w:t>
      </w:r>
      <w:r>
        <w:rPr>
          <w:rFonts w:hint="eastAsia" w:ascii="宋体" w:hAnsi="宋体" w:eastAsia="宋体" w:cs="宋体"/>
          <w:color w:val="auto"/>
          <w:sz w:val="24"/>
          <w:szCs w:val="24"/>
          <w:highlight w:val="none"/>
        </w:rPr>
        <w:t>。</w:t>
      </w:r>
      <w:r>
        <w:rPr>
          <w:rStyle w:val="18"/>
          <w:rFonts w:hint="eastAsia" w:ascii="宋体" w:hAnsi="宋体" w:eastAsia="宋体" w:cs="宋体"/>
          <w:color w:val="auto"/>
          <w:sz w:val="24"/>
          <w:szCs w:val="24"/>
          <w:highlight w:val="none"/>
          <w:u w:val="single"/>
        </w:rPr>
        <w:t>（产品名称1）</w:t>
      </w:r>
      <w:r>
        <w:rPr>
          <w:rFonts w:hint="eastAsia" w:ascii="宋体" w:hAnsi="宋体" w:eastAsia="宋体" w:cs="宋体"/>
          <w:color w:val="auto"/>
          <w:sz w:val="24"/>
          <w:szCs w:val="24"/>
          <w:highlight w:val="none"/>
        </w:rPr>
        <w:t>的</w:t>
      </w:r>
      <w:r>
        <w:rPr>
          <w:rStyle w:val="18"/>
          <w:rFonts w:hint="eastAsia" w:ascii="宋体" w:hAnsi="宋体" w:eastAsia="宋体" w:cs="宋体"/>
          <w:color w:val="auto"/>
          <w:sz w:val="24"/>
          <w:szCs w:val="24"/>
          <w:highlight w:val="none"/>
          <w:u w:val="single"/>
        </w:rPr>
        <w:t>（关键组件）</w:t>
      </w:r>
      <w:r>
        <w:rPr>
          <w:rStyle w:val="18"/>
          <w:rFonts w:hint="eastAsia" w:ascii="宋体" w:hAnsi="宋体" w:eastAsia="宋体" w:cs="宋体"/>
          <w:color w:val="auto"/>
          <w:sz w:val="24"/>
          <w:szCs w:val="24"/>
          <w:highlight w:val="none"/>
          <w:u w:val="none"/>
          <w:vertAlign w:val="superscript"/>
        </w:rPr>
        <w:t>4</w:t>
      </w:r>
      <w:r>
        <w:rPr>
          <w:rFonts w:hint="eastAsia" w:ascii="宋体" w:hAnsi="宋体" w:eastAsia="宋体" w:cs="宋体"/>
          <w:color w:val="auto"/>
          <w:sz w:val="24"/>
          <w:szCs w:val="24"/>
          <w:highlight w:val="none"/>
        </w:rPr>
        <w:t>在中国境内生产。</w:t>
      </w:r>
      <w:r>
        <w:rPr>
          <w:rStyle w:val="18"/>
          <w:rFonts w:hint="eastAsia" w:ascii="宋体" w:hAnsi="宋体" w:eastAsia="宋体" w:cs="宋体"/>
          <w:color w:val="auto"/>
          <w:sz w:val="24"/>
          <w:szCs w:val="24"/>
          <w:highlight w:val="none"/>
          <w:u w:val="single"/>
        </w:rPr>
        <w:t>（产品名称1）</w:t>
      </w:r>
      <w:r>
        <w:rPr>
          <w:rFonts w:hint="eastAsia" w:ascii="宋体" w:hAnsi="宋体" w:eastAsia="宋体" w:cs="宋体"/>
          <w:color w:val="auto"/>
          <w:sz w:val="24"/>
          <w:szCs w:val="24"/>
          <w:highlight w:val="none"/>
        </w:rPr>
        <w:t>的</w:t>
      </w:r>
      <w:r>
        <w:rPr>
          <w:rStyle w:val="18"/>
          <w:rFonts w:hint="eastAsia" w:ascii="宋体" w:hAnsi="宋体" w:eastAsia="宋体" w:cs="宋体"/>
          <w:color w:val="auto"/>
          <w:sz w:val="24"/>
          <w:szCs w:val="24"/>
          <w:highlight w:val="none"/>
          <w:u w:val="single"/>
        </w:rPr>
        <w:t>（关键工序）</w:t>
      </w:r>
      <w:r>
        <w:rPr>
          <w:rStyle w:val="18"/>
          <w:rFonts w:hint="eastAsia" w:ascii="宋体" w:hAnsi="宋体" w:eastAsia="宋体" w:cs="宋体"/>
          <w:color w:val="auto"/>
          <w:sz w:val="24"/>
          <w:szCs w:val="24"/>
          <w:highlight w:val="none"/>
          <w:u w:val="none"/>
          <w:vertAlign w:val="superscript"/>
        </w:rPr>
        <w:t>5</w:t>
      </w:r>
      <w:r>
        <w:rPr>
          <w:rFonts w:hint="eastAsia" w:ascii="宋体" w:hAnsi="宋体" w:eastAsia="宋体" w:cs="宋体"/>
          <w:color w:val="auto"/>
          <w:sz w:val="24"/>
          <w:szCs w:val="24"/>
          <w:highlight w:val="none"/>
        </w:rPr>
        <w:t>在中国境内完成。</w:t>
      </w:r>
    </w:p>
    <w:p w14:paraId="1D269F44">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 w:beforeAutospacing="0" w:after="24" w:afterAutospacing="0" w:line="360" w:lineRule="auto"/>
        <w:ind w:left="0" w:right="0"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Style w:val="18"/>
          <w:rFonts w:hint="eastAsia" w:ascii="宋体" w:hAnsi="宋体" w:eastAsia="宋体" w:cs="宋体"/>
          <w:color w:val="auto"/>
          <w:sz w:val="24"/>
          <w:szCs w:val="24"/>
          <w:highlight w:val="none"/>
          <w:u w:val="single"/>
        </w:rPr>
        <w:t>（产品名称2）</w:t>
      </w:r>
      <w:r>
        <w:rPr>
          <w:rFonts w:hint="eastAsia" w:ascii="宋体" w:hAnsi="宋体" w:eastAsia="宋体" w:cs="宋体"/>
          <w:color w:val="auto"/>
          <w:sz w:val="24"/>
          <w:szCs w:val="24"/>
          <w:highlight w:val="none"/>
        </w:rPr>
        <w:t>，生产厂为</w:t>
      </w:r>
      <w:r>
        <w:rPr>
          <w:rStyle w:val="18"/>
          <w:rFonts w:hint="eastAsia" w:ascii="宋体" w:hAnsi="宋体" w:eastAsia="宋体" w:cs="宋体"/>
          <w:color w:val="auto"/>
          <w:sz w:val="24"/>
          <w:szCs w:val="24"/>
          <w:highlight w:val="none"/>
          <w:u w:val="single"/>
        </w:rPr>
        <w:t>（厂名）</w:t>
      </w:r>
      <w:r>
        <w:rPr>
          <w:rFonts w:hint="eastAsia" w:ascii="宋体" w:hAnsi="宋体" w:eastAsia="宋体" w:cs="宋体"/>
          <w:color w:val="auto"/>
          <w:sz w:val="24"/>
          <w:szCs w:val="24"/>
          <w:highlight w:val="none"/>
        </w:rPr>
        <w:t>，厂址为</w:t>
      </w:r>
      <w:r>
        <w:rPr>
          <w:rStyle w:val="18"/>
          <w:rFonts w:hint="eastAsia" w:ascii="宋体" w:hAnsi="宋体" w:eastAsia="宋体" w:cs="宋体"/>
          <w:color w:val="auto"/>
          <w:sz w:val="24"/>
          <w:szCs w:val="24"/>
          <w:highlight w:val="none"/>
          <w:u w:val="single"/>
        </w:rPr>
        <w:t>（生产厂址）</w:t>
      </w:r>
      <w:r>
        <w:rPr>
          <w:rFonts w:hint="eastAsia" w:ascii="宋体" w:hAnsi="宋体" w:eastAsia="宋体" w:cs="宋体"/>
          <w:color w:val="auto"/>
          <w:sz w:val="24"/>
          <w:szCs w:val="24"/>
          <w:highlight w:val="none"/>
        </w:rPr>
        <w:t>。</w:t>
      </w:r>
      <w:r>
        <w:rPr>
          <w:rStyle w:val="18"/>
          <w:rFonts w:hint="eastAsia" w:ascii="宋体" w:hAnsi="宋体" w:eastAsia="宋体" w:cs="宋体"/>
          <w:color w:val="auto"/>
          <w:sz w:val="24"/>
          <w:szCs w:val="24"/>
          <w:highlight w:val="none"/>
          <w:u w:val="single"/>
        </w:rPr>
        <w:t>（产品名称2）</w:t>
      </w:r>
      <w:r>
        <w:rPr>
          <w:rFonts w:hint="eastAsia" w:ascii="宋体" w:hAnsi="宋体" w:eastAsia="宋体" w:cs="宋体"/>
          <w:color w:val="auto"/>
          <w:sz w:val="24"/>
          <w:szCs w:val="24"/>
          <w:highlight w:val="none"/>
        </w:rPr>
        <w:t>的中国境内生产的组件成本占比≥</w:t>
      </w:r>
      <w:r>
        <w:rPr>
          <w:rStyle w:val="18"/>
          <w:rFonts w:hint="eastAsia" w:ascii="宋体" w:hAnsi="宋体" w:eastAsia="宋体" w:cs="宋体"/>
          <w:color w:val="auto"/>
          <w:sz w:val="24"/>
          <w:szCs w:val="24"/>
          <w:highlight w:val="none"/>
          <w:u w:val="single"/>
        </w:rPr>
        <w:t>（规定比例）</w:t>
      </w:r>
      <w:r>
        <w:rPr>
          <w:rFonts w:hint="eastAsia" w:ascii="宋体" w:hAnsi="宋体" w:eastAsia="宋体" w:cs="宋体"/>
          <w:color w:val="auto"/>
          <w:sz w:val="24"/>
          <w:szCs w:val="24"/>
          <w:highlight w:val="none"/>
        </w:rPr>
        <w:t>。</w:t>
      </w:r>
      <w:r>
        <w:rPr>
          <w:rStyle w:val="18"/>
          <w:rFonts w:hint="eastAsia" w:ascii="宋体" w:hAnsi="宋体" w:eastAsia="宋体" w:cs="宋体"/>
          <w:color w:val="auto"/>
          <w:sz w:val="24"/>
          <w:szCs w:val="24"/>
          <w:highlight w:val="none"/>
          <w:u w:val="single"/>
        </w:rPr>
        <w:t>（产品名称2）</w:t>
      </w:r>
      <w:r>
        <w:rPr>
          <w:rFonts w:hint="eastAsia" w:ascii="宋体" w:hAnsi="宋体" w:eastAsia="宋体" w:cs="宋体"/>
          <w:color w:val="auto"/>
          <w:sz w:val="24"/>
          <w:szCs w:val="24"/>
          <w:highlight w:val="none"/>
        </w:rPr>
        <w:t>的</w:t>
      </w:r>
      <w:r>
        <w:rPr>
          <w:rStyle w:val="18"/>
          <w:rFonts w:hint="eastAsia" w:ascii="宋体" w:hAnsi="宋体" w:eastAsia="宋体" w:cs="宋体"/>
          <w:color w:val="auto"/>
          <w:sz w:val="24"/>
          <w:szCs w:val="24"/>
          <w:highlight w:val="none"/>
          <w:u w:val="single"/>
        </w:rPr>
        <w:t>（关键组件）</w:t>
      </w:r>
      <w:r>
        <w:rPr>
          <w:rFonts w:hint="eastAsia" w:ascii="宋体" w:hAnsi="宋体" w:eastAsia="宋体" w:cs="宋体"/>
          <w:color w:val="auto"/>
          <w:sz w:val="24"/>
          <w:szCs w:val="24"/>
          <w:highlight w:val="none"/>
        </w:rPr>
        <w:t>在中国境内生产。</w:t>
      </w:r>
      <w:r>
        <w:rPr>
          <w:rStyle w:val="18"/>
          <w:rFonts w:hint="eastAsia" w:ascii="宋体" w:hAnsi="宋体" w:eastAsia="宋体" w:cs="宋体"/>
          <w:color w:val="auto"/>
          <w:sz w:val="24"/>
          <w:szCs w:val="24"/>
          <w:highlight w:val="none"/>
          <w:u w:val="single"/>
        </w:rPr>
        <w:t>（产品名称2）</w:t>
      </w:r>
      <w:r>
        <w:rPr>
          <w:rFonts w:hint="eastAsia" w:ascii="宋体" w:hAnsi="宋体" w:eastAsia="宋体" w:cs="宋体"/>
          <w:color w:val="auto"/>
          <w:sz w:val="24"/>
          <w:szCs w:val="24"/>
          <w:highlight w:val="none"/>
        </w:rPr>
        <w:t>的</w:t>
      </w:r>
      <w:r>
        <w:rPr>
          <w:rStyle w:val="18"/>
          <w:rFonts w:hint="eastAsia" w:ascii="宋体" w:hAnsi="宋体" w:eastAsia="宋体" w:cs="宋体"/>
          <w:color w:val="auto"/>
          <w:sz w:val="24"/>
          <w:szCs w:val="24"/>
          <w:highlight w:val="none"/>
          <w:u w:val="single"/>
        </w:rPr>
        <w:t>（关键工序）</w:t>
      </w:r>
      <w:r>
        <w:rPr>
          <w:rFonts w:hint="eastAsia" w:ascii="宋体" w:hAnsi="宋体" w:eastAsia="宋体" w:cs="宋体"/>
          <w:color w:val="auto"/>
          <w:sz w:val="24"/>
          <w:szCs w:val="24"/>
          <w:highlight w:val="none"/>
        </w:rPr>
        <w:t>在中国境内完成。</w:t>
      </w:r>
    </w:p>
    <w:p w14:paraId="1FCB52E9">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 w:beforeAutospacing="0" w:after="24" w:afterAutospacing="0" w:line="360" w:lineRule="auto"/>
        <w:ind w:left="0" w:right="0"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0A01597E">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 w:beforeAutospacing="0" w:after="24" w:afterAutospacing="0" w:line="360" w:lineRule="auto"/>
        <w:ind w:left="0" w:right="0"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本公司（单位）对上述声明内容的真实性负责。如有虚假，愿承担相应法律责任。</w:t>
      </w:r>
    </w:p>
    <w:p w14:paraId="7284F97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 w:beforeAutospacing="0" w:after="24" w:afterAutospacing="0" w:line="360" w:lineRule="auto"/>
        <w:ind w:left="0" w:right="0" w:firstLine="0"/>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公司（单位）名称（盖章）：　        </w:t>
      </w:r>
    </w:p>
    <w:p w14:paraId="141B14AE">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 w:beforeAutospacing="0" w:after="24" w:afterAutospacing="0" w:line="360" w:lineRule="auto"/>
        <w:ind w:left="0" w:right="0" w:firstLine="0"/>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　     年　  月　  日         </w:t>
      </w:r>
    </w:p>
    <w:p w14:paraId="067158F4">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 w:beforeAutospacing="0" w:after="24" w:afterAutospacing="0" w:line="360" w:lineRule="auto"/>
        <w:ind w:left="0" w:right="0"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1.产品如有型号，请在“产品名称”栏一并填写。</w:t>
      </w:r>
    </w:p>
    <w:p w14:paraId="361F30B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 w:beforeAutospacing="0" w:after="24" w:afterAutospacing="0" w:line="360" w:lineRule="auto"/>
        <w:ind w:left="0" w:right="0"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2.生产厂名与厂址应与生产厂营业执照载明的相关信息保持一致。</w:t>
      </w:r>
    </w:p>
    <w:p w14:paraId="7D0EACC0">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 w:beforeAutospacing="0" w:after="24" w:afterAutospacing="0" w:line="360" w:lineRule="auto"/>
        <w:ind w:left="0" w:right="0"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3.该产品的中国境内生产的组件成本占比相关要求实施前，“规定比例”栏可不填，下同。</w:t>
      </w:r>
    </w:p>
    <w:p w14:paraId="01A21416">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 w:beforeAutospacing="0" w:after="24" w:afterAutospacing="0" w:line="360" w:lineRule="auto"/>
        <w:ind w:left="0" w:right="0"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4.该产品的关键组件要求实施前，“关键组件”栏可不填，下同。</w:t>
      </w:r>
    </w:p>
    <w:p w14:paraId="4CB6A325">
      <w:pPr>
        <w:spacing w:line="360" w:lineRule="auto"/>
        <w:ind w:firstLine="480" w:firstLineChars="200"/>
        <w:rPr>
          <w:color w:val="auto"/>
          <w:highlight w:val="none"/>
        </w:rPr>
      </w:pPr>
      <w:r>
        <w:rPr>
          <w:rFonts w:hint="eastAsia" w:ascii="宋体" w:hAnsi="宋体" w:eastAsia="宋体" w:cs="宋体"/>
          <w:color w:val="auto"/>
          <w:sz w:val="24"/>
          <w:szCs w:val="24"/>
          <w:highlight w:val="none"/>
        </w:rPr>
        <w:t>5.该产品的关键工序要求实施前，“关键工序”栏可不填，下同。</w:t>
      </w:r>
    </w:p>
    <w:p w14:paraId="4F5BD100">
      <w:pPr>
        <w:rPr>
          <w:color w:val="auto"/>
          <w:highlight w:val="none"/>
        </w:rPr>
      </w:pPr>
    </w:p>
    <w:sectPr>
      <w:pgSz w:w="11906" w:h="16838"/>
      <w:pgMar w:top="1440" w:right="1803" w:bottom="1440" w:left="1803" w:header="851" w:footer="992" w:gutter="0"/>
      <w:pgNumType w:fmt="decimal"/>
      <w:cols w:space="0" w:num="1"/>
      <w:rtlGutter w:val="0"/>
      <w:docGrid w:type="lines" w:linePitch="39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517CE">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1C4AA75">
                          <w:pPr>
                            <w:widowControl w:val="0"/>
                            <w:tabs>
                              <w:tab w:val="center" w:pos="4153"/>
                              <w:tab w:val="right" w:pos="8306"/>
                            </w:tabs>
                            <w:snapToGrid w:val="0"/>
                            <w:jc w:val="left"/>
                            <w:rPr>
                              <w:rFonts w:ascii="宋体" w:hAnsi="宋体" w:eastAsia="宋体" w:cs="宋体"/>
                              <w:kern w:val="2"/>
                              <w:sz w:val="18"/>
                              <w:szCs w:val="18"/>
                              <w:lang w:val="en-US" w:eastAsia="zh-CN" w:bidi="ar-SA"/>
                            </w:rPr>
                          </w:pPr>
                          <w:r>
                            <w:rPr>
                              <w:rFonts w:ascii="宋体" w:hAnsi="宋体" w:eastAsia="宋体" w:cs="宋体"/>
                              <w:kern w:val="2"/>
                              <w:sz w:val="18"/>
                              <w:szCs w:val="18"/>
                              <w:lang w:val="en-US" w:eastAsia="zh-CN" w:bidi="ar-SA"/>
                            </w:rPr>
                            <w:t xml:space="preserve">第 </w:t>
                          </w:r>
                          <w:r>
                            <w:rPr>
                              <w:rFonts w:ascii="宋体" w:hAnsi="宋体" w:eastAsia="宋体" w:cs="宋体"/>
                              <w:kern w:val="2"/>
                              <w:sz w:val="18"/>
                              <w:szCs w:val="18"/>
                              <w:lang w:val="en-US" w:eastAsia="zh-CN" w:bidi="ar-SA"/>
                            </w:rPr>
                            <w:fldChar w:fldCharType="begin"/>
                          </w:r>
                          <w:r>
                            <w:rPr>
                              <w:rFonts w:ascii="宋体" w:hAnsi="宋体" w:eastAsia="宋体" w:cs="宋体"/>
                              <w:kern w:val="2"/>
                              <w:sz w:val="18"/>
                              <w:szCs w:val="18"/>
                              <w:lang w:val="en-US" w:eastAsia="zh-CN" w:bidi="ar-SA"/>
                            </w:rPr>
                            <w:instrText xml:space="preserve"> PAGE  \* MERGEFORMAT </w:instrText>
                          </w:r>
                          <w:r>
                            <w:rPr>
                              <w:rFonts w:ascii="宋体" w:hAnsi="宋体" w:eastAsia="宋体" w:cs="宋体"/>
                              <w:kern w:val="2"/>
                              <w:sz w:val="18"/>
                              <w:szCs w:val="18"/>
                              <w:lang w:val="en-US" w:eastAsia="zh-CN" w:bidi="ar-SA"/>
                            </w:rPr>
                            <w:fldChar w:fldCharType="separate"/>
                          </w:r>
                          <w:r>
                            <w:rPr>
                              <w:rFonts w:ascii="宋体" w:hAnsi="宋体" w:eastAsia="宋体" w:cs="宋体"/>
                              <w:kern w:val="2"/>
                              <w:sz w:val="18"/>
                              <w:szCs w:val="18"/>
                              <w:lang w:val="en-US" w:eastAsia="zh-CN" w:bidi="ar-SA"/>
                            </w:rPr>
                            <w:t>1</w:t>
                          </w:r>
                          <w:r>
                            <w:rPr>
                              <w:rFonts w:ascii="宋体" w:hAnsi="宋体" w:eastAsia="宋体" w:cs="宋体"/>
                              <w:kern w:val="2"/>
                              <w:sz w:val="18"/>
                              <w:szCs w:val="18"/>
                              <w:lang w:val="en-US" w:eastAsia="zh-CN" w:bidi="ar-SA"/>
                            </w:rPr>
                            <w:fldChar w:fldCharType="end"/>
                          </w:r>
                          <w:r>
                            <w:rPr>
                              <w:rFonts w:ascii="宋体" w:hAnsi="宋体" w:eastAsia="宋体" w:cs="宋体"/>
                              <w:kern w:val="2"/>
                              <w:sz w:val="18"/>
                              <w:szCs w:val="18"/>
                              <w:lang w:val="en-US" w:eastAsia="zh-CN" w:bidi="ar-SA"/>
                            </w:rPr>
                            <w:t xml:space="preserve"> 页 共 </w:t>
                          </w:r>
                          <w:r>
                            <w:rPr>
                              <w:rFonts w:ascii="宋体" w:hAnsi="宋体" w:eastAsia="宋体" w:cs="宋体"/>
                              <w:kern w:val="2"/>
                              <w:sz w:val="18"/>
                              <w:szCs w:val="18"/>
                              <w:lang w:val="en-US" w:eastAsia="zh-CN" w:bidi="ar-SA"/>
                            </w:rPr>
                            <w:fldChar w:fldCharType="begin"/>
                          </w:r>
                          <w:r>
                            <w:rPr>
                              <w:rFonts w:ascii="宋体" w:hAnsi="宋体" w:eastAsia="宋体" w:cs="宋体"/>
                              <w:kern w:val="2"/>
                              <w:sz w:val="18"/>
                              <w:szCs w:val="18"/>
                              <w:lang w:val="en-US" w:eastAsia="zh-CN" w:bidi="ar-SA"/>
                            </w:rPr>
                            <w:instrText xml:space="preserve"> NUMPAGES  \* MERGEFORMAT </w:instrText>
                          </w:r>
                          <w:r>
                            <w:rPr>
                              <w:rFonts w:ascii="宋体" w:hAnsi="宋体" w:eastAsia="宋体" w:cs="宋体"/>
                              <w:kern w:val="2"/>
                              <w:sz w:val="18"/>
                              <w:szCs w:val="18"/>
                              <w:lang w:val="en-US" w:eastAsia="zh-CN" w:bidi="ar-SA"/>
                            </w:rPr>
                            <w:fldChar w:fldCharType="separate"/>
                          </w:r>
                          <w:r>
                            <w:rPr>
                              <w:rFonts w:ascii="宋体" w:hAnsi="宋体" w:eastAsia="宋体" w:cs="宋体"/>
                              <w:kern w:val="2"/>
                              <w:sz w:val="18"/>
                              <w:szCs w:val="18"/>
                              <w:lang w:val="en-US" w:eastAsia="zh-CN" w:bidi="ar-SA"/>
                            </w:rPr>
                            <w:t>183</w:t>
                          </w:r>
                          <w:r>
                            <w:rPr>
                              <w:rFonts w:ascii="宋体" w:hAnsi="宋体" w:eastAsia="宋体" w:cs="宋体"/>
                              <w:kern w:val="2"/>
                              <w:sz w:val="18"/>
                              <w:szCs w:val="18"/>
                              <w:lang w:val="en-US" w:eastAsia="zh-CN" w:bidi="ar-SA"/>
                            </w:rPr>
                            <w:fldChar w:fldCharType="end"/>
                          </w:r>
                          <w:r>
                            <w:rPr>
                              <w:rFonts w:ascii="宋体" w:hAnsi="宋体" w:eastAsia="宋体" w:cs="宋体"/>
                              <w:kern w:val="2"/>
                              <w:sz w:val="18"/>
                              <w:szCs w:val="18"/>
                              <w:lang w:val="en-US" w:eastAsia="zh-CN" w:bidi="ar-SA"/>
                            </w:rPr>
                            <w:t xml:space="preserve"> 页</w:t>
                          </w:r>
                        </w:p>
                      </w:txbxContent>
                    </wps:txbx>
                    <wps:bodyPr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zql5uc8AAAAFAQAADwAAAAAA&#10;AAABACAAAAAiAAAAZHJzL2Rvd25yZXYueG1sUEsBAhQAFAAAAAgAh07iQDi5A47jAQAAzAMAAA4A&#10;AAAAAAAAAQAgAAAAHgEAAGRycy9lMm9Eb2MueG1sUEsFBgAAAAAGAAYAWQEAAHMFAAAAAA==&#10;">
              <v:fill on="f" focussize="0,0"/>
              <v:stroke on="f"/>
              <v:imagedata o:title=""/>
              <o:lock v:ext="edit" aspectratio="f"/>
              <v:textbox inset="0mm,0mm,0mm,0mm" style="mso-fit-shape-to-text:t;">
                <w:txbxContent>
                  <w:p w14:paraId="71C4AA75">
                    <w:pPr>
                      <w:widowControl w:val="0"/>
                      <w:tabs>
                        <w:tab w:val="center" w:pos="4153"/>
                        <w:tab w:val="right" w:pos="8306"/>
                      </w:tabs>
                      <w:snapToGrid w:val="0"/>
                      <w:jc w:val="left"/>
                      <w:rPr>
                        <w:rFonts w:ascii="宋体" w:hAnsi="宋体" w:eastAsia="宋体" w:cs="宋体"/>
                        <w:kern w:val="2"/>
                        <w:sz w:val="18"/>
                        <w:szCs w:val="18"/>
                        <w:lang w:val="en-US" w:eastAsia="zh-CN" w:bidi="ar-SA"/>
                      </w:rPr>
                    </w:pPr>
                    <w:r>
                      <w:rPr>
                        <w:rFonts w:ascii="宋体" w:hAnsi="宋体" w:eastAsia="宋体" w:cs="宋体"/>
                        <w:kern w:val="2"/>
                        <w:sz w:val="18"/>
                        <w:szCs w:val="18"/>
                        <w:lang w:val="en-US" w:eastAsia="zh-CN" w:bidi="ar-SA"/>
                      </w:rPr>
                      <w:t xml:space="preserve">第 </w:t>
                    </w:r>
                    <w:r>
                      <w:rPr>
                        <w:rFonts w:ascii="宋体" w:hAnsi="宋体" w:eastAsia="宋体" w:cs="宋体"/>
                        <w:kern w:val="2"/>
                        <w:sz w:val="18"/>
                        <w:szCs w:val="18"/>
                        <w:lang w:val="en-US" w:eastAsia="zh-CN" w:bidi="ar-SA"/>
                      </w:rPr>
                      <w:fldChar w:fldCharType="begin"/>
                    </w:r>
                    <w:r>
                      <w:rPr>
                        <w:rFonts w:ascii="宋体" w:hAnsi="宋体" w:eastAsia="宋体" w:cs="宋体"/>
                        <w:kern w:val="2"/>
                        <w:sz w:val="18"/>
                        <w:szCs w:val="18"/>
                        <w:lang w:val="en-US" w:eastAsia="zh-CN" w:bidi="ar-SA"/>
                      </w:rPr>
                      <w:instrText xml:space="preserve"> PAGE  \* MERGEFORMAT </w:instrText>
                    </w:r>
                    <w:r>
                      <w:rPr>
                        <w:rFonts w:ascii="宋体" w:hAnsi="宋体" w:eastAsia="宋体" w:cs="宋体"/>
                        <w:kern w:val="2"/>
                        <w:sz w:val="18"/>
                        <w:szCs w:val="18"/>
                        <w:lang w:val="en-US" w:eastAsia="zh-CN" w:bidi="ar-SA"/>
                      </w:rPr>
                      <w:fldChar w:fldCharType="separate"/>
                    </w:r>
                    <w:r>
                      <w:rPr>
                        <w:rFonts w:ascii="宋体" w:hAnsi="宋体" w:eastAsia="宋体" w:cs="宋体"/>
                        <w:kern w:val="2"/>
                        <w:sz w:val="18"/>
                        <w:szCs w:val="18"/>
                        <w:lang w:val="en-US" w:eastAsia="zh-CN" w:bidi="ar-SA"/>
                      </w:rPr>
                      <w:t>1</w:t>
                    </w:r>
                    <w:r>
                      <w:rPr>
                        <w:rFonts w:ascii="宋体" w:hAnsi="宋体" w:eastAsia="宋体" w:cs="宋体"/>
                        <w:kern w:val="2"/>
                        <w:sz w:val="18"/>
                        <w:szCs w:val="18"/>
                        <w:lang w:val="en-US" w:eastAsia="zh-CN" w:bidi="ar-SA"/>
                      </w:rPr>
                      <w:fldChar w:fldCharType="end"/>
                    </w:r>
                    <w:r>
                      <w:rPr>
                        <w:rFonts w:ascii="宋体" w:hAnsi="宋体" w:eastAsia="宋体" w:cs="宋体"/>
                        <w:kern w:val="2"/>
                        <w:sz w:val="18"/>
                        <w:szCs w:val="18"/>
                        <w:lang w:val="en-US" w:eastAsia="zh-CN" w:bidi="ar-SA"/>
                      </w:rPr>
                      <w:t xml:space="preserve"> 页 共 </w:t>
                    </w:r>
                    <w:r>
                      <w:rPr>
                        <w:rFonts w:ascii="宋体" w:hAnsi="宋体" w:eastAsia="宋体" w:cs="宋体"/>
                        <w:kern w:val="2"/>
                        <w:sz w:val="18"/>
                        <w:szCs w:val="18"/>
                        <w:lang w:val="en-US" w:eastAsia="zh-CN" w:bidi="ar-SA"/>
                      </w:rPr>
                      <w:fldChar w:fldCharType="begin"/>
                    </w:r>
                    <w:r>
                      <w:rPr>
                        <w:rFonts w:ascii="宋体" w:hAnsi="宋体" w:eastAsia="宋体" w:cs="宋体"/>
                        <w:kern w:val="2"/>
                        <w:sz w:val="18"/>
                        <w:szCs w:val="18"/>
                        <w:lang w:val="en-US" w:eastAsia="zh-CN" w:bidi="ar-SA"/>
                      </w:rPr>
                      <w:instrText xml:space="preserve"> NUMPAGES  \* MERGEFORMAT </w:instrText>
                    </w:r>
                    <w:r>
                      <w:rPr>
                        <w:rFonts w:ascii="宋体" w:hAnsi="宋体" w:eastAsia="宋体" w:cs="宋体"/>
                        <w:kern w:val="2"/>
                        <w:sz w:val="18"/>
                        <w:szCs w:val="18"/>
                        <w:lang w:val="en-US" w:eastAsia="zh-CN" w:bidi="ar-SA"/>
                      </w:rPr>
                      <w:fldChar w:fldCharType="separate"/>
                    </w:r>
                    <w:r>
                      <w:rPr>
                        <w:rFonts w:ascii="宋体" w:hAnsi="宋体" w:eastAsia="宋体" w:cs="宋体"/>
                        <w:kern w:val="2"/>
                        <w:sz w:val="18"/>
                        <w:szCs w:val="18"/>
                        <w:lang w:val="en-US" w:eastAsia="zh-CN" w:bidi="ar-SA"/>
                      </w:rPr>
                      <w:t>183</w:t>
                    </w:r>
                    <w:r>
                      <w:rPr>
                        <w:rFonts w:ascii="宋体" w:hAnsi="宋体" w:eastAsia="宋体" w:cs="宋体"/>
                        <w:kern w:val="2"/>
                        <w:sz w:val="18"/>
                        <w:szCs w:val="18"/>
                        <w:lang w:val="en-US" w:eastAsia="zh-CN" w:bidi="ar-SA"/>
                      </w:rPr>
                      <w:fldChar w:fldCharType="end"/>
                    </w:r>
                    <w:r>
                      <w:rPr>
                        <w:rFonts w:ascii="宋体" w:hAnsi="宋体" w:eastAsia="宋体" w:cs="宋体"/>
                        <w:kern w:val="2"/>
                        <w:sz w:val="18"/>
                        <w:szCs w:val="18"/>
                        <w:lang w:val="en-US" w:eastAsia="zh-CN" w:bidi="ar-S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45368">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0490D32">
                          <w:pPr>
                            <w:pStyle w:val="10"/>
                            <w:rPr>
                              <w:rFonts w:ascii="宋体" w:hAnsi="宋体" w:cs="宋体"/>
                              <w:sz w:val="18"/>
                              <w:szCs w:val="18"/>
                            </w:rPr>
                          </w:pPr>
                          <w:r>
                            <w:rPr>
                              <w:rFonts w:ascii="宋体" w:hAnsi="宋体" w:cs="宋体"/>
                              <w:sz w:val="18"/>
                              <w:szCs w:val="18"/>
                            </w:rPr>
                            <w:t xml:space="preserve">第 </w:t>
                          </w:r>
                          <w:r>
                            <w:rPr>
                              <w:rFonts w:ascii="宋体" w:hAnsi="宋体" w:cs="宋体"/>
                              <w:sz w:val="18"/>
                              <w:szCs w:val="18"/>
                            </w:rPr>
                            <w:fldChar w:fldCharType="begin"/>
                          </w:r>
                          <w:r>
                            <w:rPr>
                              <w:rFonts w:ascii="宋体" w:hAnsi="宋体" w:cs="宋体"/>
                              <w:sz w:val="18"/>
                              <w:szCs w:val="18"/>
                            </w:rPr>
                            <w:instrText xml:space="preserve"> PAGE  \* MERGEFORMAT </w:instrText>
                          </w:r>
                          <w:r>
                            <w:rPr>
                              <w:rFonts w:ascii="宋体" w:hAnsi="宋体" w:cs="宋体"/>
                              <w:sz w:val="18"/>
                              <w:szCs w:val="18"/>
                            </w:rPr>
                            <w:fldChar w:fldCharType="separate"/>
                          </w:r>
                          <w:r>
                            <w:rPr>
                              <w:rFonts w:ascii="宋体" w:hAnsi="宋体" w:cs="宋体"/>
                              <w:sz w:val="18"/>
                              <w:szCs w:val="18"/>
                            </w:rPr>
                            <w:t>1</w:t>
                          </w:r>
                          <w:r>
                            <w:rPr>
                              <w:rFonts w:ascii="宋体" w:hAnsi="宋体" w:cs="宋体"/>
                              <w:sz w:val="18"/>
                              <w:szCs w:val="18"/>
                            </w:rPr>
                            <w:fldChar w:fldCharType="end"/>
                          </w:r>
                          <w:r>
                            <w:rPr>
                              <w:rFonts w:ascii="宋体" w:hAnsi="宋体" w:cs="宋体"/>
                              <w:sz w:val="18"/>
                              <w:szCs w:val="18"/>
                            </w:rPr>
                            <w:t xml:space="preserve"> 页 共 </w:t>
                          </w:r>
                          <w:r>
                            <w:rPr>
                              <w:rFonts w:ascii="宋体" w:hAnsi="宋体" w:cs="宋体"/>
                              <w:sz w:val="18"/>
                              <w:szCs w:val="18"/>
                            </w:rPr>
                            <w:fldChar w:fldCharType="begin"/>
                          </w:r>
                          <w:r>
                            <w:rPr>
                              <w:rFonts w:ascii="宋体" w:hAnsi="宋体" w:cs="宋体"/>
                              <w:sz w:val="18"/>
                              <w:szCs w:val="18"/>
                            </w:rPr>
                            <w:instrText xml:space="preserve"> NUMPAGES  \* MERGEFORMAT </w:instrText>
                          </w:r>
                          <w:r>
                            <w:rPr>
                              <w:rFonts w:ascii="宋体" w:hAnsi="宋体" w:cs="宋体"/>
                              <w:sz w:val="18"/>
                              <w:szCs w:val="18"/>
                            </w:rPr>
                            <w:fldChar w:fldCharType="separate"/>
                          </w:r>
                          <w:r>
                            <w:rPr>
                              <w:rFonts w:ascii="宋体" w:hAnsi="宋体" w:cs="宋体"/>
                              <w:sz w:val="18"/>
                              <w:szCs w:val="18"/>
                            </w:rPr>
                            <w:t>183</w:t>
                          </w:r>
                          <w:r>
                            <w:rPr>
                              <w:rFonts w:ascii="宋体" w:hAnsi="宋体" w:cs="宋体"/>
                              <w:sz w:val="18"/>
                              <w:szCs w:val="18"/>
                            </w:rPr>
                            <w:fldChar w:fldCharType="end"/>
                          </w:r>
                          <w:r>
                            <w:rPr>
                              <w:rFonts w:ascii="宋体" w:hAnsi="宋体" w:cs="宋体"/>
                              <w:sz w:val="18"/>
                              <w:szCs w:val="18"/>
                            </w:rPr>
                            <w:t xml:space="preserve"> 页</w:t>
                          </w:r>
                        </w:p>
                      </w:txbxContent>
                    </wps:txbx>
                    <wps:bodyPr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PExjWuIBAADMAwAADgAA&#10;AAAAAAABACAAAAAeAQAAZHJzL2Uyb0RvYy54bWxQSwUGAAAAAAYABgBZAQAAcgUAAAAA&#10;">
              <v:fill on="f" focussize="0,0"/>
              <v:stroke on="f"/>
              <v:imagedata o:title=""/>
              <o:lock v:ext="edit" aspectratio="f"/>
              <v:textbox inset="0mm,0mm,0mm,0mm" style="mso-fit-shape-to-text:t;">
                <w:txbxContent>
                  <w:p w14:paraId="50490D32">
                    <w:pPr>
                      <w:pStyle w:val="10"/>
                      <w:rPr>
                        <w:rFonts w:ascii="宋体" w:hAnsi="宋体" w:cs="宋体"/>
                        <w:sz w:val="18"/>
                        <w:szCs w:val="18"/>
                      </w:rPr>
                    </w:pPr>
                    <w:r>
                      <w:rPr>
                        <w:rFonts w:ascii="宋体" w:hAnsi="宋体" w:cs="宋体"/>
                        <w:sz w:val="18"/>
                        <w:szCs w:val="18"/>
                      </w:rPr>
                      <w:t xml:space="preserve">第 </w:t>
                    </w:r>
                    <w:r>
                      <w:rPr>
                        <w:rFonts w:ascii="宋体" w:hAnsi="宋体" w:cs="宋体"/>
                        <w:sz w:val="18"/>
                        <w:szCs w:val="18"/>
                      </w:rPr>
                      <w:fldChar w:fldCharType="begin"/>
                    </w:r>
                    <w:r>
                      <w:rPr>
                        <w:rFonts w:ascii="宋体" w:hAnsi="宋体" w:cs="宋体"/>
                        <w:sz w:val="18"/>
                        <w:szCs w:val="18"/>
                      </w:rPr>
                      <w:instrText xml:space="preserve"> PAGE  \* MERGEFORMAT </w:instrText>
                    </w:r>
                    <w:r>
                      <w:rPr>
                        <w:rFonts w:ascii="宋体" w:hAnsi="宋体" w:cs="宋体"/>
                        <w:sz w:val="18"/>
                        <w:szCs w:val="18"/>
                      </w:rPr>
                      <w:fldChar w:fldCharType="separate"/>
                    </w:r>
                    <w:r>
                      <w:rPr>
                        <w:rFonts w:ascii="宋体" w:hAnsi="宋体" w:cs="宋体"/>
                        <w:sz w:val="18"/>
                        <w:szCs w:val="18"/>
                      </w:rPr>
                      <w:t>1</w:t>
                    </w:r>
                    <w:r>
                      <w:rPr>
                        <w:rFonts w:ascii="宋体" w:hAnsi="宋体" w:cs="宋体"/>
                        <w:sz w:val="18"/>
                        <w:szCs w:val="18"/>
                      </w:rPr>
                      <w:fldChar w:fldCharType="end"/>
                    </w:r>
                    <w:r>
                      <w:rPr>
                        <w:rFonts w:ascii="宋体" w:hAnsi="宋体" w:cs="宋体"/>
                        <w:sz w:val="18"/>
                        <w:szCs w:val="18"/>
                      </w:rPr>
                      <w:t xml:space="preserve"> 页 共 </w:t>
                    </w:r>
                    <w:r>
                      <w:rPr>
                        <w:rFonts w:ascii="宋体" w:hAnsi="宋体" w:cs="宋体"/>
                        <w:sz w:val="18"/>
                        <w:szCs w:val="18"/>
                      </w:rPr>
                      <w:fldChar w:fldCharType="begin"/>
                    </w:r>
                    <w:r>
                      <w:rPr>
                        <w:rFonts w:ascii="宋体" w:hAnsi="宋体" w:cs="宋体"/>
                        <w:sz w:val="18"/>
                        <w:szCs w:val="18"/>
                      </w:rPr>
                      <w:instrText xml:space="preserve"> NUMPAGES  \* MERGEFORMAT </w:instrText>
                    </w:r>
                    <w:r>
                      <w:rPr>
                        <w:rFonts w:ascii="宋体" w:hAnsi="宋体" w:cs="宋体"/>
                        <w:sz w:val="18"/>
                        <w:szCs w:val="18"/>
                      </w:rPr>
                      <w:fldChar w:fldCharType="separate"/>
                    </w:r>
                    <w:r>
                      <w:rPr>
                        <w:rFonts w:ascii="宋体" w:hAnsi="宋体" w:cs="宋体"/>
                        <w:sz w:val="18"/>
                        <w:szCs w:val="18"/>
                      </w:rPr>
                      <w:t>183</w:t>
                    </w:r>
                    <w:r>
                      <w:rPr>
                        <w:rFonts w:ascii="宋体" w:hAnsi="宋体" w:cs="宋体"/>
                        <w:sz w:val="18"/>
                        <w:szCs w:val="18"/>
                      </w:rPr>
                      <w:fldChar w:fldCharType="end"/>
                    </w:r>
                    <w:r>
                      <w:rPr>
                        <w:rFonts w:ascii="宋体" w:hAnsi="宋体" w:cs="宋体"/>
                        <w:sz w:val="18"/>
                        <w:szCs w:val="18"/>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09799">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4AF7BA9">
                          <w:pPr>
                            <w:pStyle w:val="10"/>
                            <w:rPr>
                              <w:rFonts w:ascii="宋体" w:hAnsi="宋体" w:cs="宋体"/>
                              <w:sz w:val="18"/>
                              <w:szCs w:val="18"/>
                            </w:rPr>
                          </w:pPr>
                          <w:r>
                            <w:rPr>
                              <w:rFonts w:ascii="宋体" w:hAnsi="宋体" w:cs="宋体"/>
                              <w:sz w:val="18"/>
                              <w:szCs w:val="18"/>
                            </w:rPr>
                            <w:t xml:space="preserve">第 </w:t>
                          </w:r>
                          <w:r>
                            <w:rPr>
                              <w:rFonts w:ascii="宋体" w:hAnsi="宋体" w:cs="宋体"/>
                              <w:sz w:val="18"/>
                              <w:szCs w:val="18"/>
                            </w:rPr>
                            <w:fldChar w:fldCharType="begin"/>
                          </w:r>
                          <w:r>
                            <w:rPr>
                              <w:rFonts w:ascii="宋体" w:hAnsi="宋体" w:cs="宋体"/>
                              <w:sz w:val="18"/>
                              <w:szCs w:val="18"/>
                            </w:rPr>
                            <w:instrText xml:space="preserve"> PAGE  \* MERGEFORMAT </w:instrText>
                          </w:r>
                          <w:r>
                            <w:rPr>
                              <w:rFonts w:ascii="宋体" w:hAnsi="宋体" w:cs="宋体"/>
                              <w:sz w:val="18"/>
                              <w:szCs w:val="18"/>
                            </w:rPr>
                            <w:fldChar w:fldCharType="separate"/>
                          </w:r>
                          <w:r>
                            <w:rPr>
                              <w:rFonts w:ascii="宋体" w:hAnsi="宋体" w:cs="宋体"/>
                              <w:sz w:val="18"/>
                              <w:szCs w:val="18"/>
                            </w:rPr>
                            <w:t>1</w:t>
                          </w:r>
                          <w:r>
                            <w:rPr>
                              <w:rFonts w:ascii="宋体" w:hAnsi="宋体" w:cs="宋体"/>
                              <w:sz w:val="18"/>
                              <w:szCs w:val="18"/>
                            </w:rPr>
                            <w:fldChar w:fldCharType="end"/>
                          </w:r>
                          <w:r>
                            <w:rPr>
                              <w:rFonts w:ascii="宋体" w:hAnsi="宋体" w:cs="宋体"/>
                              <w:sz w:val="18"/>
                              <w:szCs w:val="18"/>
                            </w:rPr>
                            <w:t xml:space="preserve"> 页 共 </w:t>
                          </w:r>
                          <w:r>
                            <w:rPr>
                              <w:rFonts w:ascii="宋体" w:hAnsi="宋体" w:cs="宋体"/>
                              <w:sz w:val="18"/>
                              <w:szCs w:val="18"/>
                            </w:rPr>
                            <w:fldChar w:fldCharType="begin"/>
                          </w:r>
                          <w:r>
                            <w:rPr>
                              <w:rFonts w:ascii="宋体" w:hAnsi="宋体" w:cs="宋体"/>
                              <w:sz w:val="18"/>
                              <w:szCs w:val="18"/>
                            </w:rPr>
                            <w:instrText xml:space="preserve"> NUMPAGES  \* MERGEFORMAT </w:instrText>
                          </w:r>
                          <w:r>
                            <w:rPr>
                              <w:rFonts w:ascii="宋体" w:hAnsi="宋体" w:cs="宋体"/>
                              <w:sz w:val="18"/>
                              <w:szCs w:val="18"/>
                            </w:rPr>
                            <w:fldChar w:fldCharType="separate"/>
                          </w:r>
                          <w:r>
                            <w:rPr>
                              <w:rFonts w:ascii="宋体" w:hAnsi="宋体" w:cs="宋体"/>
                              <w:sz w:val="18"/>
                              <w:szCs w:val="18"/>
                            </w:rPr>
                            <w:t>183</w:t>
                          </w:r>
                          <w:r>
                            <w:rPr>
                              <w:rFonts w:ascii="宋体" w:hAnsi="宋体" w:cs="宋体"/>
                              <w:sz w:val="18"/>
                              <w:szCs w:val="18"/>
                            </w:rPr>
                            <w:fldChar w:fldCharType="end"/>
                          </w:r>
                          <w:r>
                            <w:rPr>
                              <w:rFonts w:ascii="宋体" w:hAnsi="宋体" w:cs="宋体"/>
                              <w:sz w:val="18"/>
                              <w:szCs w:val="18"/>
                            </w:rPr>
                            <w:t xml:space="preserve"> 页</w:t>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b4I7NM0BAACnAwAADgAAAAAAAAABACAAAAAeAQAAZHJzL2Uy&#10;b0RvYy54bWxQSwUGAAAAAAYABgBZAQAAXQUAAAAA&#10;">
              <v:fill on="f" focussize="0,0"/>
              <v:stroke on="f"/>
              <v:imagedata o:title=""/>
              <o:lock v:ext="edit" aspectratio="f"/>
              <v:textbox inset="0mm,0mm,0mm,0mm" style="mso-fit-shape-to-text:t;">
                <w:txbxContent>
                  <w:p w14:paraId="24AF7BA9">
                    <w:pPr>
                      <w:pStyle w:val="10"/>
                      <w:rPr>
                        <w:rFonts w:ascii="宋体" w:hAnsi="宋体" w:cs="宋体"/>
                        <w:sz w:val="18"/>
                        <w:szCs w:val="18"/>
                      </w:rPr>
                    </w:pPr>
                    <w:r>
                      <w:rPr>
                        <w:rFonts w:ascii="宋体" w:hAnsi="宋体" w:cs="宋体"/>
                        <w:sz w:val="18"/>
                        <w:szCs w:val="18"/>
                      </w:rPr>
                      <w:t xml:space="preserve">第 </w:t>
                    </w:r>
                    <w:r>
                      <w:rPr>
                        <w:rFonts w:ascii="宋体" w:hAnsi="宋体" w:cs="宋体"/>
                        <w:sz w:val="18"/>
                        <w:szCs w:val="18"/>
                      </w:rPr>
                      <w:fldChar w:fldCharType="begin"/>
                    </w:r>
                    <w:r>
                      <w:rPr>
                        <w:rFonts w:ascii="宋体" w:hAnsi="宋体" w:cs="宋体"/>
                        <w:sz w:val="18"/>
                        <w:szCs w:val="18"/>
                      </w:rPr>
                      <w:instrText xml:space="preserve"> PAGE  \* MERGEFORMAT </w:instrText>
                    </w:r>
                    <w:r>
                      <w:rPr>
                        <w:rFonts w:ascii="宋体" w:hAnsi="宋体" w:cs="宋体"/>
                        <w:sz w:val="18"/>
                        <w:szCs w:val="18"/>
                      </w:rPr>
                      <w:fldChar w:fldCharType="separate"/>
                    </w:r>
                    <w:r>
                      <w:rPr>
                        <w:rFonts w:ascii="宋体" w:hAnsi="宋体" w:cs="宋体"/>
                        <w:sz w:val="18"/>
                        <w:szCs w:val="18"/>
                      </w:rPr>
                      <w:t>1</w:t>
                    </w:r>
                    <w:r>
                      <w:rPr>
                        <w:rFonts w:ascii="宋体" w:hAnsi="宋体" w:cs="宋体"/>
                        <w:sz w:val="18"/>
                        <w:szCs w:val="18"/>
                      </w:rPr>
                      <w:fldChar w:fldCharType="end"/>
                    </w:r>
                    <w:r>
                      <w:rPr>
                        <w:rFonts w:ascii="宋体" w:hAnsi="宋体" w:cs="宋体"/>
                        <w:sz w:val="18"/>
                        <w:szCs w:val="18"/>
                      </w:rPr>
                      <w:t xml:space="preserve"> 页 共 </w:t>
                    </w:r>
                    <w:r>
                      <w:rPr>
                        <w:rFonts w:ascii="宋体" w:hAnsi="宋体" w:cs="宋体"/>
                        <w:sz w:val="18"/>
                        <w:szCs w:val="18"/>
                      </w:rPr>
                      <w:fldChar w:fldCharType="begin"/>
                    </w:r>
                    <w:r>
                      <w:rPr>
                        <w:rFonts w:ascii="宋体" w:hAnsi="宋体" w:cs="宋体"/>
                        <w:sz w:val="18"/>
                        <w:szCs w:val="18"/>
                      </w:rPr>
                      <w:instrText xml:space="preserve"> NUMPAGES  \* MERGEFORMAT </w:instrText>
                    </w:r>
                    <w:r>
                      <w:rPr>
                        <w:rFonts w:ascii="宋体" w:hAnsi="宋体" w:cs="宋体"/>
                        <w:sz w:val="18"/>
                        <w:szCs w:val="18"/>
                      </w:rPr>
                      <w:fldChar w:fldCharType="separate"/>
                    </w:r>
                    <w:r>
                      <w:rPr>
                        <w:rFonts w:ascii="宋体" w:hAnsi="宋体" w:cs="宋体"/>
                        <w:sz w:val="18"/>
                        <w:szCs w:val="18"/>
                      </w:rPr>
                      <w:t>183</w:t>
                    </w:r>
                    <w:r>
                      <w:rPr>
                        <w:rFonts w:ascii="宋体" w:hAnsi="宋体" w:cs="宋体"/>
                        <w:sz w:val="18"/>
                        <w:szCs w:val="18"/>
                      </w:rPr>
                      <w:fldChar w:fldCharType="end"/>
                    </w:r>
                    <w:r>
                      <w:rPr>
                        <w:rFonts w:ascii="宋体" w:hAnsi="宋体" w:cs="宋体"/>
                        <w:sz w:val="18"/>
                        <w:szCs w:val="18"/>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7289C9"/>
    <w:multiLevelType w:val="singleLevel"/>
    <w:tmpl w:val="B47289C9"/>
    <w:lvl w:ilvl="0" w:tentative="0">
      <w:start w:val="1"/>
      <w:numFmt w:val="decimal"/>
      <w:suff w:val="nothing"/>
      <w:lvlText w:val="（%1）"/>
      <w:lvlJc w:val="left"/>
    </w:lvl>
  </w:abstractNum>
  <w:abstractNum w:abstractNumId="1">
    <w:nsid w:val="BBA94F88"/>
    <w:multiLevelType w:val="singleLevel"/>
    <w:tmpl w:val="BBA94F88"/>
    <w:lvl w:ilvl="0" w:tentative="0">
      <w:start w:val="1"/>
      <w:numFmt w:val="decimal"/>
      <w:suff w:val="nothing"/>
      <w:lvlText w:val="%1、"/>
      <w:lvlJc w:val="left"/>
    </w:lvl>
  </w:abstractNum>
  <w:abstractNum w:abstractNumId="2">
    <w:nsid w:val="0BB0E071"/>
    <w:multiLevelType w:val="singleLevel"/>
    <w:tmpl w:val="0BB0E071"/>
    <w:lvl w:ilvl="0" w:tentative="0">
      <w:start w:val="1"/>
      <w:numFmt w:val="chineseCounting"/>
      <w:suff w:val="nothing"/>
      <w:lvlText w:val="%1、"/>
      <w:lvlJc w:val="left"/>
      <w:rPr>
        <w:rFonts w:hint="eastAsia"/>
      </w:rPr>
    </w:lvl>
  </w:abstractNum>
  <w:abstractNum w:abstractNumId="3">
    <w:nsid w:val="694B28E9"/>
    <w:multiLevelType w:val="singleLevel"/>
    <w:tmpl w:val="694B28E9"/>
    <w:lvl w:ilvl="0" w:tentative="0">
      <w:start w:val="2"/>
      <w:numFmt w:val="decimal"/>
      <w:suff w:val="nothing"/>
      <w:lvlText w:val="（%1）"/>
      <w:lvlJc w:val="left"/>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98"/>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ZlZTQ0MjE5MTNiZmUzNDZhZTY2MzExYTBmNjViOGMifQ=="/>
  </w:docVars>
  <w:rsids>
    <w:rsidRoot w:val="00000000"/>
    <w:rsid w:val="0022181C"/>
    <w:rsid w:val="00285CFE"/>
    <w:rsid w:val="00665BAD"/>
    <w:rsid w:val="009E5347"/>
    <w:rsid w:val="00A45CAA"/>
    <w:rsid w:val="00F44F67"/>
    <w:rsid w:val="015974C0"/>
    <w:rsid w:val="017E6D4D"/>
    <w:rsid w:val="01B607AF"/>
    <w:rsid w:val="023A0C1C"/>
    <w:rsid w:val="023F1AAA"/>
    <w:rsid w:val="027065D6"/>
    <w:rsid w:val="02777BFD"/>
    <w:rsid w:val="027C5214"/>
    <w:rsid w:val="02B56978"/>
    <w:rsid w:val="02ED1C6E"/>
    <w:rsid w:val="049D5A39"/>
    <w:rsid w:val="04F574FF"/>
    <w:rsid w:val="05404C1F"/>
    <w:rsid w:val="05FD666C"/>
    <w:rsid w:val="060379FA"/>
    <w:rsid w:val="06DF5625"/>
    <w:rsid w:val="06E72E78"/>
    <w:rsid w:val="0708351A"/>
    <w:rsid w:val="074A3B33"/>
    <w:rsid w:val="07A34FF1"/>
    <w:rsid w:val="07A5520D"/>
    <w:rsid w:val="08393BA7"/>
    <w:rsid w:val="08C515D0"/>
    <w:rsid w:val="08DC0C2E"/>
    <w:rsid w:val="08F63846"/>
    <w:rsid w:val="09077801"/>
    <w:rsid w:val="09664528"/>
    <w:rsid w:val="0A2F1C1D"/>
    <w:rsid w:val="0A477459"/>
    <w:rsid w:val="0AB17A25"/>
    <w:rsid w:val="0B231696"/>
    <w:rsid w:val="0B9F01C5"/>
    <w:rsid w:val="0BDA11FD"/>
    <w:rsid w:val="0C177D5B"/>
    <w:rsid w:val="0C434FF4"/>
    <w:rsid w:val="0D0732A8"/>
    <w:rsid w:val="0D496892"/>
    <w:rsid w:val="0DE77EDE"/>
    <w:rsid w:val="0E236E8B"/>
    <w:rsid w:val="0F2A1B00"/>
    <w:rsid w:val="0F3A448D"/>
    <w:rsid w:val="0F6634D4"/>
    <w:rsid w:val="0FA933C0"/>
    <w:rsid w:val="0FB729D4"/>
    <w:rsid w:val="103B5AFE"/>
    <w:rsid w:val="10686DD7"/>
    <w:rsid w:val="10C761F4"/>
    <w:rsid w:val="10F60887"/>
    <w:rsid w:val="112F5B47"/>
    <w:rsid w:val="11FC011F"/>
    <w:rsid w:val="12B33EEE"/>
    <w:rsid w:val="138F152C"/>
    <w:rsid w:val="139E2BC1"/>
    <w:rsid w:val="14223741"/>
    <w:rsid w:val="142851FC"/>
    <w:rsid w:val="145C4EA5"/>
    <w:rsid w:val="146F7B6A"/>
    <w:rsid w:val="166E0EC0"/>
    <w:rsid w:val="169D7FC1"/>
    <w:rsid w:val="16B66740"/>
    <w:rsid w:val="16C136E5"/>
    <w:rsid w:val="17AA44AA"/>
    <w:rsid w:val="17CC40F0"/>
    <w:rsid w:val="184C5231"/>
    <w:rsid w:val="18510A99"/>
    <w:rsid w:val="18A31A79"/>
    <w:rsid w:val="18D019BE"/>
    <w:rsid w:val="18F20563"/>
    <w:rsid w:val="19063631"/>
    <w:rsid w:val="191006D7"/>
    <w:rsid w:val="199649B5"/>
    <w:rsid w:val="1A4E5290"/>
    <w:rsid w:val="1A736AA5"/>
    <w:rsid w:val="1AD03EF7"/>
    <w:rsid w:val="1AD5150D"/>
    <w:rsid w:val="1AED4AA9"/>
    <w:rsid w:val="1B813443"/>
    <w:rsid w:val="1B965141"/>
    <w:rsid w:val="1C2C7853"/>
    <w:rsid w:val="1C730FDE"/>
    <w:rsid w:val="1CA51528"/>
    <w:rsid w:val="1CF245F9"/>
    <w:rsid w:val="1DC51D0D"/>
    <w:rsid w:val="1DF443A0"/>
    <w:rsid w:val="1DFE64B7"/>
    <w:rsid w:val="1E0F11DA"/>
    <w:rsid w:val="1E401394"/>
    <w:rsid w:val="1EA41923"/>
    <w:rsid w:val="1EC65D3D"/>
    <w:rsid w:val="1F4D3D68"/>
    <w:rsid w:val="1F6410B2"/>
    <w:rsid w:val="1FF52E27"/>
    <w:rsid w:val="20032679"/>
    <w:rsid w:val="20232D1B"/>
    <w:rsid w:val="207C18A9"/>
    <w:rsid w:val="20DE431E"/>
    <w:rsid w:val="20E64474"/>
    <w:rsid w:val="21856AC5"/>
    <w:rsid w:val="219B0000"/>
    <w:rsid w:val="21E07116"/>
    <w:rsid w:val="21E4187D"/>
    <w:rsid w:val="21ED538F"/>
    <w:rsid w:val="21FB3F4F"/>
    <w:rsid w:val="220F3557"/>
    <w:rsid w:val="22833F45"/>
    <w:rsid w:val="230E1A60"/>
    <w:rsid w:val="242A0B1C"/>
    <w:rsid w:val="24E011DB"/>
    <w:rsid w:val="26296BB1"/>
    <w:rsid w:val="271D6716"/>
    <w:rsid w:val="27433CA3"/>
    <w:rsid w:val="279B588D"/>
    <w:rsid w:val="27A26C1B"/>
    <w:rsid w:val="27A42993"/>
    <w:rsid w:val="27F62998"/>
    <w:rsid w:val="28C055AB"/>
    <w:rsid w:val="293164A9"/>
    <w:rsid w:val="295E4DC4"/>
    <w:rsid w:val="296E563B"/>
    <w:rsid w:val="2987431B"/>
    <w:rsid w:val="29A0692E"/>
    <w:rsid w:val="2A4736DB"/>
    <w:rsid w:val="2B057BED"/>
    <w:rsid w:val="2B110340"/>
    <w:rsid w:val="2BCBC8BF"/>
    <w:rsid w:val="2C444745"/>
    <w:rsid w:val="2C842D93"/>
    <w:rsid w:val="2CB73169"/>
    <w:rsid w:val="2CD714D6"/>
    <w:rsid w:val="2D19172E"/>
    <w:rsid w:val="2D765006"/>
    <w:rsid w:val="2DCE2518"/>
    <w:rsid w:val="2E0917A2"/>
    <w:rsid w:val="2E6A7D67"/>
    <w:rsid w:val="2ECF4A6D"/>
    <w:rsid w:val="2F77273B"/>
    <w:rsid w:val="2FA06136"/>
    <w:rsid w:val="2FFD70E5"/>
    <w:rsid w:val="30A43A04"/>
    <w:rsid w:val="31350B00"/>
    <w:rsid w:val="315C608D"/>
    <w:rsid w:val="324220B7"/>
    <w:rsid w:val="336F3C36"/>
    <w:rsid w:val="33FC76B3"/>
    <w:rsid w:val="341D223B"/>
    <w:rsid w:val="34384B8F"/>
    <w:rsid w:val="34BD0A45"/>
    <w:rsid w:val="3502519D"/>
    <w:rsid w:val="353D48E3"/>
    <w:rsid w:val="35431A3E"/>
    <w:rsid w:val="35780FBB"/>
    <w:rsid w:val="35DC1550"/>
    <w:rsid w:val="361B6516"/>
    <w:rsid w:val="365B4B65"/>
    <w:rsid w:val="368D6CE8"/>
    <w:rsid w:val="36A56CDD"/>
    <w:rsid w:val="36C56482"/>
    <w:rsid w:val="36FD79CA"/>
    <w:rsid w:val="37687CFF"/>
    <w:rsid w:val="37E39011"/>
    <w:rsid w:val="382B67B9"/>
    <w:rsid w:val="386F48F8"/>
    <w:rsid w:val="387168C2"/>
    <w:rsid w:val="388D1222"/>
    <w:rsid w:val="38BB453F"/>
    <w:rsid w:val="39461AFC"/>
    <w:rsid w:val="397F3D71"/>
    <w:rsid w:val="39887817"/>
    <w:rsid w:val="39E71901"/>
    <w:rsid w:val="39F03816"/>
    <w:rsid w:val="3B471B5C"/>
    <w:rsid w:val="3C88242C"/>
    <w:rsid w:val="3D232155"/>
    <w:rsid w:val="3D6465DA"/>
    <w:rsid w:val="3D9C635D"/>
    <w:rsid w:val="3DBA03C3"/>
    <w:rsid w:val="3DF53AF1"/>
    <w:rsid w:val="3DFD29A6"/>
    <w:rsid w:val="3E7F11B5"/>
    <w:rsid w:val="3EB5502E"/>
    <w:rsid w:val="3F783C6C"/>
    <w:rsid w:val="3F806AA9"/>
    <w:rsid w:val="3F8A767A"/>
    <w:rsid w:val="40C81049"/>
    <w:rsid w:val="40FA31CC"/>
    <w:rsid w:val="411F27DA"/>
    <w:rsid w:val="4171379D"/>
    <w:rsid w:val="423F438F"/>
    <w:rsid w:val="42741071"/>
    <w:rsid w:val="42D43026"/>
    <w:rsid w:val="431F6F1A"/>
    <w:rsid w:val="437C436D"/>
    <w:rsid w:val="43EC7148"/>
    <w:rsid w:val="44BA6EFA"/>
    <w:rsid w:val="454828FF"/>
    <w:rsid w:val="45BC4EF4"/>
    <w:rsid w:val="45D3387B"/>
    <w:rsid w:val="45D93CF8"/>
    <w:rsid w:val="466E2B07"/>
    <w:rsid w:val="468E4AE3"/>
    <w:rsid w:val="46C2478C"/>
    <w:rsid w:val="479016F9"/>
    <w:rsid w:val="47CB42B8"/>
    <w:rsid w:val="485633DE"/>
    <w:rsid w:val="48E21116"/>
    <w:rsid w:val="48F74D5E"/>
    <w:rsid w:val="49033566"/>
    <w:rsid w:val="491C365E"/>
    <w:rsid w:val="492D2391"/>
    <w:rsid w:val="49321B41"/>
    <w:rsid w:val="49DB3239"/>
    <w:rsid w:val="4A31759F"/>
    <w:rsid w:val="4A396B13"/>
    <w:rsid w:val="4A3E412A"/>
    <w:rsid w:val="4A565917"/>
    <w:rsid w:val="4B49722A"/>
    <w:rsid w:val="4B95421D"/>
    <w:rsid w:val="4B99067E"/>
    <w:rsid w:val="4BEFA0E7"/>
    <w:rsid w:val="4CAC7A71"/>
    <w:rsid w:val="4CB80042"/>
    <w:rsid w:val="4E07793A"/>
    <w:rsid w:val="4E261AA5"/>
    <w:rsid w:val="4E992277"/>
    <w:rsid w:val="4EAF3848"/>
    <w:rsid w:val="4EDD2163"/>
    <w:rsid w:val="4EE221C8"/>
    <w:rsid w:val="4F1D07B2"/>
    <w:rsid w:val="4F980780"/>
    <w:rsid w:val="4FCE7CFE"/>
    <w:rsid w:val="50974594"/>
    <w:rsid w:val="50CD5904"/>
    <w:rsid w:val="50D457E8"/>
    <w:rsid w:val="511D718F"/>
    <w:rsid w:val="51234BBF"/>
    <w:rsid w:val="514069D9"/>
    <w:rsid w:val="51B15B29"/>
    <w:rsid w:val="528172AA"/>
    <w:rsid w:val="52B0031F"/>
    <w:rsid w:val="53081779"/>
    <w:rsid w:val="535B5D4C"/>
    <w:rsid w:val="53F266B1"/>
    <w:rsid w:val="541C372E"/>
    <w:rsid w:val="54FE4BE1"/>
    <w:rsid w:val="5531145B"/>
    <w:rsid w:val="554C0A0B"/>
    <w:rsid w:val="55650480"/>
    <w:rsid w:val="55945546"/>
    <w:rsid w:val="55EE10FA"/>
    <w:rsid w:val="560C77D2"/>
    <w:rsid w:val="567C69FC"/>
    <w:rsid w:val="570566FB"/>
    <w:rsid w:val="57437223"/>
    <w:rsid w:val="579E26AC"/>
    <w:rsid w:val="57CA34A1"/>
    <w:rsid w:val="57FB53F6"/>
    <w:rsid w:val="58550FBC"/>
    <w:rsid w:val="590A352E"/>
    <w:rsid w:val="593C03CE"/>
    <w:rsid w:val="594902D2"/>
    <w:rsid w:val="59CD1026"/>
    <w:rsid w:val="5A5B4884"/>
    <w:rsid w:val="5B653C0C"/>
    <w:rsid w:val="5B8228C3"/>
    <w:rsid w:val="5B9242D5"/>
    <w:rsid w:val="5BEB25BB"/>
    <w:rsid w:val="5BF94355"/>
    <w:rsid w:val="5C6F4617"/>
    <w:rsid w:val="5D9E51B4"/>
    <w:rsid w:val="5DA327CA"/>
    <w:rsid w:val="5DC56BE4"/>
    <w:rsid w:val="5DFD6716"/>
    <w:rsid w:val="5E23397E"/>
    <w:rsid w:val="5E2A2EEB"/>
    <w:rsid w:val="5E581806"/>
    <w:rsid w:val="5E954808"/>
    <w:rsid w:val="5EA131B6"/>
    <w:rsid w:val="5F180F96"/>
    <w:rsid w:val="5F3D75C5"/>
    <w:rsid w:val="5F6F03D0"/>
    <w:rsid w:val="5F84662B"/>
    <w:rsid w:val="5FAB3BB8"/>
    <w:rsid w:val="5FBE8677"/>
    <w:rsid w:val="5FED5F7E"/>
    <w:rsid w:val="5FEEA6D1"/>
    <w:rsid w:val="607147EC"/>
    <w:rsid w:val="607E7E34"/>
    <w:rsid w:val="60A56859"/>
    <w:rsid w:val="610619ED"/>
    <w:rsid w:val="616E30EF"/>
    <w:rsid w:val="617F2279"/>
    <w:rsid w:val="61E3588B"/>
    <w:rsid w:val="626544F2"/>
    <w:rsid w:val="635822A8"/>
    <w:rsid w:val="638210D3"/>
    <w:rsid w:val="63EB0A27"/>
    <w:rsid w:val="645B1B75"/>
    <w:rsid w:val="647153D0"/>
    <w:rsid w:val="64840F3A"/>
    <w:rsid w:val="65053D6A"/>
    <w:rsid w:val="654E3963"/>
    <w:rsid w:val="65A41C8F"/>
    <w:rsid w:val="65C15EE3"/>
    <w:rsid w:val="660109D5"/>
    <w:rsid w:val="66BE68C6"/>
    <w:rsid w:val="66D83715"/>
    <w:rsid w:val="671F55B7"/>
    <w:rsid w:val="681542C4"/>
    <w:rsid w:val="6821020B"/>
    <w:rsid w:val="684A2369"/>
    <w:rsid w:val="68F731EF"/>
    <w:rsid w:val="68FA3FED"/>
    <w:rsid w:val="68FE744E"/>
    <w:rsid w:val="69895E31"/>
    <w:rsid w:val="69B93913"/>
    <w:rsid w:val="6A127BEA"/>
    <w:rsid w:val="6A9E4A45"/>
    <w:rsid w:val="6B4F6959"/>
    <w:rsid w:val="6B680BAF"/>
    <w:rsid w:val="6B9749D8"/>
    <w:rsid w:val="6BAE6F0A"/>
    <w:rsid w:val="6BFF3B80"/>
    <w:rsid w:val="6C246D70"/>
    <w:rsid w:val="6C44786E"/>
    <w:rsid w:val="6C702411"/>
    <w:rsid w:val="6D3B2A1F"/>
    <w:rsid w:val="6D505D9E"/>
    <w:rsid w:val="6D8F2D6B"/>
    <w:rsid w:val="6DBD1686"/>
    <w:rsid w:val="6DEA7FA1"/>
    <w:rsid w:val="6E70494A"/>
    <w:rsid w:val="6E91666F"/>
    <w:rsid w:val="6EE82732"/>
    <w:rsid w:val="6F66CC57"/>
    <w:rsid w:val="6FDA553C"/>
    <w:rsid w:val="6FF02FF0"/>
    <w:rsid w:val="6FF84DB7"/>
    <w:rsid w:val="709661BE"/>
    <w:rsid w:val="710D6480"/>
    <w:rsid w:val="71AC1D09"/>
    <w:rsid w:val="71C32FE3"/>
    <w:rsid w:val="71D60F68"/>
    <w:rsid w:val="71F25676"/>
    <w:rsid w:val="71FE04BF"/>
    <w:rsid w:val="72A92734"/>
    <w:rsid w:val="72C2773E"/>
    <w:rsid w:val="72F316A6"/>
    <w:rsid w:val="73EB1CEA"/>
    <w:rsid w:val="73F27BAF"/>
    <w:rsid w:val="73FC0A2E"/>
    <w:rsid w:val="74367A9C"/>
    <w:rsid w:val="74687E72"/>
    <w:rsid w:val="7499627D"/>
    <w:rsid w:val="75000598"/>
    <w:rsid w:val="751122B7"/>
    <w:rsid w:val="751C3136"/>
    <w:rsid w:val="75243D99"/>
    <w:rsid w:val="757C3BD5"/>
    <w:rsid w:val="757C5983"/>
    <w:rsid w:val="75D25EEA"/>
    <w:rsid w:val="75E33C54"/>
    <w:rsid w:val="75E672A0"/>
    <w:rsid w:val="75FE283B"/>
    <w:rsid w:val="763E70DC"/>
    <w:rsid w:val="764C7A4B"/>
    <w:rsid w:val="766034F6"/>
    <w:rsid w:val="76A333E3"/>
    <w:rsid w:val="76F3263C"/>
    <w:rsid w:val="77460A3E"/>
    <w:rsid w:val="776D1464"/>
    <w:rsid w:val="77DC16AE"/>
    <w:rsid w:val="77E31CE9"/>
    <w:rsid w:val="78FD327E"/>
    <w:rsid w:val="79F778CA"/>
    <w:rsid w:val="7A317463"/>
    <w:rsid w:val="7AFEC96A"/>
    <w:rsid w:val="7B0F9252"/>
    <w:rsid w:val="7C105077"/>
    <w:rsid w:val="7C134B67"/>
    <w:rsid w:val="7C142DB9"/>
    <w:rsid w:val="7C32323F"/>
    <w:rsid w:val="7D03621D"/>
    <w:rsid w:val="7D4A45B8"/>
    <w:rsid w:val="7D627B54"/>
    <w:rsid w:val="7D716F6C"/>
    <w:rsid w:val="7D7EC42E"/>
    <w:rsid w:val="7D822C21"/>
    <w:rsid w:val="7D8C4BD1"/>
    <w:rsid w:val="7E722019"/>
    <w:rsid w:val="7E7B5D0B"/>
    <w:rsid w:val="7EAB7EE0"/>
    <w:rsid w:val="7EB97C47"/>
    <w:rsid w:val="7ED8512F"/>
    <w:rsid w:val="7EDC1B88"/>
    <w:rsid w:val="7EE34AAB"/>
    <w:rsid w:val="7EEA7E01"/>
    <w:rsid w:val="7EF944E8"/>
    <w:rsid w:val="7F957ABD"/>
    <w:rsid w:val="7FAC7580"/>
    <w:rsid w:val="7FBBB8A2"/>
    <w:rsid w:val="7FC40652"/>
    <w:rsid w:val="7FE782E8"/>
    <w:rsid w:val="7FFF5561"/>
    <w:rsid w:val="9EF7317E"/>
    <w:rsid w:val="B4EA37A7"/>
    <w:rsid w:val="D3E9D07B"/>
    <w:rsid w:val="DF7E1666"/>
    <w:rsid w:val="DFBB8E98"/>
    <w:rsid w:val="E7FF50A6"/>
    <w:rsid w:val="EA96D90B"/>
    <w:rsid w:val="EF59F714"/>
    <w:rsid w:val="F6B776BE"/>
    <w:rsid w:val="F6BCF50F"/>
    <w:rsid w:val="F6E61B7B"/>
    <w:rsid w:val="F75F13C6"/>
    <w:rsid w:val="F7FFD3F0"/>
    <w:rsid w:val="FAB1F684"/>
    <w:rsid w:val="FBFD64BC"/>
    <w:rsid w:val="FD1FD548"/>
    <w:rsid w:val="FEFE6CB0"/>
    <w:rsid w:val="FFDD177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8"/>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0"/>
    <w:pPr>
      <w:spacing w:before="100" w:beforeAutospacing="1" w:after="100" w:afterAutospacing="1"/>
      <w:jc w:val="left"/>
      <w:outlineLvl w:val="1"/>
    </w:pPr>
    <w:rPr>
      <w:rFonts w:hint="eastAsia" w:ascii="宋体" w:hAnsi="宋体"/>
      <w:b/>
      <w:bCs/>
      <w:kern w:val="0"/>
      <w:sz w:val="36"/>
      <w:szCs w:val="36"/>
    </w:rPr>
  </w:style>
  <w:style w:type="paragraph" w:styleId="4">
    <w:name w:val="heading 3"/>
    <w:basedOn w:val="1"/>
    <w:next w:val="1"/>
    <w:qFormat/>
    <w:uiPriority w:val="0"/>
    <w:pPr>
      <w:spacing w:before="100" w:beforeAutospacing="1" w:after="100" w:afterAutospacing="1"/>
      <w:jc w:val="left"/>
      <w:outlineLvl w:val="2"/>
    </w:pPr>
    <w:rPr>
      <w:rFonts w:hint="eastAsia" w:ascii="宋体" w:hAnsi="宋体"/>
      <w:b/>
      <w:bCs/>
      <w:kern w:val="0"/>
      <w:sz w:val="27"/>
      <w:szCs w:val="27"/>
    </w:rPr>
  </w:style>
  <w:style w:type="paragraph" w:styleId="5">
    <w:name w:val="heading 4"/>
    <w:basedOn w:val="1"/>
    <w:next w:val="1"/>
    <w:qFormat/>
    <w:uiPriority w:val="0"/>
    <w:pPr>
      <w:spacing w:before="100" w:beforeAutospacing="1" w:after="100" w:afterAutospacing="1"/>
      <w:jc w:val="left"/>
      <w:outlineLvl w:val="3"/>
    </w:pPr>
    <w:rPr>
      <w:rFonts w:hint="eastAsia" w:ascii="宋体" w:hAnsi="宋体"/>
      <w:b/>
      <w:bCs/>
      <w:kern w:val="0"/>
      <w:sz w:val="24"/>
    </w:rPr>
  </w:style>
  <w:style w:type="paragraph" w:styleId="6">
    <w:name w:val="heading 5"/>
    <w:basedOn w:val="1"/>
    <w:next w:val="1"/>
    <w:qFormat/>
    <w:uiPriority w:val="0"/>
    <w:pPr>
      <w:spacing w:before="100" w:beforeAutospacing="1" w:after="100" w:afterAutospacing="1"/>
      <w:jc w:val="left"/>
      <w:outlineLvl w:val="4"/>
    </w:pPr>
    <w:rPr>
      <w:rFonts w:hint="eastAsia" w:ascii="宋体" w:hAnsi="宋体"/>
      <w:b/>
      <w:bCs/>
      <w:kern w:val="0"/>
      <w:sz w:val="20"/>
      <w:szCs w:val="20"/>
    </w:rPr>
  </w:style>
  <w:style w:type="paragraph" w:styleId="7">
    <w:name w:val="heading 6"/>
    <w:basedOn w:val="1"/>
    <w:next w:val="1"/>
    <w:qFormat/>
    <w:uiPriority w:val="0"/>
    <w:pPr>
      <w:spacing w:before="100" w:beforeAutospacing="1" w:after="100" w:afterAutospacing="1"/>
      <w:jc w:val="left"/>
      <w:outlineLvl w:val="5"/>
    </w:pPr>
    <w:rPr>
      <w:rFonts w:hint="eastAsia" w:ascii="宋体" w:hAnsi="宋体"/>
      <w:b/>
      <w:bCs/>
      <w:kern w:val="0"/>
      <w:sz w:val="15"/>
      <w:szCs w:val="15"/>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8">
    <w:name w:val="annotation text"/>
    <w:basedOn w:val="1"/>
    <w:qFormat/>
    <w:uiPriority w:val="0"/>
    <w:pPr>
      <w:jc w:val="left"/>
    </w:pPr>
    <w:rPr>
      <w:rFonts w:ascii="Times New Roman" w:hAnsi="Times New Roman"/>
    </w:rPr>
  </w:style>
  <w:style w:type="paragraph" w:styleId="9">
    <w:name w:val="Body Text"/>
    <w:basedOn w:val="1"/>
    <w:next w:val="1"/>
    <w:qFormat/>
    <w:uiPriority w:val="0"/>
    <w:pPr>
      <w:widowControl/>
      <w:spacing w:line="360" w:lineRule="auto"/>
    </w:pPr>
    <w:rPr>
      <w:color w:val="FF0000"/>
    </w:rPr>
  </w:style>
  <w:style w:type="paragraph" w:styleId="10">
    <w:name w:val="footer"/>
    <w:basedOn w:val="1"/>
    <w:unhideWhenUsed/>
    <w:qFormat/>
    <w:uiPriority w:val="99"/>
    <w:pPr>
      <w:tabs>
        <w:tab w:val="center" w:pos="4153"/>
        <w:tab w:val="right" w:pos="8306"/>
      </w:tabs>
      <w:snapToGrid w:val="0"/>
      <w:jc w:val="left"/>
    </w:pPr>
    <w:rPr>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pPr>
      <w:spacing w:before="100" w:beforeAutospacing="1" w:after="100" w:afterAutospacing="1"/>
      <w:jc w:val="left"/>
    </w:pPr>
    <w:rPr>
      <w:kern w:val="0"/>
      <w:sz w:val="24"/>
    </w:rPr>
  </w:style>
  <w:style w:type="paragraph" w:styleId="13">
    <w:name w:val="Body Text First Indent"/>
    <w:basedOn w:val="9"/>
    <w:unhideWhenUsed/>
    <w:qFormat/>
    <w:uiPriority w:val="99"/>
    <w:pPr>
      <w:spacing w:after="120" w:line="240" w:lineRule="auto"/>
      <w:ind w:firstLine="420" w:firstLineChars="100"/>
    </w:pPr>
    <w:rPr>
      <w:color w:val="auto"/>
    </w:rPr>
  </w:style>
  <w:style w:type="table" w:styleId="15">
    <w:name w:val="Table Grid"/>
    <w:basedOn w:val="14"/>
    <w:qFormat/>
    <w:uiPriority w:val="59"/>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qFormat/>
    <w:uiPriority w:val="0"/>
    <w:rPr>
      <w:rFonts w:ascii="Calibri" w:hAnsi="Calibri" w:eastAsia="宋体" w:cs="Times New Roman"/>
      <w:b/>
      <w:lang w:val="en-US" w:eastAsia="zh-CN" w:bidi="ar-SA"/>
    </w:rPr>
  </w:style>
  <w:style w:type="character" w:styleId="18">
    <w:name w:val="Emphasis"/>
    <w:basedOn w:val="16"/>
    <w:qFormat/>
    <w:uiPriority w:val="20"/>
    <w:rPr>
      <w:rFonts w:ascii="Calibri" w:hAnsi="Calibri" w:eastAsia="宋体" w:cs="Times New Roman"/>
      <w:i/>
      <w:lang w:val="en-US" w:eastAsia="zh-CN" w:bidi="ar-SA"/>
    </w:rPr>
  </w:style>
  <w:style w:type="character" w:styleId="19">
    <w:name w:val="Hyperlink"/>
    <w:basedOn w:val="16"/>
    <w:unhideWhenUsed/>
    <w:qFormat/>
    <w:uiPriority w:val="99"/>
    <w:rPr>
      <w:color w:val="0000FF"/>
      <w:u w:val="single"/>
    </w:rPr>
  </w:style>
  <w:style w:type="character" w:customStyle="1" w:styleId="20">
    <w:name w:val="font41"/>
    <w:basedOn w:val="16"/>
    <w:qFormat/>
    <w:uiPriority w:val="0"/>
    <w:rPr>
      <w:rFonts w:hint="eastAsia" w:ascii="宋体" w:hAnsi="宋体" w:eastAsia="宋体" w:cs="宋体"/>
      <w:b/>
      <w:bCs/>
      <w:color w:val="000000"/>
      <w:sz w:val="20"/>
      <w:szCs w:val="20"/>
      <w:u w:val="none"/>
    </w:rPr>
  </w:style>
  <w:style w:type="paragraph" w:customStyle="1" w:styleId="21">
    <w:name w:val="Table Text"/>
    <w:basedOn w:val="1"/>
    <w:semiHidden/>
    <w:qFormat/>
    <w:uiPriority w:val="0"/>
    <w:rPr>
      <w:rFonts w:ascii="宋体" w:hAnsi="宋体" w:eastAsia="宋体" w:cs="宋体"/>
      <w:sz w:val="28"/>
      <w:szCs w:val="28"/>
      <w:lang w:val="en-US" w:eastAsia="en-US" w:bidi="ar-SA"/>
    </w:rPr>
  </w:style>
  <w:style w:type="character" w:customStyle="1" w:styleId="22">
    <w:name w:val="font21"/>
    <w:basedOn w:val="16"/>
    <w:qFormat/>
    <w:uiPriority w:val="0"/>
    <w:rPr>
      <w:rFonts w:hint="eastAsia" w:ascii="宋体" w:hAnsi="宋体" w:eastAsia="宋体" w:cs="宋体"/>
      <w:color w:val="000000"/>
      <w:sz w:val="20"/>
      <w:szCs w:val="20"/>
      <w:u w:val="none"/>
    </w:rPr>
  </w:style>
  <w:style w:type="character" w:customStyle="1" w:styleId="23">
    <w:name w:val="font81"/>
    <w:basedOn w:val="16"/>
    <w:qFormat/>
    <w:uiPriority w:val="0"/>
    <w:rPr>
      <w:rFonts w:hint="eastAsia" w:ascii="宋体" w:hAnsi="宋体" w:eastAsia="宋体" w:cs="宋体"/>
      <w:color w:val="00B050"/>
      <w:sz w:val="20"/>
      <w:szCs w:val="20"/>
      <w:u w:val="none"/>
    </w:rPr>
  </w:style>
  <w:style w:type="paragraph" w:customStyle="1" w:styleId="24">
    <w:name w:val="列出段落1"/>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glossaryDocument" Target="glossary/document.xml"/><Relationship Id="rId10" Type="http://schemas.openxmlformats.org/officeDocument/2006/relationships/fontTable" Target="fontTable.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ca955d0b-6d9d-4f41-87eb-3b60505c1c8b}"/>
        <w:style w:val=""/>
        <w:category>
          <w:name w:val="常规"/>
          <w:gallery w:val="placeholder"/>
        </w:category>
        <w:types>
          <w:type w:val="bbPlcHdr"/>
        </w:types>
        <w:behaviors>
          <w:behavior w:val="content"/>
        </w:behaviors>
        <w:description w:val=""/>
        <w:guid w:val="{ca955d0b-6d9d-4f41-87eb-3b60505c1c8b}"/>
      </w:docPartPr>
      <w:docPartBody>
        <w:p w14:paraId="7441CDA2">
          <w:r>
            <w:rPr>
              <w:color w:val="808080"/>
            </w:rPr>
            <w:t>单击此处输入文字。</w:t>
          </w:r>
        </w:p>
      </w:docPartBody>
    </w:docPart>
    <w:docPart>
      <w:docPartPr>
        <w:name w:val="{aa65ef12-ee59-4cfd-bfcb-14e1cc005daf}"/>
        <w:style w:val=""/>
        <w:category>
          <w:name w:val="常规"/>
          <w:gallery w:val="placeholder"/>
        </w:category>
        <w:types>
          <w:type w:val="bbPlcHdr"/>
        </w:types>
        <w:behaviors>
          <w:behavior w:val="content"/>
        </w:behaviors>
        <w:description w:val=""/>
        <w:guid w:val="{aa65ef12-ee59-4cfd-bfcb-14e1cc005daf}"/>
      </w:docPartPr>
      <w:docPartBody>
        <w:p w14:paraId="29F6D7AB">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203</Pages>
  <Words>95</Words>
  <Characters>113</Characters>
  <Lines>1</Lines>
  <Paragraphs>1</Paragraphs>
  <TotalTime>1</TotalTime>
  <ScaleCrop>false</ScaleCrop>
  <LinksUpToDate>false</LinksUpToDate>
  <CharactersWithSpaces>224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2024-04-06T07:46:00Z</dcterms:created>
  <dc:creator>user</dc:creator>
  <cp:lastModifiedBy>Administrator</cp:lastModifiedBy>
  <dcterms:modified xsi:type="dcterms:W3CDTF">2026-08-12T07:14:06Z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F8A46A9CFCA2469D921926AF00A53547_12</vt:lpwstr>
  </property>
  <property fmtid="{D5CDD505-2E9C-101B-9397-08002B2CF9AE}" pid="4" name="KSOTemplateDocerSaveRecord">
    <vt:lpwstr>eyJoZGlkIjoiMWI0ODZlZTFiZGFiY2M1YjRiMTQ0MjE3NDc3MDcwMDYifQ==</vt:lpwstr>
  </property>
</Properties>
</file>