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FA79D">
      <w:pPr>
        <w:jc w:val="center"/>
        <w:rPr>
          <w:rFonts w:hint="eastAsia" w:ascii="仿宋_GB2312" w:hAnsi="宋体" w:eastAsia="仿宋_GB2312" w:cs="宋体"/>
          <w:kern w:val="0"/>
          <w:sz w:val="36"/>
          <w:szCs w:val="36"/>
        </w:rPr>
      </w:pPr>
      <w:r>
        <w:rPr>
          <w:rFonts w:hint="eastAsia" w:ascii="仿宋_GB2312" w:hAnsi="宋体" w:eastAsia="仿宋_GB2312" w:cs="宋体"/>
          <w:kern w:val="0"/>
          <w:sz w:val="36"/>
          <w:szCs w:val="36"/>
        </w:rPr>
        <w:t>自营商品采购询价函</w:t>
      </w:r>
    </w:p>
    <w:p w14:paraId="45BE0847">
      <w:pPr>
        <w:rPr>
          <w:rFonts w:hint="eastAsia" w:ascii="仿宋_GB2312" w:hAnsi="宋体" w:eastAsia="仿宋_GB2312" w:cs="宋体"/>
          <w:b/>
          <w:kern w:val="0"/>
          <w:sz w:val="24"/>
        </w:rPr>
      </w:pPr>
      <w:r>
        <w:rPr>
          <w:rFonts w:hint="eastAsia" w:ascii="仿宋_GB2312" w:hAnsi="宋体" w:eastAsia="仿宋_GB2312" w:cs="宋体"/>
          <w:b/>
          <w:kern w:val="0"/>
          <w:sz w:val="24"/>
        </w:rPr>
        <w:t xml:space="preserve">各位合作伙伴： </w:t>
      </w:r>
    </w:p>
    <w:p w14:paraId="26506842">
      <w:pPr>
        <w:spacing w:line="360" w:lineRule="auto"/>
        <w:ind w:firstLine="600" w:firstLineChars="250"/>
        <w:jc w:val="left"/>
        <w:rPr>
          <w:rFonts w:hint="eastAsia" w:ascii="仿宋_GB2312" w:hAnsi="宋体" w:eastAsia="仿宋_GB2312" w:cs="宋体"/>
          <w:kern w:val="0"/>
          <w:sz w:val="24"/>
        </w:rPr>
      </w:pPr>
      <w:r>
        <w:rPr>
          <w:rFonts w:hint="eastAsia" w:ascii="仿宋_GB2312" w:hAnsi="宋体" w:eastAsia="仿宋_GB2312" w:cs="宋体"/>
          <w:kern w:val="0"/>
          <w:sz w:val="24"/>
        </w:rPr>
        <w:t xml:space="preserve">厦门万翔网络商务有限公司现对以下项目编号为 </w:t>
      </w:r>
      <w:r>
        <w:rPr>
          <w:rFonts w:hint="eastAsia" w:ascii="仿宋_GB2312" w:hAnsi="宋体" w:eastAsia="仿宋_GB2312" w:cs="宋体"/>
          <w:kern w:val="0"/>
          <w:sz w:val="24"/>
          <w:u w:val="single"/>
        </w:rPr>
        <w:t xml:space="preserve"> </w:t>
      </w:r>
      <w:r>
        <w:rPr>
          <w:rFonts w:ascii="仿宋_GB2312" w:hAnsi="宋体" w:eastAsia="仿宋_GB2312" w:cs="宋体"/>
          <w:kern w:val="0"/>
          <w:sz w:val="24"/>
          <w:u w:val="single"/>
        </w:rPr>
        <w:t>XM2026-ZYXJ081001A漫步者耳机</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rPr>
        <w:t>进行询价采购，现邀请贵单位就以下采购项目内容进行报价。</w:t>
      </w:r>
    </w:p>
    <w:tbl>
      <w:tblPr>
        <w:tblStyle w:val="6"/>
        <w:tblW w:w="5182" w:type="pct"/>
        <w:jc w:val="center"/>
        <w:tblLayout w:type="fixed"/>
        <w:tblCellMar>
          <w:top w:w="0" w:type="dxa"/>
          <w:left w:w="0" w:type="dxa"/>
          <w:bottom w:w="0" w:type="dxa"/>
          <w:right w:w="0" w:type="dxa"/>
        </w:tblCellMar>
      </w:tblPr>
      <w:tblGrid>
        <w:gridCol w:w="4848"/>
        <w:gridCol w:w="1418"/>
        <w:gridCol w:w="1844"/>
        <w:gridCol w:w="1711"/>
      </w:tblGrid>
      <w:tr w14:paraId="7540DA78">
        <w:tblPrEx>
          <w:tblCellMar>
            <w:top w:w="0" w:type="dxa"/>
            <w:left w:w="0" w:type="dxa"/>
            <w:bottom w:w="0" w:type="dxa"/>
            <w:right w:w="0" w:type="dxa"/>
          </w:tblCellMar>
        </w:tblPrEx>
        <w:trPr>
          <w:trHeight w:val="743" w:hRule="atLeast"/>
          <w:jc w:val="center"/>
        </w:trPr>
        <w:tc>
          <w:tcPr>
            <w:tcW w:w="2468"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5BC64FE">
            <w:pPr>
              <w:widowControl/>
              <w:jc w:val="center"/>
              <w:textAlignment w:val="center"/>
              <w:rPr>
                <w:rFonts w:hint="eastAsia" w:cs="微软雅黑" w:asciiTheme="minorEastAsia" w:hAnsiTheme="minorEastAsia" w:eastAsiaTheme="minorEastAsia"/>
                <w:b/>
                <w:color w:val="000000"/>
                <w:szCs w:val="21"/>
              </w:rPr>
            </w:pPr>
            <w:r>
              <w:rPr>
                <w:rFonts w:hint="eastAsia" w:cs="微软雅黑" w:asciiTheme="minorEastAsia" w:hAnsiTheme="minorEastAsia" w:eastAsiaTheme="minorEastAsia"/>
                <w:b/>
                <w:color w:val="000000"/>
                <w:kern w:val="0"/>
                <w:szCs w:val="21"/>
              </w:rPr>
              <w:t>设备名称</w:t>
            </w:r>
          </w:p>
        </w:tc>
        <w:tc>
          <w:tcPr>
            <w:tcW w:w="722"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51ABEDD">
            <w:pPr>
              <w:widowControl/>
              <w:jc w:val="center"/>
              <w:textAlignment w:val="center"/>
              <w:rPr>
                <w:rFonts w:hint="eastAsia" w:cs="微软雅黑" w:asciiTheme="minorEastAsia" w:hAnsiTheme="minorEastAsia" w:eastAsiaTheme="minorEastAsia"/>
                <w:b/>
                <w:color w:val="000000"/>
                <w:szCs w:val="21"/>
              </w:rPr>
            </w:pPr>
            <w:r>
              <w:rPr>
                <w:rFonts w:hint="eastAsia" w:cs="微软雅黑" w:asciiTheme="minorEastAsia" w:hAnsiTheme="minorEastAsia" w:eastAsiaTheme="minorEastAsia"/>
                <w:b/>
                <w:color w:val="000000"/>
                <w:kern w:val="0"/>
                <w:szCs w:val="21"/>
              </w:rPr>
              <w:t>数量（台）</w:t>
            </w:r>
          </w:p>
        </w:tc>
        <w:tc>
          <w:tcPr>
            <w:tcW w:w="939"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5E18E7DE">
            <w:pPr>
              <w:widowControl/>
              <w:jc w:val="center"/>
              <w:textAlignment w:val="center"/>
              <w:rPr>
                <w:rFonts w:hint="eastAsia" w:cs="微软雅黑" w:asciiTheme="minorEastAsia" w:hAnsiTheme="minorEastAsia" w:eastAsiaTheme="minorEastAsia"/>
                <w:b/>
                <w:color w:val="000000"/>
                <w:szCs w:val="21"/>
              </w:rPr>
            </w:pPr>
            <w:r>
              <w:rPr>
                <w:rFonts w:hint="eastAsia" w:cs="宋体" w:asciiTheme="minorEastAsia" w:hAnsiTheme="minorEastAsia" w:eastAsiaTheme="minorEastAsia"/>
                <w:b/>
                <w:bCs/>
                <w:kern w:val="0"/>
                <w:sz w:val="24"/>
              </w:rPr>
              <w:t>单价限价（元）</w:t>
            </w:r>
          </w:p>
        </w:tc>
        <w:tc>
          <w:tcPr>
            <w:tcW w:w="871" w:type="pc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14:paraId="7C8429B4">
            <w:pPr>
              <w:widowControl/>
              <w:jc w:val="center"/>
              <w:textAlignment w:val="center"/>
              <w:rPr>
                <w:rFonts w:hint="eastAsia" w:cs="微软雅黑" w:asciiTheme="minorEastAsia" w:hAnsiTheme="minorEastAsia" w:eastAsiaTheme="minorEastAsia"/>
                <w:b/>
                <w:color w:val="000000"/>
                <w:szCs w:val="21"/>
              </w:rPr>
            </w:pPr>
            <w:r>
              <w:rPr>
                <w:rFonts w:hint="eastAsia" w:cs="宋体" w:asciiTheme="minorEastAsia" w:hAnsiTheme="minorEastAsia" w:eastAsiaTheme="minorEastAsia"/>
                <w:b/>
                <w:bCs/>
                <w:kern w:val="0"/>
                <w:sz w:val="24"/>
              </w:rPr>
              <w:t>限价小计（元）</w:t>
            </w:r>
          </w:p>
        </w:tc>
      </w:tr>
      <w:tr w14:paraId="061DA5A5">
        <w:tblPrEx>
          <w:tblCellMar>
            <w:top w:w="0" w:type="dxa"/>
            <w:left w:w="0" w:type="dxa"/>
            <w:bottom w:w="0" w:type="dxa"/>
            <w:right w:w="0" w:type="dxa"/>
          </w:tblCellMar>
        </w:tblPrEx>
        <w:trPr>
          <w:trHeight w:val="547" w:hRule="atLeast"/>
          <w:jc w:val="center"/>
        </w:trPr>
        <w:tc>
          <w:tcPr>
            <w:tcW w:w="2468"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0A2601">
            <w:pPr>
              <w:widowControl/>
              <w:jc w:val="center"/>
              <w:textAlignment w:val="center"/>
              <w:rPr>
                <w:rFonts w:hint="eastAsia" w:cs="宋体" w:asciiTheme="minorEastAsia" w:hAnsiTheme="minorEastAsia" w:eastAsiaTheme="minorEastAsia"/>
                <w:kern w:val="0"/>
                <w:szCs w:val="21"/>
              </w:rPr>
            </w:pPr>
            <w:r>
              <w:rPr>
                <w:rFonts w:cs="宋体" w:asciiTheme="minorEastAsia" w:hAnsiTheme="minorEastAsia" w:eastAsiaTheme="minorEastAsia"/>
                <w:kern w:val="0"/>
                <w:szCs w:val="21"/>
              </w:rPr>
              <w:t>漫步者蓝牙耳机 Comfo Clip Q 奶霜白</w:t>
            </w:r>
          </w:p>
        </w:tc>
        <w:tc>
          <w:tcPr>
            <w:tcW w:w="7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FB7403">
            <w:pPr>
              <w:widowControl/>
              <w:jc w:val="center"/>
              <w:textAlignment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148</w:t>
            </w:r>
          </w:p>
        </w:tc>
        <w:tc>
          <w:tcPr>
            <w:tcW w:w="93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9E634A">
            <w:pPr>
              <w:widowControl/>
              <w:jc w:val="center"/>
              <w:textAlignment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225</w:t>
            </w:r>
          </w:p>
        </w:tc>
        <w:tc>
          <w:tcPr>
            <w:tcW w:w="87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45403AB">
            <w:pPr>
              <w:widowControl/>
              <w:jc w:val="center"/>
              <w:textAlignment w:val="center"/>
              <w:rPr>
                <w:rFonts w:hint="eastAsia" w:cs="宋体"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33300</w:t>
            </w:r>
          </w:p>
        </w:tc>
      </w:tr>
      <w:tr w14:paraId="6E108603">
        <w:tblPrEx>
          <w:tblCellMar>
            <w:top w:w="0" w:type="dxa"/>
            <w:left w:w="0" w:type="dxa"/>
            <w:bottom w:w="0" w:type="dxa"/>
            <w:right w:w="0" w:type="dxa"/>
          </w:tblCellMar>
        </w:tblPrEx>
        <w:trPr>
          <w:trHeight w:val="547" w:hRule="atLeast"/>
          <w:jc w:val="center"/>
        </w:trPr>
        <w:tc>
          <w:tcPr>
            <w:tcW w:w="2468"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2F4209">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漫步者蓝牙耳机 Comfo Clip Q 墨玉灰</w:t>
            </w:r>
          </w:p>
        </w:tc>
        <w:tc>
          <w:tcPr>
            <w:tcW w:w="7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051EA6">
            <w:pPr>
              <w:widowControl/>
              <w:jc w:val="center"/>
              <w:textAlignment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109</w:t>
            </w:r>
          </w:p>
        </w:tc>
        <w:tc>
          <w:tcPr>
            <w:tcW w:w="93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7595CF">
            <w:pPr>
              <w:widowControl/>
              <w:jc w:val="center"/>
              <w:textAlignment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225</w:t>
            </w:r>
          </w:p>
        </w:tc>
        <w:tc>
          <w:tcPr>
            <w:tcW w:w="87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00CEF6">
            <w:pPr>
              <w:widowControl/>
              <w:jc w:val="center"/>
              <w:textAlignment w:val="center"/>
              <w:rPr>
                <w:rFonts w:hint="eastAsia" w:cs="宋体"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24525</w:t>
            </w:r>
          </w:p>
        </w:tc>
      </w:tr>
      <w:tr w14:paraId="4A95F90C">
        <w:tblPrEx>
          <w:tblCellMar>
            <w:top w:w="0" w:type="dxa"/>
            <w:left w:w="0" w:type="dxa"/>
            <w:bottom w:w="0" w:type="dxa"/>
            <w:right w:w="0" w:type="dxa"/>
          </w:tblCellMar>
        </w:tblPrEx>
        <w:trPr>
          <w:trHeight w:val="547" w:hRule="atLeast"/>
          <w:jc w:val="center"/>
        </w:trPr>
        <w:tc>
          <w:tcPr>
            <w:tcW w:w="2468"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9A73B74">
            <w:pPr>
              <w:widowControl/>
              <w:jc w:val="center"/>
              <w:textAlignment w:val="center"/>
              <w:rPr>
                <w:rFonts w:cs="宋体" w:asciiTheme="minorEastAsia" w:hAnsiTheme="minorEastAsia" w:eastAsiaTheme="minorEastAsia"/>
                <w:kern w:val="0"/>
                <w:szCs w:val="21"/>
              </w:rPr>
            </w:pPr>
            <w:r>
              <w:rPr>
                <w:rFonts w:cs="宋体" w:asciiTheme="minorEastAsia" w:hAnsiTheme="minorEastAsia" w:eastAsiaTheme="minorEastAsia"/>
                <w:kern w:val="0"/>
                <w:szCs w:val="21"/>
              </w:rPr>
              <w:t>漫步者蓝牙耳机 Comfo Clip Q 海盐蓝</w:t>
            </w:r>
          </w:p>
        </w:tc>
        <w:tc>
          <w:tcPr>
            <w:tcW w:w="722"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A09E9D">
            <w:pPr>
              <w:widowControl/>
              <w:jc w:val="center"/>
              <w:textAlignment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104</w:t>
            </w:r>
          </w:p>
        </w:tc>
        <w:tc>
          <w:tcPr>
            <w:tcW w:w="939"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F1E632">
            <w:pPr>
              <w:widowControl/>
              <w:jc w:val="center"/>
              <w:textAlignment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225</w:t>
            </w:r>
          </w:p>
        </w:tc>
        <w:tc>
          <w:tcPr>
            <w:tcW w:w="87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18DAFC">
            <w:pPr>
              <w:widowControl/>
              <w:jc w:val="center"/>
              <w:textAlignment w:val="center"/>
              <w:rPr>
                <w:rFonts w:hint="eastAsia" w:cs="宋体"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23400</w:t>
            </w:r>
          </w:p>
        </w:tc>
      </w:tr>
      <w:tr w14:paraId="1F09B85F">
        <w:tblPrEx>
          <w:tblCellMar>
            <w:top w:w="0" w:type="dxa"/>
            <w:left w:w="0" w:type="dxa"/>
            <w:bottom w:w="0" w:type="dxa"/>
            <w:right w:w="0" w:type="dxa"/>
          </w:tblCellMar>
        </w:tblPrEx>
        <w:trPr>
          <w:trHeight w:val="546" w:hRule="atLeast"/>
          <w:jc w:val="center"/>
        </w:trPr>
        <w:tc>
          <w:tcPr>
            <w:tcW w:w="4129" w:type="pct"/>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A685B59">
            <w:pPr>
              <w:widowControl/>
              <w:jc w:val="center"/>
              <w:textAlignment w:val="center"/>
              <w:rPr>
                <w:rFonts w:hint="eastAsia" w:cs="宋体" w:asciiTheme="minorEastAsia" w:hAnsiTheme="minorEastAsia" w:eastAsiaTheme="minorEastAsia"/>
                <w:color w:val="000000"/>
                <w:kern w:val="0"/>
                <w:szCs w:val="21"/>
              </w:rPr>
            </w:pPr>
            <w:r>
              <w:rPr>
                <w:rFonts w:hint="eastAsia" w:cs="宋体" w:asciiTheme="minorEastAsia" w:hAnsiTheme="minorEastAsia" w:eastAsiaTheme="minorEastAsia"/>
                <w:color w:val="000000"/>
                <w:kern w:val="0"/>
                <w:szCs w:val="21"/>
              </w:rPr>
              <w:t>合计</w:t>
            </w:r>
          </w:p>
        </w:tc>
        <w:tc>
          <w:tcPr>
            <w:tcW w:w="871" w:type="pc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08525D8">
            <w:pPr>
              <w:widowControl/>
              <w:jc w:val="center"/>
              <w:textAlignment w:val="center"/>
              <w:rPr>
                <w:rFonts w:hint="eastAsia" w:cs="宋体" w:asciiTheme="minorEastAsia" w:hAnsiTheme="minorEastAsia" w:eastAsiaTheme="minorEastAsia"/>
                <w:color w:val="000000"/>
                <w:kern w:val="0"/>
                <w:szCs w:val="21"/>
              </w:rPr>
            </w:pPr>
            <w:r>
              <w:rPr>
                <w:rFonts w:cs="宋体" w:asciiTheme="minorEastAsia" w:hAnsiTheme="minorEastAsia" w:eastAsiaTheme="minorEastAsia"/>
                <w:color w:val="000000"/>
                <w:kern w:val="0"/>
                <w:szCs w:val="21"/>
              </w:rPr>
              <w:t>81225</w:t>
            </w:r>
          </w:p>
        </w:tc>
      </w:tr>
    </w:tbl>
    <w:p w14:paraId="52F2D360">
      <w:pPr>
        <w:spacing w:line="360" w:lineRule="auto"/>
        <w:ind w:firstLine="482" w:firstLineChars="200"/>
        <w:rPr>
          <w:rFonts w:hint="eastAsia" w:ascii="仿宋_GB2312" w:hAnsi="宋体" w:eastAsia="仿宋_GB2312"/>
          <w:b/>
          <w:sz w:val="24"/>
        </w:rPr>
      </w:pPr>
      <w:r>
        <w:rPr>
          <w:rFonts w:hint="eastAsia" w:ascii="仿宋_GB2312" w:hAnsi="宋体" w:eastAsia="仿宋_GB2312" w:cs="宋体"/>
          <w:b/>
          <w:kern w:val="0"/>
          <w:sz w:val="24"/>
        </w:rPr>
        <w:t>一、项目内容</w:t>
      </w:r>
    </w:p>
    <w:p w14:paraId="48A3F2ED">
      <w:pPr>
        <w:spacing w:line="360" w:lineRule="auto"/>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（一）项目要求</w:t>
      </w:r>
    </w:p>
    <w:p w14:paraId="54AB3AE6">
      <w:pPr>
        <w:spacing w:line="360" w:lineRule="auto"/>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1、质量要求：卖方保证提供的所有产品（包括所有配件、备件等）均是符合国家及行业相关标准的、全新的、原产制造并经检验合格的、未使用过的、正宗品牌的产品。买方有权对货源渠道、产品品质进行核验，来源不明或厂家不认可的货物买方有权拒收。</w:t>
      </w:r>
    </w:p>
    <w:p w14:paraId="47FF6A5D">
      <w:pPr>
        <w:spacing w:line="360" w:lineRule="auto"/>
        <w:ind w:firstLine="480" w:firstLineChars="200"/>
        <w:rPr>
          <w:rFonts w:hint="eastAsia" w:ascii="仿宋_GB2312" w:hAnsi="宋体" w:eastAsia="仿宋_GB2312" w:cs="宋体"/>
          <w:b/>
          <w:kern w:val="0"/>
          <w:sz w:val="24"/>
        </w:rPr>
      </w:pPr>
      <w:r>
        <w:rPr>
          <w:rFonts w:hint="eastAsia" w:ascii="仿宋_GB2312" w:hAnsi="宋体" w:eastAsia="仿宋_GB2312" w:cs="宋体"/>
          <w:kern w:val="0"/>
          <w:sz w:val="24"/>
        </w:rPr>
        <w:t>2、交货时间：中标后5天内完成供货。</w:t>
      </w:r>
    </w:p>
    <w:p w14:paraId="2CA03F56">
      <w:pPr>
        <w:spacing w:line="360" w:lineRule="auto"/>
        <w:ind w:firstLine="480" w:firstLineChars="200"/>
        <w:rPr>
          <w:rFonts w:hint="eastAsia" w:ascii="仿宋_GB2312" w:hAnsi="宋体" w:eastAsia="仿宋_GB2312" w:cs="宋体"/>
          <w:color w:val="000000" w:themeColor="text1"/>
          <w:kern w:val="0"/>
          <w:sz w:val="24"/>
        </w:rPr>
      </w:pPr>
      <w:r>
        <w:rPr>
          <w:rFonts w:hint="eastAsia" w:ascii="仿宋_GB2312" w:hAnsi="宋体" w:eastAsia="仿宋_GB2312" w:cs="宋体"/>
          <w:color w:val="000000" w:themeColor="text1"/>
          <w:kern w:val="0"/>
          <w:sz w:val="24"/>
        </w:rPr>
        <w:t xml:space="preserve">3、售后服务要求： </w:t>
      </w:r>
    </w:p>
    <w:p w14:paraId="1AAAA002">
      <w:pPr>
        <w:spacing w:line="360" w:lineRule="auto"/>
        <w:ind w:firstLine="480" w:firstLineChars="200"/>
        <w:rPr>
          <w:rFonts w:hint="eastAsia" w:ascii="仿宋_GB2312" w:hAnsi="宋体" w:eastAsia="仿宋_GB2312" w:cs="宋体"/>
          <w:color w:val="000000" w:themeColor="text1"/>
          <w:kern w:val="0"/>
          <w:sz w:val="24"/>
        </w:rPr>
      </w:pPr>
      <w:r>
        <w:rPr>
          <w:rFonts w:hint="eastAsia" w:ascii="仿宋_GB2312" w:hAnsi="宋体" w:eastAsia="仿宋_GB2312" w:cs="宋体"/>
          <w:color w:val="000000" w:themeColor="text1"/>
          <w:kern w:val="0"/>
          <w:sz w:val="24"/>
        </w:rPr>
        <w:t>自货物验收之日起</w:t>
      </w:r>
      <w:r>
        <w:rPr>
          <w:rFonts w:hint="eastAsia" w:ascii="仿宋_GB2312" w:hAnsi="宋体" w:eastAsia="仿宋_GB2312" w:cs="宋体"/>
          <w:color w:val="000000" w:themeColor="text1"/>
          <w:kern w:val="0"/>
          <w:sz w:val="24"/>
          <w:u w:val="single"/>
        </w:rPr>
        <w:t xml:space="preserve"> 1</w:t>
      </w:r>
      <w:r>
        <w:rPr>
          <w:rFonts w:hint="eastAsia" w:ascii="仿宋_GB2312" w:hAnsi="宋体" w:eastAsia="仿宋_GB2312" w:cs="宋体"/>
          <w:b/>
          <w:color w:val="000000" w:themeColor="text1"/>
          <w:kern w:val="0"/>
          <w:sz w:val="24"/>
          <w:u w:val="single"/>
        </w:rPr>
        <w:t xml:space="preserve"> </w:t>
      </w:r>
      <w:r>
        <w:rPr>
          <w:rFonts w:hint="eastAsia" w:ascii="仿宋_GB2312" w:hAnsi="宋体" w:eastAsia="仿宋_GB2312" w:cs="宋体"/>
          <w:color w:val="000000" w:themeColor="text1"/>
          <w:kern w:val="0"/>
          <w:sz w:val="24"/>
        </w:rPr>
        <w:t>年为产品保修期。在保修期内，凡因产品本身质量问题所导致的损坏，卖方负责按厂家标准执行。</w:t>
      </w:r>
    </w:p>
    <w:p w14:paraId="1EC9376F">
      <w:pPr>
        <w:spacing w:line="360" w:lineRule="auto"/>
        <w:ind w:firstLine="480" w:firstLineChars="200"/>
        <w:rPr>
          <w:rFonts w:hint="eastAsia" w:ascii="仿宋_GB2312" w:hAnsi="宋体" w:eastAsia="仿宋_GB2312" w:cs="宋体"/>
          <w:color w:val="000000" w:themeColor="text1"/>
          <w:kern w:val="0"/>
          <w:sz w:val="24"/>
        </w:rPr>
      </w:pPr>
      <w:r>
        <w:rPr>
          <w:rFonts w:hint="eastAsia" w:ascii="仿宋_GB2312" w:hAnsi="宋体" w:eastAsia="仿宋_GB2312" w:cs="宋体"/>
          <w:color w:val="000000" w:themeColor="text1"/>
          <w:kern w:val="0"/>
          <w:sz w:val="24"/>
        </w:rPr>
        <w:t>4、价格要求：</w:t>
      </w:r>
    </w:p>
    <w:p w14:paraId="28605479">
      <w:pPr>
        <w:spacing w:line="360" w:lineRule="auto"/>
        <w:ind w:firstLine="480" w:firstLineChars="200"/>
        <w:rPr>
          <w:rFonts w:hint="eastAsia" w:ascii="仿宋_GB2312" w:hAnsi="宋体" w:eastAsia="仿宋_GB2312" w:cs="宋体"/>
          <w:color w:val="000000" w:themeColor="text1"/>
          <w:kern w:val="0"/>
          <w:sz w:val="24"/>
        </w:rPr>
      </w:pPr>
      <w:r>
        <w:rPr>
          <w:rFonts w:hint="eastAsia" w:ascii="仿宋_GB2312" w:hAnsi="宋体" w:eastAsia="仿宋_GB2312" w:cs="宋体"/>
          <w:color w:val="000000" w:themeColor="text1"/>
          <w:kern w:val="0"/>
          <w:sz w:val="24"/>
        </w:rPr>
        <w:t>1）</w:t>
      </w:r>
      <w:r>
        <w:rPr>
          <w:rFonts w:hint="eastAsia" w:ascii="仿宋_GB2312" w:hAnsi="宋体" w:eastAsia="仿宋_GB2312" w:cs="宋体"/>
          <w:b/>
          <w:color w:val="000000" w:themeColor="text1"/>
          <w:kern w:val="0"/>
          <w:sz w:val="24"/>
        </w:rPr>
        <w:t>货物报价不超出单位限价，总报价不超出</w:t>
      </w:r>
      <w:r>
        <w:rPr>
          <w:rFonts w:hint="eastAsia" w:ascii="仿宋_GB2312" w:hAnsi="宋体" w:eastAsia="仿宋_GB2312" w:cs="宋体"/>
          <w:b/>
          <w:color w:val="000000" w:themeColor="text1"/>
          <w:kern w:val="0"/>
          <w:sz w:val="24"/>
          <w:u w:val="single"/>
        </w:rPr>
        <w:t xml:space="preserve"> 81225</w:t>
      </w:r>
      <w:r>
        <w:rPr>
          <w:rFonts w:hint="eastAsia" w:ascii="仿宋_GB2312" w:hAnsi="宋体" w:eastAsia="仿宋_GB2312" w:cs="宋体"/>
          <w:b/>
          <w:color w:val="000000" w:themeColor="text1"/>
          <w:kern w:val="0"/>
          <w:sz w:val="24"/>
        </w:rPr>
        <w:t>元；否则报价无效。</w:t>
      </w:r>
    </w:p>
    <w:p w14:paraId="129573D0">
      <w:pPr>
        <w:spacing w:line="360" w:lineRule="auto"/>
        <w:ind w:firstLine="480" w:firstLineChars="200"/>
        <w:rPr>
          <w:rFonts w:hint="eastAsia" w:ascii="仿宋_GB2312" w:hAnsi="宋体" w:eastAsia="仿宋_GB2312" w:cs="宋体"/>
          <w:color w:val="FF0000"/>
          <w:kern w:val="0"/>
          <w:sz w:val="24"/>
        </w:rPr>
      </w:pPr>
      <w:r>
        <w:rPr>
          <w:rFonts w:hint="eastAsia" w:ascii="仿宋_GB2312" w:hAnsi="宋体" w:eastAsia="仿宋_GB2312" w:cs="宋体"/>
          <w:color w:val="000000" w:themeColor="text1"/>
          <w:kern w:val="0"/>
          <w:sz w:val="24"/>
        </w:rPr>
        <w:t>2）</w:t>
      </w:r>
      <w:r>
        <w:rPr>
          <w:rFonts w:hint="eastAsia" w:ascii="仿宋_GB2312" w:hAnsi="宋体" w:eastAsia="仿宋_GB2312" w:cs="宋体"/>
          <w:b/>
          <w:color w:val="000000" w:themeColor="text1"/>
          <w:kern w:val="0"/>
          <w:sz w:val="24"/>
        </w:rPr>
        <w:t>报价包括运费、包装费、现场搬运费、安装调试、售后服务费及其它一切相关费用。</w:t>
      </w:r>
      <w:r>
        <w:rPr>
          <w:rFonts w:hint="eastAsia" w:ascii="仿宋_GB2312" w:hAnsi="宋体" w:eastAsia="仿宋_GB2312" w:cs="宋体"/>
          <w:color w:val="FF0000"/>
          <w:kern w:val="0"/>
          <w:sz w:val="24"/>
        </w:rPr>
        <w:t xml:space="preserve"> </w:t>
      </w:r>
    </w:p>
    <w:p w14:paraId="0A889B7A">
      <w:pPr>
        <w:spacing w:line="360" w:lineRule="auto"/>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3）所开具发票必须为一般纳税人增值税专用发票；购货单位名称：厦门万翔网络商务有限公司。</w:t>
      </w:r>
    </w:p>
    <w:p w14:paraId="35C1518A">
      <w:pPr>
        <w:spacing w:line="360" w:lineRule="auto"/>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5、付款方式</w:t>
      </w:r>
    </w:p>
    <w:p w14:paraId="5461FA24">
      <w:pPr>
        <w:spacing w:line="360" w:lineRule="auto"/>
        <w:ind w:firstLine="482" w:firstLineChars="200"/>
        <w:rPr>
          <w:rFonts w:hint="eastAsia" w:ascii="仿宋_GB2312" w:hAnsi="宋体" w:eastAsia="仿宋_GB2312" w:cs="宋体"/>
          <w:b/>
          <w:kern w:val="0"/>
          <w:sz w:val="24"/>
        </w:rPr>
      </w:pPr>
      <w:r>
        <w:rPr>
          <w:rFonts w:hint="eastAsia" w:ascii="仿宋_GB2312" w:hAnsi="宋体" w:eastAsia="仿宋_GB2312" w:cs="宋体"/>
          <w:b/>
          <w:kern w:val="0"/>
          <w:sz w:val="24"/>
        </w:rPr>
        <w:t>设备到货并验收合格后，买方根据卖方开具的合同总价100%的一般纳税人增值税发票、验收合格报告后的30个日历日内向卖方支付100%货款。；</w:t>
      </w:r>
    </w:p>
    <w:p w14:paraId="4DC61D34">
      <w:pPr>
        <w:spacing w:line="360" w:lineRule="auto"/>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（二）报价文件应至少包括以下部分，否则报价无效：</w:t>
      </w:r>
    </w:p>
    <w:p w14:paraId="445B43D5">
      <w:pPr>
        <w:spacing w:line="360" w:lineRule="auto"/>
        <w:ind w:firstLine="480" w:firstLineChars="200"/>
        <w:rPr>
          <w:rFonts w:hint="eastAsia" w:ascii="仿宋_GB2312" w:hAnsi="宋体" w:eastAsia="仿宋_GB2312" w:cs="宋体"/>
          <w:color w:val="FF0000"/>
          <w:kern w:val="0"/>
          <w:sz w:val="24"/>
        </w:rPr>
      </w:pPr>
      <w:r>
        <w:rPr>
          <w:rFonts w:hint="eastAsia" w:ascii="仿宋_GB2312" w:hAnsi="宋体" w:eastAsia="仿宋_GB2312" w:cs="宋体"/>
          <w:kern w:val="0"/>
          <w:sz w:val="24"/>
        </w:rPr>
        <w:t>1、产品报价单（须加盖单位公章），</w:t>
      </w:r>
      <w:r>
        <w:rPr>
          <w:rFonts w:hint="eastAsia" w:ascii="仿宋_GB2312" w:hAnsi="宋体" w:eastAsia="仿宋_GB2312" w:cs="宋体"/>
          <w:color w:val="FF0000"/>
          <w:kern w:val="0"/>
          <w:sz w:val="24"/>
        </w:rPr>
        <w:t>格式详见附件2</w:t>
      </w:r>
    </w:p>
    <w:p w14:paraId="7C462A73">
      <w:pPr>
        <w:spacing w:line="360" w:lineRule="auto"/>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2、营业执照（三证合一）复印件（须加盖单位公章）</w:t>
      </w:r>
    </w:p>
    <w:p w14:paraId="2AD78972">
      <w:pPr>
        <w:spacing w:line="360" w:lineRule="auto"/>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3、售后服务承诺书（须加盖单位公章），</w:t>
      </w:r>
      <w:r>
        <w:rPr>
          <w:rFonts w:hint="eastAsia" w:ascii="仿宋_GB2312" w:hAnsi="宋体" w:eastAsia="仿宋_GB2312" w:cs="宋体"/>
          <w:color w:val="FF0000"/>
          <w:kern w:val="0"/>
          <w:sz w:val="24"/>
        </w:rPr>
        <w:t>具体详见附件1</w:t>
      </w:r>
    </w:p>
    <w:p w14:paraId="29C0A412">
      <w:pPr>
        <w:spacing w:line="360" w:lineRule="auto"/>
        <w:ind w:firstLine="482" w:firstLineChars="200"/>
        <w:rPr>
          <w:rFonts w:hint="eastAsia" w:ascii="仿宋_GB2312" w:hAnsi="宋体" w:eastAsia="仿宋_GB2312" w:cs="宋体"/>
          <w:b/>
          <w:kern w:val="0"/>
          <w:sz w:val="24"/>
        </w:rPr>
      </w:pPr>
      <w:r>
        <w:rPr>
          <w:rFonts w:hint="eastAsia" w:ascii="仿宋_GB2312" w:hAnsi="宋体" w:eastAsia="仿宋_GB2312" w:cs="宋体"/>
          <w:b/>
          <w:kern w:val="0"/>
          <w:sz w:val="24"/>
        </w:rPr>
        <w:t>二、报价须知</w:t>
      </w:r>
    </w:p>
    <w:p w14:paraId="5E630F38">
      <w:pPr>
        <w:spacing w:line="360" w:lineRule="auto"/>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（一）报价方式</w:t>
      </w:r>
    </w:p>
    <w:p w14:paraId="194BB887">
      <w:pPr>
        <w:spacing w:line="360" w:lineRule="auto"/>
        <w:ind w:firstLine="480" w:firstLineChars="200"/>
        <w:rPr>
          <w:rFonts w:hint="eastAsia" w:ascii="仿宋_GB2312" w:hAnsi="宋体" w:eastAsia="仿宋_GB2312" w:cs="宋体"/>
          <w:color w:val="000000" w:themeColor="text1"/>
          <w:kern w:val="0"/>
          <w:sz w:val="24"/>
        </w:rPr>
      </w:pPr>
      <w:r>
        <w:rPr>
          <w:rFonts w:hint="eastAsia" w:ascii="仿宋_GB2312" w:hAnsi="宋体" w:eastAsia="仿宋_GB2312" w:cs="宋体"/>
          <w:color w:val="000000" w:themeColor="text1"/>
          <w:kern w:val="0"/>
          <w:sz w:val="24"/>
        </w:rPr>
        <w:t>1、本项目</w:t>
      </w:r>
      <w:r>
        <w:rPr>
          <w:rFonts w:hint="eastAsia" w:ascii="仿宋_GB2312" w:hAnsi="宋体" w:eastAsia="仿宋_GB2312" w:cs="宋体"/>
          <w:b/>
          <w:color w:val="000000" w:themeColor="text1"/>
          <w:kern w:val="0"/>
          <w:sz w:val="24"/>
        </w:rPr>
        <w:t>以</w:t>
      </w:r>
      <w:r>
        <w:rPr>
          <w:rFonts w:ascii="仿宋_GB2312" w:hAnsi="宋体" w:eastAsia="仿宋_GB2312" w:cs="宋体"/>
          <w:b/>
          <w:color w:val="000000" w:themeColor="text1"/>
          <w:kern w:val="0"/>
          <w:sz w:val="24"/>
        </w:rPr>
        <w:t>电子邮件报价</w:t>
      </w:r>
      <w:r>
        <w:rPr>
          <w:rFonts w:hint="eastAsia" w:ascii="仿宋_GB2312" w:hAnsi="宋体" w:eastAsia="仿宋_GB2312" w:cs="宋体"/>
          <w:b/>
          <w:color w:val="000000" w:themeColor="text1"/>
          <w:kern w:val="0"/>
          <w:sz w:val="24"/>
        </w:rPr>
        <w:t>形式进行报价</w:t>
      </w:r>
      <w:r>
        <w:rPr>
          <w:rFonts w:hint="eastAsia" w:ascii="仿宋_GB2312" w:hAnsi="宋体" w:eastAsia="仿宋_GB2312" w:cs="宋体"/>
          <w:color w:val="000000" w:themeColor="text1"/>
          <w:kern w:val="0"/>
          <w:sz w:val="24"/>
        </w:rPr>
        <w:t>,即报价供应商应当在报价截止时间前向指定邮箱</w:t>
      </w:r>
      <w:r>
        <w:rPr>
          <w:rFonts w:ascii="仿宋_GB2312" w:hAnsi="宋体" w:eastAsia="仿宋_GB2312" w:cs="宋体"/>
          <w:b/>
          <w:color w:val="000000" w:themeColor="text1"/>
          <w:kern w:val="0"/>
          <w:sz w:val="24"/>
        </w:rPr>
        <w:t>wanxiangcg@163.com</w:t>
      </w:r>
      <w:r>
        <w:rPr>
          <w:rFonts w:hint="eastAsia" w:ascii="仿宋_GB2312" w:hAnsi="宋体" w:eastAsia="仿宋_GB2312" w:cs="宋体"/>
          <w:color w:val="000000" w:themeColor="text1"/>
          <w:kern w:val="0"/>
          <w:sz w:val="24"/>
        </w:rPr>
        <w:t>发送经报价供应商盖章扫描的报价文件。为保证采购质量，正式询价之前，买方有必要就采购项目进行前期市场调研活动（包含但不限于价格征集、方案征集、初步询价等）。被征集供应商可以根据自身情况对市场调研活动进行响应与否，供应商的响应与正式询价无关，买方对供应商的响应也不负任何责任。</w:t>
      </w:r>
    </w:p>
    <w:p w14:paraId="08F2DD13">
      <w:pPr>
        <w:spacing w:line="360" w:lineRule="auto"/>
        <w:ind w:firstLine="480" w:firstLineChars="200"/>
        <w:rPr>
          <w:rFonts w:hint="eastAsia" w:ascii="仿宋_GB2312" w:hAnsi="宋体" w:eastAsia="仿宋_GB2312" w:cs="宋体"/>
          <w:color w:val="000000" w:themeColor="text1"/>
          <w:kern w:val="0"/>
          <w:sz w:val="24"/>
        </w:rPr>
      </w:pPr>
      <w:r>
        <w:rPr>
          <w:rFonts w:hint="eastAsia" w:ascii="仿宋_GB2312" w:hAnsi="宋体" w:eastAsia="仿宋_GB2312" w:cs="宋体"/>
          <w:color w:val="000000" w:themeColor="text1"/>
          <w:kern w:val="0"/>
          <w:sz w:val="24"/>
        </w:rPr>
        <w:t>2、</w:t>
      </w:r>
      <w:r>
        <w:rPr>
          <w:rFonts w:ascii="仿宋_GB2312" w:hAnsi="宋体" w:eastAsia="仿宋_GB2312" w:cs="宋体"/>
          <w:b/>
          <w:color w:val="000000" w:themeColor="text1"/>
          <w:kern w:val="0"/>
          <w:sz w:val="24"/>
        </w:rPr>
        <w:t>电子</w:t>
      </w:r>
      <w:r>
        <w:rPr>
          <w:rFonts w:hint="eastAsia" w:ascii="仿宋_GB2312" w:hAnsi="宋体" w:eastAsia="仿宋_GB2312" w:cs="宋体"/>
          <w:b/>
          <w:color w:val="000000" w:themeColor="text1"/>
          <w:kern w:val="0"/>
          <w:sz w:val="24"/>
        </w:rPr>
        <w:t>报价邮件主题需体现项目编号，否则作为无效报价处理。</w:t>
      </w:r>
    </w:p>
    <w:p w14:paraId="6817E70F">
      <w:pPr>
        <w:spacing w:line="360" w:lineRule="auto"/>
        <w:ind w:firstLine="480" w:firstLineChars="200"/>
        <w:rPr>
          <w:rFonts w:hint="eastAsia" w:ascii="仿宋_GB2312" w:hAnsi="宋体" w:eastAsia="仿宋_GB2312" w:cs="宋体"/>
          <w:color w:val="000000"/>
          <w:kern w:val="0"/>
          <w:sz w:val="24"/>
        </w:rPr>
      </w:pPr>
      <w:r>
        <w:rPr>
          <w:rFonts w:hint="eastAsia" w:ascii="仿宋_GB2312" w:hAnsi="宋体" w:eastAsia="仿宋_GB2312" w:cs="宋体"/>
          <w:color w:val="000000" w:themeColor="text1"/>
          <w:kern w:val="0"/>
          <w:sz w:val="24"/>
        </w:rPr>
        <w:t>3、报价单必须在</w:t>
      </w:r>
      <w:r>
        <w:rPr>
          <w:rFonts w:hint="eastAsia" w:ascii="仿宋_GB2312" w:hAnsi="宋体" w:eastAsia="仿宋_GB2312" w:cs="宋体"/>
          <w:b/>
          <w:color w:val="000000" w:themeColor="text1"/>
          <w:kern w:val="0"/>
          <w:sz w:val="24"/>
        </w:rPr>
        <w:t>20</w:t>
      </w:r>
      <w:r>
        <w:rPr>
          <w:rFonts w:ascii="仿宋_GB2312" w:hAnsi="宋体" w:eastAsia="仿宋_GB2312" w:cs="宋体"/>
          <w:b/>
          <w:color w:val="000000" w:themeColor="text1"/>
          <w:kern w:val="0"/>
          <w:sz w:val="24"/>
        </w:rPr>
        <w:t>26</w:t>
      </w:r>
      <w:r>
        <w:rPr>
          <w:rFonts w:hint="eastAsia" w:ascii="仿宋_GB2312" w:hAnsi="宋体" w:eastAsia="仿宋_GB2312" w:cs="宋体"/>
          <w:b/>
          <w:color w:val="000000" w:themeColor="text1"/>
          <w:kern w:val="0"/>
          <w:sz w:val="24"/>
        </w:rPr>
        <w:t>年8月1</w:t>
      </w:r>
      <w:r>
        <w:rPr>
          <w:rFonts w:hint="eastAsia" w:ascii="仿宋_GB2312" w:hAnsi="宋体" w:eastAsia="仿宋_GB2312" w:cs="宋体"/>
          <w:b/>
          <w:color w:val="000000" w:themeColor="text1"/>
          <w:kern w:val="0"/>
          <w:sz w:val="24"/>
          <w:lang w:val="en-US" w:eastAsia="zh-CN"/>
        </w:rPr>
        <w:t>4</w:t>
      </w:r>
      <w:r>
        <w:rPr>
          <w:rFonts w:hint="eastAsia" w:ascii="仿宋_GB2312" w:hAnsi="宋体" w:eastAsia="仿宋_GB2312" w:cs="宋体"/>
          <w:b/>
          <w:color w:val="000000" w:themeColor="text1"/>
          <w:kern w:val="0"/>
          <w:sz w:val="24"/>
        </w:rPr>
        <w:t>日（周</w:t>
      </w:r>
      <w:r>
        <w:rPr>
          <w:rFonts w:hint="eastAsia" w:ascii="仿宋_GB2312" w:hAnsi="宋体" w:eastAsia="仿宋_GB2312" w:cs="宋体"/>
          <w:b/>
          <w:color w:val="000000" w:themeColor="text1"/>
          <w:kern w:val="0"/>
          <w:sz w:val="24"/>
          <w:lang w:val="en-US" w:eastAsia="zh-CN"/>
        </w:rPr>
        <w:t>五</w:t>
      </w:r>
      <w:r>
        <w:rPr>
          <w:rFonts w:hint="eastAsia" w:ascii="仿宋_GB2312" w:hAnsi="宋体" w:eastAsia="仿宋_GB2312" w:cs="宋体"/>
          <w:b/>
          <w:color w:val="000000" w:themeColor="text1"/>
          <w:kern w:val="0"/>
          <w:sz w:val="24"/>
        </w:rPr>
        <w:t>）11:00点</w:t>
      </w:r>
      <w:r>
        <w:rPr>
          <w:rFonts w:hint="eastAsia" w:ascii="仿宋_GB2312" w:hAnsi="宋体" w:eastAsia="仿宋_GB2312" w:cs="宋体"/>
          <w:color w:val="000000" w:themeColor="text1"/>
          <w:kern w:val="0"/>
          <w:sz w:val="24"/>
        </w:rPr>
        <w:t>（报价截止时间）之前发送至我司指定邮箱；报价开启时间为</w:t>
      </w:r>
      <w:r>
        <w:rPr>
          <w:rFonts w:hint="eastAsia" w:ascii="仿宋_GB2312" w:hAnsi="宋体" w:eastAsia="仿宋_GB2312" w:cs="宋体"/>
          <w:b/>
          <w:color w:val="000000" w:themeColor="text1"/>
          <w:kern w:val="0"/>
          <w:sz w:val="24"/>
        </w:rPr>
        <w:t>20</w:t>
      </w:r>
      <w:r>
        <w:rPr>
          <w:rFonts w:ascii="仿宋_GB2312" w:hAnsi="宋体" w:eastAsia="仿宋_GB2312" w:cs="宋体"/>
          <w:b/>
          <w:color w:val="000000" w:themeColor="text1"/>
          <w:kern w:val="0"/>
          <w:sz w:val="24"/>
        </w:rPr>
        <w:t>26</w:t>
      </w:r>
      <w:r>
        <w:rPr>
          <w:rFonts w:hint="eastAsia" w:ascii="仿宋_GB2312" w:hAnsi="宋体" w:eastAsia="仿宋_GB2312" w:cs="宋体"/>
          <w:b/>
          <w:color w:val="000000" w:themeColor="text1"/>
          <w:kern w:val="0"/>
          <w:sz w:val="24"/>
        </w:rPr>
        <w:t>年8月1</w:t>
      </w:r>
      <w:r>
        <w:rPr>
          <w:rFonts w:hint="eastAsia" w:ascii="仿宋_GB2312" w:hAnsi="宋体" w:eastAsia="仿宋_GB2312" w:cs="宋体"/>
          <w:b/>
          <w:color w:val="000000" w:themeColor="text1"/>
          <w:kern w:val="0"/>
          <w:sz w:val="24"/>
          <w:lang w:val="en-US" w:eastAsia="zh-CN"/>
        </w:rPr>
        <w:t>4</w:t>
      </w:r>
      <w:r>
        <w:rPr>
          <w:rFonts w:hint="eastAsia" w:ascii="仿宋_GB2312" w:hAnsi="宋体" w:eastAsia="仿宋_GB2312" w:cs="宋体"/>
          <w:b/>
          <w:color w:val="000000" w:themeColor="text1"/>
          <w:kern w:val="0"/>
          <w:sz w:val="24"/>
        </w:rPr>
        <w:t>日（周</w:t>
      </w:r>
      <w:r>
        <w:rPr>
          <w:rFonts w:hint="eastAsia" w:ascii="仿宋_GB2312" w:hAnsi="宋体" w:eastAsia="仿宋_GB2312" w:cs="宋体"/>
          <w:b/>
          <w:color w:val="000000" w:themeColor="text1"/>
          <w:kern w:val="0"/>
          <w:sz w:val="24"/>
          <w:lang w:val="en-US" w:eastAsia="zh-CN"/>
        </w:rPr>
        <w:t>五</w:t>
      </w:r>
      <w:r>
        <w:rPr>
          <w:rFonts w:hint="eastAsia" w:ascii="仿宋_GB2312" w:hAnsi="宋体" w:eastAsia="仿宋_GB2312" w:cs="宋体"/>
          <w:b/>
          <w:color w:val="000000" w:themeColor="text1"/>
          <w:kern w:val="0"/>
          <w:sz w:val="24"/>
        </w:rPr>
        <w:t>）11:00点</w:t>
      </w:r>
      <w:r>
        <w:rPr>
          <w:rFonts w:hint="eastAsia" w:ascii="仿宋_GB2312" w:hAnsi="宋体" w:eastAsia="仿宋_GB2312" w:cs="宋体"/>
          <w:color w:val="000000" w:themeColor="text1"/>
          <w:kern w:val="0"/>
          <w:sz w:val="24"/>
        </w:rPr>
        <w:t>。报</w:t>
      </w:r>
      <w:r>
        <w:rPr>
          <w:rFonts w:hint="eastAsia" w:ascii="仿宋_GB2312" w:hAnsi="宋体" w:eastAsia="仿宋_GB2312" w:cs="宋体"/>
          <w:color w:val="000000"/>
          <w:kern w:val="0"/>
          <w:sz w:val="24"/>
        </w:rPr>
        <w:t>价供应商无需到场。</w:t>
      </w:r>
      <w:bookmarkStart w:id="0" w:name="_GoBack"/>
      <w:bookmarkEnd w:id="0"/>
    </w:p>
    <w:p w14:paraId="78081D63">
      <w:pPr>
        <w:spacing w:line="360" w:lineRule="auto"/>
        <w:ind w:firstLine="480" w:firstLineChars="200"/>
        <w:rPr>
          <w:rFonts w:hint="eastAsia" w:ascii="仿宋_GB2312" w:hAnsi="宋体" w:eastAsia="仿宋_GB2312" w:cs="宋体"/>
          <w:color w:val="000000"/>
          <w:kern w:val="0"/>
          <w:sz w:val="24"/>
        </w:rPr>
      </w:pPr>
      <w:r>
        <w:rPr>
          <w:rFonts w:hint="eastAsia" w:ascii="仿宋_GB2312" w:hAnsi="宋体" w:eastAsia="仿宋_GB2312" w:cs="宋体"/>
          <w:color w:val="000000"/>
          <w:kern w:val="0"/>
          <w:sz w:val="24"/>
        </w:rPr>
        <w:t>4、报价供应商须按询价函要求完整进行报价,不得更改内容,不得缺项、漏项。</w:t>
      </w:r>
    </w:p>
    <w:p w14:paraId="6A5C513A">
      <w:pPr>
        <w:spacing w:line="360" w:lineRule="auto"/>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（二）出现以下情况之一的，报价无效：</w:t>
      </w:r>
    </w:p>
    <w:p w14:paraId="72A51E6B">
      <w:pPr>
        <w:spacing w:line="360" w:lineRule="auto"/>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1、报价文件内容不完整的；</w:t>
      </w:r>
    </w:p>
    <w:p w14:paraId="438CF4D8">
      <w:pPr>
        <w:spacing w:line="360" w:lineRule="auto"/>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2、超过报价截止时间提交报价的；</w:t>
      </w:r>
    </w:p>
    <w:p w14:paraId="1199D39F">
      <w:pPr>
        <w:spacing w:line="360" w:lineRule="auto"/>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3、报价方式不符合本报价须知要求的；</w:t>
      </w:r>
    </w:p>
    <w:p w14:paraId="5558235F">
      <w:pPr>
        <w:spacing w:line="360" w:lineRule="auto"/>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4、报价供应商有弄虚作假或串标、围标等违法行为的；</w:t>
      </w:r>
    </w:p>
    <w:p w14:paraId="3151DE96">
      <w:pPr>
        <w:spacing w:line="360" w:lineRule="auto"/>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5、报价文件不能实质性响应本询价函的。</w:t>
      </w:r>
    </w:p>
    <w:p w14:paraId="2CD4E9A0">
      <w:pPr>
        <w:spacing w:line="360" w:lineRule="auto"/>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（三）确定成交供应商原则：</w:t>
      </w:r>
      <w:r>
        <w:rPr>
          <w:rFonts w:ascii="仿宋_GB2312" w:hAnsi="宋体" w:eastAsia="仿宋_GB2312" w:cs="宋体"/>
          <w:kern w:val="0"/>
          <w:sz w:val="24"/>
        </w:rPr>
        <w:t>询价小组</w:t>
      </w:r>
      <w:r>
        <w:rPr>
          <w:rFonts w:hint="eastAsia" w:ascii="仿宋_GB2312" w:hAnsi="宋体" w:eastAsia="仿宋_GB2312" w:cs="宋体"/>
          <w:kern w:val="0"/>
          <w:sz w:val="24"/>
        </w:rPr>
        <w:t>将</w:t>
      </w:r>
      <w:r>
        <w:rPr>
          <w:rFonts w:ascii="仿宋_GB2312" w:hAnsi="宋体" w:eastAsia="仿宋_GB2312" w:cs="宋体"/>
          <w:kern w:val="0"/>
          <w:sz w:val="24"/>
        </w:rPr>
        <w:t>根据</w:t>
      </w:r>
      <w:r>
        <w:rPr>
          <w:rFonts w:hint="eastAsia" w:ascii="仿宋_GB2312" w:hAnsi="宋体" w:eastAsia="仿宋_GB2312" w:cs="宋体"/>
          <w:kern w:val="0"/>
          <w:sz w:val="24"/>
        </w:rPr>
        <w:t>实质性响应本询价函要求</w:t>
      </w:r>
      <w:r>
        <w:rPr>
          <w:rFonts w:ascii="仿宋_GB2312" w:hAnsi="宋体" w:eastAsia="仿宋_GB2312" w:cs="宋体"/>
          <w:kern w:val="0"/>
          <w:sz w:val="24"/>
        </w:rPr>
        <w:t>且报价最低的原则确定成交供应商。</w:t>
      </w:r>
    </w:p>
    <w:p w14:paraId="7F135D63">
      <w:pPr>
        <w:spacing w:line="360" w:lineRule="auto"/>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（四）报价供应商一旦递交报价文件，即视为认可本询价方式及报价须知的所有内容。报价供应商承诺报价有效期为壹个月。</w:t>
      </w:r>
    </w:p>
    <w:p w14:paraId="24F29CFF">
      <w:pPr>
        <w:spacing w:line="360" w:lineRule="auto"/>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（五）若报价供应商在报价后又撤销报价或无法履行的次数超过3次及以上的将被纳入黑名单12个月，纳入黑名单时间起12个月内将不得参与厦门万翔网络商务有限公司自营商品密封询价采购项目的报价。</w:t>
      </w:r>
    </w:p>
    <w:p w14:paraId="0A7DAA32">
      <w:pPr>
        <w:spacing w:line="360" w:lineRule="auto"/>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（六）报价供应商可于项目开标后询问己方是否为中标供应商，但不得要求买方或买方代理机构告知其他供应商的报价信息。</w:t>
      </w:r>
    </w:p>
    <w:p w14:paraId="11F7058D">
      <w:pPr>
        <w:spacing w:line="360" w:lineRule="auto"/>
        <w:ind w:firstLine="480" w:firstLineChars="200"/>
        <w:rPr>
          <w:rFonts w:hint="eastAsia" w:ascii="仿宋_GB2312" w:hAnsi="宋体" w:eastAsia="仿宋_GB2312" w:cs="宋体"/>
          <w:kern w:val="0"/>
          <w:sz w:val="24"/>
        </w:rPr>
      </w:pPr>
      <w:r>
        <w:rPr>
          <w:rFonts w:hint="eastAsia" w:ascii="仿宋_GB2312" w:hAnsi="宋体" w:eastAsia="仿宋_GB2312" w:cs="宋体"/>
          <w:kern w:val="0"/>
          <w:sz w:val="24"/>
        </w:rPr>
        <w:t>（七）报价供应商参与项目报价的，均视为同意上述所有要求。</w:t>
      </w:r>
    </w:p>
    <w:p w14:paraId="4C9CAD57">
      <w:pPr>
        <w:spacing w:line="360" w:lineRule="auto"/>
        <w:ind w:firstLine="5280" w:firstLineChars="2200"/>
        <w:rPr>
          <w:rFonts w:hint="eastAsia" w:ascii="仿宋_GB2312" w:hAnsi="宋体" w:eastAsia="仿宋_GB2312" w:cs="宋体"/>
          <w:kern w:val="0"/>
          <w:sz w:val="24"/>
        </w:rPr>
      </w:pPr>
      <w:r>
        <w:rPr>
          <w:rFonts w:hint="eastAsia" w:ascii="仿宋_GB2312" w:hAnsi="宋体" w:eastAsia="仿宋_GB2312" w:cs="宋体"/>
          <w:kern w:val="0"/>
          <w:sz w:val="24"/>
        </w:rPr>
        <w:t>厦门万翔网络商务有限公司</w:t>
      </w:r>
    </w:p>
    <w:p w14:paraId="31B2C882">
      <w:pPr>
        <w:spacing w:line="360" w:lineRule="auto"/>
        <w:ind w:firstLine="5760" w:firstLineChars="2400"/>
        <w:rPr>
          <w:rFonts w:hint="eastAsia" w:ascii="仿宋_GB2312" w:hAnsi="宋体" w:eastAsia="仿宋_GB2312" w:cs="宋体"/>
          <w:kern w:val="0"/>
          <w:sz w:val="24"/>
        </w:rPr>
      </w:pPr>
      <w:r>
        <w:rPr>
          <w:rFonts w:hint="eastAsia" w:ascii="仿宋_GB2312" w:hAnsi="宋体" w:eastAsia="仿宋_GB2312" w:cs="宋体"/>
          <w:kern w:val="0"/>
          <w:sz w:val="24"/>
        </w:rPr>
        <w:t>2026年8月10日</w:t>
      </w:r>
    </w:p>
    <w:p w14:paraId="32C2FE44">
      <w:pPr>
        <w:spacing w:line="380" w:lineRule="exact"/>
        <w:rPr>
          <w:b/>
        </w:rPr>
        <w:sectPr>
          <w:headerReference r:id="rId3" w:type="default"/>
          <w:footerReference r:id="rId4" w:type="default"/>
          <w:footerReference r:id="rId5" w:type="even"/>
          <w:pgSz w:w="11906" w:h="16838"/>
          <w:pgMar w:top="873" w:right="1230" w:bottom="873" w:left="1230" w:header="851" w:footer="992" w:gutter="0"/>
          <w:cols w:space="720" w:num="1"/>
          <w:docGrid w:type="lines" w:linePitch="312" w:charSpace="0"/>
        </w:sectPr>
      </w:pPr>
    </w:p>
    <w:p w14:paraId="7DA144C6">
      <w:pPr>
        <w:spacing w:line="380" w:lineRule="exact"/>
        <w:rPr>
          <w:b/>
        </w:rPr>
      </w:pPr>
      <w:r>
        <w:rPr>
          <w:rFonts w:hint="eastAsia"/>
          <w:b/>
        </w:rPr>
        <w:t>附件1：</w:t>
      </w:r>
    </w:p>
    <w:p w14:paraId="2ED86A79">
      <w:pPr>
        <w:spacing w:before="62" w:beforeLines="20" w:line="360" w:lineRule="auto"/>
        <w:jc w:val="center"/>
        <w:rPr>
          <w:b/>
          <w:sz w:val="32"/>
          <w:szCs w:val="32"/>
        </w:rPr>
      </w:pPr>
      <w:r>
        <w:rPr>
          <w:rFonts w:hint="eastAsia"/>
          <w:b/>
          <w:sz w:val="32"/>
          <w:szCs w:val="32"/>
        </w:rPr>
        <w:t>承诺函</w:t>
      </w:r>
    </w:p>
    <w:p w14:paraId="3F797840">
      <w:pPr>
        <w:spacing w:before="93" w:beforeLines="30" w:line="400" w:lineRule="exact"/>
        <w:ind w:firstLine="480" w:firstLineChars="200"/>
        <w:rPr>
          <w:rFonts w:hint="eastAsia" w:ascii="宋体" w:hAnsi="宋体"/>
          <w:sz w:val="24"/>
        </w:rPr>
      </w:pPr>
      <w:r>
        <w:rPr>
          <w:rFonts w:hint="eastAsia" w:ascii="宋体" w:hAnsi="宋体"/>
          <w:sz w:val="24"/>
        </w:rPr>
        <w:t>万翔商城为正品行货商城，杜绝以假冒、伪劣、过期等不良品以次充好，欺骗消费者等影响其公司声誉的行为。为了共同加强产品经营管理，保护消费者合法权益，我司在产品供货方面特向万翔做以下承诺：</w:t>
      </w:r>
    </w:p>
    <w:p w14:paraId="3207165A">
      <w:pPr>
        <w:pStyle w:val="15"/>
        <w:numPr>
          <w:ilvl w:val="0"/>
          <w:numId w:val="1"/>
        </w:numPr>
        <w:spacing w:before="93" w:beforeLines="30" w:line="400" w:lineRule="exact"/>
        <w:ind w:firstLineChars="0"/>
        <w:jc w:val="left"/>
        <w:rPr>
          <w:rFonts w:hint="eastAsia" w:ascii="宋体" w:hAnsi="宋体"/>
          <w:sz w:val="24"/>
        </w:rPr>
      </w:pPr>
      <w:r>
        <w:rPr>
          <w:rFonts w:hint="eastAsia" w:ascii="宋体" w:hAnsi="宋体"/>
          <w:sz w:val="24"/>
        </w:rPr>
        <w:t>我司在合作之前向万翔提供相关资质材料并加盖红印公章。</w:t>
      </w:r>
    </w:p>
    <w:p w14:paraId="54F15223">
      <w:pPr>
        <w:pStyle w:val="15"/>
        <w:numPr>
          <w:ilvl w:val="0"/>
          <w:numId w:val="1"/>
        </w:numPr>
        <w:spacing w:before="93" w:beforeLines="30" w:line="400" w:lineRule="exact"/>
        <w:ind w:firstLineChars="0"/>
        <w:jc w:val="left"/>
        <w:rPr>
          <w:rFonts w:hint="eastAsia" w:ascii="宋体" w:hAnsi="宋体"/>
          <w:sz w:val="24"/>
        </w:rPr>
      </w:pPr>
      <w:r>
        <w:rPr>
          <w:rFonts w:hint="eastAsia" w:ascii="宋体" w:hAnsi="宋体"/>
          <w:sz w:val="24"/>
        </w:rPr>
        <w:t>我司按照厂家相关标准做好售后服务。</w:t>
      </w:r>
    </w:p>
    <w:p w14:paraId="48E8E194">
      <w:pPr>
        <w:spacing w:before="93" w:beforeLines="30" w:line="400" w:lineRule="exact"/>
        <w:ind w:firstLine="480" w:firstLineChars="200"/>
        <w:rPr>
          <w:rFonts w:hint="eastAsia" w:ascii="宋体" w:hAnsi="宋体"/>
          <w:sz w:val="24"/>
        </w:rPr>
      </w:pPr>
      <w:r>
        <w:rPr>
          <w:rFonts w:hint="eastAsia" w:ascii="宋体" w:hAnsi="宋体"/>
          <w:sz w:val="24"/>
        </w:rPr>
        <w:t>3、发现我司所提供的产品存在假冒、伪劣等不良品以次充好的现象，情况属实的我司同意接受以商品销售额的十倍处罚，并承担退货的一切费用，后果严重的同意接受追究法律责任。</w:t>
      </w:r>
    </w:p>
    <w:p w14:paraId="2922D4F1">
      <w:pPr>
        <w:spacing w:before="93" w:beforeLines="30" w:line="400" w:lineRule="exact"/>
        <w:ind w:firstLine="480" w:firstLineChars="200"/>
        <w:rPr>
          <w:rFonts w:hint="eastAsia" w:ascii="宋体" w:hAnsi="宋体"/>
          <w:sz w:val="24"/>
        </w:rPr>
      </w:pPr>
      <w:r>
        <w:rPr>
          <w:rFonts w:hint="eastAsia" w:ascii="宋体" w:hAnsi="宋体"/>
          <w:sz w:val="24"/>
        </w:rPr>
        <w:t>以上规定我司能够认真遵守并履行，共同来维护我们买卖双方的关系，支持商城工作。我司若违反上述条例，其中涉及处罚金额的我司同意接受以商品销售额的十倍处罚，该笔处罚金将直接在采购货款结算中扣除。我司在年度供货过程中若出现三次违约情况，同意接受万翔取消我司的供货资格。</w:t>
      </w:r>
    </w:p>
    <w:p w14:paraId="384FE3CA">
      <w:pPr>
        <w:spacing w:before="93" w:beforeLines="30" w:line="400" w:lineRule="exact"/>
        <w:ind w:firstLine="480" w:firstLineChars="200"/>
        <w:jc w:val="right"/>
        <w:rPr>
          <w:rFonts w:hint="eastAsia" w:ascii="宋体" w:hAnsi="宋体"/>
          <w:sz w:val="24"/>
        </w:rPr>
      </w:pPr>
      <w:r>
        <w:rPr>
          <w:rFonts w:hint="eastAsia" w:ascii="宋体" w:hAnsi="宋体"/>
          <w:sz w:val="24"/>
        </w:rPr>
        <w:t>供应商单位名称（签字盖章）：</w:t>
      </w:r>
    </w:p>
    <w:p w14:paraId="6BE285BC">
      <w:pPr>
        <w:spacing w:line="360" w:lineRule="auto"/>
        <w:ind w:firstLine="5520" w:firstLineChars="2300"/>
        <w:rPr>
          <w:rFonts w:hint="eastAsia" w:ascii="仿宋_GB2312" w:hAnsi="宋体" w:eastAsia="仿宋_GB2312" w:cs="宋体"/>
          <w:kern w:val="0"/>
          <w:sz w:val="24"/>
        </w:rPr>
        <w:sectPr>
          <w:pgSz w:w="11906" w:h="16838"/>
          <w:pgMar w:top="873" w:right="1230" w:bottom="873" w:left="1230" w:header="851" w:footer="992" w:gutter="0"/>
          <w:cols w:space="720" w:num="1"/>
          <w:docGrid w:type="lines" w:linePitch="312" w:charSpace="0"/>
        </w:sectPr>
      </w:pPr>
    </w:p>
    <w:p w14:paraId="6C3176D4">
      <w:pPr>
        <w:pStyle w:val="12"/>
        <w:jc w:val="left"/>
        <w:rPr>
          <w:b/>
        </w:rPr>
      </w:pPr>
      <w:r>
        <w:rPr>
          <w:rFonts w:hint="eastAsia"/>
          <w:b/>
        </w:rPr>
        <w:t>附件2  报价单</w:t>
      </w:r>
    </w:p>
    <w:p w14:paraId="40A894D5">
      <w:r>
        <w:rPr>
          <w:rFonts w:hint="eastAsia"/>
        </w:rPr>
        <w:t>报价供应商名称：                                                     项目编号∶</w:t>
      </w:r>
      <w:r>
        <w:rPr>
          <w:rFonts w:ascii="宋体" w:hAnsi="宋体" w:cs="宋体"/>
          <w:kern w:val="0"/>
          <w:sz w:val="24"/>
        </w:rPr>
        <w:t xml:space="preserve">XM2026-ZYXJ081001A </w:t>
      </w:r>
      <w:r>
        <w:rPr>
          <w:rFonts w:hint="eastAsia"/>
        </w:rPr>
        <w:t xml:space="preserve">     货币单位：元</w:t>
      </w:r>
    </w:p>
    <w:tbl>
      <w:tblPr>
        <w:tblStyle w:val="6"/>
        <w:tblW w:w="137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387"/>
        <w:gridCol w:w="3574"/>
        <w:gridCol w:w="709"/>
        <w:gridCol w:w="1417"/>
        <w:gridCol w:w="1701"/>
        <w:gridCol w:w="1701"/>
        <w:gridCol w:w="2491"/>
      </w:tblGrid>
      <w:tr w14:paraId="6DB1B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14:paraId="1E6285EC">
            <w:pPr>
              <w:spacing w:line="3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合同包</w:t>
            </w:r>
          </w:p>
        </w:tc>
        <w:tc>
          <w:tcPr>
            <w:tcW w:w="4961" w:type="dxa"/>
            <w:gridSpan w:val="2"/>
            <w:tcBorders>
              <w:top w:val="single" w:color="auto" w:sz="4" w:space="0"/>
              <w:left w:val="single" w:color="auto" w:sz="4" w:space="0"/>
              <w:bottom w:val="single" w:color="auto" w:sz="4" w:space="0"/>
              <w:right w:val="single" w:color="auto" w:sz="4" w:space="0"/>
            </w:tcBorders>
            <w:vAlign w:val="center"/>
          </w:tcPr>
          <w:p w14:paraId="44B880B5">
            <w:pPr>
              <w:spacing w:line="3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货物名称规格</w:t>
            </w:r>
          </w:p>
        </w:tc>
        <w:tc>
          <w:tcPr>
            <w:tcW w:w="709" w:type="dxa"/>
            <w:tcBorders>
              <w:top w:val="single" w:color="auto" w:sz="4" w:space="0"/>
              <w:left w:val="single" w:color="auto" w:sz="4" w:space="0"/>
              <w:bottom w:val="single" w:color="auto" w:sz="4" w:space="0"/>
              <w:right w:val="single" w:color="auto" w:sz="4" w:space="0"/>
            </w:tcBorders>
            <w:vAlign w:val="center"/>
          </w:tcPr>
          <w:p w14:paraId="752E6EA7">
            <w:pPr>
              <w:spacing w:line="3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数量</w:t>
            </w:r>
          </w:p>
        </w:tc>
        <w:tc>
          <w:tcPr>
            <w:tcW w:w="1417" w:type="dxa"/>
            <w:tcBorders>
              <w:top w:val="single" w:color="auto" w:sz="4" w:space="0"/>
              <w:left w:val="single" w:color="auto" w:sz="4" w:space="0"/>
              <w:bottom w:val="single" w:color="auto" w:sz="4" w:space="0"/>
              <w:right w:val="single" w:color="auto" w:sz="4" w:space="0"/>
            </w:tcBorders>
            <w:vAlign w:val="center"/>
          </w:tcPr>
          <w:p w14:paraId="1157E0C6">
            <w:pPr>
              <w:spacing w:line="3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单位限价</w:t>
            </w:r>
          </w:p>
        </w:tc>
        <w:tc>
          <w:tcPr>
            <w:tcW w:w="1701" w:type="dxa"/>
            <w:tcBorders>
              <w:top w:val="single" w:color="auto" w:sz="4" w:space="0"/>
              <w:left w:val="single" w:color="auto" w:sz="4" w:space="0"/>
              <w:bottom w:val="single" w:color="auto" w:sz="4" w:space="0"/>
              <w:right w:val="single" w:color="auto" w:sz="4" w:space="0"/>
            </w:tcBorders>
            <w:vAlign w:val="center"/>
          </w:tcPr>
          <w:p w14:paraId="7356D92E">
            <w:pPr>
              <w:spacing w:line="3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报价</w:t>
            </w:r>
          </w:p>
        </w:tc>
        <w:tc>
          <w:tcPr>
            <w:tcW w:w="1701" w:type="dxa"/>
            <w:tcBorders>
              <w:top w:val="single" w:color="auto" w:sz="4" w:space="0"/>
              <w:left w:val="single" w:color="auto" w:sz="4" w:space="0"/>
              <w:bottom w:val="single" w:color="auto" w:sz="4" w:space="0"/>
              <w:right w:val="single" w:color="auto" w:sz="4" w:space="0"/>
            </w:tcBorders>
            <w:vAlign w:val="center"/>
          </w:tcPr>
          <w:p w14:paraId="65D69DF7">
            <w:pPr>
              <w:spacing w:line="3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小计</w:t>
            </w:r>
          </w:p>
        </w:tc>
        <w:tc>
          <w:tcPr>
            <w:tcW w:w="2491" w:type="dxa"/>
            <w:tcBorders>
              <w:top w:val="single" w:color="auto" w:sz="4" w:space="0"/>
              <w:left w:val="single" w:color="auto" w:sz="4" w:space="0"/>
              <w:bottom w:val="single" w:color="auto" w:sz="4" w:space="0"/>
              <w:right w:val="single" w:color="auto" w:sz="4" w:space="0"/>
            </w:tcBorders>
            <w:vAlign w:val="center"/>
          </w:tcPr>
          <w:p w14:paraId="7576E811">
            <w:pPr>
              <w:spacing w:line="3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备注</w:t>
            </w:r>
          </w:p>
        </w:tc>
      </w:tr>
      <w:tr w14:paraId="5839A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6"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14:paraId="56D7A578">
            <w:pPr>
              <w:spacing w:line="3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w:t>
            </w:r>
          </w:p>
        </w:tc>
        <w:tc>
          <w:tcPr>
            <w:tcW w:w="4961" w:type="dxa"/>
            <w:gridSpan w:val="2"/>
            <w:tcBorders>
              <w:top w:val="single" w:color="auto" w:sz="4" w:space="0"/>
              <w:left w:val="single" w:color="auto" w:sz="4" w:space="0"/>
              <w:bottom w:val="single" w:color="auto" w:sz="4" w:space="0"/>
              <w:right w:val="single" w:color="auto" w:sz="4" w:space="0"/>
            </w:tcBorders>
            <w:vAlign w:val="center"/>
          </w:tcPr>
          <w:p w14:paraId="29F3D053">
            <w:pPr>
              <w:spacing w:line="380" w:lineRule="exact"/>
              <w:jc w:val="center"/>
              <w:rPr>
                <w:rFonts w:hint="eastAsia" w:ascii="仿宋_GB2312" w:hAnsi="宋体" w:eastAsia="仿宋_GB2312" w:cs="宋体"/>
                <w:kern w:val="0"/>
                <w:sz w:val="24"/>
              </w:rPr>
            </w:pPr>
            <w:r>
              <w:rPr>
                <w:rFonts w:cs="宋体" w:asciiTheme="minorEastAsia" w:hAnsiTheme="minorEastAsia" w:eastAsiaTheme="minorEastAsia"/>
                <w:kern w:val="0"/>
                <w:szCs w:val="21"/>
              </w:rPr>
              <w:t>漫步者蓝牙耳机 Comfo Clip Q 奶霜白</w:t>
            </w:r>
          </w:p>
        </w:tc>
        <w:tc>
          <w:tcPr>
            <w:tcW w:w="709" w:type="dxa"/>
            <w:tcBorders>
              <w:top w:val="single" w:color="auto" w:sz="4" w:space="0"/>
              <w:left w:val="single" w:color="auto" w:sz="4" w:space="0"/>
              <w:bottom w:val="single" w:color="auto" w:sz="4" w:space="0"/>
              <w:right w:val="single" w:color="auto" w:sz="4" w:space="0"/>
            </w:tcBorders>
            <w:vAlign w:val="center"/>
          </w:tcPr>
          <w:p w14:paraId="098BD0EE">
            <w:pPr>
              <w:spacing w:line="3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148</w:t>
            </w:r>
          </w:p>
        </w:tc>
        <w:tc>
          <w:tcPr>
            <w:tcW w:w="1417" w:type="dxa"/>
            <w:tcBorders>
              <w:top w:val="single" w:color="auto" w:sz="4" w:space="0"/>
              <w:left w:val="single" w:color="auto" w:sz="4" w:space="0"/>
              <w:bottom w:val="single" w:color="auto" w:sz="4" w:space="0"/>
              <w:right w:val="single" w:color="auto" w:sz="4" w:space="0"/>
            </w:tcBorders>
            <w:vAlign w:val="center"/>
          </w:tcPr>
          <w:p w14:paraId="53DAE698">
            <w:pPr>
              <w:spacing w:line="3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225</w:t>
            </w:r>
          </w:p>
        </w:tc>
        <w:tc>
          <w:tcPr>
            <w:tcW w:w="1701" w:type="dxa"/>
            <w:tcBorders>
              <w:top w:val="single" w:color="auto" w:sz="4" w:space="0"/>
              <w:left w:val="single" w:color="auto" w:sz="4" w:space="0"/>
              <w:bottom w:val="single" w:color="auto" w:sz="4" w:space="0"/>
              <w:right w:val="single" w:color="auto" w:sz="4" w:space="0"/>
            </w:tcBorders>
            <w:vAlign w:val="center"/>
          </w:tcPr>
          <w:p w14:paraId="0FCD2E89">
            <w:pPr>
              <w:spacing w:line="380" w:lineRule="exact"/>
              <w:jc w:val="center"/>
              <w:rPr>
                <w:rFonts w:hint="eastAsia" w:ascii="仿宋_GB2312" w:hAnsi="宋体" w:eastAsia="仿宋_GB2312" w:cs="宋体"/>
                <w:kern w:val="0"/>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4D7F0507">
            <w:pPr>
              <w:spacing w:line="380" w:lineRule="exact"/>
              <w:jc w:val="center"/>
              <w:rPr>
                <w:rFonts w:hint="eastAsia" w:ascii="仿宋_GB2312" w:hAnsi="宋体" w:eastAsia="仿宋_GB2312" w:cs="宋体"/>
                <w:kern w:val="0"/>
                <w:sz w:val="24"/>
              </w:rPr>
            </w:pPr>
          </w:p>
        </w:tc>
        <w:tc>
          <w:tcPr>
            <w:tcW w:w="2491" w:type="dxa"/>
            <w:tcBorders>
              <w:top w:val="single" w:color="auto" w:sz="4" w:space="0"/>
              <w:left w:val="single" w:color="auto" w:sz="4" w:space="0"/>
              <w:bottom w:val="single" w:color="auto" w:sz="4" w:space="0"/>
              <w:right w:val="single" w:color="auto" w:sz="4" w:space="0"/>
            </w:tcBorders>
            <w:vAlign w:val="center"/>
          </w:tcPr>
          <w:p w14:paraId="1CF0AD6B">
            <w:pPr>
              <w:spacing w:line="380" w:lineRule="exact"/>
              <w:jc w:val="center"/>
              <w:rPr>
                <w:rFonts w:hint="eastAsia" w:ascii="仿宋_GB2312" w:hAnsi="宋体" w:eastAsia="仿宋_GB2312" w:cs="宋体"/>
                <w:kern w:val="0"/>
                <w:sz w:val="24"/>
              </w:rPr>
            </w:pPr>
          </w:p>
        </w:tc>
      </w:tr>
      <w:tr w14:paraId="689CD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14:paraId="37C0DF5D">
            <w:pPr>
              <w:spacing w:line="380" w:lineRule="exact"/>
              <w:jc w:val="center"/>
              <w:rPr>
                <w:rFonts w:hint="eastAsia" w:ascii="仿宋_GB2312" w:hAnsi="宋体" w:eastAsia="仿宋_GB2312" w:cs="宋体"/>
                <w:kern w:val="0"/>
                <w:sz w:val="24"/>
              </w:rPr>
            </w:pPr>
            <w:r>
              <w:rPr>
                <w:rFonts w:ascii="仿宋_GB2312" w:hAnsi="宋体" w:eastAsia="仿宋_GB2312" w:cs="宋体"/>
                <w:kern w:val="0"/>
                <w:sz w:val="24"/>
              </w:rPr>
              <w:t>2</w:t>
            </w:r>
          </w:p>
        </w:tc>
        <w:tc>
          <w:tcPr>
            <w:tcW w:w="4961" w:type="dxa"/>
            <w:gridSpan w:val="2"/>
            <w:tcBorders>
              <w:top w:val="single" w:color="auto" w:sz="4" w:space="0"/>
              <w:left w:val="single" w:color="auto" w:sz="4" w:space="0"/>
              <w:bottom w:val="single" w:color="auto" w:sz="4" w:space="0"/>
              <w:right w:val="single" w:color="auto" w:sz="4" w:space="0"/>
            </w:tcBorders>
            <w:vAlign w:val="center"/>
          </w:tcPr>
          <w:p w14:paraId="7D45B58B">
            <w:pPr>
              <w:spacing w:line="380" w:lineRule="exact"/>
              <w:jc w:val="center"/>
              <w:rPr>
                <w:rFonts w:hint="eastAsia" w:ascii="仿宋_GB2312" w:hAnsi="宋体" w:eastAsia="仿宋_GB2312" w:cs="宋体"/>
                <w:kern w:val="0"/>
                <w:sz w:val="24"/>
              </w:rPr>
            </w:pPr>
            <w:r>
              <w:rPr>
                <w:rFonts w:cs="宋体" w:asciiTheme="minorEastAsia" w:hAnsiTheme="minorEastAsia" w:eastAsiaTheme="minorEastAsia"/>
                <w:kern w:val="0"/>
                <w:szCs w:val="21"/>
              </w:rPr>
              <w:t>漫步者蓝牙耳机 Comfo Clip Q</w:t>
            </w:r>
            <w:r>
              <w:rPr>
                <w:rFonts w:hint="eastAsia" w:cs="宋体" w:asciiTheme="minorEastAsia" w:hAnsiTheme="minorEastAsia" w:eastAsiaTheme="minorEastAsia"/>
                <w:kern w:val="0"/>
                <w:szCs w:val="21"/>
              </w:rPr>
              <w:t xml:space="preserve"> </w:t>
            </w:r>
            <w:r>
              <w:rPr>
                <w:rFonts w:cs="宋体" w:asciiTheme="minorEastAsia" w:hAnsiTheme="minorEastAsia" w:eastAsiaTheme="minorEastAsia"/>
                <w:kern w:val="0"/>
                <w:szCs w:val="21"/>
              </w:rPr>
              <w:t>墨玉灰</w:t>
            </w:r>
          </w:p>
        </w:tc>
        <w:tc>
          <w:tcPr>
            <w:tcW w:w="709" w:type="dxa"/>
            <w:tcBorders>
              <w:top w:val="single" w:color="auto" w:sz="4" w:space="0"/>
              <w:left w:val="single" w:color="auto" w:sz="4" w:space="0"/>
              <w:bottom w:val="single" w:color="auto" w:sz="4" w:space="0"/>
              <w:right w:val="single" w:color="auto" w:sz="4" w:space="0"/>
            </w:tcBorders>
            <w:vAlign w:val="center"/>
          </w:tcPr>
          <w:p w14:paraId="76528FA0">
            <w:pPr>
              <w:spacing w:line="3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109</w:t>
            </w:r>
          </w:p>
        </w:tc>
        <w:tc>
          <w:tcPr>
            <w:tcW w:w="1417" w:type="dxa"/>
            <w:tcBorders>
              <w:top w:val="single" w:color="auto" w:sz="4" w:space="0"/>
              <w:left w:val="single" w:color="auto" w:sz="4" w:space="0"/>
              <w:bottom w:val="single" w:color="auto" w:sz="4" w:space="0"/>
              <w:right w:val="single" w:color="auto" w:sz="4" w:space="0"/>
            </w:tcBorders>
            <w:vAlign w:val="center"/>
          </w:tcPr>
          <w:p w14:paraId="585CF053">
            <w:pPr>
              <w:spacing w:line="3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225</w:t>
            </w:r>
          </w:p>
        </w:tc>
        <w:tc>
          <w:tcPr>
            <w:tcW w:w="1701" w:type="dxa"/>
            <w:tcBorders>
              <w:top w:val="single" w:color="auto" w:sz="4" w:space="0"/>
              <w:left w:val="single" w:color="auto" w:sz="4" w:space="0"/>
              <w:bottom w:val="single" w:color="auto" w:sz="4" w:space="0"/>
              <w:right w:val="single" w:color="auto" w:sz="4" w:space="0"/>
            </w:tcBorders>
            <w:vAlign w:val="center"/>
          </w:tcPr>
          <w:p w14:paraId="007C7C18">
            <w:pPr>
              <w:spacing w:line="380" w:lineRule="exact"/>
              <w:jc w:val="center"/>
              <w:rPr>
                <w:rFonts w:hint="eastAsia" w:ascii="仿宋_GB2312" w:hAnsi="宋体" w:eastAsia="仿宋_GB2312" w:cs="宋体"/>
                <w:kern w:val="0"/>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42B15353">
            <w:pPr>
              <w:spacing w:line="380" w:lineRule="exact"/>
              <w:jc w:val="center"/>
              <w:rPr>
                <w:rFonts w:hint="eastAsia" w:ascii="仿宋_GB2312" w:hAnsi="宋体" w:eastAsia="仿宋_GB2312" w:cs="宋体"/>
                <w:kern w:val="0"/>
                <w:sz w:val="24"/>
              </w:rPr>
            </w:pPr>
          </w:p>
        </w:tc>
        <w:tc>
          <w:tcPr>
            <w:tcW w:w="2491" w:type="dxa"/>
            <w:tcBorders>
              <w:top w:val="single" w:color="auto" w:sz="4" w:space="0"/>
              <w:left w:val="single" w:color="auto" w:sz="4" w:space="0"/>
              <w:bottom w:val="single" w:color="auto" w:sz="4" w:space="0"/>
              <w:right w:val="single" w:color="auto" w:sz="4" w:space="0"/>
            </w:tcBorders>
            <w:vAlign w:val="center"/>
          </w:tcPr>
          <w:p w14:paraId="27D6703F">
            <w:pPr>
              <w:spacing w:line="380" w:lineRule="exact"/>
              <w:jc w:val="center"/>
              <w:rPr>
                <w:rFonts w:hint="eastAsia" w:ascii="仿宋_GB2312" w:hAnsi="宋体" w:eastAsia="仿宋_GB2312" w:cs="宋体"/>
                <w:kern w:val="0"/>
                <w:sz w:val="24"/>
              </w:rPr>
            </w:pPr>
          </w:p>
        </w:tc>
      </w:tr>
      <w:tr w14:paraId="52855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14:paraId="6518739C">
            <w:pPr>
              <w:spacing w:line="380" w:lineRule="exact"/>
              <w:jc w:val="center"/>
              <w:rPr>
                <w:rFonts w:hint="eastAsia" w:ascii="仿宋_GB2312" w:hAnsi="宋体" w:eastAsia="仿宋_GB2312" w:cs="宋体"/>
                <w:kern w:val="0"/>
                <w:sz w:val="24"/>
              </w:rPr>
            </w:pPr>
            <w:r>
              <w:rPr>
                <w:rFonts w:ascii="仿宋_GB2312" w:hAnsi="宋体" w:eastAsia="仿宋_GB2312" w:cs="宋体"/>
                <w:kern w:val="0"/>
                <w:sz w:val="24"/>
              </w:rPr>
              <w:t>3</w:t>
            </w:r>
          </w:p>
        </w:tc>
        <w:tc>
          <w:tcPr>
            <w:tcW w:w="4961" w:type="dxa"/>
            <w:gridSpan w:val="2"/>
            <w:tcBorders>
              <w:top w:val="single" w:color="auto" w:sz="4" w:space="0"/>
              <w:left w:val="single" w:color="auto" w:sz="4" w:space="0"/>
              <w:bottom w:val="single" w:color="auto" w:sz="4" w:space="0"/>
              <w:right w:val="single" w:color="auto" w:sz="4" w:space="0"/>
            </w:tcBorders>
            <w:vAlign w:val="center"/>
          </w:tcPr>
          <w:p w14:paraId="761807CD">
            <w:pPr>
              <w:spacing w:line="380" w:lineRule="exact"/>
              <w:jc w:val="center"/>
              <w:rPr>
                <w:rFonts w:hint="eastAsia" w:ascii="仿宋_GB2312" w:hAnsi="宋体" w:eastAsia="仿宋_GB2312" w:cs="宋体"/>
                <w:kern w:val="0"/>
                <w:sz w:val="24"/>
              </w:rPr>
            </w:pPr>
            <w:r>
              <w:rPr>
                <w:rFonts w:cs="宋体" w:asciiTheme="minorEastAsia" w:hAnsiTheme="minorEastAsia" w:eastAsiaTheme="minorEastAsia"/>
                <w:kern w:val="0"/>
                <w:szCs w:val="21"/>
              </w:rPr>
              <w:t>漫步者蓝牙耳机 Comfo Clip Q</w:t>
            </w:r>
            <w:r>
              <w:rPr>
                <w:rFonts w:hint="eastAsia" w:cs="宋体" w:asciiTheme="minorEastAsia" w:hAnsiTheme="minorEastAsia" w:eastAsiaTheme="minorEastAsia"/>
                <w:kern w:val="0"/>
                <w:szCs w:val="21"/>
              </w:rPr>
              <w:t xml:space="preserve"> </w:t>
            </w:r>
            <w:r>
              <w:rPr>
                <w:rFonts w:cs="宋体" w:asciiTheme="minorEastAsia" w:hAnsiTheme="minorEastAsia" w:eastAsiaTheme="minorEastAsia"/>
                <w:kern w:val="0"/>
                <w:szCs w:val="21"/>
              </w:rPr>
              <w:t>海盐蓝</w:t>
            </w:r>
          </w:p>
        </w:tc>
        <w:tc>
          <w:tcPr>
            <w:tcW w:w="709" w:type="dxa"/>
            <w:tcBorders>
              <w:top w:val="single" w:color="auto" w:sz="4" w:space="0"/>
              <w:left w:val="single" w:color="auto" w:sz="4" w:space="0"/>
              <w:bottom w:val="single" w:color="auto" w:sz="4" w:space="0"/>
              <w:right w:val="single" w:color="auto" w:sz="4" w:space="0"/>
            </w:tcBorders>
            <w:vAlign w:val="center"/>
          </w:tcPr>
          <w:p w14:paraId="12F04567">
            <w:pPr>
              <w:spacing w:line="3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104</w:t>
            </w:r>
          </w:p>
        </w:tc>
        <w:tc>
          <w:tcPr>
            <w:tcW w:w="1417" w:type="dxa"/>
            <w:tcBorders>
              <w:top w:val="single" w:color="auto" w:sz="4" w:space="0"/>
              <w:left w:val="single" w:color="auto" w:sz="4" w:space="0"/>
              <w:bottom w:val="single" w:color="auto" w:sz="4" w:space="0"/>
              <w:right w:val="single" w:color="auto" w:sz="4" w:space="0"/>
            </w:tcBorders>
            <w:vAlign w:val="center"/>
          </w:tcPr>
          <w:p w14:paraId="26A332B2">
            <w:pPr>
              <w:spacing w:line="380" w:lineRule="exact"/>
              <w:jc w:val="center"/>
              <w:rPr>
                <w:rFonts w:hint="eastAsia" w:ascii="仿宋_GB2312" w:hAnsi="宋体" w:eastAsia="仿宋_GB2312" w:cs="宋体"/>
                <w:kern w:val="0"/>
                <w:sz w:val="24"/>
              </w:rPr>
            </w:pPr>
            <w:r>
              <w:rPr>
                <w:rFonts w:hint="eastAsia" w:ascii="仿宋_GB2312" w:hAnsi="宋体" w:eastAsia="仿宋_GB2312" w:cs="宋体"/>
                <w:kern w:val="0"/>
                <w:sz w:val="24"/>
              </w:rPr>
              <w:t>225</w:t>
            </w:r>
          </w:p>
        </w:tc>
        <w:tc>
          <w:tcPr>
            <w:tcW w:w="1701" w:type="dxa"/>
            <w:tcBorders>
              <w:top w:val="single" w:color="auto" w:sz="4" w:space="0"/>
              <w:left w:val="single" w:color="auto" w:sz="4" w:space="0"/>
              <w:bottom w:val="single" w:color="auto" w:sz="4" w:space="0"/>
              <w:right w:val="single" w:color="auto" w:sz="4" w:space="0"/>
            </w:tcBorders>
            <w:vAlign w:val="center"/>
          </w:tcPr>
          <w:p w14:paraId="5DDCABEE">
            <w:pPr>
              <w:spacing w:line="380" w:lineRule="exact"/>
              <w:jc w:val="center"/>
              <w:rPr>
                <w:rFonts w:hint="eastAsia" w:ascii="仿宋_GB2312" w:hAnsi="宋体" w:eastAsia="仿宋_GB2312" w:cs="宋体"/>
                <w:kern w:val="0"/>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75BCBE6C">
            <w:pPr>
              <w:spacing w:line="380" w:lineRule="exact"/>
              <w:jc w:val="center"/>
              <w:rPr>
                <w:rFonts w:hint="eastAsia" w:ascii="仿宋_GB2312" w:hAnsi="宋体" w:eastAsia="仿宋_GB2312" w:cs="宋体"/>
                <w:kern w:val="0"/>
                <w:sz w:val="24"/>
              </w:rPr>
            </w:pPr>
          </w:p>
        </w:tc>
        <w:tc>
          <w:tcPr>
            <w:tcW w:w="2491" w:type="dxa"/>
            <w:tcBorders>
              <w:top w:val="single" w:color="auto" w:sz="4" w:space="0"/>
              <w:left w:val="single" w:color="auto" w:sz="4" w:space="0"/>
              <w:bottom w:val="single" w:color="auto" w:sz="4" w:space="0"/>
              <w:right w:val="single" w:color="auto" w:sz="4" w:space="0"/>
            </w:tcBorders>
            <w:vAlign w:val="center"/>
          </w:tcPr>
          <w:p w14:paraId="64E223D4">
            <w:pPr>
              <w:spacing w:line="380" w:lineRule="exact"/>
              <w:jc w:val="center"/>
              <w:rPr>
                <w:rFonts w:hint="eastAsia" w:ascii="仿宋_GB2312" w:hAnsi="宋体" w:eastAsia="仿宋_GB2312" w:cs="宋体"/>
                <w:kern w:val="0"/>
                <w:sz w:val="24"/>
              </w:rPr>
            </w:pPr>
          </w:p>
        </w:tc>
      </w:tr>
      <w:tr w14:paraId="25583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14:paraId="60D0FD81">
            <w:pPr>
              <w:spacing w:line="380" w:lineRule="exact"/>
              <w:jc w:val="center"/>
              <w:rPr>
                <w:rFonts w:hint="eastAsia" w:ascii="仿宋_GB2312" w:hAnsi="宋体" w:eastAsia="仿宋_GB2312" w:cs="宋体"/>
                <w:kern w:val="0"/>
                <w:sz w:val="24"/>
              </w:rPr>
            </w:pPr>
            <w:r>
              <w:rPr>
                <w:rFonts w:ascii="仿宋_GB2312" w:hAnsi="宋体" w:eastAsia="仿宋_GB2312" w:cs="宋体"/>
                <w:kern w:val="0"/>
                <w:sz w:val="24"/>
              </w:rPr>
              <w:t>4</w:t>
            </w:r>
          </w:p>
        </w:tc>
        <w:tc>
          <w:tcPr>
            <w:tcW w:w="4961" w:type="dxa"/>
            <w:gridSpan w:val="2"/>
            <w:tcBorders>
              <w:top w:val="single" w:color="auto" w:sz="4" w:space="0"/>
              <w:left w:val="single" w:color="auto" w:sz="4" w:space="0"/>
              <w:bottom w:val="single" w:color="auto" w:sz="4" w:space="0"/>
              <w:right w:val="single" w:color="auto" w:sz="4" w:space="0"/>
            </w:tcBorders>
            <w:vAlign w:val="center"/>
          </w:tcPr>
          <w:p w14:paraId="4C9A2723">
            <w:pPr>
              <w:spacing w:line="380" w:lineRule="exact"/>
              <w:jc w:val="center"/>
              <w:rPr>
                <w:rFonts w:hint="eastAsia" w:ascii="仿宋_GB2312" w:hAnsi="宋体" w:eastAsia="仿宋_GB2312" w:cs="宋体"/>
                <w:kern w:val="0"/>
                <w:sz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50DC4B6C">
            <w:pPr>
              <w:spacing w:line="380" w:lineRule="exact"/>
              <w:jc w:val="center"/>
              <w:rPr>
                <w:rFonts w:hint="eastAsia" w:ascii="仿宋_GB2312" w:hAnsi="宋体" w:eastAsia="仿宋_GB2312" w:cs="宋体"/>
                <w:kern w:val="0"/>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2E4642AE">
            <w:pPr>
              <w:spacing w:line="380" w:lineRule="exact"/>
              <w:jc w:val="center"/>
              <w:rPr>
                <w:rFonts w:hint="eastAsia" w:ascii="仿宋_GB2312" w:hAnsi="宋体" w:eastAsia="仿宋_GB2312" w:cs="宋体"/>
                <w:kern w:val="0"/>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5878DBE2">
            <w:pPr>
              <w:spacing w:line="380" w:lineRule="exact"/>
              <w:jc w:val="center"/>
              <w:rPr>
                <w:rFonts w:hint="eastAsia" w:ascii="仿宋_GB2312" w:hAnsi="宋体" w:eastAsia="仿宋_GB2312" w:cs="宋体"/>
                <w:kern w:val="0"/>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2F9862AA">
            <w:pPr>
              <w:spacing w:line="380" w:lineRule="exact"/>
              <w:jc w:val="center"/>
              <w:rPr>
                <w:rFonts w:hint="eastAsia" w:ascii="仿宋_GB2312" w:hAnsi="宋体" w:eastAsia="仿宋_GB2312" w:cs="宋体"/>
                <w:kern w:val="0"/>
                <w:sz w:val="24"/>
              </w:rPr>
            </w:pPr>
          </w:p>
        </w:tc>
        <w:tc>
          <w:tcPr>
            <w:tcW w:w="2491" w:type="dxa"/>
            <w:tcBorders>
              <w:top w:val="single" w:color="auto" w:sz="4" w:space="0"/>
              <w:left w:val="single" w:color="auto" w:sz="4" w:space="0"/>
              <w:bottom w:val="single" w:color="auto" w:sz="4" w:space="0"/>
              <w:right w:val="single" w:color="auto" w:sz="4" w:space="0"/>
            </w:tcBorders>
            <w:vAlign w:val="center"/>
          </w:tcPr>
          <w:p w14:paraId="040DED60">
            <w:pPr>
              <w:spacing w:line="380" w:lineRule="exact"/>
              <w:jc w:val="center"/>
              <w:rPr>
                <w:rFonts w:hint="eastAsia" w:ascii="仿宋_GB2312" w:hAnsi="宋体" w:eastAsia="仿宋_GB2312" w:cs="宋体"/>
                <w:kern w:val="0"/>
                <w:sz w:val="24"/>
              </w:rPr>
            </w:pPr>
          </w:p>
        </w:tc>
      </w:tr>
      <w:tr w14:paraId="7BBD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jc w:val="center"/>
        </w:trPr>
        <w:tc>
          <w:tcPr>
            <w:tcW w:w="725" w:type="dxa"/>
            <w:tcBorders>
              <w:top w:val="single" w:color="auto" w:sz="4" w:space="0"/>
              <w:left w:val="single" w:color="auto" w:sz="4" w:space="0"/>
              <w:bottom w:val="single" w:color="auto" w:sz="4" w:space="0"/>
              <w:right w:val="single" w:color="auto" w:sz="4" w:space="0"/>
            </w:tcBorders>
            <w:vAlign w:val="center"/>
          </w:tcPr>
          <w:p w14:paraId="4481D155">
            <w:pPr>
              <w:spacing w:line="380" w:lineRule="exact"/>
              <w:jc w:val="center"/>
              <w:rPr>
                <w:rFonts w:hint="eastAsia" w:ascii="仿宋_GB2312" w:hAnsi="宋体" w:eastAsia="仿宋_GB2312" w:cs="宋体"/>
                <w:kern w:val="0"/>
                <w:sz w:val="24"/>
              </w:rPr>
            </w:pPr>
            <w:r>
              <w:rPr>
                <w:rFonts w:ascii="仿宋_GB2312" w:hAnsi="宋体" w:eastAsia="仿宋_GB2312" w:cs="宋体"/>
                <w:kern w:val="0"/>
                <w:sz w:val="24"/>
              </w:rPr>
              <w:t>5</w:t>
            </w:r>
          </w:p>
        </w:tc>
        <w:tc>
          <w:tcPr>
            <w:tcW w:w="4961" w:type="dxa"/>
            <w:gridSpan w:val="2"/>
            <w:tcBorders>
              <w:top w:val="single" w:color="auto" w:sz="4" w:space="0"/>
              <w:left w:val="single" w:color="auto" w:sz="4" w:space="0"/>
              <w:bottom w:val="single" w:color="auto" w:sz="4" w:space="0"/>
              <w:right w:val="single" w:color="auto" w:sz="4" w:space="0"/>
            </w:tcBorders>
            <w:vAlign w:val="center"/>
          </w:tcPr>
          <w:p w14:paraId="434876FB">
            <w:pPr>
              <w:widowControl/>
              <w:jc w:val="center"/>
              <w:textAlignment w:val="center"/>
              <w:rPr>
                <w:rFonts w:hint="eastAsia" w:ascii="仿宋_GB2312" w:hAnsi="宋体" w:eastAsia="仿宋_GB2312" w:cs="宋体"/>
                <w:kern w:val="0"/>
                <w:sz w:val="24"/>
              </w:rPr>
            </w:pPr>
          </w:p>
        </w:tc>
        <w:tc>
          <w:tcPr>
            <w:tcW w:w="709" w:type="dxa"/>
            <w:tcBorders>
              <w:top w:val="single" w:color="auto" w:sz="4" w:space="0"/>
              <w:left w:val="single" w:color="auto" w:sz="4" w:space="0"/>
              <w:bottom w:val="single" w:color="auto" w:sz="4" w:space="0"/>
              <w:right w:val="single" w:color="auto" w:sz="4" w:space="0"/>
            </w:tcBorders>
            <w:vAlign w:val="center"/>
          </w:tcPr>
          <w:p w14:paraId="4E095180">
            <w:pPr>
              <w:spacing w:line="380" w:lineRule="exact"/>
              <w:jc w:val="center"/>
              <w:rPr>
                <w:rFonts w:hint="eastAsia" w:ascii="仿宋_GB2312" w:hAnsi="宋体" w:eastAsia="仿宋_GB2312" w:cs="宋体"/>
                <w:kern w:val="0"/>
                <w:sz w:val="24"/>
              </w:rPr>
            </w:pPr>
          </w:p>
        </w:tc>
        <w:tc>
          <w:tcPr>
            <w:tcW w:w="1417" w:type="dxa"/>
            <w:tcBorders>
              <w:top w:val="single" w:color="auto" w:sz="4" w:space="0"/>
              <w:left w:val="single" w:color="auto" w:sz="4" w:space="0"/>
              <w:bottom w:val="single" w:color="auto" w:sz="4" w:space="0"/>
              <w:right w:val="single" w:color="auto" w:sz="4" w:space="0"/>
            </w:tcBorders>
            <w:vAlign w:val="center"/>
          </w:tcPr>
          <w:p w14:paraId="56887EEE">
            <w:pPr>
              <w:spacing w:line="380" w:lineRule="exact"/>
              <w:jc w:val="center"/>
              <w:rPr>
                <w:rFonts w:hint="eastAsia" w:ascii="仿宋_GB2312" w:hAnsi="宋体" w:eastAsia="仿宋_GB2312" w:cs="宋体"/>
                <w:kern w:val="0"/>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4D7A4BB9">
            <w:pPr>
              <w:spacing w:line="380" w:lineRule="exact"/>
              <w:jc w:val="center"/>
              <w:rPr>
                <w:rFonts w:hint="eastAsia" w:ascii="仿宋_GB2312" w:hAnsi="宋体" w:eastAsia="仿宋_GB2312" w:cs="宋体"/>
                <w:kern w:val="0"/>
                <w:sz w:val="24"/>
              </w:rPr>
            </w:pPr>
          </w:p>
        </w:tc>
        <w:tc>
          <w:tcPr>
            <w:tcW w:w="1701" w:type="dxa"/>
            <w:tcBorders>
              <w:top w:val="single" w:color="auto" w:sz="4" w:space="0"/>
              <w:left w:val="single" w:color="auto" w:sz="4" w:space="0"/>
              <w:bottom w:val="single" w:color="auto" w:sz="4" w:space="0"/>
              <w:right w:val="single" w:color="auto" w:sz="4" w:space="0"/>
            </w:tcBorders>
            <w:vAlign w:val="center"/>
          </w:tcPr>
          <w:p w14:paraId="67B7DB2F">
            <w:pPr>
              <w:spacing w:line="380" w:lineRule="exact"/>
              <w:jc w:val="center"/>
              <w:rPr>
                <w:rFonts w:hint="eastAsia" w:ascii="仿宋_GB2312" w:hAnsi="宋体" w:eastAsia="仿宋_GB2312" w:cs="宋体"/>
                <w:kern w:val="0"/>
                <w:sz w:val="24"/>
              </w:rPr>
            </w:pPr>
          </w:p>
        </w:tc>
        <w:tc>
          <w:tcPr>
            <w:tcW w:w="2491" w:type="dxa"/>
            <w:tcBorders>
              <w:top w:val="single" w:color="auto" w:sz="4" w:space="0"/>
              <w:left w:val="single" w:color="auto" w:sz="4" w:space="0"/>
              <w:bottom w:val="single" w:color="auto" w:sz="4" w:space="0"/>
              <w:right w:val="single" w:color="auto" w:sz="4" w:space="0"/>
            </w:tcBorders>
            <w:vAlign w:val="center"/>
          </w:tcPr>
          <w:p w14:paraId="13609842">
            <w:pPr>
              <w:spacing w:line="380" w:lineRule="exact"/>
              <w:jc w:val="center"/>
              <w:rPr>
                <w:rFonts w:hint="eastAsia" w:ascii="仿宋_GB2312" w:hAnsi="宋体" w:eastAsia="仿宋_GB2312" w:cs="宋体"/>
                <w:kern w:val="0"/>
                <w:sz w:val="24"/>
              </w:rPr>
            </w:pPr>
          </w:p>
        </w:tc>
      </w:tr>
      <w:tr w14:paraId="31B3D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atLeast"/>
          <w:jc w:val="center"/>
        </w:trPr>
        <w:tc>
          <w:tcPr>
            <w:tcW w:w="2112" w:type="dxa"/>
            <w:gridSpan w:val="2"/>
            <w:tcBorders>
              <w:top w:val="single" w:color="auto" w:sz="4" w:space="0"/>
              <w:left w:val="single" w:color="auto" w:sz="4" w:space="0"/>
              <w:bottom w:val="single" w:color="auto" w:sz="4" w:space="0"/>
              <w:right w:val="single" w:color="auto" w:sz="4" w:space="0"/>
            </w:tcBorders>
          </w:tcPr>
          <w:p w14:paraId="3B1FEE93">
            <w:pPr>
              <w:spacing w:line="380" w:lineRule="exact"/>
              <w:rPr>
                <w:rFonts w:hint="eastAsia" w:ascii="仿宋_GB2312" w:hAnsi="宋体" w:eastAsia="仿宋_GB2312" w:cs="宋体"/>
                <w:kern w:val="0"/>
                <w:sz w:val="24"/>
              </w:rPr>
            </w:pPr>
          </w:p>
        </w:tc>
        <w:tc>
          <w:tcPr>
            <w:tcW w:w="11593" w:type="dxa"/>
            <w:gridSpan w:val="6"/>
            <w:tcBorders>
              <w:top w:val="single" w:color="auto" w:sz="4" w:space="0"/>
              <w:left w:val="single" w:color="auto" w:sz="4" w:space="0"/>
              <w:bottom w:val="single" w:color="auto" w:sz="4" w:space="0"/>
              <w:right w:val="single" w:color="auto" w:sz="4" w:space="0"/>
            </w:tcBorders>
            <w:vAlign w:val="center"/>
          </w:tcPr>
          <w:p w14:paraId="531041A9">
            <w:pPr>
              <w:spacing w:line="380" w:lineRule="exact"/>
              <w:rPr>
                <w:rFonts w:hint="eastAsia" w:ascii="仿宋_GB2312" w:hAnsi="宋体" w:eastAsia="仿宋_GB2312" w:cs="宋体"/>
                <w:kern w:val="0"/>
                <w:sz w:val="24"/>
              </w:rPr>
            </w:pPr>
            <w:r>
              <w:rPr>
                <w:rFonts w:hint="eastAsia" w:ascii="仿宋_GB2312" w:hAnsi="宋体" w:eastAsia="仿宋_GB2312" w:cs="宋体"/>
                <w:kern w:val="0"/>
                <w:sz w:val="24"/>
              </w:rPr>
              <w:t xml:space="preserve">总价：大写：                                                 小写：               </w:t>
            </w:r>
          </w:p>
        </w:tc>
      </w:tr>
    </w:tbl>
    <w:p w14:paraId="5C1CB20B"/>
    <w:p w14:paraId="53E7256A">
      <w:pPr>
        <w:spacing w:line="380" w:lineRule="exact"/>
        <w:rPr>
          <w:b/>
        </w:rPr>
      </w:pPr>
      <w:r>
        <w:rPr>
          <w:rFonts w:hint="eastAsia"/>
          <w:b/>
        </w:rPr>
        <w:t>报价供应商提交的报价文件中与本询价函的要求有不同时，应在报价文件中特别说明，否则视为报价供应商接受本询价函的所有要求。报价供应商存在弄虚作假行为的，将依法承担相应的法律责任。</w:t>
      </w:r>
    </w:p>
    <w:p w14:paraId="6593300B">
      <w:pPr>
        <w:spacing w:line="380" w:lineRule="exact"/>
        <w:rPr>
          <w:b/>
        </w:rPr>
      </w:pPr>
      <w:r>
        <w:rPr>
          <w:rFonts w:hint="eastAsia"/>
          <w:b/>
        </w:rPr>
        <w:t xml:space="preserve">                                                                      报价供应商盖章：</w:t>
      </w:r>
    </w:p>
    <w:p w14:paraId="5AA6FC59">
      <w:pPr>
        <w:spacing w:line="380" w:lineRule="exact"/>
        <w:rPr>
          <w:b/>
        </w:rPr>
      </w:pPr>
      <w:r>
        <w:rPr>
          <w:rFonts w:hint="eastAsia"/>
          <w:b/>
        </w:rPr>
        <w:t xml:space="preserve">                                                                      联系人及联系方式：</w:t>
      </w:r>
    </w:p>
    <w:p w14:paraId="532BC0D1">
      <w:pPr>
        <w:spacing w:line="380" w:lineRule="exact"/>
      </w:pPr>
      <w:r>
        <w:rPr>
          <w:rFonts w:hint="eastAsia"/>
          <w:b/>
        </w:rPr>
        <w:t xml:space="preserve">                                                                      </w:t>
      </w:r>
    </w:p>
    <w:sectPr>
      <w:pgSz w:w="16838" w:h="11906" w:orient="landscape"/>
      <w:pgMar w:top="1797" w:right="1440" w:bottom="1797" w:left="144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0C818B">
    <w:pPr>
      <w:pStyle w:val="4"/>
      <w:framePr w:wrap="around" w:vAnchor="text" w:hAnchor="margin" w:xAlign="center" w:y="1"/>
      <w:rPr>
        <w:rStyle w:val="8"/>
      </w:rPr>
    </w:pPr>
    <w:r>
      <w:fldChar w:fldCharType="begin"/>
    </w:r>
    <w:r>
      <w:rPr>
        <w:rStyle w:val="8"/>
      </w:rPr>
      <w:instrText xml:space="preserve">PAGE  </w:instrText>
    </w:r>
    <w:r>
      <w:fldChar w:fldCharType="separate"/>
    </w:r>
    <w:r>
      <w:rPr>
        <w:rStyle w:val="8"/>
      </w:rPr>
      <w:t>1</w:t>
    </w:r>
    <w:r>
      <w:fldChar w:fldCharType="end"/>
    </w:r>
  </w:p>
  <w:p w14:paraId="1CD262A7">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36DA3">
    <w:pPr>
      <w:pStyle w:val="4"/>
      <w:framePr w:wrap="around" w:vAnchor="text" w:hAnchor="margin" w:xAlign="center" w:y="1"/>
      <w:rPr>
        <w:rStyle w:val="8"/>
      </w:rPr>
    </w:pPr>
    <w:r>
      <w:fldChar w:fldCharType="begin"/>
    </w:r>
    <w:r>
      <w:rPr>
        <w:rStyle w:val="8"/>
      </w:rPr>
      <w:instrText xml:space="preserve">PAGE  </w:instrText>
    </w:r>
    <w:r>
      <w:fldChar w:fldCharType="end"/>
    </w:r>
  </w:p>
  <w:p w14:paraId="7051F0A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1C5D3">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D14C4B"/>
    <w:multiLevelType w:val="multilevel"/>
    <w:tmpl w:val="39D14C4B"/>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50C87"/>
    <w:rsid w:val="00001A5F"/>
    <w:rsid w:val="0001109C"/>
    <w:rsid w:val="00022253"/>
    <w:rsid w:val="00044515"/>
    <w:rsid w:val="00044A5D"/>
    <w:rsid w:val="00053786"/>
    <w:rsid w:val="00056944"/>
    <w:rsid w:val="000637CA"/>
    <w:rsid w:val="0007077F"/>
    <w:rsid w:val="00072405"/>
    <w:rsid w:val="0007658D"/>
    <w:rsid w:val="00093C7D"/>
    <w:rsid w:val="00094BA2"/>
    <w:rsid w:val="00094F5B"/>
    <w:rsid w:val="00096E60"/>
    <w:rsid w:val="000A37E2"/>
    <w:rsid w:val="000B2212"/>
    <w:rsid w:val="000C3C9F"/>
    <w:rsid w:val="000D0D69"/>
    <w:rsid w:val="000E44FC"/>
    <w:rsid w:val="000E7AE8"/>
    <w:rsid w:val="00110293"/>
    <w:rsid w:val="00121C38"/>
    <w:rsid w:val="00156185"/>
    <w:rsid w:val="00157D7F"/>
    <w:rsid w:val="00166D5D"/>
    <w:rsid w:val="00170A45"/>
    <w:rsid w:val="001768B1"/>
    <w:rsid w:val="00177A44"/>
    <w:rsid w:val="00184164"/>
    <w:rsid w:val="001854E3"/>
    <w:rsid w:val="00192D90"/>
    <w:rsid w:val="001A4B1D"/>
    <w:rsid w:val="001C1872"/>
    <w:rsid w:val="001E042F"/>
    <w:rsid w:val="001E7352"/>
    <w:rsid w:val="001E78A9"/>
    <w:rsid w:val="001F568C"/>
    <w:rsid w:val="001F5BA2"/>
    <w:rsid w:val="001F659F"/>
    <w:rsid w:val="002022B1"/>
    <w:rsid w:val="002110E1"/>
    <w:rsid w:val="0022004A"/>
    <w:rsid w:val="0022061F"/>
    <w:rsid w:val="00223C99"/>
    <w:rsid w:val="0022469A"/>
    <w:rsid w:val="00226DC1"/>
    <w:rsid w:val="002307E1"/>
    <w:rsid w:val="00236D93"/>
    <w:rsid w:val="00236FA2"/>
    <w:rsid w:val="0023784C"/>
    <w:rsid w:val="002425B3"/>
    <w:rsid w:val="00243325"/>
    <w:rsid w:val="00244D4F"/>
    <w:rsid w:val="002458EA"/>
    <w:rsid w:val="00263B31"/>
    <w:rsid w:val="002842D0"/>
    <w:rsid w:val="0029039D"/>
    <w:rsid w:val="00291557"/>
    <w:rsid w:val="00295826"/>
    <w:rsid w:val="00296AC3"/>
    <w:rsid w:val="002A3D8C"/>
    <w:rsid w:val="002A40C3"/>
    <w:rsid w:val="002B4A04"/>
    <w:rsid w:val="002C0785"/>
    <w:rsid w:val="002C2B9B"/>
    <w:rsid w:val="002C35EB"/>
    <w:rsid w:val="002C3AF5"/>
    <w:rsid w:val="002D0436"/>
    <w:rsid w:val="002D45CC"/>
    <w:rsid w:val="002D5276"/>
    <w:rsid w:val="002E1EAB"/>
    <w:rsid w:val="002E2BEC"/>
    <w:rsid w:val="002E31B3"/>
    <w:rsid w:val="002F5CB8"/>
    <w:rsid w:val="00305009"/>
    <w:rsid w:val="00315013"/>
    <w:rsid w:val="00315AF5"/>
    <w:rsid w:val="00326772"/>
    <w:rsid w:val="0032726B"/>
    <w:rsid w:val="00335EEF"/>
    <w:rsid w:val="0034739F"/>
    <w:rsid w:val="003565A3"/>
    <w:rsid w:val="003675E9"/>
    <w:rsid w:val="00377907"/>
    <w:rsid w:val="0038164C"/>
    <w:rsid w:val="00386FB6"/>
    <w:rsid w:val="003970F9"/>
    <w:rsid w:val="003A04F0"/>
    <w:rsid w:val="003A55BD"/>
    <w:rsid w:val="003A5A3C"/>
    <w:rsid w:val="003A701C"/>
    <w:rsid w:val="003B1588"/>
    <w:rsid w:val="003E64D5"/>
    <w:rsid w:val="003F39D8"/>
    <w:rsid w:val="003F6565"/>
    <w:rsid w:val="00405A00"/>
    <w:rsid w:val="00423253"/>
    <w:rsid w:val="00430ABA"/>
    <w:rsid w:val="00432BD3"/>
    <w:rsid w:val="00452827"/>
    <w:rsid w:val="00461E94"/>
    <w:rsid w:val="004738AE"/>
    <w:rsid w:val="00474244"/>
    <w:rsid w:val="004872FD"/>
    <w:rsid w:val="00487962"/>
    <w:rsid w:val="004A08D5"/>
    <w:rsid w:val="004B2D2E"/>
    <w:rsid w:val="004C4089"/>
    <w:rsid w:val="004C72BD"/>
    <w:rsid w:val="004E13FC"/>
    <w:rsid w:val="004E495F"/>
    <w:rsid w:val="004F742D"/>
    <w:rsid w:val="00501011"/>
    <w:rsid w:val="0051406E"/>
    <w:rsid w:val="00520B4B"/>
    <w:rsid w:val="00524B43"/>
    <w:rsid w:val="00534A68"/>
    <w:rsid w:val="005471D2"/>
    <w:rsid w:val="00550037"/>
    <w:rsid w:val="00556113"/>
    <w:rsid w:val="00556BE7"/>
    <w:rsid w:val="005609A1"/>
    <w:rsid w:val="00562CAB"/>
    <w:rsid w:val="00566EA0"/>
    <w:rsid w:val="00570975"/>
    <w:rsid w:val="00571598"/>
    <w:rsid w:val="00574724"/>
    <w:rsid w:val="005866F1"/>
    <w:rsid w:val="005940B3"/>
    <w:rsid w:val="0059428D"/>
    <w:rsid w:val="00597AA2"/>
    <w:rsid w:val="00597B71"/>
    <w:rsid w:val="005A5AEC"/>
    <w:rsid w:val="005B0BEE"/>
    <w:rsid w:val="005B35F4"/>
    <w:rsid w:val="005B4AFB"/>
    <w:rsid w:val="005D1400"/>
    <w:rsid w:val="005E694E"/>
    <w:rsid w:val="00600F0B"/>
    <w:rsid w:val="006065D4"/>
    <w:rsid w:val="00610D08"/>
    <w:rsid w:val="0061220A"/>
    <w:rsid w:val="00615B21"/>
    <w:rsid w:val="0061607E"/>
    <w:rsid w:val="00626C53"/>
    <w:rsid w:val="0063224E"/>
    <w:rsid w:val="006420B6"/>
    <w:rsid w:val="00642BFB"/>
    <w:rsid w:val="00653035"/>
    <w:rsid w:val="00656EAB"/>
    <w:rsid w:val="00661D94"/>
    <w:rsid w:val="00670622"/>
    <w:rsid w:val="00671AEF"/>
    <w:rsid w:val="0067360C"/>
    <w:rsid w:val="00692BF0"/>
    <w:rsid w:val="006A38E4"/>
    <w:rsid w:val="006C448B"/>
    <w:rsid w:val="006C7248"/>
    <w:rsid w:val="006E4A46"/>
    <w:rsid w:val="006F77F7"/>
    <w:rsid w:val="0070659E"/>
    <w:rsid w:val="00716A72"/>
    <w:rsid w:val="0072466E"/>
    <w:rsid w:val="00726B79"/>
    <w:rsid w:val="0073014B"/>
    <w:rsid w:val="00744F74"/>
    <w:rsid w:val="007452A9"/>
    <w:rsid w:val="00745EF6"/>
    <w:rsid w:val="00753069"/>
    <w:rsid w:val="0075547B"/>
    <w:rsid w:val="00763543"/>
    <w:rsid w:val="00765133"/>
    <w:rsid w:val="00775249"/>
    <w:rsid w:val="007A3B4D"/>
    <w:rsid w:val="007A6986"/>
    <w:rsid w:val="007B6334"/>
    <w:rsid w:val="007B6435"/>
    <w:rsid w:val="007B757D"/>
    <w:rsid w:val="007C46E6"/>
    <w:rsid w:val="007C5B4E"/>
    <w:rsid w:val="007D4DD4"/>
    <w:rsid w:val="007E6307"/>
    <w:rsid w:val="007E7A85"/>
    <w:rsid w:val="0080116D"/>
    <w:rsid w:val="008042DD"/>
    <w:rsid w:val="00804846"/>
    <w:rsid w:val="00811070"/>
    <w:rsid w:val="0081557A"/>
    <w:rsid w:val="008167D5"/>
    <w:rsid w:val="00816F5C"/>
    <w:rsid w:val="00817679"/>
    <w:rsid w:val="00826526"/>
    <w:rsid w:val="00834D45"/>
    <w:rsid w:val="008415F1"/>
    <w:rsid w:val="00843469"/>
    <w:rsid w:val="00844CBE"/>
    <w:rsid w:val="0085307F"/>
    <w:rsid w:val="00856236"/>
    <w:rsid w:val="008623EC"/>
    <w:rsid w:val="008722FB"/>
    <w:rsid w:val="00877C93"/>
    <w:rsid w:val="00885EFB"/>
    <w:rsid w:val="008B1EAA"/>
    <w:rsid w:val="008E066A"/>
    <w:rsid w:val="008E54FD"/>
    <w:rsid w:val="008E6698"/>
    <w:rsid w:val="008F7F7F"/>
    <w:rsid w:val="009103F6"/>
    <w:rsid w:val="009204FF"/>
    <w:rsid w:val="00922229"/>
    <w:rsid w:val="00931296"/>
    <w:rsid w:val="00954117"/>
    <w:rsid w:val="009612BE"/>
    <w:rsid w:val="0096651E"/>
    <w:rsid w:val="00974ADA"/>
    <w:rsid w:val="00975158"/>
    <w:rsid w:val="0097728E"/>
    <w:rsid w:val="00980AB5"/>
    <w:rsid w:val="00990586"/>
    <w:rsid w:val="00995364"/>
    <w:rsid w:val="009A5371"/>
    <w:rsid w:val="009C507C"/>
    <w:rsid w:val="009D4841"/>
    <w:rsid w:val="009F1E03"/>
    <w:rsid w:val="009F42BA"/>
    <w:rsid w:val="00A004D5"/>
    <w:rsid w:val="00A025FA"/>
    <w:rsid w:val="00A0390F"/>
    <w:rsid w:val="00A13682"/>
    <w:rsid w:val="00A14716"/>
    <w:rsid w:val="00A17196"/>
    <w:rsid w:val="00A43DF1"/>
    <w:rsid w:val="00A458C9"/>
    <w:rsid w:val="00A46104"/>
    <w:rsid w:val="00A54355"/>
    <w:rsid w:val="00A55AE1"/>
    <w:rsid w:val="00A756FB"/>
    <w:rsid w:val="00A86DF5"/>
    <w:rsid w:val="00A87AFE"/>
    <w:rsid w:val="00A91A0E"/>
    <w:rsid w:val="00AB16A7"/>
    <w:rsid w:val="00AB4D23"/>
    <w:rsid w:val="00AE6EA5"/>
    <w:rsid w:val="00AF6616"/>
    <w:rsid w:val="00B0046A"/>
    <w:rsid w:val="00B03A46"/>
    <w:rsid w:val="00B132C4"/>
    <w:rsid w:val="00B1739A"/>
    <w:rsid w:val="00B23DA9"/>
    <w:rsid w:val="00B2650C"/>
    <w:rsid w:val="00B41A73"/>
    <w:rsid w:val="00B4378A"/>
    <w:rsid w:val="00B53CDB"/>
    <w:rsid w:val="00B60A33"/>
    <w:rsid w:val="00B657AD"/>
    <w:rsid w:val="00B73DB5"/>
    <w:rsid w:val="00B8709D"/>
    <w:rsid w:val="00B9025B"/>
    <w:rsid w:val="00B91DC7"/>
    <w:rsid w:val="00B92E0B"/>
    <w:rsid w:val="00B94EF6"/>
    <w:rsid w:val="00BA3893"/>
    <w:rsid w:val="00BA6485"/>
    <w:rsid w:val="00BC14BF"/>
    <w:rsid w:val="00BD08E9"/>
    <w:rsid w:val="00BD0C20"/>
    <w:rsid w:val="00BD21A3"/>
    <w:rsid w:val="00BD3BD4"/>
    <w:rsid w:val="00BD682C"/>
    <w:rsid w:val="00BD6DD2"/>
    <w:rsid w:val="00BE123C"/>
    <w:rsid w:val="00BE6D7E"/>
    <w:rsid w:val="00BE6F73"/>
    <w:rsid w:val="00BF0DDF"/>
    <w:rsid w:val="00BF62FF"/>
    <w:rsid w:val="00C026B6"/>
    <w:rsid w:val="00C0419C"/>
    <w:rsid w:val="00C06831"/>
    <w:rsid w:val="00C15845"/>
    <w:rsid w:val="00C201C4"/>
    <w:rsid w:val="00C2425B"/>
    <w:rsid w:val="00C3155C"/>
    <w:rsid w:val="00C44FAD"/>
    <w:rsid w:val="00C51F37"/>
    <w:rsid w:val="00C5402D"/>
    <w:rsid w:val="00C5733C"/>
    <w:rsid w:val="00C67A22"/>
    <w:rsid w:val="00C7699E"/>
    <w:rsid w:val="00C92115"/>
    <w:rsid w:val="00C925D7"/>
    <w:rsid w:val="00CB0F2B"/>
    <w:rsid w:val="00CB3864"/>
    <w:rsid w:val="00CB518C"/>
    <w:rsid w:val="00CB5D53"/>
    <w:rsid w:val="00CB6E9A"/>
    <w:rsid w:val="00CD00D8"/>
    <w:rsid w:val="00CD097C"/>
    <w:rsid w:val="00CF0E7F"/>
    <w:rsid w:val="00CF2DD1"/>
    <w:rsid w:val="00D01587"/>
    <w:rsid w:val="00D23F47"/>
    <w:rsid w:val="00D257F1"/>
    <w:rsid w:val="00D33421"/>
    <w:rsid w:val="00D340DC"/>
    <w:rsid w:val="00D443E3"/>
    <w:rsid w:val="00D5731D"/>
    <w:rsid w:val="00D60C7E"/>
    <w:rsid w:val="00D65416"/>
    <w:rsid w:val="00D65620"/>
    <w:rsid w:val="00D9590C"/>
    <w:rsid w:val="00D96854"/>
    <w:rsid w:val="00DA5036"/>
    <w:rsid w:val="00DA5E9C"/>
    <w:rsid w:val="00DA6064"/>
    <w:rsid w:val="00DB004C"/>
    <w:rsid w:val="00DB364E"/>
    <w:rsid w:val="00DB3C19"/>
    <w:rsid w:val="00DB3C37"/>
    <w:rsid w:val="00DB55E5"/>
    <w:rsid w:val="00DC70EE"/>
    <w:rsid w:val="00DD3C09"/>
    <w:rsid w:val="00DD5940"/>
    <w:rsid w:val="00DE108C"/>
    <w:rsid w:val="00DE5DB8"/>
    <w:rsid w:val="00DE612F"/>
    <w:rsid w:val="00E020D3"/>
    <w:rsid w:val="00E10A21"/>
    <w:rsid w:val="00E116F8"/>
    <w:rsid w:val="00E140AB"/>
    <w:rsid w:val="00E14331"/>
    <w:rsid w:val="00E15409"/>
    <w:rsid w:val="00E161F2"/>
    <w:rsid w:val="00E1778B"/>
    <w:rsid w:val="00E2587E"/>
    <w:rsid w:val="00E37567"/>
    <w:rsid w:val="00E41982"/>
    <w:rsid w:val="00E442EB"/>
    <w:rsid w:val="00E50C87"/>
    <w:rsid w:val="00E512D6"/>
    <w:rsid w:val="00E5743D"/>
    <w:rsid w:val="00E5773A"/>
    <w:rsid w:val="00E61520"/>
    <w:rsid w:val="00E61EAE"/>
    <w:rsid w:val="00E633D9"/>
    <w:rsid w:val="00E63D49"/>
    <w:rsid w:val="00E71B4A"/>
    <w:rsid w:val="00E72861"/>
    <w:rsid w:val="00E73FC0"/>
    <w:rsid w:val="00E8025C"/>
    <w:rsid w:val="00E84F10"/>
    <w:rsid w:val="00E9151F"/>
    <w:rsid w:val="00E93CFB"/>
    <w:rsid w:val="00E946BD"/>
    <w:rsid w:val="00E94B57"/>
    <w:rsid w:val="00EA0CFA"/>
    <w:rsid w:val="00EB0EBB"/>
    <w:rsid w:val="00EB2624"/>
    <w:rsid w:val="00EB638F"/>
    <w:rsid w:val="00EC009E"/>
    <w:rsid w:val="00EC228D"/>
    <w:rsid w:val="00EC7B8B"/>
    <w:rsid w:val="00EE31CC"/>
    <w:rsid w:val="00EE669A"/>
    <w:rsid w:val="00EF6CA4"/>
    <w:rsid w:val="00F05217"/>
    <w:rsid w:val="00F11E8D"/>
    <w:rsid w:val="00F23C9F"/>
    <w:rsid w:val="00F31165"/>
    <w:rsid w:val="00F35C9D"/>
    <w:rsid w:val="00F36D4D"/>
    <w:rsid w:val="00F37AD1"/>
    <w:rsid w:val="00F51E48"/>
    <w:rsid w:val="00F60648"/>
    <w:rsid w:val="00F66698"/>
    <w:rsid w:val="00F73C87"/>
    <w:rsid w:val="00F7424B"/>
    <w:rsid w:val="00F9347E"/>
    <w:rsid w:val="00F94C5A"/>
    <w:rsid w:val="00F94DA5"/>
    <w:rsid w:val="00FB42A1"/>
    <w:rsid w:val="00FB7C91"/>
    <w:rsid w:val="00FC2283"/>
    <w:rsid w:val="00FC72EF"/>
    <w:rsid w:val="00FE16FE"/>
    <w:rsid w:val="00FE45D1"/>
    <w:rsid w:val="00FF3252"/>
    <w:rsid w:val="00FF3B7C"/>
    <w:rsid w:val="441F55F9"/>
    <w:rsid w:val="6BFD45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3"/>
    <w:semiHidden/>
    <w:unhideWhenUsed/>
    <w:qFormat/>
    <w:uiPriority w:val="99"/>
    <w:rPr>
      <w:rFonts w:ascii="宋体" w:hAnsi="Courier New" w:cs="Courier New"/>
      <w:szCs w:val="21"/>
    </w:rPr>
  </w:style>
  <w:style w:type="paragraph" w:styleId="3">
    <w:name w:val="Balloon Text"/>
    <w:basedOn w:val="1"/>
    <w:link w:val="14"/>
    <w:semiHidden/>
    <w:unhideWhenUsed/>
    <w:uiPriority w:val="99"/>
    <w:rPr>
      <w:sz w:val="18"/>
      <w:szCs w:val="18"/>
    </w:rPr>
  </w:style>
  <w:style w:type="paragraph" w:styleId="4">
    <w:name w:val="footer"/>
    <w:basedOn w:val="1"/>
    <w:link w:val="11"/>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8">
    <w:name w:val="page number"/>
    <w:basedOn w:val="7"/>
    <w:uiPriority w:val="0"/>
  </w:style>
  <w:style w:type="character" w:styleId="9">
    <w:name w:val="Hyperlink"/>
    <w:basedOn w:val="7"/>
    <w:unhideWhenUsed/>
    <w:qFormat/>
    <w:uiPriority w:val="99"/>
    <w:rPr>
      <w:color w:val="0000FF" w:themeColor="hyperlink"/>
      <w:u w:val="single"/>
    </w:rPr>
  </w:style>
  <w:style w:type="character" w:customStyle="1" w:styleId="10">
    <w:name w:val="页眉 字符"/>
    <w:basedOn w:val="7"/>
    <w:link w:val="5"/>
    <w:uiPriority w:val="99"/>
    <w:rPr>
      <w:sz w:val="18"/>
      <w:szCs w:val="18"/>
    </w:rPr>
  </w:style>
  <w:style w:type="character" w:customStyle="1" w:styleId="11">
    <w:name w:val="页脚 字符"/>
    <w:basedOn w:val="7"/>
    <w:link w:val="4"/>
    <w:uiPriority w:val="99"/>
    <w:rPr>
      <w:sz w:val="18"/>
      <w:szCs w:val="18"/>
    </w:rPr>
  </w:style>
  <w:style w:type="paragraph" w:customStyle="1" w:styleId="12">
    <w:name w:val="样式3"/>
    <w:basedOn w:val="2"/>
    <w:uiPriority w:val="0"/>
    <w:pPr>
      <w:spacing w:line="0" w:lineRule="atLeast"/>
      <w:outlineLvl w:val="0"/>
    </w:pPr>
    <w:rPr>
      <w:rFonts w:cs="Times New Roman"/>
      <w:sz w:val="28"/>
      <w:szCs w:val="20"/>
    </w:rPr>
  </w:style>
  <w:style w:type="character" w:customStyle="1" w:styleId="13">
    <w:name w:val="纯文本 字符"/>
    <w:basedOn w:val="7"/>
    <w:link w:val="2"/>
    <w:semiHidden/>
    <w:qFormat/>
    <w:uiPriority w:val="99"/>
    <w:rPr>
      <w:rFonts w:ascii="宋体" w:hAnsi="Courier New" w:eastAsia="宋体" w:cs="Courier New"/>
      <w:szCs w:val="21"/>
    </w:rPr>
  </w:style>
  <w:style w:type="character" w:customStyle="1" w:styleId="14">
    <w:name w:val="批注框文本 字符"/>
    <w:basedOn w:val="7"/>
    <w:link w:val="3"/>
    <w:semiHidden/>
    <w:qFormat/>
    <w:uiPriority w:val="99"/>
    <w:rPr>
      <w:rFonts w:ascii="Times New Roman" w:hAnsi="Times New Roman" w:eastAsia="宋体" w:cs="Times New Roman"/>
      <w:sz w:val="18"/>
      <w:szCs w:val="18"/>
    </w:rPr>
  </w:style>
  <w:style w:type="paragraph" w:styleId="15">
    <w:name w:val="List Paragraph"/>
    <w:basedOn w:val="1"/>
    <w:qFormat/>
    <w:uiPriority w:val="34"/>
    <w:pPr>
      <w:ind w:firstLine="420" w:firstLineChars="200"/>
    </w:pPr>
  </w:style>
  <w:style w:type="character" w:customStyle="1" w:styleId="16">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1937</Words>
  <Characters>2103</Characters>
  <Lines>95</Lines>
  <Paragraphs>96</Paragraphs>
  <TotalTime>2</TotalTime>
  <ScaleCrop>false</ScaleCrop>
  <LinksUpToDate>false</LinksUpToDate>
  <CharactersWithSpaces>2471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2019-09-23T08:25:00Z</dcterms:created>
  <dc:creator>林仁平</dc:creator>
  <cp:lastModifiedBy>26</cp:lastModifiedBy>
  <dcterms:modified xsi:type="dcterms:W3CDTF">2026-08-12T06:27:56Z</dcterms:modified>
  <cp:revision>168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eyJoZGlkIjoiOThmOTc0ZWYzNDdmOTIxMmM1NWY1YzQ0N2VkZTU5NjciLCJ1c2VySWQiOiIxMjAxNjc0MTg4In0=</vt:lpwstr>
  </property>
  <property fmtid="{D5CDD505-2E9C-101B-9397-08002B2CF9AE}" pid="3" name="KSOProductBuildVer">
    <vt:lpwstr>2052-12.1.0.28043</vt:lpwstr>
  </property>
  <property fmtid="{D5CDD505-2E9C-101B-9397-08002B2CF9AE}" pid="4" name="ICV">
    <vt:lpwstr>147A65A64CE34C1C8F4FB8936CFBC1B1_12</vt:lpwstr>
  </property>
</Properties>
</file>