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D2E467">
      <w:pPr>
        <w:spacing w:line="360" w:lineRule="auto"/>
        <w:rPr>
          <w:rFonts w:ascii="宋体" w:hAnsi="宋体"/>
          <w:b/>
          <w:color w:val="auto"/>
          <w:sz w:val="72"/>
          <w:highlight w:val="none"/>
        </w:rPr>
      </w:pPr>
      <w:bookmarkStart w:id="220" w:name="_GoBack"/>
    </w:p>
    <w:p w14:paraId="37A3532F">
      <w:pPr>
        <w:spacing w:line="360" w:lineRule="auto"/>
        <w:jc w:val="center"/>
        <w:rPr>
          <w:rFonts w:ascii="宋体" w:hAnsi="宋体"/>
          <w:b/>
          <w:color w:val="auto"/>
          <w:sz w:val="72"/>
          <w:highlight w:val="none"/>
        </w:rPr>
      </w:pPr>
      <w:r>
        <w:rPr>
          <w:rFonts w:hint="eastAsia" w:ascii="宋体" w:hAnsi="宋体"/>
          <w:b/>
          <w:color w:val="auto"/>
          <w:sz w:val="72"/>
          <w:highlight w:val="none"/>
        </w:rPr>
        <w:t>政</w:t>
      </w:r>
      <w:r>
        <w:rPr>
          <w:rFonts w:ascii="宋体" w:hAnsi="宋体"/>
          <w:b/>
          <w:color w:val="auto"/>
          <w:sz w:val="72"/>
          <w:highlight w:val="none"/>
        </w:rPr>
        <w:t xml:space="preserve"> </w:t>
      </w:r>
      <w:r>
        <w:rPr>
          <w:rFonts w:hint="eastAsia" w:ascii="宋体" w:hAnsi="宋体"/>
          <w:b/>
          <w:color w:val="auto"/>
          <w:sz w:val="72"/>
          <w:highlight w:val="none"/>
        </w:rPr>
        <w:t>府</w:t>
      </w:r>
      <w:r>
        <w:rPr>
          <w:rFonts w:ascii="宋体" w:hAnsi="宋体"/>
          <w:b/>
          <w:color w:val="auto"/>
          <w:sz w:val="72"/>
          <w:highlight w:val="none"/>
        </w:rPr>
        <w:t xml:space="preserve"> </w:t>
      </w:r>
      <w:r>
        <w:rPr>
          <w:rFonts w:hint="eastAsia" w:ascii="宋体" w:hAnsi="宋体"/>
          <w:b/>
          <w:color w:val="auto"/>
          <w:sz w:val="72"/>
          <w:highlight w:val="none"/>
        </w:rPr>
        <w:t>采</w:t>
      </w:r>
      <w:r>
        <w:rPr>
          <w:rFonts w:ascii="宋体" w:hAnsi="宋体"/>
          <w:b/>
          <w:color w:val="auto"/>
          <w:sz w:val="72"/>
          <w:highlight w:val="none"/>
        </w:rPr>
        <w:t xml:space="preserve"> </w:t>
      </w:r>
      <w:r>
        <w:rPr>
          <w:rFonts w:hint="eastAsia" w:ascii="宋体" w:hAnsi="宋体"/>
          <w:b/>
          <w:color w:val="auto"/>
          <w:sz w:val="72"/>
          <w:highlight w:val="none"/>
        </w:rPr>
        <w:t>购</w:t>
      </w:r>
      <w:r>
        <w:rPr>
          <w:rFonts w:ascii="宋体" w:hAnsi="宋体"/>
          <w:b/>
          <w:color w:val="auto"/>
          <w:sz w:val="72"/>
          <w:highlight w:val="none"/>
        </w:rPr>
        <w:t xml:space="preserve"> </w:t>
      </w:r>
      <w:r>
        <w:rPr>
          <w:rFonts w:hint="eastAsia" w:ascii="宋体" w:hAnsi="宋体"/>
          <w:b/>
          <w:color w:val="auto"/>
          <w:sz w:val="72"/>
          <w:highlight w:val="none"/>
        </w:rPr>
        <w:t>项</w:t>
      </w:r>
      <w:r>
        <w:rPr>
          <w:rFonts w:ascii="宋体" w:hAnsi="宋体"/>
          <w:b/>
          <w:color w:val="auto"/>
          <w:sz w:val="72"/>
          <w:highlight w:val="none"/>
        </w:rPr>
        <w:t xml:space="preserve"> </w:t>
      </w:r>
      <w:r>
        <w:rPr>
          <w:rFonts w:hint="eastAsia" w:ascii="宋体" w:hAnsi="宋体"/>
          <w:b/>
          <w:color w:val="auto"/>
          <w:sz w:val="72"/>
          <w:highlight w:val="none"/>
        </w:rPr>
        <w:t xml:space="preserve">目      </w:t>
      </w:r>
    </w:p>
    <w:p w14:paraId="57CFB55C">
      <w:pPr>
        <w:spacing w:line="360" w:lineRule="auto"/>
        <w:ind w:firstLine="1063" w:firstLineChars="147"/>
        <w:rPr>
          <w:rFonts w:ascii="宋体" w:hAnsi="宋体"/>
          <w:b/>
          <w:color w:val="auto"/>
          <w:sz w:val="72"/>
          <w:highlight w:val="none"/>
        </w:rPr>
      </w:pPr>
      <w:r>
        <w:rPr>
          <w:rFonts w:hint="eastAsia" w:ascii="宋体" w:hAnsi="宋体"/>
          <w:b/>
          <w:color w:val="auto"/>
          <w:sz w:val="72"/>
          <w:highlight w:val="none"/>
        </w:rPr>
        <w:t>招</w:t>
      </w:r>
      <w:r>
        <w:rPr>
          <w:rFonts w:ascii="宋体" w:hAnsi="宋体"/>
          <w:b/>
          <w:color w:val="auto"/>
          <w:sz w:val="72"/>
          <w:highlight w:val="none"/>
        </w:rPr>
        <w:t xml:space="preserve">   </w:t>
      </w:r>
      <w:r>
        <w:rPr>
          <w:rFonts w:hint="eastAsia" w:ascii="宋体" w:hAnsi="宋体"/>
          <w:b/>
          <w:color w:val="auto"/>
          <w:sz w:val="72"/>
          <w:highlight w:val="none"/>
        </w:rPr>
        <w:t>标</w:t>
      </w:r>
      <w:r>
        <w:rPr>
          <w:rFonts w:ascii="宋体" w:hAnsi="宋体"/>
          <w:b/>
          <w:color w:val="auto"/>
          <w:sz w:val="72"/>
          <w:highlight w:val="none"/>
        </w:rPr>
        <w:t xml:space="preserve">   </w:t>
      </w:r>
      <w:r>
        <w:rPr>
          <w:rFonts w:hint="eastAsia" w:ascii="宋体" w:hAnsi="宋体"/>
          <w:b/>
          <w:color w:val="auto"/>
          <w:sz w:val="72"/>
          <w:highlight w:val="none"/>
        </w:rPr>
        <w:t>文</w:t>
      </w:r>
      <w:r>
        <w:rPr>
          <w:rFonts w:ascii="宋体" w:hAnsi="宋体"/>
          <w:b/>
          <w:color w:val="auto"/>
          <w:sz w:val="72"/>
          <w:highlight w:val="none"/>
        </w:rPr>
        <w:t xml:space="preserve">   </w:t>
      </w:r>
      <w:r>
        <w:rPr>
          <w:rFonts w:hint="eastAsia" w:ascii="宋体" w:hAnsi="宋体"/>
          <w:b/>
          <w:color w:val="auto"/>
          <w:sz w:val="72"/>
          <w:highlight w:val="none"/>
        </w:rPr>
        <w:t>件</w:t>
      </w:r>
    </w:p>
    <w:p w14:paraId="3E52719D">
      <w:pPr>
        <w:spacing w:line="360" w:lineRule="auto"/>
        <w:ind w:firstLine="1438" w:firstLineChars="398"/>
        <w:rPr>
          <w:rFonts w:ascii="宋体" w:hAnsi="宋体"/>
          <w:b/>
          <w:color w:val="auto"/>
          <w:sz w:val="36"/>
          <w:highlight w:val="none"/>
        </w:rPr>
      </w:pPr>
    </w:p>
    <w:p w14:paraId="629E58C1">
      <w:pPr>
        <w:spacing w:line="360" w:lineRule="auto"/>
        <w:ind w:firstLine="1438" w:firstLineChars="398"/>
        <w:rPr>
          <w:rFonts w:ascii="宋体" w:hAnsi="宋体"/>
          <w:b/>
          <w:color w:val="auto"/>
          <w:sz w:val="36"/>
          <w:highlight w:val="none"/>
        </w:rPr>
      </w:pPr>
    </w:p>
    <w:p w14:paraId="33D43401">
      <w:pPr>
        <w:spacing w:line="360" w:lineRule="auto"/>
        <w:ind w:firstLine="1438" w:firstLineChars="398"/>
        <w:rPr>
          <w:rFonts w:ascii="宋体" w:hAnsi="宋体"/>
          <w:b/>
          <w:color w:val="auto"/>
          <w:sz w:val="36"/>
          <w:highlight w:val="none"/>
        </w:rPr>
      </w:pPr>
    </w:p>
    <w:p w14:paraId="7118DF86">
      <w:pPr>
        <w:spacing w:line="360" w:lineRule="auto"/>
        <w:ind w:firstLine="1438" w:firstLineChars="398"/>
        <w:rPr>
          <w:rFonts w:ascii="宋体" w:hAnsi="宋体"/>
          <w:b/>
          <w:color w:val="auto"/>
          <w:sz w:val="36"/>
          <w:highlight w:val="none"/>
        </w:rPr>
      </w:pPr>
    </w:p>
    <w:p w14:paraId="32BC1214">
      <w:pPr>
        <w:spacing w:line="360" w:lineRule="auto"/>
        <w:ind w:firstLine="1438" w:firstLineChars="398"/>
        <w:rPr>
          <w:rFonts w:ascii="宋体" w:hAnsi="宋体"/>
          <w:b/>
          <w:color w:val="auto"/>
          <w:sz w:val="36"/>
          <w:highlight w:val="none"/>
          <w:u w:val="single"/>
        </w:rPr>
      </w:pPr>
      <w:r>
        <w:rPr>
          <w:rFonts w:hint="eastAsia" w:ascii="宋体" w:hAnsi="宋体"/>
          <w:b/>
          <w:color w:val="auto"/>
          <w:sz w:val="36"/>
          <w:highlight w:val="none"/>
        </w:rPr>
        <w:t>招</w:t>
      </w:r>
      <w:r>
        <w:rPr>
          <w:rFonts w:ascii="宋体" w:hAnsi="宋体"/>
          <w:b/>
          <w:color w:val="auto"/>
          <w:sz w:val="36"/>
          <w:highlight w:val="none"/>
        </w:rPr>
        <w:t xml:space="preserve"> </w:t>
      </w:r>
      <w:r>
        <w:rPr>
          <w:rFonts w:hint="eastAsia" w:ascii="宋体" w:hAnsi="宋体"/>
          <w:b/>
          <w:color w:val="auto"/>
          <w:sz w:val="36"/>
          <w:highlight w:val="none"/>
        </w:rPr>
        <w:t>标</w:t>
      </w:r>
      <w:r>
        <w:rPr>
          <w:rFonts w:ascii="宋体" w:hAnsi="宋体"/>
          <w:b/>
          <w:color w:val="auto"/>
          <w:sz w:val="36"/>
          <w:highlight w:val="none"/>
        </w:rPr>
        <w:t xml:space="preserve"> </w:t>
      </w:r>
      <w:r>
        <w:rPr>
          <w:rFonts w:hint="eastAsia" w:ascii="宋体" w:hAnsi="宋体"/>
          <w:b/>
          <w:color w:val="auto"/>
          <w:sz w:val="36"/>
          <w:highlight w:val="none"/>
        </w:rPr>
        <w:t>编</w:t>
      </w:r>
      <w:r>
        <w:rPr>
          <w:rFonts w:ascii="宋体" w:hAnsi="宋体"/>
          <w:b/>
          <w:color w:val="auto"/>
          <w:sz w:val="36"/>
          <w:highlight w:val="none"/>
        </w:rPr>
        <w:t xml:space="preserve"> </w:t>
      </w:r>
      <w:r>
        <w:rPr>
          <w:rFonts w:hint="eastAsia" w:ascii="宋体" w:hAnsi="宋体"/>
          <w:b/>
          <w:color w:val="auto"/>
          <w:sz w:val="36"/>
          <w:highlight w:val="none"/>
        </w:rPr>
        <w:t>号：</w:t>
      </w:r>
      <w:r>
        <w:rPr>
          <w:rFonts w:hint="eastAsia" w:ascii="宋体" w:hAnsi="宋体"/>
          <w:b/>
          <w:color w:val="auto"/>
          <w:sz w:val="36"/>
          <w:highlight w:val="none"/>
          <w:u w:val="single"/>
        </w:rPr>
        <w:t>XM2026-TZ5086C1</w:t>
      </w:r>
    </w:p>
    <w:p w14:paraId="36E98A3E">
      <w:pPr>
        <w:spacing w:line="360" w:lineRule="auto"/>
        <w:ind w:left="3948" w:leftChars="684" w:hanging="2512" w:hangingChars="695"/>
        <w:rPr>
          <w:rFonts w:ascii="宋体" w:hAnsi="宋体"/>
          <w:b/>
          <w:color w:val="auto"/>
          <w:sz w:val="36"/>
          <w:highlight w:val="none"/>
          <w:u w:val="single"/>
        </w:rPr>
      </w:pPr>
      <w:r>
        <w:rPr>
          <w:rFonts w:hint="eastAsia" w:ascii="宋体" w:hAnsi="宋体"/>
          <w:b/>
          <w:color w:val="auto"/>
          <w:sz w:val="36"/>
          <w:highlight w:val="none"/>
        </w:rPr>
        <w:t>项</w:t>
      </w:r>
      <w:r>
        <w:rPr>
          <w:rFonts w:ascii="宋体" w:hAnsi="宋体"/>
          <w:b/>
          <w:color w:val="auto"/>
          <w:sz w:val="36"/>
          <w:highlight w:val="none"/>
        </w:rPr>
        <w:t xml:space="preserve"> </w:t>
      </w:r>
      <w:r>
        <w:rPr>
          <w:rFonts w:hint="eastAsia" w:ascii="宋体" w:hAnsi="宋体"/>
          <w:b/>
          <w:color w:val="auto"/>
          <w:sz w:val="36"/>
          <w:highlight w:val="none"/>
        </w:rPr>
        <w:t>目</w:t>
      </w:r>
      <w:r>
        <w:rPr>
          <w:rFonts w:ascii="宋体" w:hAnsi="宋体"/>
          <w:b/>
          <w:color w:val="auto"/>
          <w:sz w:val="36"/>
          <w:highlight w:val="none"/>
        </w:rPr>
        <w:t xml:space="preserve"> </w:t>
      </w:r>
      <w:r>
        <w:rPr>
          <w:rFonts w:hint="eastAsia" w:ascii="宋体" w:hAnsi="宋体"/>
          <w:b/>
          <w:color w:val="auto"/>
          <w:sz w:val="36"/>
          <w:highlight w:val="none"/>
        </w:rPr>
        <w:t>名</w:t>
      </w:r>
      <w:r>
        <w:rPr>
          <w:rFonts w:ascii="宋体" w:hAnsi="宋体"/>
          <w:b/>
          <w:color w:val="auto"/>
          <w:sz w:val="36"/>
          <w:highlight w:val="none"/>
        </w:rPr>
        <w:t xml:space="preserve"> </w:t>
      </w:r>
      <w:r>
        <w:rPr>
          <w:rFonts w:hint="eastAsia" w:ascii="宋体" w:hAnsi="宋体"/>
          <w:b/>
          <w:color w:val="auto"/>
          <w:sz w:val="36"/>
          <w:highlight w:val="none"/>
        </w:rPr>
        <w:t>称：中国人民银行厦门市分行食堂服务外包采购</w:t>
      </w:r>
    </w:p>
    <w:p w14:paraId="435E5A60">
      <w:pPr>
        <w:spacing w:line="360" w:lineRule="auto"/>
        <w:ind w:firstLine="1438" w:firstLineChars="398"/>
        <w:rPr>
          <w:rFonts w:ascii="宋体" w:hAnsi="宋体"/>
          <w:b/>
          <w:color w:val="auto"/>
          <w:sz w:val="36"/>
          <w:highlight w:val="none"/>
        </w:rPr>
      </w:pPr>
    </w:p>
    <w:p w14:paraId="129CD3A2">
      <w:pPr>
        <w:spacing w:line="360" w:lineRule="auto"/>
        <w:ind w:firstLine="1438" w:firstLineChars="398"/>
        <w:rPr>
          <w:rFonts w:ascii="宋体" w:hAnsi="宋体"/>
          <w:b/>
          <w:color w:val="auto"/>
          <w:sz w:val="36"/>
          <w:highlight w:val="none"/>
        </w:rPr>
      </w:pPr>
    </w:p>
    <w:p w14:paraId="7121B534">
      <w:pPr>
        <w:spacing w:line="360" w:lineRule="auto"/>
        <w:ind w:firstLine="1438" w:firstLineChars="398"/>
        <w:rPr>
          <w:rFonts w:ascii="宋体" w:hAnsi="宋体"/>
          <w:b/>
          <w:color w:val="auto"/>
          <w:sz w:val="36"/>
          <w:highlight w:val="none"/>
        </w:rPr>
      </w:pPr>
    </w:p>
    <w:p w14:paraId="2F72A6FE">
      <w:pPr>
        <w:spacing w:line="360" w:lineRule="auto"/>
        <w:ind w:firstLine="1438" w:firstLineChars="398"/>
        <w:rPr>
          <w:rFonts w:ascii="宋体" w:hAnsi="宋体"/>
          <w:b/>
          <w:color w:val="auto"/>
          <w:sz w:val="36"/>
          <w:highlight w:val="none"/>
        </w:rPr>
      </w:pPr>
    </w:p>
    <w:p w14:paraId="16046B3B">
      <w:pPr>
        <w:pStyle w:val="9"/>
        <w:spacing w:line="360" w:lineRule="auto"/>
        <w:ind w:firstLine="1279" w:firstLineChars="398"/>
        <w:jc w:val="left"/>
        <w:rPr>
          <w:rFonts w:hAnsi="宋体"/>
          <w:b/>
          <w:color w:val="auto"/>
          <w:sz w:val="32"/>
          <w:highlight w:val="none"/>
        </w:rPr>
      </w:pPr>
    </w:p>
    <w:p w14:paraId="1A6CFEB6">
      <w:pPr>
        <w:pStyle w:val="9"/>
        <w:spacing w:line="360" w:lineRule="auto"/>
        <w:ind w:firstLine="1279" w:firstLineChars="398"/>
        <w:jc w:val="left"/>
        <w:rPr>
          <w:rFonts w:hAnsi="宋体"/>
          <w:b/>
          <w:bCs/>
          <w:color w:val="auto"/>
          <w:sz w:val="32"/>
          <w:highlight w:val="none"/>
          <w:u w:val="single"/>
        </w:rPr>
      </w:pPr>
      <w:r>
        <w:rPr>
          <w:rFonts w:hint="eastAsia" w:hAnsi="宋体"/>
          <w:b/>
          <w:color w:val="auto"/>
          <w:sz w:val="32"/>
          <w:highlight w:val="none"/>
        </w:rPr>
        <w:t>采购人：中国人民银行厦门市分行</w:t>
      </w:r>
    </w:p>
    <w:p w14:paraId="0ED183B6">
      <w:pPr>
        <w:pStyle w:val="9"/>
        <w:spacing w:line="360" w:lineRule="auto"/>
        <w:ind w:firstLine="1279" w:firstLineChars="398"/>
        <w:jc w:val="left"/>
        <w:rPr>
          <w:rFonts w:hAnsi="宋体"/>
          <w:b/>
          <w:color w:val="auto"/>
          <w:sz w:val="28"/>
          <w:highlight w:val="none"/>
        </w:rPr>
      </w:pPr>
      <w:r>
        <w:rPr>
          <w:rFonts w:hint="eastAsia" w:hAnsi="宋体"/>
          <w:b/>
          <w:color w:val="auto"/>
          <w:sz w:val="32"/>
          <w:highlight w:val="none"/>
        </w:rPr>
        <w:t>招标代理机构：</w:t>
      </w:r>
      <w:r>
        <w:rPr>
          <w:rFonts w:hint="eastAsia" w:hAnsi="宋体"/>
          <w:b/>
          <w:bCs/>
          <w:color w:val="auto"/>
          <w:sz w:val="32"/>
          <w:highlight w:val="none"/>
        </w:rPr>
        <w:t>厦门万翔招标有限公司</w:t>
      </w:r>
      <w:r>
        <w:rPr>
          <w:rFonts w:hAnsi="宋体"/>
          <w:b/>
          <w:color w:val="auto"/>
          <w:sz w:val="32"/>
          <w:highlight w:val="none"/>
        </w:rPr>
        <w:t xml:space="preserve"> </w:t>
      </w:r>
    </w:p>
    <w:p w14:paraId="49042624">
      <w:pPr>
        <w:spacing w:line="360" w:lineRule="auto"/>
        <w:ind w:firstLine="1438" w:firstLineChars="398"/>
        <w:rPr>
          <w:rFonts w:ascii="宋体" w:hAnsi="宋体"/>
          <w:b/>
          <w:color w:val="auto"/>
          <w:sz w:val="36"/>
          <w:highlight w:val="none"/>
        </w:rPr>
      </w:pPr>
    </w:p>
    <w:p w14:paraId="5C70BB76">
      <w:pPr>
        <w:pStyle w:val="9"/>
        <w:spacing w:line="360" w:lineRule="auto"/>
        <w:jc w:val="center"/>
        <w:rPr>
          <w:rFonts w:hAnsi="宋体"/>
          <w:b/>
          <w:color w:val="auto"/>
          <w:sz w:val="32"/>
          <w:highlight w:val="none"/>
        </w:rPr>
      </w:pPr>
      <w:bookmarkStart w:id="0" w:name="_Toc6107"/>
      <w:bookmarkStart w:id="1" w:name="_Toc6755"/>
      <w:bookmarkStart w:id="2" w:name="_Toc10192"/>
      <w:bookmarkStart w:id="3" w:name="_Toc17087"/>
      <w:bookmarkStart w:id="4" w:name="_Toc18910"/>
      <w:bookmarkStart w:id="5" w:name="_Toc10935"/>
      <w:bookmarkStart w:id="6" w:name="_Toc24955"/>
      <w:bookmarkStart w:id="7" w:name="_Toc19608"/>
      <w:bookmarkStart w:id="8" w:name="_Toc6612"/>
      <w:r>
        <w:rPr>
          <w:rFonts w:hint="eastAsia" w:hAnsi="宋体"/>
          <w:b/>
          <w:color w:val="auto"/>
          <w:sz w:val="32"/>
          <w:highlight w:val="none"/>
        </w:rPr>
        <w:t>2026年</w:t>
      </w:r>
      <w:bookmarkEnd w:id="0"/>
      <w:bookmarkEnd w:id="1"/>
      <w:bookmarkEnd w:id="2"/>
      <w:bookmarkEnd w:id="3"/>
      <w:bookmarkEnd w:id="4"/>
      <w:bookmarkEnd w:id="5"/>
      <w:bookmarkEnd w:id="6"/>
      <w:bookmarkEnd w:id="7"/>
      <w:bookmarkEnd w:id="8"/>
    </w:p>
    <w:p w14:paraId="0475B8B4">
      <w:pPr>
        <w:pStyle w:val="9"/>
        <w:spacing w:line="360" w:lineRule="auto"/>
        <w:jc w:val="center"/>
        <w:rPr>
          <w:rFonts w:hAnsi="宋体"/>
          <w:b/>
          <w:color w:val="auto"/>
          <w:sz w:val="32"/>
          <w:highlight w:val="none"/>
        </w:rPr>
      </w:pPr>
    </w:p>
    <w:p w14:paraId="49359CA7">
      <w:pPr>
        <w:pStyle w:val="9"/>
        <w:spacing w:line="360" w:lineRule="auto"/>
        <w:jc w:val="center"/>
        <w:rPr>
          <w:rFonts w:hAnsi="宋体" w:cs="宋体"/>
          <w:b/>
          <w:bCs/>
          <w:color w:val="auto"/>
          <w:sz w:val="24"/>
          <w:szCs w:val="24"/>
          <w:highlight w:val="none"/>
        </w:rPr>
      </w:pPr>
      <w:r>
        <w:rPr>
          <w:rFonts w:hint="eastAsia" w:hAnsi="宋体" w:cs="宋体"/>
          <w:b/>
          <w:bCs/>
          <w:color w:val="auto"/>
          <w:sz w:val="24"/>
          <w:szCs w:val="24"/>
          <w:highlight w:val="none"/>
        </w:rPr>
        <w:t xml:space="preserve">  </w:t>
      </w:r>
    </w:p>
    <w:p w14:paraId="3FE9CF80">
      <w:pPr>
        <w:pStyle w:val="9"/>
        <w:spacing w:line="360" w:lineRule="auto"/>
        <w:jc w:val="center"/>
        <w:rPr>
          <w:rFonts w:hAnsi="宋体" w:cs="宋体"/>
          <w:color w:val="auto"/>
          <w:sz w:val="24"/>
          <w:szCs w:val="24"/>
          <w:highlight w:val="none"/>
        </w:rPr>
      </w:pPr>
      <w:bookmarkStart w:id="9" w:name="_Toc19727"/>
      <w:bookmarkStart w:id="10" w:name="_Toc8973"/>
      <w:bookmarkStart w:id="11" w:name="_Toc16730"/>
      <w:bookmarkStart w:id="12" w:name="_Toc14902"/>
      <w:bookmarkStart w:id="13" w:name="_Toc2115"/>
      <w:bookmarkStart w:id="14" w:name="_Toc4075"/>
      <w:bookmarkStart w:id="15" w:name="_Toc3929"/>
      <w:bookmarkStart w:id="16" w:name="_Toc24650"/>
      <w:bookmarkStart w:id="17" w:name="_Toc14888"/>
      <w:r>
        <w:rPr>
          <w:rFonts w:hint="eastAsia" w:hAnsi="宋体" w:cs="宋体"/>
          <w:b/>
          <w:bCs/>
          <w:color w:val="auto"/>
          <w:sz w:val="32"/>
          <w:szCs w:val="32"/>
          <w:highlight w:val="none"/>
        </w:rPr>
        <w:t>目   录</w:t>
      </w:r>
      <w:bookmarkEnd w:id="9"/>
      <w:bookmarkEnd w:id="10"/>
      <w:bookmarkEnd w:id="11"/>
      <w:bookmarkEnd w:id="12"/>
      <w:bookmarkEnd w:id="13"/>
      <w:bookmarkEnd w:id="14"/>
      <w:bookmarkEnd w:id="15"/>
      <w:bookmarkEnd w:id="16"/>
      <w:bookmarkEnd w:id="17"/>
    </w:p>
    <w:p w14:paraId="63BCDD05">
      <w:pPr>
        <w:pStyle w:val="15"/>
        <w:tabs>
          <w:tab w:val="right" w:leader="dot" w:pos="8306"/>
        </w:tabs>
        <w:spacing w:line="360" w:lineRule="auto"/>
        <w:rPr>
          <w:rFonts w:ascii="宋体" w:hAnsi="宋体" w:cs="宋体"/>
          <w:b/>
          <w:color w:val="auto"/>
          <w:sz w:val="24"/>
          <w:szCs w:val="24"/>
          <w:highlight w:val="none"/>
        </w:rPr>
      </w:pPr>
      <w:r>
        <w:rPr>
          <w:rFonts w:hint="eastAsia" w:ascii="宋体" w:hAnsi="宋体" w:cs="宋体"/>
          <w:color w:val="auto"/>
          <w:kern w:val="0"/>
          <w:sz w:val="24"/>
          <w:szCs w:val="24"/>
          <w:highlight w:val="none"/>
        </w:rPr>
        <w:fldChar w:fldCharType="begin"/>
      </w:r>
      <w:r>
        <w:rPr>
          <w:rFonts w:hint="eastAsia" w:ascii="宋体" w:hAnsi="宋体" w:cs="宋体"/>
          <w:color w:val="auto"/>
          <w:sz w:val="24"/>
          <w:szCs w:val="24"/>
          <w:highlight w:val="none"/>
        </w:rPr>
        <w:instrText xml:space="preserve"> TOC \o "1-3" \h \z \u </w:instrText>
      </w:r>
      <w:r>
        <w:rPr>
          <w:rFonts w:hint="eastAsia" w:ascii="宋体" w:hAnsi="宋体" w:cs="宋体"/>
          <w:color w:val="auto"/>
          <w:kern w:val="0"/>
          <w:sz w:val="24"/>
          <w:szCs w:val="24"/>
          <w:highlight w:val="none"/>
        </w:rPr>
        <w:fldChar w:fldCharType="separate"/>
      </w:r>
      <w:r>
        <w:rPr>
          <w:color w:val="auto"/>
          <w:highlight w:val="none"/>
        </w:rPr>
        <w:fldChar w:fldCharType="begin"/>
      </w:r>
      <w:r>
        <w:rPr>
          <w:color w:val="auto"/>
          <w:highlight w:val="none"/>
        </w:rPr>
        <w:instrText xml:space="preserve"> HYPERLINK \l "_Toc16389" </w:instrText>
      </w:r>
      <w:r>
        <w:rPr>
          <w:color w:val="auto"/>
          <w:highlight w:val="none"/>
        </w:rPr>
        <w:fldChar w:fldCharType="separate"/>
      </w:r>
      <w:r>
        <w:rPr>
          <w:rFonts w:hint="eastAsia" w:ascii="宋体" w:hAnsi="宋体" w:cs="宋体"/>
          <w:b/>
          <w:color w:val="auto"/>
          <w:sz w:val="24"/>
          <w:szCs w:val="24"/>
          <w:highlight w:val="none"/>
        </w:rPr>
        <w:t>第一章  投标邀请函</w:t>
      </w:r>
      <w:r>
        <w:rPr>
          <w:rFonts w:hint="eastAsia" w:ascii="宋体" w:hAnsi="宋体" w:cs="宋体"/>
          <w:b/>
          <w:color w:val="auto"/>
          <w:sz w:val="24"/>
          <w:szCs w:val="24"/>
          <w:highlight w:val="none"/>
        </w:rPr>
        <w:tab/>
      </w:r>
      <w:r>
        <w:rPr>
          <w:rFonts w:hint="eastAsia" w:ascii="宋体" w:hAnsi="宋体" w:cs="宋体"/>
          <w:b/>
          <w:color w:val="auto"/>
          <w:sz w:val="24"/>
          <w:szCs w:val="24"/>
          <w:highlight w:val="none"/>
        </w:rPr>
        <w:fldChar w:fldCharType="begin"/>
      </w:r>
      <w:r>
        <w:rPr>
          <w:rFonts w:hint="eastAsia" w:ascii="宋体" w:hAnsi="宋体" w:cs="宋体"/>
          <w:b/>
          <w:color w:val="auto"/>
          <w:sz w:val="24"/>
          <w:szCs w:val="24"/>
          <w:highlight w:val="none"/>
        </w:rPr>
        <w:instrText xml:space="preserve"> PAGEREF _Toc16389 \h </w:instrText>
      </w:r>
      <w:r>
        <w:rPr>
          <w:rFonts w:hint="eastAsia" w:ascii="宋体" w:hAnsi="宋体" w:cs="宋体"/>
          <w:b/>
          <w:color w:val="auto"/>
          <w:sz w:val="24"/>
          <w:szCs w:val="24"/>
          <w:highlight w:val="none"/>
        </w:rPr>
        <w:fldChar w:fldCharType="separate"/>
      </w:r>
      <w:r>
        <w:rPr>
          <w:rFonts w:hint="eastAsia" w:ascii="宋体" w:hAnsi="宋体" w:cs="宋体"/>
          <w:b/>
          <w:color w:val="auto"/>
          <w:sz w:val="24"/>
          <w:szCs w:val="24"/>
          <w:highlight w:val="none"/>
        </w:rPr>
        <w:t>3</w:t>
      </w:r>
      <w:r>
        <w:rPr>
          <w:rFonts w:hint="eastAsia" w:ascii="宋体" w:hAnsi="宋体" w:cs="宋体"/>
          <w:b/>
          <w:color w:val="auto"/>
          <w:sz w:val="24"/>
          <w:szCs w:val="24"/>
          <w:highlight w:val="none"/>
        </w:rPr>
        <w:fldChar w:fldCharType="end"/>
      </w:r>
      <w:r>
        <w:rPr>
          <w:rFonts w:hint="eastAsia" w:ascii="宋体" w:hAnsi="宋体" w:cs="宋体"/>
          <w:b/>
          <w:color w:val="auto"/>
          <w:sz w:val="24"/>
          <w:szCs w:val="24"/>
          <w:highlight w:val="none"/>
        </w:rPr>
        <w:fldChar w:fldCharType="end"/>
      </w:r>
    </w:p>
    <w:p w14:paraId="6FA3BB41">
      <w:pPr>
        <w:pStyle w:val="15"/>
        <w:tabs>
          <w:tab w:val="right" w:leader="dot" w:pos="8306"/>
        </w:tabs>
        <w:spacing w:line="360" w:lineRule="auto"/>
        <w:rPr>
          <w:rFonts w:ascii="宋体" w:hAnsi="宋体" w:cs="宋体"/>
          <w:b/>
          <w:color w:val="auto"/>
          <w:sz w:val="24"/>
          <w:szCs w:val="24"/>
          <w:highlight w:val="none"/>
        </w:rPr>
      </w:pPr>
      <w:r>
        <w:rPr>
          <w:color w:val="auto"/>
          <w:highlight w:val="none"/>
        </w:rPr>
        <w:fldChar w:fldCharType="begin"/>
      </w:r>
      <w:r>
        <w:rPr>
          <w:color w:val="auto"/>
          <w:highlight w:val="none"/>
        </w:rPr>
        <w:instrText xml:space="preserve"> HYPERLINK \l "_Toc20497" </w:instrText>
      </w:r>
      <w:r>
        <w:rPr>
          <w:color w:val="auto"/>
          <w:highlight w:val="none"/>
        </w:rPr>
        <w:fldChar w:fldCharType="separate"/>
      </w:r>
      <w:r>
        <w:rPr>
          <w:rFonts w:hint="eastAsia" w:ascii="宋体" w:hAnsi="宋体" w:cs="宋体"/>
          <w:b/>
          <w:color w:val="auto"/>
          <w:sz w:val="24"/>
          <w:szCs w:val="24"/>
          <w:highlight w:val="none"/>
        </w:rPr>
        <w:t>第二章  投标人须知</w:t>
      </w:r>
      <w:r>
        <w:rPr>
          <w:rFonts w:hint="eastAsia" w:ascii="宋体" w:hAnsi="宋体" w:cs="宋体"/>
          <w:b/>
          <w:color w:val="auto"/>
          <w:sz w:val="24"/>
          <w:szCs w:val="24"/>
          <w:highlight w:val="none"/>
        </w:rPr>
        <w:tab/>
      </w:r>
      <w:r>
        <w:rPr>
          <w:rFonts w:hint="eastAsia" w:ascii="宋体" w:hAnsi="宋体" w:cs="宋体"/>
          <w:b/>
          <w:color w:val="auto"/>
          <w:sz w:val="24"/>
          <w:szCs w:val="24"/>
          <w:highlight w:val="none"/>
        </w:rPr>
        <w:fldChar w:fldCharType="begin"/>
      </w:r>
      <w:r>
        <w:rPr>
          <w:rFonts w:hint="eastAsia" w:ascii="宋体" w:hAnsi="宋体" w:cs="宋体"/>
          <w:b/>
          <w:color w:val="auto"/>
          <w:sz w:val="24"/>
          <w:szCs w:val="24"/>
          <w:highlight w:val="none"/>
        </w:rPr>
        <w:instrText xml:space="preserve"> PAGEREF _Toc20497 \h </w:instrText>
      </w:r>
      <w:r>
        <w:rPr>
          <w:rFonts w:hint="eastAsia" w:ascii="宋体" w:hAnsi="宋体" w:cs="宋体"/>
          <w:b/>
          <w:color w:val="auto"/>
          <w:sz w:val="24"/>
          <w:szCs w:val="24"/>
          <w:highlight w:val="none"/>
        </w:rPr>
        <w:fldChar w:fldCharType="separate"/>
      </w:r>
      <w:r>
        <w:rPr>
          <w:rFonts w:hint="eastAsia" w:ascii="宋体" w:hAnsi="宋体" w:cs="宋体"/>
          <w:b/>
          <w:color w:val="auto"/>
          <w:sz w:val="24"/>
          <w:szCs w:val="24"/>
          <w:highlight w:val="none"/>
        </w:rPr>
        <w:t>7</w:t>
      </w:r>
      <w:r>
        <w:rPr>
          <w:rFonts w:hint="eastAsia" w:ascii="宋体" w:hAnsi="宋体" w:cs="宋体"/>
          <w:b/>
          <w:color w:val="auto"/>
          <w:sz w:val="24"/>
          <w:szCs w:val="24"/>
          <w:highlight w:val="none"/>
        </w:rPr>
        <w:fldChar w:fldCharType="end"/>
      </w:r>
      <w:r>
        <w:rPr>
          <w:rFonts w:hint="eastAsia" w:ascii="宋体" w:hAnsi="宋体" w:cs="宋体"/>
          <w:b/>
          <w:color w:val="auto"/>
          <w:sz w:val="24"/>
          <w:szCs w:val="24"/>
          <w:highlight w:val="none"/>
        </w:rPr>
        <w:fldChar w:fldCharType="end"/>
      </w:r>
    </w:p>
    <w:p w14:paraId="1CA00A7A">
      <w:pPr>
        <w:pStyle w:val="16"/>
        <w:tabs>
          <w:tab w:val="right" w:leader="dot" w:pos="8306"/>
        </w:tabs>
        <w:spacing w:line="360" w:lineRule="auto"/>
        <w:rPr>
          <w:rFonts w:ascii="宋体" w:hAnsi="宋体" w:cs="宋体"/>
          <w:color w:val="auto"/>
          <w:sz w:val="24"/>
          <w:szCs w:val="24"/>
          <w:highlight w:val="none"/>
        </w:rPr>
      </w:pPr>
      <w:r>
        <w:rPr>
          <w:color w:val="auto"/>
          <w:highlight w:val="none"/>
        </w:rPr>
        <w:fldChar w:fldCharType="begin"/>
      </w:r>
      <w:r>
        <w:rPr>
          <w:color w:val="auto"/>
          <w:highlight w:val="none"/>
        </w:rPr>
        <w:instrText xml:space="preserve"> HYPERLINK \l "_Toc14201" </w:instrText>
      </w:r>
      <w:r>
        <w:rPr>
          <w:color w:val="auto"/>
          <w:highlight w:val="none"/>
        </w:rPr>
        <w:fldChar w:fldCharType="separate"/>
      </w:r>
      <w:r>
        <w:rPr>
          <w:rFonts w:hint="eastAsia" w:ascii="宋体" w:hAnsi="宋体" w:cs="宋体"/>
          <w:color w:val="auto"/>
          <w:sz w:val="24"/>
          <w:szCs w:val="24"/>
          <w:highlight w:val="none"/>
        </w:rPr>
        <w:t>投标人须知前附表1</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_Toc14201 \h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7</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fldChar w:fldCharType="end"/>
      </w:r>
    </w:p>
    <w:p w14:paraId="7096FDD9">
      <w:pPr>
        <w:pStyle w:val="16"/>
        <w:tabs>
          <w:tab w:val="right" w:leader="dot" w:pos="8306"/>
        </w:tabs>
        <w:spacing w:line="360" w:lineRule="auto"/>
        <w:rPr>
          <w:rFonts w:ascii="宋体" w:hAnsi="宋体" w:cs="宋体"/>
          <w:color w:val="auto"/>
          <w:sz w:val="24"/>
          <w:szCs w:val="24"/>
          <w:highlight w:val="none"/>
        </w:rPr>
      </w:pPr>
      <w:r>
        <w:rPr>
          <w:color w:val="auto"/>
          <w:highlight w:val="none"/>
        </w:rPr>
        <w:fldChar w:fldCharType="begin"/>
      </w:r>
      <w:r>
        <w:rPr>
          <w:color w:val="auto"/>
          <w:highlight w:val="none"/>
        </w:rPr>
        <w:instrText xml:space="preserve"> HYPERLINK \l "_Toc16590" </w:instrText>
      </w:r>
      <w:r>
        <w:rPr>
          <w:color w:val="auto"/>
          <w:highlight w:val="none"/>
        </w:rPr>
        <w:fldChar w:fldCharType="separate"/>
      </w:r>
      <w:r>
        <w:rPr>
          <w:rFonts w:hint="eastAsia" w:ascii="宋体" w:hAnsi="宋体" w:cs="宋体"/>
          <w:bCs/>
          <w:color w:val="auto"/>
          <w:sz w:val="24"/>
          <w:szCs w:val="24"/>
          <w:highlight w:val="none"/>
        </w:rPr>
        <w:t>投标人须知前附表2：资格性、符合性检查表</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_Toc16590 \h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9</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fldChar w:fldCharType="end"/>
      </w:r>
    </w:p>
    <w:p w14:paraId="0D4E9CE9">
      <w:pPr>
        <w:pStyle w:val="16"/>
        <w:tabs>
          <w:tab w:val="right" w:leader="dot" w:pos="8306"/>
        </w:tabs>
        <w:spacing w:line="360" w:lineRule="auto"/>
        <w:rPr>
          <w:rFonts w:ascii="宋体" w:hAnsi="宋体" w:cs="宋体"/>
          <w:color w:val="auto"/>
          <w:sz w:val="24"/>
          <w:szCs w:val="24"/>
          <w:highlight w:val="none"/>
        </w:rPr>
      </w:pPr>
      <w:r>
        <w:rPr>
          <w:color w:val="auto"/>
          <w:highlight w:val="none"/>
        </w:rPr>
        <w:fldChar w:fldCharType="begin"/>
      </w:r>
      <w:r>
        <w:rPr>
          <w:color w:val="auto"/>
          <w:highlight w:val="none"/>
        </w:rPr>
        <w:instrText xml:space="preserve"> HYPERLINK \l "_Toc5017" </w:instrText>
      </w:r>
      <w:r>
        <w:rPr>
          <w:color w:val="auto"/>
          <w:highlight w:val="none"/>
        </w:rPr>
        <w:fldChar w:fldCharType="separate"/>
      </w:r>
      <w:r>
        <w:rPr>
          <w:rFonts w:hint="eastAsia" w:ascii="宋体" w:hAnsi="宋体" w:cs="宋体"/>
          <w:bCs/>
          <w:color w:val="auto"/>
          <w:sz w:val="24"/>
          <w:szCs w:val="24"/>
          <w:highlight w:val="none"/>
        </w:rPr>
        <w:t>投标人须知前附表3：评标方法、评标标准、定标原则</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_Toc5017 \h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17</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fldChar w:fldCharType="end"/>
      </w:r>
    </w:p>
    <w:p w14:paraId="0F6BE9B6">
      <w:pPr>
        <w:pStyle w:val="16"/>
        <w:tabs>
          <w:tab w:val="right" w:leader="dot" w:pos="8306"/>
        </w:tabs>
        <w:spacing w:line="360" w:lineRule="auto"/>
        <w:rPr>
          <w:rFonts w:ascii="宋体" w:hAnsi="宋体" w:cs="宋体"/>
          <w:color w:val="auto"/>
          <w:sz w:val="24"/>
          <w:szCs w:val="24"/>
          <w:highlight w:val="none"/>
        </w:rPr>
      </w:pPr>
      <w:r>
        <w:rPr>
          <w:color w:val="auto"/>
          <w:highlight w:val="none"/>
        </w:rPr>
        <w:fldChar w:fldCharType="begin"/>
      </w:r>
      <w:r>
        <w:rPr>
          <w:color w:val="auto"/>
          <w:highlight w:val="none"/>
        </w:rPr>
        <w:instrText xml:space="preserve"> HYPERLINK \l "_Toc1672" </w:instrText>
      </w:r>
      <w:r>
        <w:rPr>
          <w:color w:val="auto"/>
          <w:highlight w:val="none"/>
        </w:rPr>
        <w:fldChar w:fldCharType="separate"/>
      </w:r>
      <w:r>
        <w:rPr>
          <w:rFonts w:hint="eastAsia" w:ascii="宋体" w:hAnsi="宋体" w:cs="宋体"/>
          <w:bCs/>
          <w:color w:val="auto"/>
          <w:sz w:val="24"/>
          <w:szCs w:val="24"/>
          <w:highlight w:val="none"/>
        </w:rPr>
        <w:t>投标人须知前附表4：中小企业优惠办法</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_Toc1672 \h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29</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fldChar w:fldCharType="end"/>
      </w:r>
    </w:p>
    <w:p w14:paraId="12DBEB9C">
      <w:pPr>
        <w:pStyle w:val="16"/>
        <w:tabs>
          <w:tab w:val="right" w:leader="dot" w:pos="8306"/>
        </w:tabs>
        <w:spacing w:line="360" w:lineRule="auto"/>
        <w:rPr>
          <w:rFonts w:ascii="宋体" w:hAnsi="宋体" w:cs="宋体"/>
          <w:color w:val="auto"/>
          <w:sz w:val="24"/>
          <w:szCs w:val="24"/>
          <w:highlight w:val="none"/>
        </w:rPr>
      </w:pPr>
      <w:r>
        <w:rPr>
          <w:color w:val="auto"/>
          <w:highlight w:val="none"/>
        </w:rPr>
        <w:fldChar w:fldCharType="begin"/>
      </w:r>
      <w:r>
        <w:rPr>
          <w:color w:val="auto"/>
          <w:highlight w:val="none"/>
        </w:rPr>
        <w:instrText xml:space="preserve"> HYPERLINK \l "_Toc1205" </w:instrText>
      </w:r>
      <w:r>
        <w:rPr>
          <w:color w:val="auto"/>
          <w:highlight w:val="none"/>
        </w:rPr>
        <w:fldChar w:fldCharType="separate"/>
      </w:r>
      <w:r>
        <w:rPr>
          <w:rFonts w:hint="eastAsia" w:ascii="宋体" w:hAnsi="宋体" w:cs="宋体"/>
          <w:color w:val="auto"/>
          <w:sz w:val="24"/>
          <w:szCs w:val="24"/>
          <w:highlight w:val="none"/>
        </w:rPr>
        <w:t>一、说明</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_Toc1205 \h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31</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fldChar w:fldCharType="end"/>
      </w:r>
    </w:p>
    <w:p w14:paraId="01286D2F">
      <w:pPr>
        <w:pStyle w:val="16"/>
        <w:tabs>
          <w:tab w:val="right" w:leader="dot" w:pos="8306"/>
        </w:tabs>
        <w:spacing w:line="360" w:lineRule="auto"/>
        <w:rPr>
          <w:rFonts w:ascii="宋体" w:hAnsi="宋体" w:cs="宋体"/>
          <w:color w:val="auto"/>
          <w:sz w:val="24"/>
          <w:szCs w:val="24"/>
          <w:highlight w:val="none"/>
        </w:rPr>
      </w:pPr>
      <w:r>
        <w:rPr>
          <w:color w:val="auto"/>
          <w:highlight w:val="none"/>
        </w:rPr>
        <w:fldChar w:fldCharType="begin"/>
      </w:r>
      <w:r>
        <w:rPr>
          <w:color w:val="auto"/>
          <w:highlight w:val="none"/>
        </w:rPr>
        <w:instrText xml:space="preserve"> HYPERLINK \l "_Toc31340" </w:instrText>
      </w:r>
      <w:r>
        <w:rPr>
          <w:color w:val="auto"/>
          <w:highlight w:val="none"/>
        </w:rPr>
        <w:fldChar w:fldCharType="separate"/>
      </w:r>
      <w:r>
        <w:rPr>
          <w:rFonts w:hint="eastAsia" w:ascii="宋体" w:hAnsi="宋体" w:cs="宋体"/>
          <w:color w:val="auto"/>
          <w:sz w:val="24"/>
          <w:szCs w:val="24"/>
          <w:highlight w:val="none"/>
        </w:rPr>
        <w:t>二、招标文件</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_Toc31340 \h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33</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fldChar w:fldCharType="end"/>
      </w:r>
    </w:p>
    <w:p w14:paraId="77C29E96">
      <w:pPr>
        <w:pStyle w:val="16"/>
        <w:tabs>
          <w:tab w:val="right" w:leader="dot" w:pos="8306"/>
        </w:tabs>
        <w:spacing w:line="360" w:lineRule="auto"/>
        <w:rPr>
          <w:rFonts w:ascii="宋体" w:hAnsi="宋体" w:cs="宋体"/>
          <w:color w:val="auto"/>
          <w:sz w:val="24"/>
          <w:szCs w:val="24"/>
          <w:highlight w:val="none"/>
        </w:rPr>
      </w:pPr>
      <w:r>
        <w:rPr>
          <w:color w:val="auto"/>
          <w:highlight w:val="none"/>
        </w:rPr>
        <w:fldChar w:fldCharType="begin"/>
      </w:r>
      <w:r>
        <w:rPr>
          <w:color w:val="auto"/>
          <w:highlight w:val="none"/>
        </w:rPr>
        <w:instrText xml:space="preserve"> HYPERLINK \l "_Toc10496" </w:instrText>
      </w:r>
      <w:r>
        <w:rPr>
          <w:color w:val="auto"/>
          <w:highlight w:val="none"/>
        </w:rPr>
        <w:fldChar w:fldCharType="separate"/>
      </w:r>
      <w:r>
        <w:rPr>
          <w:rFonts w:hint="eastAsia" w:ascii="宋体" w:hAnsi="宋体" w:cs="宋体"/>
          <w:color w:val="auto"/>
          <w:sz w:val="24"/>
          <w:szCs w:val="24"/>
          <w:highlight w:val="none"/>
        </w:rPr>
        <w:t>三、投标文件的编写</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_Toc10496 \h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34</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fldChar w:fldCharType="end"/>
      </w:r>
    </w:p>
    <w:p w14:paraId="1EAC4EA3">
      <w:pPr>
        <w:pStyle w:val="16"/>
        <w:tabs>
          <w:tab w:val="right" w:leader="dot" w:pos="8306"/>
        </w:tabs>
        <w:spacing w:line="360" w:lineRule="auto"/>
        <w:rPr>
          <w:rFonts w:ascii="宋体" w:hAnsi="宋体" w:cs="宋体"/>
          <w:color w:val="auto"/>
          <w:sz w:val="24"/>
          <w:szCs w:val="24"/>
          <w:highlight w:val="none"/>
        </w:rPr>
      </w:pPr>
      <w:r>
        <w:rPr>
          <w:color w:val="auto"/>
          <w:highlight w:val="none"/>
        </w:rPr>
        <w:fldChar w:fldCharType="begin"/>
      </w:r>
      <w:r>
        <w:rPr>
          <w:color w:val="auto"/>
          <w:highlight w:val="none"/>
        </w:rPr>
        <w:instrText xml:space="preserve"> HYPERLINK \l "_Toc3277" </w:instrText>
      </w:r>
      <w:r>
        <w:rPr>
          <w:color w:val="auto"/>
          <w:highlight w:val="none"/>
        </w:rPr>
        <w:fldChar w:fldCharType="separate"/>
      </w:r>
      <w:r>
        <w:rPr>
          <w:rFonts w:hint="eastAsia" w:ascii="宋体" w:hAnsi="宋体" w:cs="宋体"/>
          <w:color w:val="auto"/>
          <w:sz w:val="24"/>
          <w:szCs w:val="24"/>
          <w:highlight w:val="none"/>
        </w:rPr>
        <w:t>四、投标文件的提交</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_Toc3277 \h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37</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fldChar w:fldCharType="end"/>
      </w:r>
    </w:p>
    <w:p w14:paraId="12E39EF1">
      <w:pPr>
        <w:pStyle w:val="16"/>
        <w:tabs>
          <w:tab w:val="right" w:leader="dot" w:pos="8306"/>
        </w:tabs>
        <w:spacing w:line="360" w:lineRule="auto"/>
        <w:rPr>
          <w:rFonts w:ascii="宋体" w:hAnsi="宋体" w:cs="宋体"/>
          <w:color w:val="auto"/>
          <w:sz w:val="24"/>
          <w:szCs w:val="24"/>
          <w:highlight w:val="none"/>
        </w:rPr>
      </w:pPr>
      <w:r>
        <w:rPr>
          <w:color w:val="auto"/>
          <w:highlight w:val="none"/>
        </w:rPr>
        <w:fldChar w:fldCharType="begin"/>
      </w:r>
      <w:r>
        <w:rPr>
          <w:color w:val="auto"/>
          <w:highlight w:val="none"/>
        </w:rPr>
        <w:instrText xml:space="preserve"> HYPERLINK \l "_Toc30395" </w:instrText>
      </w:r>
      <w:r>
        <w:rPr>
          <w:color w:val="auto"/>
          <w:highlight w:val="none"/>
        </w:rPr>
        <w:fldChar w:fldCharType="separate"/>
      </w:r>
      <w:r>
        <w:rPr>
          <w:rFonts w:hint="eastAsia" w:ascii="宋体" w:hAnsi="宋体" w:cs="宋体"/>
          <w:color w:val="auto"/>
          <w:sz w:val="24"/>
          <w:szCs w:val="24"/>
          <w:highlight w:val="none"/>
        </w:rPr>
        <w:t>五、投标文件的评估和比较</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_Toc30395 \h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38</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fldChar w:fldCharType="end"/>
      </w:r>
    </w:p>
    <w:p w14:paraId="0D4609AD">
      <w:pPr>
        <w:pStyle w:val="16"/>
        <w:tabs>
          <w:tab w:val="right" w:leader="dot" w:pos="8306"/>
        </w:tabs>
        <w:spacing w:line="360" w:lineRule="auto"/>
        <w:rPr>
          <w:rFonts w:ascii="宋体" w:hAnsi="宋体" w:cs="宋体"/>
          <w:color w:val="auto"/>
          <w:sz w:val="24"/>
          <w:szCs w:val="24"/>
          <w:highlight w:val="none"/>
        </w:rPr>
      </w:pPr>
      <w:r>
        <w:rPr>
          <w:color w:val="auto"/>
          <w:highlight w:val="none"/>
        </w:rPr>
        <w:fldChar w:fldCharType="begin"/>
      </w:r>
      <w:r>
        <w:rPr>
          <w:color w:val="auto"/>
          <w:highlight w:val="none"/>
        </w:rPr>
        <w:instrText xml:space="preserve"> HYPERLINK \l "_Toc3357" </w:instrText>
      </w:r>
      <w:r>
        <w:rPr>
          <w:color w:val="auto"/>
          <w:highlight w:val="none"/>
        </w:rPr>
        <w:fldChar w:fldCharType="separate"/>
      </w:r>
      <w:r>
        <w:rPr>
          <w:rFonts w:hint="eastAsia" w:ascii="宋体" w:hAnsi="宋体" w:cs="宋体"/>
          <w:color w:val="auto"/>
          <w:sz w:val="24"/>
          <w:szCs w:val="24"/>
          <w:highlight w:val="none"/>
        </w:rPr>
        <w:t>六、定标与签订合同</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_Toc3357 \h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41</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fldChar w:fldCharType="end"/>
      </w:r>
    </w:p>
    <w:p w14:paraId="0A229B7A">
      <w:pPr>
        <w:pStyle w:val="15"/>
        <w:tabs>
          <w:tab w:val="right" w:leader="dot" w:pos="8306"/>
        </w:tabs>
        <w:spacing w:line="360" w:lineRule="auto"/>
        <w:rPr>
          <w:rFonts w:ascii="宋体" w:hAnsi="宋体" w:cs="宋体"/>
          <w:b/>
          <w:color w:val="auto"/>
          <w:sz w:val="24"/>
          <w:szCs w:val="24"/>
          <w:highlight w:val="none"/>
        </w:rPr>
      </w:pPr>
      <w:r>
        <w:rPr>
          <w:color w:val="auto"/>
          <w:highlight w:val="none"/>
        </w:rPr>
        <w:fldChar w:fldCharType="begin"/>
      </w:r>
      <w:r>
        <w:rPr>
          <w:color w:val="auto"/>
          <w:highlight w:val="none"/>
        </w:rPr>
        <w:instrText xml:space="preserve"> HYPERLINK \l "_Toc20713" </w:instrText>
      </w:r>
      <w:r>
        <w:rPr>
          <w:color w:val="auto"/>
          <w:highlight w:val="none"/>
        </w:rPr>
        <w:fldChar w:fldCharType="separate"/>
      </w:r>
      <w:r>
        <w:rPr>
          <w:rFonts w:hint="eastAsia" w:ascii="宋体" w:hAnsi="宋体" w:cs="宋体"/>
          <w:b/>
          <w:color w:val="auto"/>
          <w:sz w:val="24"/>
          <w:szCs w:val="24"/>
          <w:highlight w:val="none"/>
        </w:rPr>
        <w:t>第三章  招标内容及要求</w:t>
      </w:r>
      <w:r>
        <w:rPr>
          <w:rFonts w:hint="eastAsia" w:ascii="宋体" w:hAnsi="宋体" w:cs="宋体"/>
          <w:b/>
          <w:color w:val="auto"/>
          <w:sz w:val="24"/>
          <w:szCs w:val="24"/>
          <w:highlight w:val="none"/>
        </w:rPr>
        <w:tab/>
      </w:r>
      <w:r>
        <w:rPr>
          <w:rFonts w:hint="eastAsia" w:ascii="宋体" w:hAnsi="宋体" w:cs="宋体"/>
          <w:b/>
          <w:color w:val="auto"/>
          <w:sz w:val="24"/>
          <w:szCs w:val="24"/>
          <w:highlight w:val="none"/>
        </w:rPr>
        <w:fldChar w:fldCharType="begin"/>
      </w:r>
      <w:r>
        <w:rPr>
          <w:rFonts w:hint="eastAsia" w:ascii="宋体" w:hAnsi="宋体" w:cs="宋体"/>
          <w:b/>
          <w:color w:val="auto"/>
          <w:sz w:val="24"/>
          <w:szCs w:val="24"/>
          <w:highlight w:val="none"/>
        </w:rPr>
        <w:instrText xml:space="preserve"> PAGEREF _Toc20713 \h </w:instrText>
      </w:r>
      <w:r>
        <w:rPr>
          <w:rFonts w:hint="eastAsia" w:ascii="宋体" w:hAnsi="宋体" w:cs="宋体"/>
          <w:b/>
          <w:color w:val="auto"/>
          <w:sz w:val="24"/>
          <w:szCs w:val="24"/>
          <w:highlight w:val="none"/>
        </w:rPr>
        <w:fldChar w:fldCharType="separate"/>
      </w:r>
      <w:r>
        <w:rPr>
          <w:rFonts w:hint="eastAsia" w:ascii="宋体" w:hAnsi="宋体" w:cs="宋体"/>
          <w:b/>
          <w:color w:val="auto"/>
          <w:sz w:val="24"/>
          <w:szCs w:val="24"/>
          <w:highlight w:val="none"/>
        </w:rPr>
        <w:t>44</w:t>
      </w:r>
      <w:r>
        <w:rPr>
          <w:rFonts w:hint="eastAsia" w:ascii="宋体" w:hAnsi="宋体" w:cs="宋体"/>
          <w:b/>
          <w:color w:val="auto"/>
          <w:sz w:val="24"/>
          <w:szCs w:val="24"/>
          <w:highlight w:val="none"/>
        </w:rPr>
        <w:fldChar w:fldCharType="end"/>
      </w:r>
      <w:r>
        <w:rPr>
          <w:rFonts w:hint="eastAsia" w:ascii="宋体" w:hAnsi="宋体" w:cs="宋体"/>
          <w:b/>
          <w:color w:val="auto"/>
          <w:sz w:val="24"/>
          <w:szCs w:val="24"/>
          <w:highlight w:val="none"/>
        </w:rPr>
        <w:fldChar w:fldCharType="end"/>
      </w:r>
    </w:p>
    <w:p w14:paraId="0AB46752">
      <w:pPr>
        <w:pStyle w:val="16"/>
        <w:tabs>
          <w:tab w:val="right" w:leader="dot" w:pos="8306"/>
        </w:tabs>
        <w:spacing w:line="360" w:lineRule="auto"/>
        <w:rPr>
          <w:rFonts w:ascii="宋体" w:hAnsi="宋体" w:cs="宋体"/>
          <w:color w:val="auto"/>
          <w:sz w:val="24"/>
          <w:szCs w:val="24"/>
          <w:highlight w:val="none"/>
        </w:rPr>
      </w:pPr>
      <w:r>
        <w:rPr>
          <w:color w:val="auto"/>
          <w:highlight w:val="none"/>
        </w:rPr>
        <w:fldChar w:fldCharType="begin"/>
      </w:r>
      <w:r>
        <w:rPr>
          <w:color w:val="auto"/>
          <w:highlight w:val="none"/>
        </w:rPr>
        <w:instrText xml:space="preserve"> HYPERLINK \l "_Toc9823" </w:instrText>
      </w:r>
      <w:r>
        <w:rPr>
          <w:color w:val="auto"/>
          <w:highlight w:val="none"/>
        </w:rPr>
        <w:fldChar w:fldCharType="separate"/>
      </w:r>
      <w:r>
        <w:rPr>
          <w:rFonts w:hint="eastAsia" w:ascii="宋体" w:hAnsi="宋体" w:cs="宋体"/>
          <w:color w:val="auto"/>
          <w:sz w:val="24"/>
          <w:szCs w:val="24"/>
          <w:highlight w:val="none"/>
        </w:rPr>
        <w:t>一、项目概况</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_Toc9823 \h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45</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fldChar w:fldCharType="end"/>
      </w:r>
    </w:p>
    <w:p w14:paraId="3E9D82CB">
      <w:pPr>
        <w:pStyle w:val="16"/>
        <w:tabs>
          <w:tab w:val="right" w:leader="dot" w:pos="8306"/>
        </w:tabs>
        <w:spacing w:line="360" w:lineRule="auto"/>
        <w:rPr>
          <w:rFonts w:ascii="宋体" w:hAnsi="宋体" w:cs="宋体"/>
          <w:color w:val="auto"/>
          <w:sz w:val="24"/>
          <w:szCs w:val="24"/>
          <w:highlight w:val="none"/>
        </w:rPr>
      </w:pPr>
      <w:r>
        <w:rPr>
          <w:color w:val="auto"/>
          <w:highlight w:val="none"/>
        </w:rPr>
        <w:fldChar w:fldCharType="begin"/>
      </w:r>
      <w:r>
        <w:rPr>
          <w:color w:val="auto"/>
          <w:highlight w:val="none"/>
        </w:rPr>
        <w:instrText xml:space="preserve"> HYPERLINK \l "_Toc25179" </w:instrText>
      </w:r>
      <w:r>
        <w:rPr>
          <w:color w:val="auto"/>
          <w:highlight w:val="none"/>
        </w:rPr>
        <w:fldChar w:fldCharType="separate"/>
      </w:r>
      <w:r>
        <w:rPr>
          <w:rFonts w:hint="eastAsia" w:ascii="宋体" w:hAnsi="宋体" w:cs="宋体"/>
          <w:bCs/>
          <w:color w:val="auto"/>
          <w:sz w:val="24"/>
          <w:szCs w:val="24"/>
          <w:highlight w:val="none"/>
        </w:rPr>
        <w:t>二、技术商务要求</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_Toc25179 \h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45</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fldChar w:fldCharType="end"/>
      </w:r>
    </w:p>
    <w:p w14:paraId="4AA663C4">
      <w:pPr>
        <w:pStyle w:val="8"/>
        <w:tabs>
          <w:tab w:val="right" w:leader="dot" w:pos="8306"/>
        </w:tabs>
        <w:spacing w:line="360" w:lineRule="auto"/>
        <w:rPr>
          <w:rFonts w:ascii="宋体" w:hAnsi="宋体" w:cs="宋体"/>
          <w:color w:val="auto"/>
          <w:sz w:val="24"/>
          <w:szCs w:val="24"/>
          <w:highlight w:val="none"/>
        </w:rPr>
      </w:pPr>
      <w:r>
        <w:rPr>
          <w:color w:val="auto"/>
          <w:highlight w:val="none"/>
        </w:rPr>
        <w:fldChar w:fldCharType="begin"/>
      </w:r>
      <w:r>
        <w:rPr>
          <w:color w:val="auto"/>
          <w:highlight w:val="none"/>
        </w:rPr>
        <w:instrText xml:space="preserve"> HYPERLINK \l "_Toc23676" </w:instrText>
      </w:r>
      <w:r>
        <w:rPr>
          <w:color w:val="auto"/>
          <w:highlight w:val="none"/>
        </w:rPr>
        <w:fldChar w:fldCharType="separate"/>
      </w:r>
      <w:r>
        <w:rPr>
          <w:rFonts w:hint="eastAsia" w:ascii="宋体" w:hAnsi="宋体" w:cs="宋体"/>
          <w:bCs/>
          <w:color w:val="auto"/>
          <w:sz w:val="24"/>
          <w:szCs w:val="24"/>
          <w:highlight w:val="none"/>
        </w:rPr>
        <w:t>1.技术要求</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_Toc23676 \h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45</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fldChar w:fldCharType="end"/>
      </w:r>
    </w:p>
    <w:p w14:paraId="70AE4A71">
      <w:pPr>
        <w:pStyle w:val="8"/>
        <w:tabs>
          <w:tab w:val="right" w:leader="dot" w:pos="8306"/>
        </w:tabs>
        <w:spacing w:line="360" w:lineRule="auto"/>
        <w:rPr>
          <w:rFonts w:ascii="宋体" w:hAnsi="宋体" w:cs="宋体"/>
          <w:color w:val="auto"/>
          <w:sz w:val="24"/>
          <w:szCs w:val="24"/>
          <w:highlight w:val="none"/>
        </w:rPr>
      </w:pPr>
      <w:r>
        <w:rPr>
          <w:color w:val="auto"/>
          <w:highlight w:val="none"/>
        </w:rPr>
        <w:fldChar w:fldCharType="begin"/>
      </w:r>
      <w:r>
        <w:rPr>
          <w:color w:val="auto"/>
          <w:highlight w:val="none"/>
        </w:rPr>
        <w:instrText xml:space="preserve"> HYPERLINK \l "_Toc31312" </w:instrText>
      </w:r>
      <w:r>
        <w:rPr>
          <w:color w:val="auto"/>
          <w:highlight w:val="none"/>
        </w:rPr>
        <w:fldChar w:fldCharType="separate"/>
      </w:r>
      <w:r>
        <w:rPr>
          <w:rFonts w:hint="eastAsia" w:ascii="宋体" w:hAnsi="宋体" w:cs="宋体"/>
          <w:bCs/>
          <w:color w:val="auto"/>
          <w:sz w:val="24"/>
          <w:szCs w:val="24"/>
          <w:highlight w:val="none"/>
        </w:rPr>
        <w:t>2.商务要求</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_Toc31312 \h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56</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fldChar w:fldCharType="end"/>
      </w:r>
    </w:p>
    <w:p w14:paraId="4C22E9EF">
      <w:pPr>
        <w:pStyle w:val="15"/>
        <w:tabs>
          <w:tab w:val="right" w:leader="dot" w:pos="8306"/>
        </w:tabs>
        <w:spacing w:line="360" w:lineRule="auto"/>
        <w:rPr>
          <w:rFonts w:ascii="宋体" w:hAnsi="宋体" w:cs="宋体"/>
          <w:b/>
          <w:color w:val="auto"/>
          <w:sz w:val="24"/>
          <w:szCs w:val="24"/>
          <w:highlight w:val="none"/>
        </w:rPr>
      </w:pPr>
      <w:r>
        <w:rPr>
          <w:color w:val="auto"/>
          <w:highlight w:val="none"/>
        </w:rPr>
        <w:fldChar w:fldCharType="begin"/>
      </w:r>
      <w:r>
        <w:rPr>
          <w:color w:val="auto"/>
          <w:highlight w:val="none"/>
        </w:rPr>
        <w:instrText xml:space="preserve"> HYPERLINK \l "_Toc30940" </w:instrText>
      </w:r>
      <w:r>
        <w:rPr>
          <w:color w:val="auto"/>
          <w:highlight w:val="none"/>
        </w:rPr>
        <w:fldChar w:fldCharType="separate"/>
      </w:r>
      <w:r>
        <w:rPr>
          <w:rFonts w:hint="eastAsia" w:ascii="宋体" w:hAnsi="宋体" w:cs="宋体"/>
          <w:b/>
          <w:color w:val="auto"/>
          <w:sz w:val="24"/>
          <w:szCs w:val="24"/>
          <w:highlight w:val="none"/>
        </w:rPr>
        <w:t>第四章  政府采购合同</w:t>
      </w:r>
      <w:r>
        <w:rPr>
          <w:rFonts w:hint="eastAsia" w:ascii="宋体" w:hAnsi="宋体" w:cs="宋体"/>
          <w:b/>
          <w:color w:val="auto"/>
          <w:sz w:val="24"/>
          <w:szCs w:val="24"/>
          <w:highlight w:val="none"/>
        </w:rPr>
        <w:tab/>
      </w:r>
      <w:r>
        <w:rPr>
          <w:rFonts w:hint="eastAsia" w:ascii="宋体" w:hAnsi="宋体" w:cs="宋体"/>
          <w:b/>
          <w:color w:val="auto"/>
          <w:sz w:val="24"/>
          <w:szCs w:val="24"/>
          <w:highlight w:val="none"/>
        </w:rPr>
        <w:fldChar w:fldCharType="begin"/>
      </w:r>
      <w:r>
        <w:rPr>
          <w:rFonts w:hint="eastAsia" w:ascii="宋体" w:hAnsi="宋体" w:cs="宋体"/>
          <w:b/>
          <w:color w:val="auto"/>
          <w:sz w:val="24"/>
          <w:szCs w:val="24"/>
          <w:highlight w:val="none"/>
        </w:rPr>
        <w:instrText xml:space="preserve"> PAGEREF _Toc30940 \h </w:instrText>
      </w:r>
      <w:r>
        <w:rPr>
          <w:rFonts w:hint="eastAsia" w:ascii="宋体" w:hAnsi="宋体" w:cs="宋体"/>
          <w:b/>
          <w:color w:val="auto"/>
          <w:sz w:val="24"/>
          <w:szCs w:val="24"/>
          <w:highlight w:val="none"/>
        </w:rPr>
        <w:fldChar w:fldCharType="separate"/>
      </w:r>
      <w:r>
        <w:rPr>
          <w:rFonts w:hint="eastAsia" w:ascii="宋体" w:hAnsi="宋体" w:cs="宋体"/>
          <w:b/>
          <w:color w:val="auto"/>
          <w:sz w:val="24"/>
          <w:szCs w:val="24"/>
          <w:highlight w:val="none"/>
        </w:rPr>
        <w:t>60</w:t>
      </w:r>
      <w:r>
        <w:rPr>
          <w:rFonts w:hint="eastAsia" w:ascii="宋体" w:hAnsi="宋体" w:cs="宋体"/>
          <w:b/>
          <w:color w:val="auto"/>
          <w:sz w:val="24"/>
          <w:szCs w:val="24"/>
          <w:highlight w:val="none"/>
        </w:rPr>
        <w:fldChar w:fldCharType="end"/>
      </w:r>
      <w:r>
        <w:rPr>
          <w:rFonts w:hint="eastAsia" w:ascii="宋体" w:hAnsi="宋体" w:cs="宋体"/>
          <w:b/>
          <w:color w:val="auto"/>
          <w:sz w:val="24"/>
          <w:szCs w:val="24"/>
          <w:highlight w:val="none"/>
        </w:rPr>
        <w:fldChar w:fldCharType="end"/>
      </w:r>
    </w:p>
    <w:p w14:paraId="202EA084">
      <w:pPr>
        <w:pStyle w:val="15"/>
        <w:tabs>
          <w:tab w:val="right" w:leader="dot" w:pos="8306"/>
        </w:tabs>
        <w:spacing w:line="360" w:lineRule="auto"/>
        <w:rPr>
          <w:rFonts w:ascii="宋体" w:hAnsi="宋体" w:cs="宋体"/>
          <w:b/>
          <w:color w:val="auto"/>
          <w:sz w:val="24"/>
          <w:szCs w:val="24"/>
          <w:highlight w:val="none"/>
        </w:rPr>
      </w:pPr>
      <w:r>
        <w:rPr>
          <w:color w:val="auto"/>
          <w:highlight w:val="none"/>
        </w:rPr>
        <w:fldChar w:fldCharType="begin"/>
      </w:r>
      <w:r>
        <w:rPr>
          <w:color w:val="auto"/>
          <w:highlight w:val="none"/>
        </w:rPr>
        <w:instrText xml:space="preserve"> HYPERLINK \l "_Toc16139" </w:instrText>
      </w:r>
      <w:r>
        <w:rPr>
          <w:color w:val="auto"/>
          <w:highlight w:val="none"/>
        </w:rPr>
        <w:fldChar w:fldCharType="separate"/>
      </w:r>
      <w:r>
        <w:rPr>
          <w:rFonts w:hint="eastAsia" w:ascii="宋体" w:hAnsi="宋体" w:cs="宋体"/>
          <w:b/>
          <w:color w:val="auto"/>
          <w:sz w:val="24"/>
          <w:szCs w:val="24"/>
          <w:highlight w:val="none"/>
        </w:rPr>
        <w:t>第五章  投标文件格式</w:t>
      </w:r>
      <w:r>
        <w:rPr>
          <w:rFonts w:hint="eastAsia" w:ascii="宋体" w:hAnsi="宋体" w:cs="宋体"/>
          <w:b/>
          <w:color w:val="auto"/>
          <w:sz w:val="24"/>
          <w:szCs w:val="24"/>
          <w:highlight w:val="none"/>
        </w:rPr>
        <w:tab/>
      </w:r>
      <w:r>
        <w:rPr>
          <w:rFonts w:hint="eastAsia" w:ascii="宋体" w:hAnsi="宋体" w:cs="宋体"/>
          <w:b/>
          <w:color w:val="auto"/>
          <w:sz w:val="24"/>
          <w:szCs w:val="24"/>
          <w:highlight w:val="none"/>
        </w:rPr>
        <w:fldChar w:fldCharType="begin"/>
      </w:r>
      <w:r>
        <w:rPr>
          <w:rFonts w:hint="eastAsia" w:ascii="宋体" w:hAnsi="宋体" w:cs="宋体"/>
          <w:b/>
          <w:color w:val="auto"/>
          <w:sz w:val="24"/>
          <w:szCs w:val="24"/>
          <w:highlight w:val="none"/>
        </w:rPr>
        <w:instrText xml:space="preserve"> PAGEREF _Toc16139 \h </w:instrText>
      </w:r>
      <w:r>
        <w:rPr>
          <w:rFonts w:hint="eastAsia" w:ascii="宋体" w:hAnsi="宋体" w:cs="宋体"/>
          <w:b/>
          <w:color w:val="auto"/>
          <w:sz w:val="24"/>
          <w:szCs w:val="24"/>
          <w:highlight w:val="none"/>
        </w:rPr>
        <w:fldChar w:fldCharType="separate"/>
      </w:r>
      <w:r>
        <w:rPr>
          <w:rFonts w:hint="eastAsia" w:ascii="宋体" w:hAnsi="宋体" w:cs="宋体"/>
          <w:b/>
          <w:color w:val="auto"/>
          <w:sz w:val="24"/>
          <w:szCs w:val="24"/>
          <w:highlight w:val="none"/>
        </w:rPr>
        <w:t>82</w:t>
      </w:r>
      <w:r>
        <w:rPr>
          <w:rFonts w:hint="eastAsia" w:ascii="宋体" w:hAnsi="宋体" w:cs="宋体"/>
          <w:b/>
          <w:color w:val="auto"/>
          <w:sz w:val="24"/>
          <w:szCs w:val="24"/>
          <w:highlight w:val="none"/>
        </w:rPr>
        <w:fldChar w:fldCharType="end"/>
      </w:r>
      <w:r>
        <w:rPr>
          <w:rFonts w:hint="eastAsia" w:ascii="宋体" w:hAnsi="宋体" w:cs="宋体"/>
          <w:b/>
          <w:color w:val="auto"/>
          <w:sz w:val="24"/>
          <w:szCs w:val="24"/>
          <w:highlight w:val="none"/>
        </w:rPr>
        <w:fldChar w:fldCharType="end"/>
      </w:r>
    </w:p>
    <w:p w14:paraId="6FE4E405">
      <w:pPr>
        <w:pStyle w:val="4"/>
        <w:spacing w:line="360" w:lineRule="auto"/>
        <w:ind w:firstLine="2241" w:firstLineChars="934"/>
        <w:rPr>
          <w:rFonts w:ascii="宋体" w:hAnsi="宋体" w:cs="宋体"/>
          <w:b/>
          <w:color w:val="auto"/>
          <w:sz w:val="24"/>
          <w:szCs w:val="24"/>
          <w:highlight w:val="none"/>
          <w:u w:val="single"/>
        </w:rPr>
        <w:sectPr>
          <w:footerReference r:id="rId5" w:type="first"/>
          <w:headerReference r:id="rId3" w:type="default"/>
          <w:footerReference r:id="rId4" w:type="default"/>
          <w:pgSz w:w="11906" w:h="16838"/>
          <w:pgMar w:top="1440" w:right="1800" w:bottom="1440" w:left="1800" w:header="851" w:footer="992" w:gutter="0"/>
          <w:cols w:space="720" w:num="1"/>
          <w:docGrid w:type="lines" w:linePitch="312" w:charSpace="0"/>
        </w:sectPr>
      </w:pPr>
      <w:r>
        <w:rPr>
          <w:rFonts w:hint="eastAsia" w:ascii="宋体" w:hAnsi="宋体" w:cs="宋体"/>
          <w:bCs/>
          <w:color w:val="auto"/>
          <w:sz w:val="24"/>
          <w:szCs w:val="24"/>
          <w:highlight w:val="none"/>
          <w:lang w:val="zh-CN"/>
        </w:rPr>
        <w:fldChar w:fldCharType="end"/>
      </w:r>
    </w:p>
    <w:p w14:paraId="0DE0F643">
      <w:pPr>
        <w:pStyle w:val="9"/>
        <w:jc w:val="center"/>
        <w:outlineLvl w:val="0"/>
        <w:rPr>
          <w:rFonts w:hAnsi="宋体" w:cs="宋体"/>
          <w:b/>
          <w:bCs/>
          <w:color w:val="auto"/>
          <w:sz w:val="32"/>
          <w:szCs w:val="32"/>
          <w:highlight w:val="none"/>
        </w:rPr>
      </w:pPr>
      <w:bookmarkStart w:id="18" w:name="_Toc23794"/>
      <w:bookmarkStart w:id="19" w:name="_Toc21666"/>
      <w:bookmarkStart w:id="20" w:name="_Toc26498"/>
      <w:bookmarkStart w:id="21" w:name="_Toc9339"/>
      <w:bookmarkStart w:id="22" w:name="_Toc10135"/>
      <w:bookmarkStart w:id="23" w:name="_Toc19680"/>
      <w:bookmarkStart w:id="24" w:name="_Toc127"/>
      <w:bookmarkStart w:id="25" w:name="_Toc16657"/>
      <w:bookmarkStart w:id="26" w:name="_Toc16389"/>
      <w:r>
        <w:rPr>
          <w:rFonts w:hint="eastAsia" w:hAnsi="宋体" w:cs="宋体"/>
          <w:b/>
          <w:bCs/>
          <w:color w:val="auto"/>
          <w:sz w:val="32"/>
          <w:szCs w:val="32"/>
          <w:highlight w:val="none"/>
        </w:rPr>
        <w:t>第一章  投标邀请函</w:t>
      </w:r>
      <w:bookmarkEnd w:id="18"/>
      <w:bookmarkEnd w:id="19"/>
      <w:bookmarkEnd w:id="20"/>
      <w:bookmarkEnd w:id="21"/>
      <w:bookmarkEnd w:id="22"/>
      <w:bookmarkEnd w:id="23"/>
      <w:bookmarkEnd w:id="24"/>
      <w:bookmarkEnd w:id="25"/>
      <w:bookmarkEnd w:id="26"/>
    </w:p>
    <w:p w14:paraId="4BD0E03D">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受【</w:t>
      </w:r>
      <w:r>
        <w:rPr>
          <w:rFonts w:hint="eastAsia" w:ascii="宋体" w:hAnsi="宋体" w:cs="宋体"/>
          <w:b/>
          <w:color w:val="auto"/>
          <w:sz w:val="24"/>
          <w:szCs w:val="24"/>
          <w:highlight w:val="none"/>
          <w:u w:val="single"/>
        </w:rPr>
        <w:t>中国人民银行厦门市分行】</w:t>
      </w:r>
      <w:r>
        <w:rPr>
          <w:rFonts w:hint="eastAsia" w:ascii="宋体" w:hAnsi="宋体" w:cs="宋体"/>
          <w:color w:val="auto"/>
          <w:sz w:val="24"/>
          <w:szCs w:val="24"/>
          <w:highlight w:val="none"/>
        </w:rPr>
        <w:t>委托，</w:t>
      </w:r>
      <w:r>
        <w:rPr>
          <w:rFonts w:hint="eastAsia" w:ascii="宋体" w:hAnsi="宋体" w:cs="宋体"/>
          <w:b/>
          <w:color w:val="auto"/>
          <w:sz w:val="24"/>
          <w:szCs w:val="24"/>
          <w:highlight w:val="none"/>
          <w:u w:val="single"/>
        </w:rPr>
        <w:t>厦门万翔招标有限公司</w:t>
      </w:r>
      <w:r>
        <w:rPr>
          <w:rFonts w:hint="eastAsia" w:ascii="宋体" w:hAnsi="宋体" w:cs="宋体"/>
          <w:color w:val="auto"/>
          <w:sz w:val="24"/>
          <w:szCs w:val="24"/>
          <w:highlight w:val="none"/>
        </w:rPr>
        <w:t>对【</w:t>
      </w:r>
      <w:r>
        <w:rPr>
          <w:rFonts w:hint="eastAsia" w:ascii="宋体" w:hAnsi="宋体" w:cs="宋体"/>
          <w:b/>
          <w:bCs/>
          <w:color w:val="auto"/>
          <w:sz w:val="24"/>
          <w:szCs w:val="24"/>
          <w:highlight w:val="none"/>
          <w:u w:val="single"/>
        </w:rPr>
        <w:t>中国人民银行厦门市分行食堂服务外包采购</w:t>
      </w:r>
      <w:r>
        <w:rPr>
          <w:rFonts w:hint="eastAsia" w:ascii="宋体" w:hAnsi="宋体" w:cs="宋体"/>
          <w:color w:val="auto"/>
          <w:sz w:val="24"/>
          <w:szCs w:val="24"/>
          <w:highlight w:val="none"/>
          <w:u w:val="single"/>
        </w:rPr>
        <w:t>】</w:t>
      </w:r>
      <w:r>
        <w:rPr>
          <w:rFonts w:hint="eastAsia" w:ascii="宋体" w:hAnsi="宋体" w:cs="宋体"/>
          <w:color w:val="auto"/>
          <w:sz w:val="24"/>
          <w:szCs w:val="24"/>
          <w:highlight w:val="none"/>
        </w:rPr>
        <w:t>服务进行国内公开招标，现欢迎国内合格的投标人前来投标。</w:t>
      </w:r>
    </w:p>
    <w:p w14:paraId="12ECF443">
      <w:pPr>
        <w:spacing w:line="360" w:lineRule="auto"/>
        <w:ind w:firstLine="480" w:firstLineChars="200"/>
        <w:rPr>
          <w:rFonts w:ascii="宋体" w:hAnsi="宋体" w:cs="宋体"/>
          <w:color w:val="auto"/>
          <w:sz w:val="24"/>
          <w:szCs w:val="24"/>
          <w:highlight w:val="none"/>
          <w:u w:val="single"/>
        </w:rPr>
      </w:pPr>
      <w:r>
        <w:rPr>
          <w:rFonts w:hint="eastAsia" w:ascii="宋体" w:hAnsi="宋体" w:cs="宋体"/>
          <w:color w:val="auto"/>
          <w:sz w:val="24"/>
          <w:szCs w:val="24"/>
          <w:highlight w:val="none"/>
        </w:rPr>
        <w:t>1、招标编号：</w:t>
      </w:r>
      <w:r>
        <w:rPr>
          <w:rFonts w:hint="eastAsia" w:ascii="宋体" w:hAnsi="宋体" w:cs="宋体"/>
          <w:color w:val="auto"/>
          <w:sz w:val="24"/>
          <w:szCs w:val="24"/>
          <w:highlight w:val="none"/>
          <w:u w:val="single"/>
        </w:rPr>
        <w:t>XM2026-TZ5086C1。</w:t>
      </w:r>
    </w:p>
    <w:p w14:paraId="650D9595">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2、招标服务名称、数量及主要技术规格：见后附招标服务一览表。</w:t>
      </w:r>
    </w:p>
    <w:p w14:paraId="119FA2F6">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3、招标文件获取方式：</w:t>
      </w:r>
      <w:r>
        <w:rPr>
          <w:rFonts w:hint="eastAsia" w:ascii="宋体" w:hAnsi="宋体" w:cs="宋体"/>
          <w:bCs/>
          <w:color w:val="auto"/>
          <w:sz w:val="24"/>
          <w:szCs w:val="24"/>
          <w:highlight w:val="none"/>
        </w:rPr>
        <w:t>2026年0</w:t>
      </w:r>
      <w:r>
        <w:rPr>
          <w:rFonts w:ascii="宋体" w:hAnsi="宋体" w:cs="宋体"/>
          <w:bCs/>
          <w:color w:val="auto"/>
          <w:sz w:val="24"/>
          <w:szCs w:val="24"/>
          <w:highlight w:val="none"/>
        </w:rPr>
        <w:t>6</w:t>
      </w:r>
      <w:r>
        <w:rPr>
          <w:rFonts w:hint="eastAsia" w:ascii="宋体" w:hAnsi="宋体" w:cs="宋体"/>
          <w:color w:val="auto"/>
          <w:sz w:val="24"/>
          <w:szCs w:val="24"/>
          <w:highlight w:val="none"/>
        </w:rPr>
        <w:t>月</w:t>
      </w:r>
      <w:r>
        <w:rPr>
          <w:rFonts w:hint="eastAsia" w:ascii="宋体" w:hAnsi="宋体" w:cs="宋体"/>
          <w:color w:val="auto"/>
          <w:sz w:val="24"/>
          <w:szCs w:val="24"/>
          <w:highlight w:val="none"/>
          <w:lang w:val="en-US" w:eastAsia="zh-CN"/>
        </w:rPr>
        <w:t>02</w:t>
      </w:r>
      <w:r>
        <w:rPr>
          <w:rFonts w:hint="eastAsia" w:ascii="宋体" w:hAnsi="宋体" w:cs="宋体"/>
          <w:color w:val="auto"/>
          <w:sz w:val="24"/>
          <w:szCs w:val="24"/>
          <w:highlight w:val="none"/>
        </w:rPr>
        <w:t>日至2026年0</w:t>
      </w:r>
      <w:r>
        <w:rPr>
          <w:rFonts w:ascii="宋体" w:hAnsi="宋体" w:cs="宋体"/>
          <w:color w:val="auto"/>
          <w:sz w:val="24"/>
          <w:szCs w:val="24"/>
          <w:highlight w:val="none"/>
        </w:rPr>
        <w:t>6</w:t>
      </w:r>
      <w:r>
        <w:rPr>
          <w:rFonts w:hint="eastAsia" w:ascii="宋体" w:hAnsi="宋体" w:cs="宋体"/>
          <w:color w:val="auto"/>
          <w:sz w:val="24"/>
          <w:szCs w:val="24"/>
          <w:highlight w:val="none"/>
        </w:rPr>
        <w:t>月</w:t>
      </w:r>
      <w:r>
        <w:rPr>
          <w:rFonts w:hint="eastAsia" w:ascii="宋体" w:hAnsi="宋体" w:cs="宋体"/>
          <w:color w:val="auto"/>
          <w:sz w:val="24"/>
          <w:szCs w:val="24"/>
          <w:highlight w:val="none"/>
          <w:lang w:val="en-US" w:eastAsia="zh-CN"/>
        </w:rPr>
        <w:t>12</w:t>
      </w:r>
      <w:r>
        <w:rPr>
          <w:rFonts w:hint="eastAsia" w:ascii="宋体" w:hAnsi="宋体" w:cs="宋体"/>
          <w:color w:val="auto"/>
          <w:sz w:val="24"/>
          <w:szCs w:val="24"/>
          <w:highlight w:val="none"/>
        </w:rPr>
        <w:t>日（节假日除外）上午8:30至12:00，下午2:00至5:30（北京时间）在</w:t>
      </w:r>
      <w:r>
        <w:rPr>
          <w:rFonts w:hint="eastAsia" w:ascii="宋体" w:hAnsi="宋体" w:cs="宋体"/>
          <w:color w:val="auto"/>
          <w:sz w:val="24"/>
          <w:szCs w:val="24"/>
          <w:highlight w:val="none"/>
          <w:u w:val="single"/>
        </w:rPr>
        <w:t>厦门市湖里区机场北路476号四楼售标室</w:t>
      </w:r>
      <w:r>
        <w:rPr>
          <w:rFonts w:hint="eastAsia" w:ascii="宋体" w:hAnsi="宋体" w:cs="宋体"/>
          <w:color w:val="auto"/>
          <w:sz w:val="24"/>
          <w:szCs w:val="24"/>
          <w:highlight w:val="none"/>
        </w:rPr>
        <w:t>购买招标文件，联系人及电话：蒋小姐0592-2219823。</w:t>
      </w:r>
    </w:p>
    <w:p w14:paraId="48408D54">
      <w:pPr>
        <w:pStyle w:val="9"/>
        <w:spacing w:line="360" w:lineRule="auto"/>
        <w:ind w:firstLine="480" w:firstLineChars="200"/>
        <w:jc w:val="left"/>
        <w:rPr>
          <w:rFonts w:hAnsi="宋体" w:cs="宋体"/>
          <w:color w:val="auto"/>
          <w:sz w:val="24"/>
          <w:szCs w:val="24"/>
          <w:highlight w:val="none"/>
        </w:rPr>
      </w:pPr>
      <w:r>
        <w:rPr>
          <w:rFonts w:hint="eastAsia" w:hAnsi="宋体" w:cs="宋体"/>
          <w:color w:val="auto"/>
          <w:sz w:val="24"/>
          <w:szCs w:val="24"/>
          <w:highlight w:val="none"/>
        </w:rPr>
        <w:t>4、招标文件售价：</w:t>
      </w:r>
      <w:r>
        <w:rPr>
          <w:rFonts w:hint="eastAsia" w:hAnsi="宋体" w:cs="宋体"/>
          <w:color w:val="auto"/>
          <w:sz w:val="24"/>
          <w:szCs w:val="24"/>
          <w:highlight w:val="none"/>
          <w:u w:val="single"/>
        </w:rPr>
        <w:t xml:space="preserve">50 </w:t>
      </w:r>
      <w:r>
        <w:rPr>
          <w:rFonts w:hint="eastAsia" w:hAnsi="宋体" w:cs="宋体"/>
          <w:color w:val="auto"/>
          <w:sz w:val="24"/>
          <w:szCs w:val="24"/>
          <w:highlight w:val="none"/>
        </w:rPr>
        <w:t>元人民币，售后不退。</w:t>
      </w:r>
    </w:p>
    <w:p w14:paraId="4A23A95F">
      <w:pPr>
        <w:widowControl/>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5、投标截止时间、地点：投标文件应于2026年0</w:t>
      </w:r>
      <w:r>
        <w:rPr>
          <w:rFonts w:ascii="宋体" w:hAnsi="宋体" w:cs="宋体"/>
          <w:color w:val="auto"/>
          <w:sz w:val="24"/>
          <w:szCs w:val="24"/>
          <w:highlight w:val="none"/>
        </w:rPr>
        <w:t>6</w:t>
      </w:r>
      <w:r>
        <w:rPr>
          <w:rFonts w:hint="eastAsia" w:ascii="宋体" w:hAnsi="宋体" w:cs="宋体"/>
          <w:color w:val="auto"/>
          <w:sz w:val="24"/>
          <w:szCs w:val="24"/>
          <w:highlight w:val="none"/>
        </w:rPr>
        <w:t>月</w:t>
      </w:r>
      <w:r>
        <w:rPr>
          <w:rFonts w:hint="eastAsia" w:ascii="宋体" w:hAnsi="宋体" w:cs="宋体"/>
          <w:color w:val="auto"/>
          <w:sz w:val="24"/>
          <w:szCs w:val="24"/>
          <w:highlight w:val="none"/>
          <w:lang w:val="en-US" w:eastAsia="zh-CN"/>
        </w:rPr>
        <w:t>23</w:t>
      </w:r>
      <w:r>
        <w:rPr>
          <w:rFonts w:hint="eastAsia" w:ascii="宋体" w:hAnsi="宋体" w:cs="宋体"/>
          <w:color w:val="auto"/>
          <w:sz w:val="24"/>
          <w:szCs w:val="24"/>
          <w:highlight w:val="none"/>
        </w:rPr>
        <w:t>日上午9:00（北京时间）之前提交到</w:t>
      </w:r>
      <w:r>
        <w:rPr>
          <w:rFonts w:hint="eastAsia" w:ascii="宋体" w:hAnsi="宋体" w:cs="宋体"/>
          <w:b/>
          <w:color w:val="auto"/>
          <w:sz w:val="24"/>
          <w:szCs w:val="24"/>
          <w:highlight w:val="none"/>
          <w:u w:val="single"/>
        </w:rPr>
        <w:t>厦门市湖里区机场北路476号四楼开标厅</w:t>
      </w:r>
      <w:r>
        <w:rPr>
          <w:rFonts w:hint="eastAsia" w:ascii="宋体" w:hAnsi="宋体" w:cs="宋体"/>
          <w:color w:val="auto"/>
          <w:sz w:val="24"/>
          <w:szCs w:val="24"/>
          <w:highlight w:val="none"/>
        </w:rPr>
        <w:t>。逾期收到的或不符合规定的投标文件将被拒绝。</w:t>
      </w:r>
    </w:p>
    <w:p w14:paraId="4D546EE9">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6、开标时间、地点： 2026年0</w:t>
      </w:r>
      <w:r>
        <w:rPr>
          <w:rFonts w:ascii="宋体" w:hAnsi="宋体" w:cs="宋体"/>
          <w:color w:val="auto"/>
          <w:sz w:val="24"/>
          <w:szCs w:val="24"/>
          <w:highlight w:val="none"/>
        </w:rPr>
        <w:t>6</w:t>
      </w:r>
      <w:r>
        <w:rPr>
          <w:rFonts w:hint="eastAsia" w:ascii="宋体" w:hAnsi="宋体" w:cs="宋体"/>
          <w:color w:val="auto"/>
          <w:sz w:val="24"/>
          <w:szCs w:val="24"/>
          <w:highlight w:val="none"/>
        </w:rPr>
        <w:t>月</w:t>
      </w:r>
      <w:r>
        <w:rPr>
          <w:rFonts w:hint="eastAsia" w:ascii="宋体" w:hAnsi="宋体" w:cs="宋体"/>
          <w:color w:val="auto"/>
          <w:sz w:val="24"/>
          <w:szCs w:val="24"/>
          <w:highlight w:val="none"/>
          <w:lang w:val="en-US" w:eastAsia="zh-CN"/>
        </w:rPr>
        <w:t>23</w:t>
      </w:r>
      <w:r>
        <w:rPr>
          <w:rFonts w:hint="eastAsia" w:ascii="宋体" w:hAnsi="宋体" w:cs="宋体"/>
          <w:color w:val="auto"/>
          <w:sz w:val="24"/>
          <w:szCs w:val="24"/>
          <w:highlight w:val="none"/>
        </w:rPr>
        <w:t>日上午9:00（北京时间）于</w:t>
      </w:r>
      <w:r>
        <w:rPr>
          <w:rFonts w:hint="eastAsia" w:ascii="宋体" w:hAnsi="宋体" w:cs="宋体"/>
          <w:b/>
          <w:color w:val="auto"/>
          <w:sz w:val="24"/>
          <w:szCs w:val="24"/>
          <w:highlight w:val="none"/>
          <w:u w:val="single"/>
        </w:rPr>
        <w:t>厦门市湖里区机场北路476号四楼开标厅</w:t>
      </w:r>
      <w:r>
        <w:rPr>
          <w:rFonts w:hint="eastAsia" w:ascii="宋体" w:hAnsi="宋体" w:cs="宋体"/>
          <w:color w:val="auto"/>
          <w:sz w:val="24"/>
          <w:szCs w:val="24"/>
          <w:highlight w:val="none"/>
        </w:rPr>
        <w:t>。</w:t>
      </w:r>
    </w:p>
    <w:p w14:paraId="01C3E10E">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7、本项目（不接受）联合体投标。</w:t>
      </w:r>
    </w:p>
    <w:p w14:paraId="6E32ECA1">
      <w:pPr>
        <w:spacing w:line="360" w:lineRule="auto"/>
        <w:ind w:firstLine="480" w:firstLineChars="200"/>
        <w:rPr>
          <w:rFonts w:ascii="宋体" w:hAnsi="宋体" w:cs="宋体"/>
          <w:color w:val="auto"/>
          <w:sz w:val="24"/>
          <w:szCs w:val="24"/>
          <w:highlight w:val="none"/>
        </w:rPr>
      </w:pPr>
      <w:r>
        <w:rPr>
          <w:rFonts w:hint="eastAsia" w:ascii="宋体" w:hAnsi="宋体" w:cs="宋体"/>
          <w:bCs/>
          <w:color w:val="auto"/>
          <w:sz w:val="24"/>
          <w:szCs w:val="24"/>
          <w:highlight w:val="none"/>
        </w:rPr>
        <w:t>8、招标文件如有变更，</w:t>
      </w:r>
      <w:r>
        <w:rPr>
          <w:rFonts w:hint="eastAsia" w:ascii="宋体" w:hAnsi="宋体" w:cs="宋体"/>
          <w:b/>
          <w:color w:val="auto"/>
          <w:sz w:val="24"/>
          <w:szCs w:val="24"/>
          <w:highlight w:val="none"/>
          <w:u w:val="single"/>
        </w:rPr>
        <w:t>厦门万翔招标有限公司</w:t>
      </w:r>
      <w:r>
        <w:rPr>
          <w:rFonts w:hint="eastAsia" w:ascii="宋体" w:hAnsi="宋体" w:cs="宋体"/>
          <w:bCs/>
          <w:color w:val="auto"/>
          <w:sz w:val="24"/>
          <w:szCs w:val="24"/>
          <w:highlight w:val="none"/>
        </w:rPr>
        <w:t>将通过厦门招投标网（</w:t>
      </w:r>
      <w:r>
        <w:rPr>
          <w:rFonts w:hint="eastAsia" w:ascii="宋体" w:hAnsi="宋体" w:cs="宋体"/>
          <w:color w:val="auto"/>
          <w:sz w:val="24"/>
          <w:szCs w:val="24"/>
          <w:highlight w:val="none"/>
        </w:rPr>
        <w:t>www.xmztb.com</w:t>
      </w:r>
      <w:r>
        <w:rPr>
          <w:rFonts w:hint="eastAsia" w:ascii="宋体" w:hAnsi="宋体" w:cs="宋体"/>
          <w:bCs/>
          <w:color w:val="auto"/>
          <w:sz w:val="24"/>
          <w:szCs w:val="24"/>
          <w:highlight w:val="none"/>
        </w:rPr>
        <w:t>）等媒体发布通知信息，请投标人关注</w:t>
      </w:r>
      <w:r>
        <w:rPr>
          <w:rFonts w:hint="eastAsia" w:ascii="宋体" w:hAnsi="宋体" w:cs="宋体"/>
          <w:color w:val="auto"/>
          <w:sz w:val="24"/>
          <w:szCs w:val="24"/>
          <w:highlight w:val="none"/>
        </w:rPr>
        <w:t>。</w:t>
      </w:r>
    </w:p>
    <w:p w14:paraId="0B03B2F8">
      <w:pPr>
        <w:spacing w:line="360" w:lineRule="auto"/>
        <w:ind w:firstLine="482" w:firstLineChars="200"/>
        <w:rPr>
          <w:rFonts w:ascii="宋体" w:hAnsi="宋体" w:cs="宋体"/>
          <w:b/>
          <w:color w:val="auto"/>
          <w:sz w:val="24"/>
          <w:szCs w:val="24"/>
          <w:highlight w:val="none"/>
        </w:rPr>
      </w:pPr>
      <w:r>
        <w:rPr>
          <w:rFonts w:hint="eastAsia" w:ascii="宋体" w:hAnsi="宋体" w:cs="宋体"/>
          <w:b/>
          <w:color w:val="auto"/>
          <w:sz w:val="24"/>
          <w:szCs w:val="24"/>
          <w:highlight w:val="none"/>
        </w:rPr>
        <w:t xml:space="preserve">9、友情提醒：本项目仅限网下购买招标文件，投标人必须按招标文件要求递交纸质投标文件。 </w:t>
      </w:r>
    </w:p>
    <w:p w14:paraId="24107B1C">
      <w:pPr>
        <w:spacing w:line="360" w:lineRule="auto"/>
        <w:ind w:firstLine="480" w:firstLineChars="200"/>
        <w:rPr>
          <w:rFonts w:ascii="宋体" w:hAnsi="宋体" w:cs="宋体"/>
          <w:color w:val="auto"/>
          <w:sz w:val="24"/>
          <w:szCs w:val="24"/>
          <w:highlight w:val="none"/>
          <w:u w:val="single"/>
        </w:rPr>
      </w:pPr>
      <w:r>
        <w:rPr>
          <w:rFonts w:hint="eastAsia" w:ascii="宋体" w:hAnsi="宋体" w:cs="宋体"/>
          <w:color w:val="auto"/>
          <w:sz w:val="24"/>
          <w:szCs w:val="24"/>
          <w:highlight w:val="none"/>
        </w:rPr>
        <w:t>10、投标人对本次招标活动事项提出疑问的，请在投标截止时间十五日之前，与招标代理机构联系。来函请加盖单位公章，并提供联系人、联系电话及传真号码。</w:t>
      </w:r>
    </w:p>
    <w:p w14:paraId="26AC3F78">
      <w:pPr>
        <w:spacing w:line="360" w:lineRule="auto"/>
        <w:ind w:firstLine="482" w:firstLineChars="200"/>
        <w:rPr>
          <w:rFonts w:ascii="宋体" w:hAnsi="宋体" w:cs="宋体"/>
          <w:b/>
          <w:bCs/>
          <w:color w:val="auto"/>
          <w:sz w:val="24"/>
          <w:szCs w:val="24"/>
          <w:highlight w:val="none"/>
        </w:rPr>
      </w:pPr>
      <w:r>
        <w:rPr>
          <w:rFonts w:hint="eastAsia" w:ascii="宋体" w:hAnsi="宋体" w:cs="宋体"/>
          <w:b/>
          <w:bCs/>
          <w:color w:val="auto"/>
          <w:sz w:val="24"/>
          <w:szCs w:val="24"/>
          <w:highlight w:val="none"/>
        </w:rPr>
        <w:t>11、为方便开标唱标，投标人应将开标一览表原件和投标保证金缴交凭证单独密封，并在信封上标明“开标一览表”字样，然后再装入投标文件密封袋中密封。</w:t>
      </w:r>
    </w:p>
    <w:p w14:paraId="78B3EE7B">
      <w:pPr>
        <w:tabs>
          <w:tab w:val="left" w:pos="1140"/>
        </w:tabs>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12、各有关联系方式</w:t>
      </w:r>
    </w:p>
    <w:tbl>
      <w:tblPr>
        <w:tblStyle w:val="21"/>
        <w:tblW w:w="920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71"/>
        <w:gridCol w:w="1506"/>
        <w:gridCol w:w="1178"/>
        <w:gridCol w:w="2784"/>
        <w:gridCol w:w="2961"/>
      </w:tblGrid>
      <w:tr w14:paraId="0DADFF0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434" w:hRule="atLeast"/>
          <w:jc w:val="center"/>
        </w:trPr>
        <w:tc>
          <w:tcPr>
            <w:tcW w:w="771" w:type="dxa"/>
            <w:vAlign w:val="center"/>
          </w:tcPr>
          <w:p w14:paraId="7EEA732D">
            <w:pPr>
              <w:spacing w:line="360" w:lineRule="auto"/>
              <w:jc w:val="center"/>
              <w:rPr>
                <w:rFonts w:ascii="宋体" w:hAnsi="宋体" w:cs="宋体"/>
                <w:b/>
                <w:color w:val="auto"/>
                <w:kern w:val="0"/>
                <w:sz w:val="24"/>
                <w:szCs w:val="24"/>
                <w:highlight w:val="none"/>
              </w:rPr>
            </w:pPr>
            <w:r>
              <w:rPr>
                <w:rFonts w:hint="eastAsia" w:ascii="宋体" w:hAnsi="宋体" w:cs="宋体"/>
                <w:b/>
                <w:color w:val="auto"/>
                <w:kern w:val="0"/>
                <w:sz w:val="24"/>
                <w:szCs w:val="24"/>
                <w:highlight w:val="none"/>
              </w:rPr>
              <w:t>序号</w:t>
            </w:r>
          </w:p>
        </w:tc>
        <w:tc>
          <w:tcPr>
            <w:tcW w:w="1506" w:type="dxa"/>
            <w:vAlign w:val="center"/>
          </w:tcPr>
          <w:p w14:paraId="7D7159DA">
            <w:pPr>
              <w:spacing w:line="360" w:lineRule="auto"/>
              <w:jc w:val="center"/>
              <w:rPr>
                <w:rFonts w:ascii="宋体" w:hAnsi="宋体" w:cs="宋体"/>
                <w:b/>
                <w:color w:val="auto"/>
                <w:kern w:val="0"/>
                <w:sz w:val="24"/>
                <w:szCs w:val="24"/>
                <w:highlight w:val="none"/>
              </w:rPr>
            </w:pPr>
            <w:r>
              <w:rPr>
                <w:rFonts w:hint="eastAsia" w:ascii="宋体" w:hAnsi="宋体" w:cs="宋体"/>
                <w:b/>
                <w:color w:val="auto"/>
                <w:kern w:val="0"/>
                <w:sz w:val="24"/>
                <w:szCs w:val="24"/>
                <w:highlight w:val="none"/>
              </w:rPr>
              <w:t>分工</w:t>
            </w:r>
          </w:p>
        </w:tc>
        <w:tc>
          <w:tcPr>
            <w:tcW w:w="1178" w:type="dxa"/>
            <w:vAlign w:val="center"/>
          </w:tcPr>
          <w:p w14:paraId="6A129419">
            <w:pPr>
              <w:spacing w:line="360" w:lineRule="auto"/>
              <w:jc w:val="center"/>
              <w:rPr>
                <w:rFonts w:ascii="宋体" w:hAnsi="宋体" w:cs="宋体"/>
                <w:b/>
                <w:color w:val="auto"/>
                <w:kern w:val="0"/>
                <w:sz w:val="24"/>
                <w:szCs w:val="24"/>
                <w:highlight w:val="none"/>
              </w:rPr>
            </w:pPr>
            <w:r>
              <w:rPr>
                <w:rFonts w:hint="eastAsia" w:ascii="宋体" w:hAnsi="宋体" w:cs="宋体"/>
                <w:b/>
                <w:color w:val="auto"/>
                <w:kern w:val="0"/>
                <w:sz w:val="24"/>
                <w:szCs w:val="24"/>
                <w:highlight w:val="none"/>
              </w:rPr>
              <w:t>联系人</w:t>
            </w:r>
          </w:p>
        </w:tc>
        <w:tc>
          <w:tcPr>
            <w:tcW w:w="2784" w:type="dxa"/>
            <w:vAlign w:val="center"/>
          </w:tcPr>
          <w:p w14:paraId="351B29F9">
            <w:pPr>
              <w:spacing w:line="360" w:lineRule="auto"/>
              <w:jc w:val="center"/>
              <w:rPr>
                <w:rFonts w:ascii="宋体" w:hAnsi="宋体" w:cs="宋体"/>
                <w:b/>
                <w:color w:val="auto"/>
                <w:kern w:val="0"/>
                <w:sz w:val="24"/>
                <w:szCs w:val="24"/>
                <w:highlight w:val="none"/>
              </w:rPr>
            </w:pPr>
            <w:r>
              <w:rPr>
                <w:rFonts w:hint="eastAsia" w:ascii="宋体" w:hAnsi="宋体" w:cs="宋体"/>
                <w:b/>
                <w:color w:val="auto"/>
                <w:kern w:val="0"/>
                <w:sz w:val="24"/>
                <w:szCs w:val="24"/>
                <w:highlight w:val="none"/>
              </w:rPr>
              <w:t>职责范围</w:t>
            </w:r>
          </w:p>
        </w:tc>
        <w:tc>
          <w:tcPr>
            <w:tcW w:w="2961" w:type="dxa"/>
            <w:vAlign w:val="center"/>
          </w:tcPr>
          <w:p w14:paraId="7C0A6010">
            <w:pPr>
              <w:spacing w:line="360" w:lineRule="auto"/>
              <w:jc w:val="center"/>
              <w:rPr>
                <w:rFonts w:ascii="宋体" w:hAnsi="宋体" w:cs="宋体"/>
                <w:b/>
                <w:color w:val="auto"/>
                <w:kern w:val="0"/>
                <w:sz w:val="24"/>
                <w:szCs w:val="24"/>
                <w:highlight w:val="none"/>
              </w:rPr>
            </w:pPr>
            <w:r>
              <w:rPr>
                <w:rFonts w:hint="eastAsia" w:ascii="宋体" w:hAnsi="宋体" w:cs="宋体"/>
                <w:b/>
                <w:color w:val="auto"/>
                <w:kern w:val="0"/>
                <w:sz w:val="24"/>
                <w:szCs w:val="24"/>
                <w:highlight w:val="none"/>
              </w:rPr>
              <w:t>联系电话</w:t>
            </w:r>
          </w:p>
        </w:tc>
      </w:tr>
      <w:tr w14:paraId="3A985DD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jc w:val="center"/>
        </w:trPr>
        <w:tc>
          <w:tcPr>
            <w:tcW w:w="771" w:type="dxa"/>
            <w:vAlign w:val="center"/>
          </w:tcPr>
          <w:p w14:paraId="4DD54AF2">
            <w:pPr>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1</w:t>
            </w:r>
          </w:p>
        </w:tc>
        <w:tc>
          <w:tcPr>
            <w:tcW w:w="1506" w:type="dxa"/>
            <w:vAlign w:val="center"/>
          </w:tcPr>
          <w:p w14:paraId="23F26D6D">
            <w:pPr>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项目经办</w:t>
            </w:r>
          </w:p>
        </w:tc>
        <w:tc>
          <w:tcPr>
            <w:tcW w:w="1178" w:type="dxa"/>
            <w:vAlign w:val="center"/>
          </w:tcPr>
          <w:p w14:paraId="55872666">
            <w:pPr>
              <w:spacing w:line="360" w:lineRule="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傅晨晖、黄佳仪</w:t>
            </w:r>
          </w:p>
        </w:tc>
        <w:tc>
          <w:tcPr>
            <w:tcW w:w="2784" w:type="dxa"/>
            <w:vAlign w:val="center"/>
          </w:tcPr>
          <w:p w14:paraId="17A18500">
            <w:pPr>
              <w:spacing w:line="360" w:lineRule="auto"/>
              <w:rPr>
                <w:rFonts w:ascii="宋体" w:hAnsi="宋体" w:cs="宋体"/>
                <w:color w:val="auto"/>
                <w:kern w:val="0"/>
                <w:sz w:val="24"/>
                <w:szCs w:val="24"/>
                <w:highlight w:val="none"/>
              </w:rPr>
            </w:pPr>
            <w:r>
              <w:rPr>
                <w:rFonts w:hint="eastAsia" w:ascii="宋体" w:hAnsi="宋体" w:cs="宋体"/>
                <w:color w:val="auto"/>
                <w:sz w:val="24"/>
                <w:szCs w:val="24"/>
                <w:highlight w:val="none"/>
              </w:rPr>
              <w:t>负责招标文件的咨询、答疑等工作</w:t>
            </w:r>
          </w:p>
        </w:tc>
        <w:tc>
          <w:tcPr>
            <w:tcW w:w="2961" w:type="dxa"/>
            <w:vAlign w:val="center"/>
          </w:tcPr>
          <w:p w14:paraId="2F4D0F16">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0592-2298136、5721295</w:t>
            </w:r>
          </w:p>
          <w:p w14:paraId="0811F99A">
            <w:pPr>
              <w:spacing w:line="360" w:lineRule="auto"/>
              <w:rPr>
                <w:rFonts w:ascii="宋体" w:hAnsi="宋体" w:cs="宋体"/>
                <w:color w:val="auto"/>
                <w:kern w:val="0"/>
                <w:sz w:val="24"/>
                <w:szCs w:val="24"/>
                <w:highlight w:val="none"/>
              </w:rPr>
            </w:pPr>
            <w:r>
              <w:rPr>
                <w:rFonts w:hint="eastAsia" w:ascii="宋体" w:hAnsi="宋体" w:cs="宋体"/>
                <w:color w:val="auto"/>
                <w:sz w:val="24"/>
                <w:szCs w:val="24"/>
                <w:highlight w:val="none"/>
              </w:rPr>
              <w:t>传真0592-5706660-6969</w:t>
            </w:r>
          </w:p>
        </w:tc>
      </w:tr>
      <w:tr w14:paraId="4E2A6E1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jc w:val="center"/>
        </w:trPr>
        <w:tc>
          <w:tcPr>
            <w:tcW w:w="771" w:type="dxa"/>
            <w:vAlign w:val="center"/>
          </w:tcPr>
          <w:p w14:paraId="2BF740E7">
            <w:pPr>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2</w:t>
            </w:r>
          </w:p>
        </w:tc>
        <w:tc>
          <w:tcPr>
            <w:tcW w:w="1506" w:type="dxa"/>
            <w:vAlign w:val="center"/>
          </w:tcPr>
          <w:p w14:paraId="1B24083D">
            <w:pPr>
              <w:spacing w:line="360" w:lineRule="auto"/>
              <w:jc w:val="center"/>
              <w:rPr>
                <w:rFonts w:ascii="宋体" w:hAnsi="宋体" w:cs="宋体"/>
                <w:color w:val="auto"/>
                <w:kern w:val="0"/>
                <w:sz w:val="24"/>
                <w:szCs w:val="24"/>
                <w:highlight w:val="none"/>
              </w:rPr>
            </w:pPr>
            <w:r>
              <w:rPr>
                <w:rFonts w:hint="eastAsia" w:ascii="宋体" w:hAnsi="宋体" w:cs="宋体"/>
                <w:color w:val="auto"/>
                <w:sz w:val="24"/>
                <w:szCs w:val="24"/>
                <w:highlight w:val="none"/>
              </w:rPr>
              <w:t>售标</w:t>
            </w:r>
          </w:p>
        </w:tc>
        <w:tc>
          <w:tcPr>
            <w:tcW w:w="1178" w:type="dxa"/>
            <w:vAlign w:val="center"/>
          </w:tcPr>
          <w:p w14:paraId="4E335CE9">
            <w:pPr>
              <w:spacing w:line="360" w:lineRule="auto"/>
              <w:jc w:val="center"/>
              <w:rPr>
                <w:rFonts w:ascii="宋体" w:hAnsi="宋体" w:cs="宋体"/>
                <w:color w:val="auto"/>
                <w:kern w:val="0"/>
                <w:sz w:val="24"/>
                <w:szCs w:val="24"/>
                <w:highlight w:val="none"/>
              </w:rPr>
            </w:pPr>
            <w:r>
              <w:rPr>
                <w:rFonts w:hint="eastAsia" w:ascii="宋体" w:hAnsi="宋体" w:cs="宋体"/>
                <w:color w:val="auto"/>
                <w:sz w:val="24"/>
                <w:szCs w:val="24"/>
                <w:highlight w:val="none"/>
              </w:rPr>
              <w:t>蒋小姐</w:t>
            </w:r>
          </w:p>
        </w:tc>
        <w:tc>
          <w:tcPr>
            <w:tcW w:w="2784" w:type="dxa"/>
            <w:vAlign w:val="center"/>
          </w:tcPr>
          <w:p w14:paraId="711A330F">
            <w:pPr>
              <w:spacing w:line="360" w:lineRule="auto"/>
              <w:rPr>
                <w:rFonts w:ascii="宋体" w:hAnsi="宋体" w:cs="宋体"/>
                <w:color w:val="auto"/>
                <w:kern w:val="0"/>
                <w:sz w:val="24"/>
                <w:szCs w:val="24"/>
                <w:highlight w:val="none"/>
              </w:rPr>
            </w:pPr>
            <w:r>
              <w:rPr>
                <w:rFonts w:hint="eastAsia" w:ascii="宋体" w:hAnsi="宋体" w:cs="宋体"/>
                <w:color w:val="auto"/>
                <w:sz w:val="24"/>
                <w:szCs w:val="24"/>
                <w:highlight w:val="none"/>
              </w:rPr>
              <w:t>负责受理招标文件出售（邮寄）</w:t>
            </w:r>
          </w:p>
        </w:tc>
        <w:tc>
          <w:tcPr>
            <w:tcW w:w="2961" w:type="dxa"/>
            <w:vAlign w:val="center"/>
          </w:tcPr>
          <w:p w14:paraId="702D059C">
            <w:pPr>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0592-2219823</w:t>
            </w:r>
          </w:p>
          <w:p w14:paraId="7EC9D30B">
            <w:pPr>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传真0592-5706660-6969</w:t>
            </w:r>
          </w:p>
          <w:p w14:paraId="24A620C2">
            <w:pPr>
              <w:pStyle w:val="19"/>
              <w:spacing w:after="0"/>
              <w:ind w:firstLine="0" w:firstLineChars="0"/>
              <w:rPr>
                <w:color w:val="auto"/>
                <w:sz w:val="24"/>
                <w:highlight w:val="none"/>
              </w:rPr>
            </w:pPr>
            <w:r>
              <w:rPr>
                <w:rFonts w:hint="eastAsia" w:ascii="宋体" w:hAnsi="宋体" w:cs="宋体"/>
                <w:color w:val="auto"/>
                <w:sz w:val="24"/>
                <w:highlight w:val="none"/>
              </w:rPr>
              <w:t>邮箱wxsb@iport.com.cn</w:t>
            </w:r>
          </w:p>
        </w:tc>
      </w:tr>
      <w:tr w14:paraId="4D6AC0D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jc w:val="center"/>
        </w:trPr>
        <w:tc>
          <w:tcPr>
            <w:tcW w:w="771" w:type="dxa"/>
            <w:vAlign w:val="center"/>
          </w:tcPr>
          <w:p w14:paraId="0CEBD195">
            <w:pPr>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3</w:t>
            </w:r>
          </w:p>
        </w:tc>
        <w:tc>
          <w:tcPr>
            <w:tcW w:w="1506" w:type="dxa"/>
            <w:vAlign w:val="center"/>
          </w:tcPr>
          <w:p w14:paraId="680571F9">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投标保证金</w:t>
            </w:r>
          </w:p>
        </w:tc>
        <w:tc>
          <w:tcPr>
            <w:tcW w:w="1178" w:type="dxa"/>
            <w:vAlign w:val="center"/>
          </w:tcPr>
          <w:p w14:paraId="6F790446">
            <w:pPr>
              <w:spacing w:line="360" w:lineRule="auto"/>
              <w:jc w:val="center"/>
              <w:rPr>
                <w:rFonts w:ascii="宋体" w:hAnsi="宋体" w:cs="宋体"/>
                <w:color w:val="auto"/>
                <w:kern w:val="0"/>
                <w:sz w:val="24"/>
                <w:szCs w:val="24"/>
                <w:highlight w:val="none"/>
              </w:rPr>
            </w:pPr>
            <w:r>
              <w:rPr>
                <w:rFonts w:hint="eastAsia" w:ascii="宋体" w:hAnsi="宋体" w:cs="宋体"/>
                <w:color w:val="auto"/>
                <w:sz w:val="24"/>
                <w:szCs w:val="24"/>
                <w:highlight w:val="none"/>
              </w:rPr>
              <w:t>陈小姐</w:t>
            </w:r>
          </w:p>
        </w:tc>
        <w:tc>
          <w:tcPr>
            <w:tcW w:w="2784" w:type="dxa"/>
            <w:vAlign w:val="center"/>
          </w:tcPr>
          <w:p w14:paraId="4B45E2EE">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投标保证金收、退</w:t>
            </w:r>
          </w:p>
        </w:tc>
        <w:tc>
          <w:tcPr>
            <w:tcW w:w="2961" w:type="dxa"/>
            <w:vAlign w:val="center"/>
          </w:tcPr>
          <w:p w14:paraId="3957E2B7">
            <w:pPr>
              <w:spacing w:line="360" w:lineRule="auto"/>
              <w:rPr>
                <w:rFonts w:ascii="宋体" w:hAnsi="宋体" w:cs="宋体"/>
                <w:color w:val="auto"/>
                <w:kern w:val="0"/>
                <w:sz w:val="24"/>
                <w:szCs w:val="24"/>
                <w:highlight w:val="none"/>
              </w:rPr>
            </w:pPr>
            <w:r>
              <w:rPr>
                <w:rFonts w:hint="eastAsia" w:ascii="宋体" w:hAnsi="宋体" w:cs="宋体"/>
                <w:color w:val="auto"/>
                <w:sz w:val="24"/>
                <w:szCs w:val="24"/>
                <w:highlight w:val="none"/>
              </w:rPr>
              <w:t>0592-5703367</w:t>
            </w:r>
          </w:p>
        </w:tc>
      </w:tr>
      <w:tr w14:paraId="06F7AB2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jc w:val="center"/>
        </w:trPr>
        <w:tc>
          <w:tcPr>
            <w:tcW w:w="771" w:type="dxa"/>
            <w:vAlign w:val="center"/>
          </w:tcPr>
          <w:p w14:paraId="35277F47">
            <w:pPr>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4</w:t>
            </w:r>
          </w:p>
        </w:tc>
        <w:tc>
          <w:tcPr>
            <w:tcW w:w="1506" w:type="dxa"/>
            <w:vAlign w:val="center"/>
          </w:tcPr>
          <w:p w14:paraId="0A2121AF">
            <w:pPr>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财务</w:t>
            </w:r>
          </w:p>
        </w:tc>
        <w:tc>
          <w:tcPr>
            <w:tcW w:w="1178" w:type="dxa"/>
            <w:vAlign w:val="center"/>
          </w:tcPr>
          <w:p w14:paraId="052234CB">
            <w:pPr>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张先生</w:t>
            </w:r>
          </w:p>
        </w:tc>
        <w:tc>
          <w:tcPr>
            <w:tcW w:w="2784" w:type="dxa"/>
            <w:vAlign w:val="center"/>
          </w:tcPr>
          <w:p w14:paraId="4296CAE4">
            <w:pPr>
              <w:spacing w:line="360" w:lineRule="auto"/>
              <w:rPr>
                <w:rFonts w:ascii="宋体" w:hAnsi="宋体" w:cs="宋体"/>
                <w:color w:val="auto"/>
                <w:sz w:val="24"/>
                <w:szCs w:val="24"/>
                <w:highlight w:val="none"/>
              </w:rPr>
            </w:pPr>
            <w:r>
              <w:rPr>
                <w:rFonts w:hint="eastAsia" w:ascii="宋体" w:hAnsi="宋体" w:cs="宋体"/>
                <w:color w:val="auto"/>
                <w:kern w:val="0"/>
                <w:sz w:val="24"/>
                <w:szCs w:val="24"/>
                <w:highlight w:val="none"/>
              </w:rPr>
              <w:t>文件费、投标保证金到账咨询</w:t>
            </w:r>
          </w:p>
        </w:tc>
        <w:tc>
          <w:tcPr>
            <w:tcW w:w="2961" w:type="dxa"/>
            <w:vAlign w:val="center"/>
          </w:tcPr>
          <w:p w14:paraId="50F76E6C">
            <w:pPr>
              <w:spacing w:line="360" w:lineRule="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0592-2298139</w:t>
            </w:r>
          </w:p>
        </w:tc>
      </w:tr>
      <w:tr w14:paraId="669A104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jc w:val="center"/>
        </w:trPr>
        <w:tc>
          <w:tcPr>
            <w:tcW w:w="771" w:type="dxa"/>
            <w:vAlign w:val="center"/>
          </w:tcPr>
          <w:p w14:paraId="3DE13971">
            <w:pPr>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5</w:t>
            </w:r>
          </w:p>
        </w:tc>
        <w:tc>
          <w:tcPr>
            <w:tcW w:w="1506" w:type="dxa"/>
            <w:vAlign w:val="center"/>
          </w:tcPr>
          <w:p w14:paraId="37816ED7">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代理服务费</w:t>
            </w:r>
          </w:p>
        </w:tc>
        <w:tc>
          <w:tcPr>
            <w:tcW w:w="1178" w:type="dxa"/>
            <w:vAlign w:val="center"/>
          </w:tcPr>
          <w:p w14:paraId="57651C60">
            <w:pPr>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陈小姐</w:t>
            </w:r>
          </w:p>
        </w:tc>
        <w:tc>
          <w:tcPr>
            <w:tcW w:w="2784" w:type="dxa"/>
            <w:vAlign w:val="center"/>
          </w:tcPr>
          <w:p w14:paraId="4EE00C96">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代理服务费收取</w:t>
            </w:r>
          </w:p>
        </w:tc>
        <w:tc>
          <w:tcPr>
            <w:tcW w:w="2961" w:type="dxa"/>
            <w:vAlign w:val="center"/>
          </w:tcPr>
          <w:p w14:paraId="2FE0B27D">
            <w:pPr>
              <w:spacing w:line="360" w:lineRule="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0592-5703367</w:t>
            </w:r>
          </w:p>
        </w:tc>
      </w:tr>
      <w:tr w14:paraId="3BC54E8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jc w:val="center"/>
        </w:trPr>
        <w:tc>
          <w:tcPr>
            <w:tcW w:w="771" w:type="dxa"/>
            <w:vAlign w:val="center"/>
          </w:tcPr>
          <w:p w14:paraId="3CFBD2AB">
            <w:pPr>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6</w:t>
            </w:r>
          </w:p>
        </w:tc>
        <w:tc>
          <w:tcPr>
            <w:tcW w:w="1506" w:type="dxa"/>
            <w:vAlign w:val="center"/>
          </w:tcPr>
          <w:p w14:paraId="313F1F94">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监督</w:t>
            </w:r>
          </w:p>
        </w:tc>
        <w:tc>
          <w:tcPr>
            <w:tcW w:w="1178" w:type="dxa"/>
            <w:vAlign w:val="center"/>
          </w:tcPr>
          <w:p w14:paraId="427A781C">
            <w:pPr>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黄经理</w:t>
            </w:r>
          </w:p>
        </w:tc>
        <w:tc>
          <w:tcPr>
            <w:tcW w:w="2784" w:type="dxa"/>
            <w:vAlign w:val="center"/>
          </w:tcPr>
          <w:p w14:paraId="388687E4">
            <w:pPr>
              <w:spacing w:line="360" w:lineRule="auto"/>
              <w:rPr>
                <w:rFonts w:ascii="宋体" w:hAnsi="宋体" w:cs="宋体"/>
                <w:color w:val="auto"/>
                <w:sz w:val="24"/>
                <w:szCs w:val="24"/>
                <w:highlight w:val="none"/>
              </w:rPr>
            </w:pPr>
            <w:r>
              <w:rPr>
                <w:rFonts w:hint="eastAsia" w:ascii="宋体" w:hAnsi="宋体" w:cs="宋体"/>
                <w:b/>
                <w:color w:val="auto"/>
                <w:sz w:val="24"/>
                <w:szCs w:val="24"/>
                <w:highlight w:val="none"/>
              </w:rPr>
              <w:t>欢迎投标人对项目采购过程中公告发布、招标文件购买、投标保证金缴交和退还、代理服务费收取、中标通知书发放等环节的服务进行监督。我们将竭诚为您提供最优质的服务。</w:t>
            </w:r>
          </w:p>
        </w:tc>
        <w:tc>
          <w:tcPr>
            <w:tcW w:w="2961" w:type="dxa"/>
            <w:vAlign w:val="center"/>
          </w:tcPr>
          <w:p w14:paraId="256BF5F0">
            <w:pPr>
              <w:spacing w:line="360" w:lineRule="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0592-5705656</w:t>
            </w:r>
          </w:p>
        </w:tc>
      </w:tr>
      <w:tr w14:paraId="3277527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jc w:val="center"/>
        </w:trPr>
        <w:tc>
          <w:tcPr>
            <w:tcW w:w="771" w:type="dxa"/>
            <w:vAlign w:val="center"/>
          </w:tcPr>
          <w:p w14:paraId="22D19B15">
            <w:pPr>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7</w:t>
            </w:r>
          </w:p>
        </w:tc>
        <w:tc>
          <w:tcPr>
            <w:tcW w:w="1506" w:type="dxa"/>
            <w:vAlign w:val="center"/>
          </w:tcPr>
          <w:p w14:paraId="3534E3F2">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接收质疑</w:t>
            </w:r>
          </w:p>
        </w:tc>
        <w:tc>
          <w:tcPr>
            <w:tcW w:w="1178" w:type="dxa"/>
            <w:vAlign w:val="center"/>
          </w:tcPr>
          <w:p w14:paraId="28A36947">
            <w:pPr>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刘经理</w:t>
            </w:r>
          </w:p>
        </w:tc>
        <w:tc>
          <w:tcPr>
            <w:tcW w:w="2784" w:type="dxa"/>
            <w:vAlign w:val="center"/>
          </w:tcPr>
          <w:p w14:paraId="451559AA">
            <w:pPr>
              <w:spacing w:line="360" w:lineRule="auto"/>
              <w:rPr>
                <w:rFonts w:ascii="宋体" w:hAnsi="宋体" w:cs="宋体"/>
                <w:b/>
                <w:color w:val="auto"/>
                <w:sz w:val="24"/>
                <w:szCs w:val="24"/>
                <w:highlight w:val="none"/>
              </w:rPr>
            </w:pPr>
            <w:r>
              <w:rPr>
                <w:rFonts w:hint="eastAsia" w:ascii="宋体" w:hAnsi="宋体" w:cs="宋体"/>
                <w:color w:val="auto"/>
                <w:kern w:val="0"/>
                <w:sz w:val="24"/>
                <w:szCs w:val="24"/>
                <w:highlight w:val="none"/>
              </w:rPr>
              <w:t>负责接收质疑</w:t>
            </w:r>
          </w:p>
        </w:tc>
        <w:tc>
          <w:tcPr>
            <w:tcW w:w="2961" w:type="dxa"/>
            <w:vAlign w:val="center"/>
          </w:tcPr>
          <w:p w14:paraId="2A93DE71">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电话0592-2218761</w:t>
            </w:r>
          </w:p>
          <w:p w14:paraId="678F2867">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传真0592-5706660-6969</w:t>
            </w:r>
          </w:p>
          <w:p w14:paraId="745674D9">
            <w:pPr>
              <w:spacing w:line="360" w:lineRule="auto"/>
              <w:rPr>
                <w:rFonts w:ascii="宋体" w:hAnsi="宋体" w:cs="宋体"/>
                <w:color w:val="auto"/>
                <w:sz w:val="24"/>
                <w:szCs w:val="24"/>
                <w:highlight w:val="none"/>
              </w:rPr>
            </w:pPr>
            <w:r>
              <w:rPr>
                <w:color w:val="auto"/>
                <w:highlight w:val="none"/>
              </w:rPr>
              <w:fldChar w:fldCharType="begin"/>
            </w:r>
            <w:r>
              <w:rPr>
                <w:color w:val="auto"/>
                <w:highlight w:val="none"/>
              </w:rPr>
              <w:instrText xml:space="preserve"> HYPERLINK "mailto:邮箱hcq@iport.com.cn" </w:instrText>
            </w:r>
            <w:r>
              <w:rPr>
                <w:color w:val="auto"/>
                <w:highlight w:val="none"/>
              </w:rPr>
              <w:fldChar w:fldCharType="separate"/>
            </w:r>
            <w:r>
              <w:rPr>
                <w:rFonts w:hint="eastAsia" w:ascii="宋体" w:hAnsi="宋体" w:cs="宋体"/>
                <w:color w:val="auto"/>
                <w:sz w:val="24"/>
                <w:szCs w:val="24"/>
                <w:highlight w:val="none"/>
              </w:rPr>
              <w:t>邮箱lmf@iport.com.cn</w:t>
            </w:r>
            <w:r>
              <w:rPr>
                <w:rFonts w:hint="eastAsia" w:ascii="宋体" w:hAnsi="宋体" w:cs="宋体"/>
                <w:color w:val="auto"/>
                <w:sz w:val="24"/>
                <w:szCs w:val="24"/>
                <w:highlight w:val="none"/>
              </w:rPr>
              <w:fldChar w:fldCharType="end"/>
            </w:r>
          </w:p>
          <w:p w14:paraId="06765C17">
            <w:pPr>
              <w:spacing w:line="360" w:lineRule="auto"/>
              <w:rPr>
                <w:rFonts w:ascii="宋体" w:hAnsi="宋体" w:cs="宋体"/>
                <w:color w:val="auto"/>
                <w:kern w:val="0"/>
                <w:sz w:val="24"/>
                <w:szCs w:val="24"/>
                <w:highlight w:val="none"/>
              </w:rPr>
            </w:pPr>
            <w:r>
              <w:rPr>
                <w:rFonts w:hint="eastAsia" w:ascii="宋体" w:hAnsi="宋体" w:cs="宋体"/>
                <w:color w:val="auto"/>
                <w:sz w:val="24"/>
                <w:szCs w:val="24"/>
                <w:highlight w:val="none"/>
              </w:rPr>
              <w:t>通讯地址：厦门市湖里区机场北路476号4楼</w:t>
            </w:r>
          </w:p>
        </w:tc>
      </w:tr>
    </w:tbl>
    <w:p w14:paraId="4C9B98D0">
      <w:pPr>
        <w:tabs>
          <w:tab w:val="left" w:pos="1140"/>
        </w:tabs>
        <w:spacing w:line="360" w:lineRule="auto"/>
        <w:ind w:left="426"/>
        <w:rPr>
          <w:rFonts w:ascii="宋体" w:hAnsi="宋体" w:cs="宋体"/>
          <w:color w:val="auto"/>
          <w:sz w:val="24"/>
          <w:szCs w:val="24"/>
          <w:highlight w:val="none"/>
        </w:rPr>
      </w:pPr>
      <w:r>
        <w:rPr>
          <w:rFonts w:hint="eastAsia" w:ascii="宋体" w:hAnsi="宋体" w:cs="宋体"/>
          <w:color w:val="auto"/>
          <w:sz w:val="24"/>
          <w:szCs w:val="24"/>
          <w:highlight w:val="none"/>
        </w:rPr>
        <w:t>13、投标保证金及代理服务费、文件费缴交账户：</w:t>
      </w:r>
    </w:p>
    <w:tbl>
      <w:tblPr>
        <w:tblStyle w:val="21"/>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97"/>
        <w:gridCol w:w="3653"/>
        <w:gridCol w:w="4189"/>
      </w:tblGrid>
      <w:tr w14:paraId="193067A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70" w:hRule="atLeast"/>
          <w:jc w:val="center"/>
        </w:trPr>
        <w:tc>
          <w:tcPr>
            <w:tcW w:w="1697" w:type="dxa"/>
            <w:vAlign w:val="center"/>
          </w:tcPr>
          <w:p w14:paraId="739B46DD">
            <w:pPr>
              <w:spacing w:line="360" w:lineRule="auto"/>
              <w:jc w:val="center"/>
              <w:rPr>
                <w:rFonts w:ascii="宋体" w:hAnsi="宋体" w:cs="宋体"/>
                <w:b/>
                <w:color w:val="auto"/>
                <w:sz w:val="24"/>
                <w:szCs w:val="24"/>
                <w:highlight w:val="none"/>
              </w:rPr>
            </w:pPr>
            <w:r>
              <w:rPr>
                <w:rFonts w:hint="eastAsia" w:ascii="宋体" w:hAnsi="宋体" w:cs="宋体"/>
                <w:b/>
                <w:color w:val="auto"/>
                <w:sz w:val="24"/>
                <w:szCs w:val="24"/>
                <w:highlight w:val="none"/>
              </w:rPr>
              <w:t>类   别</w:t>
            </w:r>
          </w:p>
        </w:tc>
        <w:tc>
          <w:tcPr>
            <w:tcW w:w="3653" w:type="dxa"/>
            <w:vAlign w:val="center"/>
          </w:tcPr>
          <w:p w14:paraId="63337AE6">
            <w:pPr>
              <w:spacing w:line="360" w:lineRule="auto"/>
              <w:jc w:val="center"/>
              <w:rPr>
                <w:rFonts w:ascii="宋体" w:hAnsi="宋体" w:cs="宋体"/>
                <w:b/>
                <w:color w:val="auto"/>
                <w:sz w:val="24"/>
                <w:szCs w:val="24"/>
                <w:highlight w:val="none"/>
              </w:rPr>
            </w:pPr>
            <w:r>
              <w:rPr>
                <w:rFonts w:hint="eastAsia" w:ascii="宋体" w:hAnsi="宋体" w:cs="宋体"/>
                <w:b/>
                <w:color w:val="auto"/>
                <w:sz w:val="24"/>
                <w:szCs w:val="24"/>
                <w:highlight w:val="none"/>
              </w:rPr>
              <w:t>投标保证金缴交账户</w:t>
            </w:r>
          </w:p>
        </w:tc>
        <w:tc>
          <w:tcPr>
            <w:tcW w:w="4189" w:type="dxa"/>
            <w:vAlign w:val="center"/>
          </w:tcPr>
          <w:p w14:paraId="1706F637">
            <w:pPr>
              <w:spacing w:line="360" w:lineRule="auto"/>
              <w:jc w:val="center"/>
              <w:rPr>
                <w:rFonts w:ascii="宋体" w:hAnsi="宋体" w:cs="宋体"/>
                <w:b/>
                <w:color w:val="auto"/>
                <w:sz w:val="24"/>
                <w:szCs w:val="24"/>
                <w:highlight w:val="none"/>
              </w:rPr>
            </w:pPr>
            <w:r>
              <w:rPr>
                <w:rFonts w:hint="eastAsia" w:ascii="宋体" w:hAnsi="宋体" w:cs="宋体"/>
                <w:b/>
                <w:color w:val="auto"/>
                <w:sz w:val="24"/>
                <w:szCs w:val="24"/>
                <w:highlight w:val="none"/>
              </w:rPr>
              <w:t>文件费、代理服务费缴交账户</w:t>
            </w:r>
          </w:p>
        </w:tc>
      </w:tr>
      <w:tr w14:paraId="0221EC5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35" w:hRule="atLeast"/>
          <w:jc w:val="center"/>
        </w:trPr>
        <w:tc>
          <w:tcPr>
            <w:tcW w:w="1697" w:type="dxa"/>
            <w:vAlign w:val="center"/>
          </w:tcPr>
          <w:p w14:paraId="22834903">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开 户 行</w:t>
            </w:r>
          </w:p>
        </w:tc>
        <w:tc>
          <w:tcPr>
            <w:tcW w:w="3653" w:type="dxa"/>
            <w:vAlign w:val="center"/>
          </w:tcPr>
          <w:p w14:paraId="48302F22">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中国建设银行股份有限公司厦门自贸试验区航空港支行</w:t>
            </w:r>
          </w:p>
        </w:tc>
        <w:tc>
          <w:tcPr>
            <w:tcW w:w="4189" w:type="dxa"/>
            <w:vAlign w:val="center"/>
          </w:tcPr>
          <w:p w14:paraId="52DE5F61">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中国建设银行股份有限公司厦门自贸试验区航空港支行</w:t>
            </w:r>
          </w:p>
        </w:tc>
      </w:tr>
      <w:tr w14:paraId="050DBBB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697" w:type="dxa"/>
            <w:vAlign w:val="center"/>
          </w:tcPr>
          <w:p w14:paraId="24A70870">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账    号</w:t>
            </w:r>
          </w:p>
        </w:tc>
        <w:tc>
          <w:tcPr>
            <w:tcW w:w="3653" w:type="dxa"/>
            <w:vAlign w:val="center"/>
          </w:tcPr>
          <w:p w14:paraId="1B7CE000">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35101570201052504219</w:t>
            </w:r>
          </w:p>
        </w:tc>
        <w:tc>
          <w:tcPr>
            <w:tcW w:w="4189" w:type="dxa"/>
            <w:vAlign w:val="center"/>
          </w:tcPr>
          <w:p w14:paraId="487275CC">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35101570201052504219</w:t>
            </w:r>
          </w:p>
        </w:tc>
      </w:tr>
      <w:tr w14:paraId="7493517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697" w:type="dxa"/>
            <w:vAlign w:val="center"/>
          </w:tcPr>
          <w:p w14:paraId="0D2E7E7F">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户名</w:t>
            </w:r>
          </w:p>
        </w:tc>
        <w:tc>
          <w:tcPr>
            <w:tcW w:w="7842" w:type="dxa"/>
            <w:gridSpan w:val="2"/>
            <w:vAlign w:val="center"/>
          </w:tcPr>
          <w:p w14:paraId="4F5AAFB1">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厦门万翔招标有限公司</w:t>
            </w:r>
          </w:p>
        </w:tc>
      </w:tr>
    </w:tbl>
    <w:p w14:paraId="08B68BF3">
      <w:pPr>
        <w:spacing w:line="360" w:lineRule="auto"/>
        <w:ind w:firstLine="360"/>
        <w:rPr>
          <w:rFonts w:ascii="宋体" w:hAnsi="宋体" w:cs="宋体"/>
          <w:b/>
          <w:color w:val="auto"/>
          <w:sz w:val="24"/>
          <w:szCs w:val="24"/>
          <w:highlight w:val="none"/>
        </w:rPr>
      </w:pPr>
      <w:r>
        <w:rPr>
          <w:rFonts w:hint="eastAsia" w:ascii="宋体" w:hAnsi="宋体" w:cs="宋体"/>
          <w:color w:val="auto"/>
          <w:sz w:val="24"/>
          <w:szCs w:val="24"/>
          <w:highlight w:val="none"/>
        </w:rPr>
        <w:t>注：投标人须将相关的费用缴交至上表对应的账号，缴错账号而产生的一切后果由投标人自行承担。</w:t>
      </w:r>
    </w:p>
    <w:p w14:paraId="45165601">
      <w:pPr>
        <w:spacing w:line="360" w:lineRule="auto"/>
        <w:rPr>
          <w:rFonts w:ascii="宋体" w:hAnsi="宋体" w:cs="宋体"/>
          <w:b/>
          <w:color w:val="auto"/>
          <w:sz w:val="24"/>
          <w:szCs w:val="24"/>
          <w:highlight w:val="none"/>
        </w:rPr>
      </w:pPr>
    </w:p>
    <w:p w14:paraId="3B78F791">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14、注意事项：</w:t>
      </w:r>
    </w:p>
    <w:p w14:paraId="0A15A68B">
      <w:pPr>
        <w:spacing w:line="360" w:lineRule="auto"/>
        <w:ind w:firstLine="480" w:firstLineChars="200"/>
        <w:rPr>
          <w:rFonts w:ascii="宋体" w:hAnsi="宋体" w:cs="宋体"/>
          <w:color w:val="auto"/>
          <w:sz w:val="24"/>
          <w:szCs w:val="24"/>
          <w:highlight w:val="none"/>
        </w:rPr>
      </w:pPr>
      <w:r>
        <w:rPr>
          <w:rFonts w:ascii="宋体" w:hAnsi="宋体" w:cs="宋体"/>
          <w:color w:val="auto"/>
          <w:sz w:val="24"/>
          <w:szCs w:val="24"/>
          <w:highlight w:val="none"/>
        </w:rPr>
        <w:t>（1）有意向的潜在投标人发邮件至wxsb@iport.com.cn索取招标文件购买登记表。</w:t>
      </w:r>
    </w:p>
    <w:p w14:paraId="752F727E">
      <w:pPr>
        <w:spacing w:line="360" w:lineRule="auto"/>
        <w:ind w:firstLine="480" w:firstLineChars="200"/>
        <w:rPr>
          <w:rFonts w:ascii="宋体" w:hAnsi="宋体" w:cs="宋体"/>
          <w:color w:val="auto"/>
          <w:sz w:val="24"/>
          <w:szCs w:val="24"/>
          <w:highlight w:val="none"/>
        </w:rPr>
      </w:pPr>
      <w:r>
        <w:rPr>
          <w:rFonts w:ascii="宋体" w:hAnsi="宋体" w:cs="宋体"/>
          <w:color w:val="auto"/>
          <w:sz w:val="24"/>
          <w:szCs w:val="24"/>
          <w:highlight w:val="none"/>
        </w:rPr>
        <w:t>（2）建议采用电汇或网银购买招标文件，请投标人付款时务必注明“招标编号+用途”（比如：XM2026-TZ5086C1文件费）。</w:t>
      </w:r>
    </w:p>
    <w:p w14:paraId="56907537">
      <w:pPr>
        <w:spacing w:line="360" w:lineRule="auto"/>
        <w:ind w:firstLine="480" w:firstLineChars="200"/>
        <w:rPr>
          <w:rFonts w:ascii="宋体" w:hAnsi="宋体" w:cs="宋体"/>
          <w:color w:val="auto"/>
          <w:sz w:val="24"/>
          <w:szCs w:val="24"/>
          <w:highlight w:val="none"/>
        </w:rPr>
      </w:pPr>
      <w:r>
        <w:rPr>
          <w:rFonts w:ascii="宋体" w:hAnsi="宋体" w:cs="宋体"/>
          <w:color w:val="auto"/>
          <w:sz w:val="24"/>
          <w:szCs w:val="24"/>
          <w:highlight w:val="none"/>
        </w:rPr>
        <w:t>（3）潜在投标人填好购买登记表后将加盖公章的文件购买登记表扫描件及文件购买付款凭证发至wxsb@iport.com.cn进行购买登记，收到登记资料后发送招标文件电子版，如需纸质版，招标代理机构可以邮寄，邮费需到付。</w:t>
      </w:r>
    </w:p>
    <w:p w14:paraId="4C95FBBE">
      <w:pPr>
        <w:spacing w:line="360" w:lineRule="auto"/>
        <w:ind w:firstLine="480" w:firstLineChars="200"/>
        <w:rPr>
          <w:rFonts w:ascii="宋体" w:hAnsi="宋体" w:cs="宋体"/>
          <w:color w:val="auto"/>
          <w:sz w:val="24"/>
          <w:szCs w:val="24"/>
          <w:highlight w:val="none"/>
        </w:rPr>
      </w:pPr>
      <w:r>
        <w:rPr>
          <w:rFonts w:ascii="宋体" w:hAnsi="宋体" w:cs="宋体"/>
          <w:color w:val="auto"/>
          <w:sz w:val="24"/>
          <w:szCs w:val="24"/>
          <w:highlight w:val="none"/>
        </w:rPr>
        <w:t>（4）文件费及项目中标供应商服务费等发票均以邮件方式发送至购标指定邮箱。</w:t>
      </w:r>
    </w:p>
    <w:p w14:paraId="2C36CA95">
      <w:pPr>
        <w:spacing w:line="360" w:lineRule="auto"/>
        <w:rPr>
          <w:rFonts w:ascii="宋体" w:hAnsi="宋体" w:cs="宋体"/>
          <w:color w:val="auto"/>
          <w:sz w:val="24"/>
          <w:szCs w:val="24"/>
          <w:highlight w:val="none"/>
        </w:rPr>
      </w:pPr>
    </w:p>
    <w:p w14:paraId="5ED6171E">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招标代理机构：厦门万翔招标有限公司</w:t>
      </w:r>
    </w:p>
    <w:p w14:paraId="1DD66081">
      <w:pPr>
        <w:spacing w:line="360" w:lineRule="auto"/>
        <w:ind w:firstLine="480"/>
        <w:rPr>
          <w:rFonts w:ascii="宋体" w:hAnsi="宋体" w:cs="宋体"/>
          <w:color w:val="auto"/>
          <w:sz w:val="24"/>
          <w:szCs w:val="24"/>
          <w:highlight w:val="none"/>
        </w:rPr>
      </w:pPr>
      <w:r>
        <w:rPr>
          <w:rFonts w:hint="eastAsia" w:ascii="宋体" w:hAnsi="宋体" w:cs="宋体"/>
          <w:color w:val="auto"/>
          <w:sz w:val="24"/>
          <w:szCs w:val="24"/>
          <w:highlight w:val="none"/>
        </w:rPr>
        <w:t xml:space="preserve">地  址：厦门市湖里区机场北路476号四楼 </w:t>
      </w:r>
    </w:p>
    <w:p w14:paraId="33AE74CB">
      <w:pPr>
        <w:tabs>
          <w:tab w:val="left" w:pos="2775"/>
        </w:tabs>
        <w:spacing w:line="360" w:lineRule="auto"/>
        <w:ind w:firstLine="465"/>
        <w:rPr>
          <w:rFonts w:ascii="宋体" w:hAnsi="宋体" w:cs="宋体"/>
          <w:color w:val="auto"/>
          <w:sz w:val="24"/>
          <w:szCs w:val="24"/>
          <w:highlight w:val="none"/>
        </w:rPr>
      </w:pPr>
      <w:r>
        <w:rPr>
          <w:rFonts w:hint="eastAsia" w:ascii="宋体" w:hAnsi="宋体" w:cs="宋体"/>
          <w:color w:val="auto"/>
          <w:sz w:val="24"/>
          <w:szCs w:val="24"/>
          <w:highlight w:val="none"/>
        </w:rPr>
        <w:t>邮  编： 361006</w:t>
      </w:r>
    </w:p>
    <w:p w14:paraId="0239CFB3">
      <w:pPr>
        <w:spacing w:line="360" w:lineRule="auto"/>
        <w:rPr>
          <w:rFonts w:ascii="宋体" w:hAnsi="宋体" w:cs="宋体"/>
          <w:color w:val="auto"/>
          <w:sz w:val="24"/>
          <w:szCs w:val="24"/>
          <w:highlight w:val="none"/>
        </w:rPr>
      </w:pPr>
    </w:p>
    <w:p w14:paraId="76445328">
      <w:pPr>
        <w:spacing w:line="360" w:lineRule="auto"/>
        <w:rPr>
          <w:rFonts w:ascii="宋体" w:hAnsi="宋体" w:cs="宋体"/>
          <w:color w:val="auto"/>
          <w:sz w:val="24"/>
          <w:szCs w:val="24"/>
          <w:highlight w:val="none"/>
        </w:rPr>
      </w:pPr>
    </w:p>
    <w:p w14:paraId="1A4A3767">
      <w:pPr>
        <w:spacing w:line="360" w:lineRule="auto"/>
        <w:rPr>
          <w:rFonts w:ascii="宋体" w:hAnsi="宋体" w:cs="宋体"/>
          <w:color w:val="auto"/>
          <w:sz w:val="24"/>
          <w:szCs w:val="24"/>
          <w:highlight w:val="none"/>
        </w:rPr>
      </w:pPr>
    </w:p>
    <w:p w14:paraId="6AA5DEBA">
      <w:pPr>
        <w:spacing w:line="360" w:lineRule="auto"/>
        <w:rPr>
          <w:rFonts w:ascii="宋体" w:hAnsi="宋体" w:cs="宋体"/>
          <w:color w:val="auto"/>
          <w:sz w:val="24"/>
          <w:szCs w:val="24"/>
          <w:highlight w:val="none"/>
        </w:rPr>
      </w:pPr>
    </w:p>
    <w:p w14:paraId="06FCEE69">
      <w:pPr>
        <w:spacing w:line="360" w:lineRule="auto"/>
        <w:rPr>
          <w:rFonts w:ascii="宋体" w:hAnsi="宋体" w:cs="宋体"/>
          <w:color w:val="auto"/>
          <w:sz w:val="24"/>
          <w:szCs w:val="24"/>
          <w:highlight w:val="none"/>
        </w:rPr>
      </w:pPr>
    </w:p>
    <w:p w14:paraId="064AAA49">
      <w:pPr>
        <w:spacing w:line="360" w:lineRule="auto"/>
        <w:rPr>
          <w:rFonts w:ascii="宋体" w:hAnsi="宋体" w:cs="宋体"/>
          <w:color w:val="auto"/>
          <w:sz w:val="24"/>
          <w:szCs w:val="24"/>
          <w:highlight w:val="none"/>
        </w:rPr>
      </w:pPr>
    </w:p>
    <w:p w14:paraId="6DA5142C">
      <w:pPr>
        <w:spacing w:line="360" w:lineRule="auto"/>
        <w:rPr>
          <w:rFonts w:ascii="宋体" w:hAnsi="宋体" w:cs="宋体"/>
          <w:color w:val="auto"/>
          <w:sz w:val="24"/>
          <w:szCs w:val="24"/>
          <w:highlight w:val="none"/>
        </w:rPr>
      </w:pPr>
    </w:p>
    <w:p w14:paraId="6B8E51CF">
      <w:pPr>
        <w:spacing w:line="360" w:lineRule="auto"/>
        <w:rPr>
          <w:rFonts w:ascii="宋体" w:hAnsi="宋体" w:cs="宋体"/>
          <w:color w:val="auto"/>
          <w:sz w:val="24"/>
          <w:szCs w:val="24"/>
          <w:highlight w:val="none"/>
        </w:rPr>
      </w:pPr>
    </w:p>
    <w:p w14:paraId="03E9963F">
      <w:pPr>
        <w:spacing w:line="360" w:lineRule="auto"/>
        <w:rPr>
          <w:rFonts w:ascii="宋体" w:hAnsi="宋体" w:cs="宋体"/>
          <w:color w:val="auto"/>
          <w:sz w:val="24"/>
          <w:szCs w:val="24"/>
          <w:highlight w:val="none"/>
        </w:rPr>
      </w:pPr>
    </w:p>
    <w:p w14:paraId="5F24461F">
      <w:pPr>
        <w:spacing w:line="360" w:lineRule="auto"/>
        <w:rPr>
          <w:rFonts w:ascii="宋体" w:hAnsi="宋体" w:cs="宋体"/>
          <w:color w:val="auto"/>
          <w:sz w:val="24"/>
          <w:szCs w:val="24"/>
          <w:highlight w:val="none"/>
        </w:rPr>
      </w:pPr>
    </w:p>
    <w:p w14:paraId="3FFB8897">
      <w:pPr>
        <w:spacing w:line="360" w:lineRule="auto"/>
        <w:rPr>
          <w:rFonts w:ascii="宋体" w:hAnsi="宋体" w:cs="宋体"/>
          <w:color w:val="auto"/>
          <w:sz w:val="24"/>
          <w:szCs w:val="24"/>
          <w:highlight w:val="none"/>
        </w:rPr>
      </w:pPr>
    </w:p>
    <w:p w14:paraId="1C4A1F68">
      <w:pPr>
        <w:spacing w:line="360" w:lineRule="auto"/>
        <w:rPr>
          <w:rFonts w:ascii="宋体" w:hAnsi="宋体" w:cs="宋体"/>
          <w:color w:val="auto"/>
          <w:sz w:val="24"/>
          <w:szCs w:val="24"/>
          <w:highlight w:val="none"/>
        </w:rPr>
      </w:pPr>
    </w:p>
    <w:p w14:paraId="22BDB3C5">
      <w:pPr>
        <w:spacing w:line="360" w:lineRule="auto"/>
        <w:rPr>
          <w:rFonts w:ascii="宋体" w:hAnsi="宋体" w:cs="宋体"/>
          <w:color w:val="auto"/>
          <w:sz w:val="24"/>
          <w:szCs w:val="24"/>
          <w:highlight w:val="none"/>
        </w:rPr>
      </w:pPr>
    </w:p>
    <w:p w14:paraId="1EB12449">
      <w:pPr>
        <w:spacing w:line="360" w:lineRule="auto"/>
        <w:rPr>
          <w:rFonts w:ascii="宋体" w:hAnsi="宋体" w:cs="宋体"/>
          <w:color w:val="auto"/>
          <w:sz w:val="24"/>
          <w:szCs w:val="24"/>
          <w:highlight w:val="none"/>
        </w:rPr>
      </w:pPr>
    </w:p>
    <w:p w14:paraId="25EC3E33">
      <w:pPr>
        <w:spacing w:line="360" w:lineRule="auto"/>
        <w:rPr>
          <w:rFonts w:ascii="宋体" w:hAnsi="宋体" w:cs="宋体"/>
          <w:color w:val="auto"/>
          <w:sz w:val="24"/>
          <w:szCs w:val="24"/>
          <w:highlight w:val="none"/>
        </w:rPr>
      </w:pPr>
    </w:p>
    <w:p w14:paraId="06163ECE">
      <w:pPr>
        <w:spacing w:line="360" w:lineRule="auto"/>
        <w:rPr>
          <w:rFonts w:ascii="宋体" w:hAnsi="宋体" w:cs="宋体"/>
          <w:color w:val="auto"/>
          <w:sz w:val="24"/>
          <w:szCs w:val="24"/>
          <w:highlight w:val="none"/>
        </w:rPr>
      </w:pPr>
    </w:p>
    <w:p w14:paraId="150A3306">
      <w:pPr>
        <w:spacing w:line="360" w:lineRule="auto"/>
        <w:rPr>
          <w:rFonts w:ascii="宋体" w:hAnsi="宋体" w:cs="宋体"/>
          <w:color w:val="auto"/>
          <w:sz w:val="24"/>
          <w:szCs w:val="24"/>
          <w:highlight w:val="none"/>
        </w:rPr>
      </w:pPr>
    </w:p>
    <w:p w14:paraId="666E5E36">
      <w:pPr>
        <w:spacing w:line="360" w:lineRule="auto"/>
        <w:rPr>
          <w:rFonts w:ascii="宋体" w:hAnsi="宋体" w:cs="宋体"/>
          <w:color w:val="auto"/>
          <w:sz w:val="24"/>
          <w:szCs w:val="24"/>
          <w:highlight w:val="none"/>
        </w:rPr>
      </w:pPr>
    </w:p>
    <w:p w14:paraId="24B71656">
      <w:pPr>
        <w:spacing w:line="360" w:lineRule="auto"/>
        <w:rPr>
          <w:rFonts w:ascii="宋体" w:hAnsi="宋体" w:cs="宋体"/>
          <w:color w:val="auto"/>
          <w:sz w:val="24"/>
          <w:szCs w:val="24"/>
          <w:highlight w:val="none"/>
        </w:rPr>
      </w:pPr>
    </w:p>
    <w:p w14:paraId="35C22063">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 xml:space="preserve">附：招标服务一览表 </w:t>
      </w:r>
    </w:p>
    <w:p w14:paraId="0FE5A084">
      <w:pPr>
        <w:spacing w:line="360" w:lineRule="auto"/>
        <w:jc w:val="center"/>
        <w:rPr>
          <w:rFonts w:ascii="宋体" w:hAnsi="宋体" w:cs="宋体"/>
          <w:b/>
          <w:color w:val="auto"/>
          <w:sz w:val="24"/>
          <w:szCs w:val="24"/>
          <w:highlight w:val="none"/>
        </w:rPr>
      </w:pPr>
      <w:r>
        <w:rPr>
          <w:rFonts w:hint="eastAsia" w:ascii="宋体" w:hAnsi="宋体" w:cs="宋体"/>
          <w:b/>
          <w:color w:val="auto"/>
          <w:sz w:val="32"/>
          <w:szCs w:val="32"/>
          <w:highlight w:val="none"/>
        </w:rPr>
        <w:t>招标服务一览表</w:t>
      </w:r>
    </w:p>
    <w:tbl>
      <w:tblPr>
        <w:tblStyle w:val="21"/>
        <w:tblW w:w="93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851"/>
        <w:gridCol w:w="2210"/>
        <w:gridCol w:w="720"/>
        <w:gridCol w:w="1632"/>
        <w:gridCol w:w="1224"/>
        <w:gridCol w:w="1443"/>
      </w:tblGrid>
      <w:tr w14:paraId="33914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90" w:hRule="atLeast"/>
        </w:trPr>
        <w:tc>
          <w:tcPr>
            <w:tcW w:w="1242" w:type="dxa"/>
            <w:tcBorders>
              <w:top w:val="single" w:color="auto" w:sz="4" w:space="0"/>
              <w:left w:val="single" w:color="auto" w:sz="4" w:space="0"/>
              <w:bottom w:val="single" w:color="auto" w:sz="4" w:space="0"/>
              <w:right w:val="single" w:color="auto" w:sz="4" w:space="0"/>
            </w:tcBorders>
            <w:vAlign w:val="center"/>
          </w:tcPr>
          <w:p w14:paraId="19C0AC5D">
            <w:pPr>
              <w:pStyle w:val="6"/>
              <w:tabs>
                <w:tab w:val="left" w:pos="8360"/>
              </w:tabs>
              <w:spacing w:line="360" w:lineRule="auto"/>
              <w:rPr>
                <w:rFonts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合同包</w:t>
            </w:r>
          </w:p>
        </w:tc>
        <w:tc>
          <w:tcPr>
            <w:tcW w:w="851" w:type="dxa"/>
            <w:tcBorders>
              <w:top w:val="single" w:color="auto" w:sz="4" w:space="0"/>
              <w:left w:val="single" w:color="auto" w:sz="4" w:space="0"/>
              <w:bottom w:val="single" w:color="auto" w:sz="4" w:space="0"/>
              <w:right w:val="single" w:color="auto" w:sz="4" w:space="0"/>
            </w:tcBorders>
            <w:vAlign w:val="center"/>
          </w:tcPr>
          <w:p w14:paraId="4D600CCA">
            <w:pPr>
              <w:pStyle w:val="6"/>
              <w:tabs>
                <w:tab w:val="left" w:pos="8360"/>
              </w:tabs>
              <w:spacing w:line="360" w:lineRule="auto"/>
              <w:rPr>
                <w:rFonts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品目号</w:t>
            </w:r>
          </w:p>
        </w:tc>
        <w:tc>
          <w:tcPr>
            <w:tcW w:w="2210" w:type="dxa"/>
            <w:tcBorders>
              <w:top w:val="single" w:color="auto" w:sz="4" w:space="0"/>
              <w:left w:val="single" w:color="auto" w:sz="4" w:space="0"/>
              <w:bottom w:val="single" w:color="auto" w:sz="4" w:space="0"/>
              <w:right w:val="single" w:color="auto" w:sz="4" w:space="0"/>
            </w:tcBorders>
            <w:vAlign w:val="center"/>
          </w:tcPr>
          <w:p w14:paraId="338E155D">
            <w:pPr>
              <w:pStyle w:val="6"/>
              <w:tabs>
                <w:tab w:val="left" w:pos="8360"/>
              </w:tabs>
              <w:spacing w:line="360" w:lineRule="auto"/>
              <w:rPr>
                <w:rFonts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项目名称</w:t>
            </w:r>
          </w:p>
        </w:tc>
        <w:tc>
          <w:tcPr>
            <w:tcW w:w="720" w:type="dxa"/>
            <w:tcBorders>
              <w:top w:val="single" w:color="auto" w:sz="4" w:space="0"/>
              <w:left w:val="single" w:color="auto" w:sz="4" w:space="0"/>
              <w:bottom w:val="single" w:color="auto" w:sz="4" w:space="0"/>
              <w:right w:val="single" w:color="auto" w:sz="4" w:space="0"/>
            </w:tcBorders>
            <w:vAlign w:val="center"/>
          </w:tcPr>
          <w:p w14:paraId="081E4BBF">
            <w:pPr>
              <w:pStyle w:val="6"/>
              <w:tabs>
                <w:tab w:val="left" w:pos="8360"/>
              </w:tabs>
              <w:spacing w:line="360" w:lineRule="auto"/>
              <w:rPr>
                <w:rFonts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数量</w:t>
            </w:r>
          </w:p>
        </w:tc>
        <w:tc>
          <w:tcPr>
            <w:tcW w:w="1632" w:type="dxa"/>
            <w:tcBorders>
              <w:top w:val="single" w:color="auto" w:sz="4" w:space="0"/>
              <w:left w:val="single" w:color="auto" w:sz="4" w:space="0"/>
              <w:bottom w:val="single" w:color="auto" w:sz="4" w:space="0"/>
              <w:right w:val="single" w:color="auto" w:sz="4" w:space="0"/>
            </w:tcBorders>
            <w:vAlign w:val="center"/>
          </w:tcPr>
          <w:p w14:paraId="1772B1C8">
            <w:pPr>
              <w:pStyle w:val="6"/>
              <w:tabs>
                <w:tab w:val="left" w:pos="8360"/>
              </w:tabs>
              <w:spacing w:line="360" w:lineRule="auto"/>
              <w:rPr>
                <w:rFonts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主要技术规格</w:t>
            </w:r>
          </w:p>
        </w:tc>
        <w:tc>
          <w:tcPr>
            <w:tcW w:w="1224" w:type="dxa"/>
            <w:tcBorders>
              <w:top w:val="single" w:color="auto" w:sz="4" w:space="0"/>
              <w:left w:val="single" w:color="auto" w:sz="4" w:space="0"/>
              <w:bottom w:val="single" w:color="auto" w:sz="4" w:space="0"/>
              <w:right w:val="single" w:color="auto" w:sz="4" w:space="0"/>
            </w:tcBorders>
            <w:vAlign w:val="center"/>
          </w:tcPr>
          <w:p w14:paraId="318A2BC2">
            <w:pPr>
              <w:pStyle w:val="6"/>
              <w:tabs>
                <w:tab w:val="left" w:pos="8360"/>
              </w:tabs>
              <w:spacing w:line="360" w:lineRule="auto"/>
              <w:rPr>
                <w:rFonts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服务地点</w:t>
            </w:r>
          </w:p>
        </w:tc>
        <w:tc>
          <w:tcPr>
            <w:tcW w:w="1443" w:type="dxa"/>
            <w:tcBorders>
              <w:top w:val="single" w:color="auto" w:sz="4" w:space="0"/>
              <w:left w:val="single" w:color="auto" w:sz="4" w:space="0"/>
              <w:bottom w:val="single" w:color="auto" w:sz="4" w:space="0"/>
              <w:right w:val="single" w:color="auto" w:sz="4" w:space="0"/>
            </w:tcBorders>
            <w:vAlign w:val="center"/>
          </w:tcPr>
          <w:p w14:paraId="7A9DBB65">
            <w:pPr>
              <w:pStyle w:val="6"/>
              <w:tabs>
                <w:tab w:val="left" w:pos="8360"/>
              </w:tabs>
              <w:spacing w:line="360" w:lineRule="auto"/>
              <w:rPr>
                <w:rFonts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服务期限</w:t>
            </w:r>
          </w:p>
        </w:tc>
      </w:tr>
      <w:tr w14:paraId="5FF8B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0" w:hRule="atLeast"/>
        </w:trPr>
        <w:tc>
          <w:tcPr>
            <w:tcW w:w="1242" w:type="dxa"/>
            <w:tcBorders>
              <w:top w:val="single" w:color="auto" w:sz="4" w:space="0"/>
              <w:left w:val="single" w:color="auto" w:sz="4" w:space="0"/>
              <w:bottom w:val="single" w:color="auto" w:sz="4" w:space="0"/>
              <w:right w:val="single" w:color="auto" w:sz="4" w:space="0"/>
            </w:tcBorders>
            <w:vAlign w:val="center"/>
          </w:tcPr>
          <w:p w14:paraId="24EEB76E">
            <w:pPr>
              <w:pStyle w:val="6"/>
              <w:tabs>
                <w:tab w:val="left" w:pos="8360"/>
              </w:tabs>
              <w:spacing w:line="360" w:lineRule="auto"/>
              <w:rPr>
                <w:rFonts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XM2026-TZ5086C1</w:t>
            </w:r>
          </w:p>
        </w:tc>
        <w:tc>
          <w:tcPr>
            <w:tcW w:w="851" w:type="dxa"/>
            <w:tcBorders>
              <w:top w:val="single" w:color="auto" w:sz="4" w:space="0"/>
              <w:left w:val="single" w:color="auto" w:sz="4" w:space="0"/>
              <w:bottom w:val="single" w:color="auto" w:sz="4" w:space="0"/>
              <w:right w:val="single" w:color="auto" w:sz="4" w:space="0"/>
            </w:tcBorders>
            <w:vAlign w:val="center"/>
          </w:tcPr>
          <w:p w14:paraId="7B707892">
            <w:pPr>
              <w:pStyle w:val="6"/>
              <w:tabs>
                <w:tab w:val="left" w:pos="8360"/>
              </w:tabs>
              <w:spacing w:line="360" w:lineRule="auto"/>
              <w:rPr>
                <w:rFonts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1-1</w:t>
            </w:r>
          </w:p>
        </w:tc>
        <w:tc>
          <w:tcPr>
            <w:tcW w:w="2210" w:type="dxa"/>
            <w:tcBorders>
              <w:top w:val="single" w:color="auto" w:sz="4" w:space="0"/>
              <w:left w:val="single" w:color="auto" w:sz="4" w:space="0"/>
              <w:bottom w:val="single" w:color="auto" w:sz="4" w:space="0"/>
              <w:right w:val="single" w:color="auto" w:sz="4" w:space="0"/>
            </w:tcBorders>
            <w:vAlign w:val="center"/>
          </w:tcPr>
          <w:p w14:paraId="783D133B">
            <w:pPr>
              <w:pStyle w:val="6"/>
              <w:tabs>
                <w:tab w:val="left" w:pos="8360"/>
              </w:tabs>
              <w:spacing w:line="360" w:lineRule="auto"/>
              <w:rPr>
                <w:rFonts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中国人民银行厦门市分行食堂服务外包采购</w:t>
            </w:r>
          </w:p>
        </w:tc>
        <w:tc>
          <w:tcPr>
            <w:tcW w:w="720" w:type="dxa"/>
            <w:tcBorders>
              <w:top w:val="single" w:color="auto" w:sz="4" w:space="0"/>
              <w:left w:val="single" w:color="auto" w:sz="4" w:space="0"/>
              <w:bottom w:val="single" w:color="auto" w:sz="4" w:space="0"/>
              <w:right w:val="single" w:color="auto" w:sz="4" w:space="0"/>
            </w:tcBorders>
            <w:vAlign w:val="center"/>
          </w:tcPr>
          <w:p w14:paraId="15455EA1">
            <w:pPr>
              <w:pStyle w:val="6"/>
              <w:tabs>
                <w:tab w:val="left" w:pos="8360"/>
              </w:tabs>
              <w:spacing w:line="360" w:lineRule="auto"/>
              <w:rPr>
                <w:rFonts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1项</w:t>
            </w:r>
          </w:p>
        </w:tc>
        <w:tc>
          <w:tcPr>
            <w:tcW w:w="1632" w:type="dxa"/>
            <w:tcBorders>
              <w:top w:val="single" w:color="auto" w:sz="4" w:space="0"/>
              <w:left w:val="single" w:color="auto" w:sz="4" w:space="0"/>
              <w:bottom w:val="single" w:color="auto" w:sz="4" w:space="0"/>
              <w:right w:val="single" w:color="auto" w:sz="4" w:space="0"/>
            </w:tcBorders>
            <w:vAlign w:val="center"/>
          </w:tcPr>
          <w:p w14:paraId="4CD226C7">
            <w:pPr>
              <w:pStyle w:val="6"/>
              <w:tabs>
                <w:tab w:val="left" w:pos="8360"/>
              </w:tabs>
              <w:spacing w:line="360" w:lineRule="auto"/>
              <w:rPr>
                <w:rFonts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详见招标内容及要求</w:t>
            </w:r>
          </w:p>
        </w:tc>
        <w:tc>
          <w:tcPr>
            <w:tcW w:w="1224" w:type="dxa"/>
            <w:tcBorders>
              <w:top w:val="single" w:color="auto" w:sz="4" w:space="0"/>
              <w:left w:val="single" w:color="auto" w:sz="4" w:space="0"/>
              <w:bottom w:val="single" w:color="auto" w:sz="4" w:space="0"/>
              <w:right w:val="single" w:color="auto" w:sz="4" w:space="0"/>
            </w:tcBorders>
            <w:vAlign w:val="center"/>
          </w:tcPr>
          <w:p w14:paraId="2AE96DBB">
            <w:pPr>
              <w:pStyle w:val="6"/>
              <w:tabs>
                <w:tab w:val="left" w:pos="8360"/>
              </w:tabs>
              <w:spacing w:line="360" w:lineRule="auto"/>
              <w:rPr>
                <w:rFonts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采购人指定地点</w:t>
            </w:r>
          </w:p>
        </w:tc>
        <w:tc>
          <w:tcPr>
            <w:tcW w:w="1443" w:type="dxa"/>
            <w:tcBorders>
              <w:top w:val="single" w:color="auto" w:sz="4" w:space="0"/>
              <w:left w:val="single" w:color="auto" w:sz="4" w:space="0"/>
              <w:bottom w:val="single" w:color="auto" w:sz="4" w:space="0"/>
              <w:right w:val="single" w:color="auto" w:sz="4" w:space="0"/>
            </w:tcBorders>
            <w:vAlign w:val="center"/>
          </w:tcPr>
          <w:p w14:paraId="48CA307F">
            <w:pPr>
              <w:pStyle w:val="6"/>
              <w:tabs>
                <w:tab w:val="left" w:pos="8360"/>
              </w:tabs>
              <w:spacing w:line="360" w:lineRule="auto"/>
              <w:rPr>
                <w:rFonts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详见招标内容及要求</w:t>
            </w:r>
          </w:p>
        </w:tc>
      </w:tr>
    </w:tbl>
    <w:p w14:paraId="0995BD90">
      <w:pPr>
        <w:pStyle w:val="9"/>
        <w:tabs>
          <w:tab w:val="left" w:pos="8360"/>
        </w:tabs>
        <w:spacing w:line="360" w:lineRule="auto"/>
        <w:jc w:val="left"/>
        <w:rPr>
          <w:rFonts w:hAnsi="宋体" w:cs="宋体"/>
          <w:color w:val="auto"/>
          <w:sz w:val="24"/>
          <w:szCs w:val="24"/>
          <w:highlight w:val="none"/>
        </w:rPr>
      </w:pPr>
      <w:r>
        <w:rPr>
          <w:rFonts w:hint="eastAsia" w:hAnsi="宋体" w:cs="宋体"/>
          <w:color w:val="auto"/>
          <w:sz w:val="24"/>
          <w:szCs w:val="24"/>
          <w:highlight w:val="none"/>
        </w:rPr>
        <w:t>注：投标人可按合同包投标，对同一合同包内所有品目号内容投标时必须完整。评标与授标以合同包为单位。</w:t>
      </w:r>
    </w:p>
    <w:p w14:paraId="5A2FDFD8">
      <w:pPr>
        <w:pStyle w:val="4"/>
        <w:spacing w:line="360" w:lineRule="auto"/>
        <w:ind w:firstLine="0"/>
        <w:rPr>
          <w:rFonts w:ascii="宋体" w:hAnsi="宋体" w:cs="宋体"/>
          <w:b/>
          <w:color w:val="auto"/>
          <w:sz w:val="24"/>
          <w:szCs w:val="24"/>
          <w:highlight w:val="none"/>
        </w:rPr>
        <w:sectPr>
          <w:footerReference r:id="rId6" w:type="default"/>
          <w:pgSz w:w="11906" w:h="16838"/>
          <w:pgMar w:top="1440" w:right="1106" w:bottom="1290" w:left="1800" w:header="851" w:footer="992" w:gutter="0"/>
          <w:cols w:space="720" w:num="1"/>
          <w:docGrid w:type="lines" w:linePitch="312" w:charSpace="0"/>
        </w:sectPr>
      </w:pPr>
    </w:p>
    <w:p w14:paraId="7E51947F">
      <w:pPr>
        <w:pStyle w:val="9"/>
        <w:spacing w:line="360" w:lineRule="auto"/>
        <w:jc w:val="center"/>
        <w:outlineLvl w:val="0"/>
        <w:rPr>
          <w:rFonts w:hAnsi="宋体" w:cs="宋体"/>
          <w:b/>
          <w:bCs/>
          <w:color w:val="auto"/>
          <w:sz w:val="32"/>
          <w:szCs w:val="32"/>
          <w:highlight w:val="none"/>
        </w:rPr>
      </w:pPr>
      <w:bookmarkStart w:id="27" w:name="_Toc28582"/>
      <w:bookmarkStart w:id="28" w:name="_Toc20497"/>
      <w:bookmarkStart w:id="29" w:name="_Toc30300"/>
      <w:bookmarkStart w:id="30" w:name="_Toc21754"/>
      <w:bookmarkStart w:id="31" w:name="_Toc30902"/>
      <w:bookmarkStart w:id="32" w:name="_Toc14531"/>
      <w:bookmarkStart w:id="33" w:name="_Toc24292"/>
      <w:bookmarkStart w:id="34" w:name="_Toc2887"/>
      <w:r>
        <w:rPr>
          <w:rFonts w:hint="eastAsia" w:hAnsi="宋体" w:cs="宋体"/>
          <w:b/>
          <w:bCs/>
          <w:color w:val="auto"/>
          <w:sz w:val="32"/>
          <w:szCs w:val="32"/>
          <w:highlight w:val="none"/>
        </w:rPr>
        <w:t>第二章  投标人须知</w:t>
      </w:r>
      <w:bookmarkEnd w:id="27"/>
      <w:bookmarkEnd w:id="28"/>
      <w:bookmarkEnd w:id="29"/>
      <w:bookmarkEnd w:id="30"/>
      <w:bookmarkEnd w:id="31"/>
      <w:bookmarkEnd w:id="32"/>
      <w:bookmarkEnd w:id="33"/>
      <w:bookmarkEnd w:id="34"/>
    </w:p>
    <w:p w14:paraId="64FE686D">
      <w:pPr>
        <w:pStyle w:val="46"/>
        <w:spacing w:line="360" w:lineRule="auto"/>
        <w:jc w:val="center"/>
        <w:outlineLvl w:val="1"/>
        <w:rPr>
          <w:rFonts w:hAnsi="宋体" w:cs="宋体"/>
          <w:color w:val="auto"/>
          <w:highlight w:val="none"/>
        </w:rPr>
      </w:pPr>
      <w:bookmarkStart w:id="35" w:name="_Toc14201"/>
      <w:r>
        <w:rPr>
          <w:rFonts w:hint="eastAsia" w:hAnsi="宋体" w:cs="宋体"/>
          <w:b/>
          <w:color w:val="auto"/>
          <w:sz w:val="32"/>
          <w:szCs w:val="32"/>
          <w:highlight w:val="none"/>
        </w:rPr>
        <w:t>投标人须知前附表1</w:t>
      </w:r>
      <w:bookmarkEnd w:id="35"/>
    </w:p>
    <w:p w14:paraId="05AECB28">
      <w:pPr>
        <w:spacing w:line="360" w:lineRule="auto"/>
        <w:ind w:firstLine="527"/>
        <w:rPr>
          <w:rFonts w:ascii="宋体" w:hAnsi="宋体" w:cs="宋体"/>
          <w:color w:val="auto"/>
          <w:sz w:val="24"/>
          <w:szCs w:val="24"/>
          <w:highlight w:val="none"/>
        </w:rPr>
      </w:pPr>
      <w:r>
        <w:rPr>
          <w:rFonts w:hint="eastAsia" w:ascii="宋体" w:hAnsi="宋体" w:cs="宋体"/>
          <w:color w:val="auto"/>
          <w:sz w:val="24"/>
          <w:szCs w:val="24"/>
          <w:highlight w:val="none"/>
        </w:rPr>
        <w:t xml:space="preserve">本须知前附表1的条款号是与《投标人须知》中条款的项号相对应的。如有矛盾，应以本须知前附表为准。 </w:t>
      </w:r>
    </w:p>
    <w:tbl>
      <w:tblPr>
        <w:tblStyle w:val="21"/>
        <w:tblW w:w="93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080"/>
        <w:gridCol w:w="7380"/>
      </w:tblGrid>
      <w:tr w14:paraId="2CF7E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00" w:type="dxa"/>
          </w:tcPr>
          <w:p w14:paraId="783335B1">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项号</w:t>
            </w:r>
          </w:p>
        </w:tc>
        <w:tc>
          <w:tcPr>
            <w:tcW w:w="1080" w:type="dxa"/>
          </w:tcPr>
          <w:p w14:paraId="0D30E51B">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条款号</w:t>
            </w:r>
          </w:p>
        </w:tc>
        <w:tc>
          <w:tcPr>
            <w:tcW w:w="7380" w:type="dxa"/>
          </w:tcPr>
          <w:p w14:paraId="7F663DAD">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编   列   内    容</w:t>
            </w:r>
          </w:p>
        </w:tc>
      </w:tr>
      <w:tr w14:paraId="3A8D6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00" w:type="dxa"/>
            <w:vAlign w:val="center"/>
          </w:tcPr>
          <w:p w14:paraId="231C2EF6">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1</w:t>
            </w:r>
          </w:p>
        </w:tc>
        <w:tc>
          <w:tcPr>
            <w:tcW w:w="1080" w:type="dxa"/>
            <w:vAlign w:val="center"/>
          </w:tcPr>
          <w:p w14:paraId="352AB679">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1.1</w:t>
            </w:r>
          </w:p>
        </w:tc>
        <w:tc>
          <w:tcPr>
            <w:tcW w:w="7380" w:type="dxa"/>
            <w:vAlign w:val="center"/>
          </w:tcPr>
          <w:p w14:paraId="2E56FD49">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 xml:space="preserve">项目名称：中国人民银行厦门市分行食堂服务外包采购 </w:t>
            </w:r>
          </w:p>
          <w:p w14:paraId="3BF0ABD8">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采购人名称：中国人民银行厦门市分行</w:t>
            </w:r>
          </w:p>
          <w:p w14:paraId="763A39EC">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采购人地址：福建省厦门市思明区展鸿路100号</w:t>
            </w:r>
          </w:p>
          <w:p w14:paraId="1AA8A53F">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 xml:space="preserve">项目内容：详见第三章招标内容及要求 </w:t>
            </w:r>
          </w:p>
          <w:p w14:paraId="6E468D12">
            <w:pPr>
              <w:spacing w:line="360" w:lineRule="auto"/>
              <w:rPr>
                <w:rFonts w:ascii="宋体" w:hAnsi="宋体" w:cs="宋体"/>
                <w:color w:val="auto"/>
                <w:sz w:val="24"/>
                <w:szCs w:val="24"/>
                <w:highlight w:val="none"/>
                <w:u w:val="single"/>
              </w:rPr>
            </w:pPr>
            <w:r>
              <w:rPr>
                <w:rFonts w:hint="eastAsia" w:ascii="宋体" w:hAnsi="宋体" w:cs="宋体"/>
                <w:color w:val="auto"/>
                <w:sz w:val="24"/>
                <w:szCs w:val="24"/>
                <w:highlight w:val="none"/>
              </w:rPr>
              <w:t>项目编号：</w:t>
            </w:r>
            <w:r>
              <w:rPr>
                <w:rFonts w:hint="eastAsia" w:ascii="宋体" w:hAnsi="宋体" w:cs="宋体"/>
                <w:color w:val="auto"/>
                <w:sz w:val="24"/>
                <w:szCs w:val="24"/>
                <w:highlight w:val="none"/>
                <w:u w:val="single"/>
              </w:rPr>
              <w:t>XM2026-TZ5086C1</w:t>
            </w:r>
          </w:p>
        </w:tc>
      </w:tr>
      <w:tr w14:paraId="38DFC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900" w:type="dxa"/>
            <w:vAlign w:val="center"/>
          </w:tcPr>
          <w:p w14:paraId="275A3A97">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2</w:t>
            </w:r>
          </w:p>
        </w:tc>
        <w:tc>
          <w:tcPr>
            <w:tcW w:w="1080" w:type="dxa"/>
            <w:vAlign w:val="center"/>
          </w:tcPr>
          <w:p w14:paraId="10DDD86B">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3</w:t>
            </w:r>
          </w:p>
        </w:tc>
        <w:tc>
          <w:tcPr>
            <w:tcW w:w="7380" w:type="dxa"/>
            <w:vAlign w:val="center"/>
          </w:tcPr>
          <w:p w14:paraId="6B6CD74A">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资格标准：</w:t>
            </w:r>
          </w:p>
          <w:p w14:paraId="1F40F8BA">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详见第二章《投标人须知》第3条，以及第三章《招标内容及要求》有关内容。</w:t>
            </w:r>
          </w:p>
        </w:tc>
      </w:tr>
      <w:tr w14:paraId="03711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900" w:type="dxa"/>
            <w:vAlign w:val="center"/>
          </w:tcPr>
          <w:p w14:paraId="512E7BE7">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3</w:t>
            </w:r>
          </w:p>
        </w:tc>
        <w:tc>
          <w:tcPr>
            <w:tcW w:w="1080" w:type="dxa"/>
            <w:vAlign w:val="center"/>
          </w:tcPr>
          <w:p w14:paraId="5C28FD29">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11.1</w:t>
            </w:r>
          </w:p>
        </w:tc>
        <w:tc>
          <w:tcPr>
            <w:tcW w:w="7380" w:type="dxa"/>
            <w:vAlign w:val="center"/>
          </w:tcPr>
          <w:p w14:paraId="5864B033">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投标有效期：投标截止之日起</w:t>
            </w:r>
            <w:r>
              <w:rPr>
                <w:rFonts w:hint="eastAsia" w:ascii="宋体" w:hAnsi="宋体" w:cs="宋体"/>
                <w:color w:val="auto"/>
                <w:sz w:val="24"/>
                <w:szCs w:val="24"/>
                <w:highlight w:val="none"/>
                <w:u w:val="single"/>
              </w:rPr>
              <w:t>90</w:t>
            </w:r>
            <w:r>
              <w:rPr>
                <w:rFonts w:hint="eastAsia" w:ascii="宋体" w:hAnsi="宋体" w:cs="宋体"/>
                <w:color w:val="auto"/>
                <w:sz w:val="24"/>
                <w:szCs w:val="24"/>
                <w:highlight w:val="none"/>
              </w:rPr>
              <w:t>个日历日。</w:t>
            </w:r>
          </w:p>
          <w:p w14:paraId="7BD0E3F6">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有效期不足将导致其投标文件被拒绝。</w:t>
            </w:r>
          </w:p>
        </w:tc>
      </w:tr>
      <w:tr w14:paraId="4A60C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900" w:type="dxa"/>
            <w:vAlign w:val="center"/>
          </w:tcPr>
          <w:p w14:paraId="18DE8E36">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4</w:t>
            </w:r>
          </w:p>
        </w:tc>
        <w:tc>
          <w:tcPr>
            <w:tcW w:w="1080" w:type="dxa"/>
            <w:vAlign w:val="center"/>
          </w:tcPr>
          <w:p w14:paraId="4FFE200B">
            <w:pPr>
              <w:spacing w:line="360" w:lineRule="auto"/>
              <w:jc w:val="center"/>
              <w:rPr>
                <w:rFonts w:ascii="宋体" w:hAnsi="宋体" w:cs="宋体"/>
                <w:color w:val="auto"/>
                <w:sz w:val="24"/>
                <w:szCs w:val="24"/>
                <w:highlight w:val="none"/>
              </w:rPr>
            </w:pPr>
          </w:p>
        </w:tc>
        <w:tc>
          <w:tcPr>
            <w:tcW w:w="7380" w:type="dxa"/>
            <w:vAlign w:val="center"/>
          </w:tcPr>
          <w:p w14:paraId="2CDB7EA0">
            <w:pPr>
              <w:widowControl/>
              <w:spacing w:line="360" w:lineRule="auto"/>
              <w:jc w:val="left"/>
              <w:rPr>
                <w:rFonts w:ascii="宋体" w:hAnsi="宋体" w:cs="宋体"/>
                <w:b/>
                <w:color w:val="auto"/>
                <w:sz w:val="24"/>
                <w:szCs w:val="24"/>
                <w:highlight w:val="none"/>
                <w:u w:val="single"/>
              </w:rPr>
            </w:pPr>
            <w:r>
              <w:rPr>
                <w:rFonts w:hint="eastAsia" w:ascii="宋体" w:hAnsi="宋体" w:cs="宋体"/>
                <w:color w:val="auto"/>
                <w:kern w:val="0"/>
                <w:sz w:val="24"/>
                <w:szCs w:val="24"/>
                <w:highlight w:val="none"/>
              </w:rPr>
              <w:t>投标文件递交地址：</w:t>
            </w:r>
            <w:r>
              <w:rPr>
                <w:rFonts w:hint="eastAsia" w:ascii="宋体" w:hAnsi="宋体" w:cs="宋体"/>
                <w:b/>
                <w:color w:val="auto"/>
                <w:sz w:val="24"/>
                <w:szCs w:val="24"/>
                <w:highlight w:val="none"/>
                <w:u w:val="single"/>
              </w:rPr>
              <w:t>厦门市湖里区机场北路476号四楼开标厅</w:t>
            </w:r>
          </w:p>
          <w:p w14:paraId="31F2BF4B">
            <w:pPr>
              <w:spacing w:line="360" w:lineRule="auto"/>
              <w:rPr>
                <w:rFonts w:ascii="宋体" w:hAnsi="宋体" w:cs="宋体"/>
                <w:color w:val="auto"/>
                <w:sz w:val="24"/>
                <w:szCs w:val="24"/>
                <w:highlight w:val="none"/>
              </w:rPr>
            </w:pPr>
            <w:r>
              <w:rPr>
                <w:rFonts w:hint="eastAsia" w:ascii="宋体" w:hAnsi="宋体" w:cs="宋体"/>
                <w:color w:val="auto"/>
                <w:kern w:val="0"/>
                <w:sz w:val="24"/>
                <w:szCs w:val="24"/>
                <w:highlight w:val="none"/>
              </w:rPr>
              <w:t>接收人：傅晨晖、黄佳仪</w:t>
            </w:r>
          </w:p>
        </w:tc>
      </w:tr>
      <w:tr w14:paraId="06A48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 w:hRule="atLeast"/>
          <w:jc w:val="center"/>
        </w:trPr>
        <w:tc>
          <w:tcPr>
            <w:tcW w:w="900" w:type="dxa"/>
            <w:vAlign w:val="center"/>
          </w:tcPr>
          <w:p w14:paraId="764E6F70">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5</w:t>
            </w:r>
          </w:p>
        </w:tc>
        <w:tc>
          <w:tcPr>
            <w:tcW w:w="1080" w:type="dxa"/>
            <w:vAlign w:val="center"/>
          </w:tcPr>
          <w:p w14:paraId="33A36B85">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12</w:t>
            </w:r>
          </w:p>
        </w:tc>
        <w:tc>
          <w:tcPr>
            <w:tcW w:w="7380" w:type="dxa"/>
            <w:vAlign w:val="center"/>
          </w:tcPr>
          <w:p w14:paraId="7815FD1A">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投标保证金：</w:t>
            </w:r>
            <w:r>
              <w:rPr>
                <w:rFonts w:hint="eastAsia" w:ascii="宋体" w:hAnsi="宋体" w:cs="宋体"/>
                <w:color w:val="auto"/>
                <w:sz w:val="24"/>
                <w:szCs w:val="24"/>
                <w:highlight w:val="none"/>
                <w:u w:val="single"/>
              </w:rPr>
              <w:t xml:space="preserve">35000元 </w:t>
            </w:r>
          </w:p>
          <w:p w14:paraId="2DBA2891">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①投标保证金以转账、电汇两种形式提交（不收取现金、现金支票，不能用个人卡在银联支付系统转账，否则作未提交投标保证金处理）。</w:t>
            </w:r>
          </w:p>
          <w:p w14:paraId="66556C20">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②若项目存在分合同包采购的，则投标保证金应按不同的合同包号分别提交。</w:t>
            </w:r>
          </w:p>
          <w:p w14:paraId="2519ADAF">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③投标人为中小企业的，其投标保证金减半缴纳。减半缴纳投标保证金的投标人应按照招标文件格式要求在投标文件中提供《中小企业声明函》。</w:t>
            </w:r>
          </w:p>
          <w:p w14:paraId="42726A2D">
            <w:pPr>
              <w:spacing w:line="360" w:lineRule="auto"/>
              <w:rPr>
                <w:rFonts w:ascii="宋体" w:hAnsi="宋体" w:cs="宋体"/>
                <w:color w:val="auto"/>
                <w:kern w:val="0"/>
                <w:sz w:val="24"/>
                <w:szCs w:val="24"/>
                <w:highlight w:val="none"/>
              </w:rPr>
            </w:pPr>
            <w:r>
              <w:rPr>
                <w:rFonts w:hint="eastAsia" w:ascii="宋体" w:hAnsi="宋体" w:cs="宋体"/>
                <w:color w:val="auto"/>
                <w:sz w:val="24"/>
                <w:szCs w:val="24"/>
                <w:highlight w:val="none"/>
              </w:rPr>
              <w:t>④</w:t>
            </w:r>
            <w:r>
              <w:rPr>
                <w:rFonts w:hint="eastAsia" w:ascii="宋体" w:hAnsi="宋体" w:cs="宋体"/>
                <w:color w:val="auto"/>
                <w:kern w:val="0"/>
                <w:sz w:val="24"/>
                <w:szCs w:val="24"/>
                <w:highlight w:val="none"/>
              </w:rPr>
              <w:t>投标保证金应在投标截止时间前到账。</w:t>
            </w:r>
          </w:p>
          <w:p w14:paraId="7432587B">
            <w:pPr>
              <w:spacing w:line="360" w:lineRule="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未按前述规定缴交投标保证金的，投标无效。</w:t>
            </w:r>
          </w:p>
          <w:p w14:paraId="739A8718">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⑤投标保证金按投标人缴交账号原路退回，遇投标人账号变更、非投标保证金款项误转进投标保证金专户等特殊情况确实无法原路退回的，需经同级政府采购监管部门核实后方可退回。</w:t>
            </w:r>
          </w:p>
        </w:tc>
      </w:tr>
      <w:tr w14:paraId="4952E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900" w:type="dxa"/>
            <w:vAlign w:val="center"/>
          </w:tcPr>
          <w:p w14:paraId="2845A669">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6</w:t>
            </w:r>
          </w:p>
        </w:tc>
        <w:tc>
          <w:tcPr>
            <w:tcW w:w="1080" w:type="dxa"/>
            <w:vAlign w:val="center"/>
          </w:tcPr>
          <w:p w14:paraId="641E3CFF">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13.1</w:t>
            </w:r>
          </w:p>
        </w:tc>
        <w:tc>
          <w:tcPr>
            <w:tcW w:w="7380" w:type="dxa"/>
            <w:vAlign w:val="center"/>
          </w:tcPr>
          <w:p w14:paraId="55B18093">
            <w:pPr>
              <w:widowControl/>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投标文件份数：正本一份、副本四份。投标人须提供最终盖章签字投标文件扫描件刻录u盘（或光盘）2份。</w:t>
            </w:r>
          </w:p>
        </w:tc>
      </w:tr>
      <w:tr w14:paraId="542BB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900" w:type="dxa"/>
            <w:vAlign w:val="center"/>
          </w:tcPr>
          <w:p w14:paraId="72A1EC0C">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7</w:t>
            </w:r>
          </w:p>
        </w:tc>
        <w:tc>
          <w:tcPr>
            <w:tcW w:w="1080" w:type="dxa"/>
            <w:vAlign w:val="center"/>
          </w:tcPr>
          <w:p w14:paraId="22D9684A">
            <w:pPr>
              <w:spacing w:line="360" w:lineRule="auto"/>
              <w:ind w:right="-63" w:rightChars="-30"/>
              <w:jc w:val="center"/>
              <w:rPr>
                <w:rFonts w:ascii="宋体" w:hAnsi="宋体" w:cs="宋体"/>
                <w:color w:val="auto"/>
                <w:sz w:val="24"/>
                <w:szCs w:val="24"/>
                <w:highlight w:val="none"/>
              </w:rPr>
            </w:pPr>
            <w:r>
              <w:rPr>
                <w:rFonts w:hint="eastAsia" w:ascii="宋体" w:hAnsi="宋体" w:cs="宋体"/>
                <w:color w:val="auto"/>
                <w:sz w:val="24"/>
                <w:szCs w:val="24"/>
                <w:highlight w:val="none"/>
              </w:rPr>
              <w:t>12.9</w:t>
            </w:r>
          </w:p>
        </w:tc>
        <w:tc>
          <w:tcPr>
            <w:tcW w:w="7380" w:type="dxa"/>
            <w:vAlign w:val="center"/>
          </w:tcPr>
          <w:p w14:paraId="639C15D0">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代理服务费：</w:t>
            </w:r>
          </w:p>
          <w:p w14:paraId="5E3A05D6">
            <w:pPr>
              <w:adjustRightInd w:val="0"/>
              <w:snapToGrid w:val="0"/>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1、代理服务费收费标准：</w:t>
            </w:r>
          </w:p>
          <w:tbl>
            <w:tblPr>
              <w:tblStyle w:val="21"/>
              <w:tblW w:w="0" w:type="auto"/>
              <w:tblInd w:w="2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21"/>
              <w:gridCol w:w="2700"/>
            </w:tblGrid>
            <w:tr w14:paraId="05680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21" w:type="dxa"/>
                </w:tcPr>
                <w:p w14:paraId="3E2273AE">
                  <w:pPr>
                    <w:adjustRightInd w:val="0"/>
                    <w:snapToGrid w:val="0"/>
                    <w:spacing w:line="360" w:lineRule="auto"/>
                    <w:ind w:firstLine="120" w:firstLineChars="50"/>
                    <w:rPr>
                      <w:rFonts w:ascii="宋体" w:hAnsi="宋体" w:cs="宋体"/>
                      <w:color w:val="auto"/>
                      <w:sz w:val="24"/>
                      <w:szCs w:val="24"/>
                      <w:highlight w:val="none"/>
                    </w:rPr>
                  </w:pPr>
                  <w:r>
                    <w:rPr>
                      <w:rFonts w:hint="eastAsia" w:ascii="宋体" w:hAnsi="宋体" w:cs="宋体"/>
                      <w:color w:val="auto"/>
                      <w:sz w:val="24"/>
                      <w:szCs w:val="24"/>
                      <w:highlight w:val="none"/>
                    </w:rPr>
                    <w:t>中标金额（万元）</w:t>
                  </w:r>
                </w:p>
              </w:tc>
              <w:tc>
                <w:tcPr>
                  <w:tcW w:w="2700" w:type="dxa"/>
                </w:tcPr>
                <w:p w14:paraId="7BFE7639">
                  <w:pPr>
                    <w:adjustRightInd w:val="0"/>
                    <w:snapToGrid w:val="0"/>
                    <w:spacing w:line="360" w:lineRule="auto"/>
                    <w:ind w:firstLine="120" w:firstLineChars="50"/>
                    <w:rPr>
                      <w:rFonts w:ascii="宋体" w:hAnsi="宋体" w:cs="宋体"/>
                      <w:color w:val="auto"/>
                      <w:sz w:val="24"/>
                      <w:szCs w:val="24"/>
                      <w:highlight w:val="none"/>
                    </w:rPr>
                  </w:pPr>
                  <w:r>
                    <w:rPr>
                      <w:rFonts w:hint="eastAsia" w:ascii="宋体" w:hAnsi="宋体" w:cs="宋体"/>
                      <w:color w:val="auto"/>
                      <w:sz w:val="24"/>
                      <w:szCs w:val="24"/>
                      <w:highlight w:val="none"/>
                    </w:rPr>
                    <w:t>费率</w:t>
                  </w:r>
                </w:p>
              </w:tc>
            </w:tr>
            <w:tr w14:paraId="068E0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1" w:type="dxa"/>
                </w:tcPr>
                <w:p w14:paraId="382AECCD">
                  <w:pPr>
                    <w:adjustRightInd w:val="0"/>
                    <w:snapToGrid w:val="0"/>
                    <w:spacing w:line="360" w:lineRule="auto"/>
                    <w:ind w:firstLine="120" w:firstLineChars="50"/>
                    <w:rPr>
                      <w:rFonts w:ascii="宋体" w:hAnsi="宋体" w:cs="宋体"/>
                      <w:color w:val="auto"/>
                      <w:sz w:val="24"/>
                      <w:szCs w:val="24"/>
                      <w:highlight w:val="none"/>
                    </w:rPr>
                  </w:pPr>
                  <w:r>
                    <w:rPr>
                      <w:rFonts w:hint="eastAsia" w:ascii="宋体" w:hAnsi="宋体" w:cs="宋体"/>
                      <w:color w:val="auto"/>
                      <w:sz w:val="24"/>
                      <w:szCs w:val="24"/>
                      <w:highlight w:val="none"/>
                    </w:rPr>
                    <w:t>[0―100]</w:t>
                  </w:r>
                </w:p>
              </w:tc>
              <w:tc>
                <w:tcPr>
                  <w:tcW w:w="2700" w:type="dxa"/>
                </w:tcPr>
                <w:p w14:paraId="02A8B5A2">
                  <w:pPr>
                    <w:adjustRightInd w:val="0"/>
                    <w:snapToGrid w:val="0"/>
                    <w:spacing w:line="360" w:lineRule="auto"/>
                    <w:ind w:firstLine="120" w:firstLineChars="50"/>
                    <w:rPr>
                      <w:rFonts w:ascii="宋体" w:hAnsi="宋体" w:cs="宋体"/>
                      <w:color w:val="auto"/>
                      <w:sz w:val="24"/>
                      <w:szCs w:val="24"/>
                      <w:highlight w:val="none"/>
                    </w:rPr>
                  </w:pPr>
                  <w:r>
                    <w:rPr>
                      <w:rFonts w:hint="eastAsia" w:ascii="宋体" w:hAnsi="宋体" w:cs="宋体"/>
                      <w:color w:val="auto"/>
                      <w:sz w:val="24"/>
                      <w:szCs w:val="24"/>
                      <w:highlight w:val="none"/>
                    </w:rPr>
                    <w:t>1.2%</w:t>
                  </w:r>
                </w:p>
              </w:tc>
            </w:tr>
            <w:tr w14:paraId="148EB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1" w:type="dxa"/>
                </w:tcPr>
                <w:p w14:paraId="6C8736D4">
                  <w:pPr>
                    <w:adjustRightInd w:val="0"/>
                    <w:snapToGrid w:val="0"/>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（100－500]</w:t>
                  </w:r>
                </w:p>
              </w:tc>
              <w:tc>
                <w:tcPr>
                  <w:tcW w:w="2700" w:type="dxa"/>
                </w:tcPr>
                <w:p w14:paraId="67AF092E">
                  <w:pPr>
                    <w:adjustRightInd w:val="0"/>
                    <w:snapToGrid w:val="0"/>
                    <w:spacing w:line="360" w:lineRule="auto"/>
                    <w:ind w:firstLine="120" w:firstLineChars="50"/>
                    <w:rPr>
                      <w:rFonts w:ascii="宋体" w:hAnsi="宋体" w:cs="宋体"/>
                      <w:color w:val="auto"/>
                      <w:sz w:val="24"/>
                      <w:szCs w:val="24"/>
                      <w:highlight w:val="none"/>
                    </w:rPr>
                  </w:pPr>
                  <w:r>
                    <w:rPr>
                      <w:rFonts w:hint="eastAsia" w:ascii="宋体" w:hAnsi="宋体" w:cs="宋体"/>
                      <w:color w:val="auto"/>
                      <w:sz w:val="24"/>
                      <w:szCs w:val="24"/>
                      <w:highlight w:val="none"/>
                    </w:rPr>
                    <w:t>0.64%</w:t>
                  </w:r>
                </w:p>
              </w:tc>
            </w:tr>
          </w:tbl>
          <w:p w14:paraId="35D5B938">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注：1、代理服务费的收取按差额定率累进法计算，由中标供应商支付。</w:t>
            </w:r>
          </w:p>
          <w:p w14:paraId="48EFBDD4">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2、中标供应商以转账或汇款方式提交。</w:t>
            </w:r>
          </w:p>
          <w:p w14:paraId="36B349A5">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3、中标供应商为中小企业的，其代理服务费按照上述服务收费标准下浮10%进行支付。</w:t>
            </w:r>
          </w:p>
        </w:tc>
      </w:tr>
      <w:tr w14:paraId="3C7AF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900" w:type="dxa"/>
            <w:vAlign w:val="center"/>
          </w:tcPr>
          <w:p w14:paraId="0CCBD278">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8</w:t>
            </w:r>
          </w:p>
        </w:tc>
        <w:tc>
          <w:tcPr>
            <w:tcW w:w="1080" w:type="dxa"/>
            <w:vAlign w:val="center"/>
          </w:tcPr>
          <w:p w14:paraId="0B3FA23C">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19.1</w:t>
            </w:r>
          </w:p>
        </w:tc>
        <w:tc>
          <w:tcPr>
            <w:tcW w:w="7380" w:type="dxa"/>
            <w:vAlign w:val="center"/>
          </w:tcPr>
          <w:p w14:paraId="3AA1361B">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评标方法、标准及定标原则（含推荐中标候选供应商数量）：</w:t>
            </w:r>
          </w:p>
          <w:p w14:paraId="4A291796">
            <w:pPr>
              <w:pStyle w:val="9"/>
              <w:spacing w:line="360" w:lineRule="auto"/>
              <w:rPr>
                <w:rFonts w:hAnsi="宋体" w:cs="宋体"/>
                <w:color w:val="auto"/>
                <w:sz w:val="24"/>
                <w:szCs w:val="24"/>
                <w:highlight w:val="none"/>
              </w:rPr>
            </w:pPr>
            <w:r>
              <w:rPr>
                <w:rFonts w:hint="eastAsia" w:hAnsi="宋体" w:cs="宋体"/>
                <w:color w:val="auto"/>
                <w:sz w:val="24"/>
                <w:szCs w:val="24"/>
                <w:highlight w:val="none"/>
              </w:rPr>
              <w:t>详见《投标人须知前附表3》。</w:t>
            </w:r>
          </w:p>
        </w:tc>
      </w:tr>
      <w:tr w14:paraId="5FECB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900" w:type="dxa"/>
            <w:tcBorders>
              <w:top w:val="single" w:color="auto" w:sz="4" w:space="0"/>
              <w:left w:val="single" w:color="auto" w:sz="4" w:space="0"/>
              <w:bottom w:val="single" w:color="auto" w:sz="4" w:space="0"/>
              <w:right w:val="single" w:color="auto" w:sz="4" w:space="0"/>
            </w:tcBorders>
            <w:vAlign w:val="center"/>
          </w:tcPr>
          <w:p w14:paraId="11C3438A">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9</w:t>
            </w:r>
          </w:p>
        </w:tc>
        <w:tc>
          <w:tcPr>
            <w:tcW w:w="1080" w:type="dxa"/>
            <w:tcBorders>
              <w:top w:val="single" w:color="auto" w:sz="4" w:space="0"/>
              <w:left w:val="single" w:color="auto" w:sz="4" w:space="0"/>
              <w:bottom w:val="single" w:color="auto" w:sz="4" w:space="0"/>
              <w:right w:val="single" w:color="auto" w:sz="4" w:space="0"/>
            </w:tcBorders>
            <w:vAlign w:val="center"/>
          </w:tcPr>
          <w:p w14:paraId="17190311">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22</w:t>
            </w:r>
          </w:p>
        </w:tc>
        <w:tc>
          <w:tcPr>
            <w:tcW w:w="7380" w:type="dxa"/>
            <w:tcBorders>
              <w:top w:val="single" w:color="auto" w:sz="4" w:space="0"/>
              <w:left w:val="single" w:color="auto" w:sz="4" w:space="0"/>
              <w:bottom w:val="single" w:color="auto" w:sz="4" w:space="0"/>
              <w:right w:val="single" w:color="auto" w:sz="4" w:space="0"/>
            </w:tcBorders>
            <w:vAlign w:val="center"/>
          </w:tcPr>
          <w:p w14:paraId="20089B94">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投标人一旦中标，应在规定时间内凭中标通知书原件与采购人签订《政府采购合同》。中标供应商为中小企业的，如需支付履约保证金的，按约定比例的50%支付。</w:t>
            </w:r>
          </w:p>
        </w:tc>
      </w:tr>
    </w:tbl>
    <w:p w14:paraId="60BDA4B6">
      <w:pPr>
        <w:tabs>
          <w:tab w:val="left" w:pos="-1080"/>
          <w:tab w:val="left" w:pos="180"/>
          <w:tab w:val="left" w:pos="1080"/>
        </w:tabs>
        <w:spacing w:line="360" w:lineRule="auto"/>
        <w:rPr>
          <w:rFonts w:ascii="宋体" w:hAnsi="宋体" w:cs="宋体"/>
          <w:b/>
          <w:color w:val="auto"/>
          <w:sz w:val="24"/>
          <w:szCs w:val="24"/>
          <w:highlight w:val="none"/>
        </w:rPr>
      </w:pPr>
    </w:p>
    <w:p w14:paraId="61C4E9CE">
      <w:pPr>
        <w:spacing w:line="360" w:lineRule="auto"/>
        <w:jc w:val="center"/>
        <w:rPr>
          <w:rFonts w:ascii="宋体" w:hAnsi="宋体" w:cs="宋体"/>
          <w:b/>
          <w:bCs/>
          <w:color w:val="auto"/>
          <w:sz w:val="24"/>
          <w:szCs w:val="24"/>
          <w:highlight w:val="none"/>
          <w:u w:val="single"/>
        </w:rPr>
      </w:pPr>
    </w:p>
    <w:p w14:paraId="1A34E2F9">
      <w:pPr>
        <w:spacing w:line="360" w:lineRule="auto"/>
        <w:jc w:val="center"/>
        <w:rPr>
          <w:rFonts w:ascii="宋体" w:hAnsi="宋体" w:cs="宋体"/>
          <w:b/>
          <w:bCs/>
          <w:color w:val="auto"/>
          <w:sz w:val="24"/>
          <w:szCs w:val="24"/>
          <w:highlight w:val="none"/>
          <w:u w:val="single"/>
        </w:rPr>
      </w:pPr>
    </w:p>
    <w:p w14:paraId="6C189B58">
      <w:pPr>
        <w:spacing w:line="360" w:lineRule="auto"/>
        <w:jc w:val="center"/>
        <w:rPr>
          <w:rFonts w:ascii="宋体" w:hAnsi="宋体" w:cs="宋体"/>
          <w:b/>
          <w:bCs/>
          <w:color w:val="auto"/>
          <w:sz w:val="24"/>
          <w:szCs w:val="24"/>
          <w:highlight w:val="none"/>
          <w:u w:val="single"/>
        </w:rPr>
      </w:pPr>
    </w:p>
    <w:p w14:paraId="72A3870E">
      <w:pPr>
        <w:spacing w:line="360" w:lineRule="auto"/>
        <w:jc w:val="center"/>
        <w:rPr>
          <w:rFonts w:ascii="宋体" w:hAnsi="宋体" w:cs="宋体"/>
          <w:b/>
          <w:bCs/>
          <w:color w:val="auto"/>
          <w:sz w:val="24"/>
          <w:szCs w:val="24"/>
          <w:highlight w:val="none"/>
          <w:u w:val="single"/>
        </w:rPr>
      </w:pPr>
    </w:p>
    <w:p w14:paraId="6193C428">
      <w:pPr>
        <w:spacing w:line="360" w:lineRule="auto"/>
        <w:rPr>
          <w:rFonts w:ascii="宋体" w:hAnsi="宋体" w:cs="宋体"/>
          <w:b/>
          <w:bCs/>
          <w:color w:val="auto"/>
          <w:sz w:val="24"/>
          <w:szCs w:val="24"/>
          <w:highlight w:val="none"/>
          <w:u w:val="single"/>
        </w:rPr>
      </w:pPr>
    </w:p>
    <w:p w14:paraId="60B99EAA">
      <w:pPr>
        <w:spacing w:line="360" w:lineRule="auto"/>
        <w:jc w:val="center"/>
        <w:rPr>
          <w:rFonts w:ascii="宋体" w:hAnsi="宋体" w:cs="宋体"/>
          <w:b/>
          <w:bCs/>
          <w:color w:val="auto"/>
          <w:sz w:val="32"/>
          <w:szCs w:val="32"/>
          <w:highlight w:val="none"/>
          <w:u w:val="single"/>
        </w:rPr>
        <w:sectPr>
          <w:headerReference r:id="rId7" w:type="default"/>
          <w:footerReference r:id="rId8" w:type="default"/>
          <w:pgSz w:w="11906" w:h="16838"/>
          <w:pgMar w:top="1440" w:right="1803" w:bottom="1440" w:left="1803" w:header="567" w:footer="567" w:gutter="0"/>
          <w:cols w:space="720" w:num="1"/>
          <w:docGrid w:linePitch="312" w:charSpace="0"/>
        </w:sectPr>
      </w:pPr>
    </w:p>
    <w:p w14:paraId="0D7F8D2F">
      <w:pPr>
        <w:spacing w:line="360" w:lineRule="auto"/>
        <w:jc w:val="center"/>
        <w:outlineLvl w:val="1"/>
        <w:rPr>
          <w:rFonts w:ascii="宋体" w:hAnsi="宋体" w:cs="宋体"/>
          <w:b/>
          <w:bCs/>
          <w:color w:val="auto"/>
          <w:sz w:val="24"/>
          <w:szCs w:val="24"/>
          <w:highlight w:val="none"/>
          <w:u w:val="single"/>
        </w:rPr>
      </w:pPr>
      <w:bookmarkStart w:id="36" w:name="_Toc16590"/>
      <w:r>
        <w:rPr>
          <w:rFonts w:hint="eastAsia" w:ascii="宋体" w:hAnsi="宋体" w:cs="宋体"/>
          <w:b/>
          <w:bCs/>
          <w:color w:val="auto"/>
          <w:sz w:val="32"/>
          <w:szCs w:val="32"/>
          <w:highlight w:val="none"/>
          <w:u w:val="single"/>
        </w:rPr>
        <w:t>投标人须知前附表2：资格性、符合性检查表</w:t>
      </w:r>
      <w:bookmarkEnd w:id="36"/>
    </w:p>
    <w:p w14:paraId="60BC7FAF">
      <w:pPr>
        <w:spacing w:line="360" w:lineRule="auto"/>
        <w:ind w:firstLine="495"/>
        <w:rPr>
          <w:rFonts w:ascii="宋体" w:hAnsi="宋体" w:cs="宋体"/>
          <w:color w:val="auto"/>
          <w:sz w:val="24"/>
          <w:szCs w:val="24"/>
          <w:highlight w:val="none"/>
        </w:rPr>
      </w:pPr>
      <w:r>
        <w:rPr>
          <w:rFonts w:hint="eastAsia" w:ascii="宋体" w:hAnsi="宋体" w:cs="宋体"/>
          <w:color w:val="auto"/>
          <w:sz w:val="24"/>
          <w:szCs w:val="24"/>
          <w:highlight w:val="none"/>
        </w:rPr>
        <w:t>本须知前附表2集中列示了符合性检查的所有条款，其内容是评标委员会在评审过程中判断投标人的投标是否有效的重要依据。</w:t>
      </w:r>
    </w:p>
    <w:tbl>
      <w:tblPr>
        <w:tblStyle w:val="21"/>
        <w:tblW w:w="8965" w:type="dxa"/>
        <w:tblInd w:w="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6"/>
        <w:gridCol w:w="696"/>
        <w:gridCol w:w="1422"/>
        <w:gridCol w:w="6151"/>
      </w:tblGrid>
      <w:tr w14:paraId="46BCD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65" w:type="dxa"/>
            <w:gridSpan w:val="4"/>
          </w:tcPr>
          <w:p w14:paraId="44BA3A73">
            <w:pPr>
              <w:spacing w:line="360" w:lineRule="auto"/>
              <w:jc w:val="center"/>
              <w:rPr>
                <w:rFonts w:ascii="宋体" w:hAnsi="宋体" w:cs="宋体"/>
                <w:b/>
                <w:color w:val="auto"/>
                <w:sz w:val="24"/>
                <w:szCs w:val="24"/>
                <w:highlight w:val="none"/>
              </w:rPr>
            </w:pPr>
            <w:r>
              <w:rPr>
                <w:rFonts w:hint="eastAsia" w:ascii="宋体" w:hAnsi="宋体" w:cs="宋体"/>
                <w:b/>
                <w:color w:val="auto"/>
                <w:sz w:val="24"/>
                <w:szCs w:val="24"/>
                <w:highlight w:val="none"/>
              </w:rPr>
              <w:t>资格性要求</w:t>
            </w:r>
          </w:p>
        </w:tc>
      </w:tr>
      <w:tr w14:paraId="5EA8B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Borders>
              <w:bottom w:val="single" w:color="auto" w:sz="4" w:space="0"/>
            </w:tcBorders>
            <w:vAlign w:val="center"/>
          </w:tcPr>
          <w:p w14:paraId="5745ADD1">
            <w:pPr>
              <w:spacing w:line="360" w:lineRule="auto"/>
              <w:jc w:val="center"/>
              <w:rPr>
                <w:rFonts w:ascii="宋体" w:hAnsi="宋体" w:cs="宋体"/>
                <w:b/>
                <w:color w:val="auto"/>
                <w:sz w:val="24"/>
                <w:szCs w:val="24"/>
                <w:highlight w:val="none"/>
              </w:rPr>
            </w:pPr>
            <w:r>
              <w:rPr>
                <w:rFonts w:hint="eastAsia" w:ascii="宋体" w:hAnsi="宋体" w:cs="宋体"/>
                <w:b/>
                <w:color w:val="auto"/>
                <w:sz w:val="24"/>
                <w:szCs w:val="24"/>
                <w:highlight w:val="none"/>
              </w:rPr>
              <w:t>项</w:t>
            </w:r>
          </w:p>
          <w:p w14:paraId="343FA219">
            <w:pPr>
              <w:spacing w:line="360" w:lineRule="auto"/>
              <w:jc w:val="center"/>
              <w:rPr>
                <w:rFonts w:ascii="宋体" w:hAnsi="宋体" w:cs="宋体"/>
                <w:b/>
                <w:color w:val="auto"/>
                <w:sz w:val="24"/>
                <w:szCs w:val="24"/>
                <w:highlight w:val="none"/>
              </w:rPr>
            </w:pPr>
            <w:r>
              <w:rPr>
                <w:rFonts w:hint="eastAsia" w:ascii="宋体" w:hAnsi="宋体" w:cs="宋体"/>
                <w:b/>
                <w:color w:val="auto"/>
                <w:sz w:val="24"/>
                <w:szCs w:val="24"/>
                <w:highlight w:val="none"/>
              </w:rPr>
              <w:t>号</w:t>
            </w:r>
          </w:p>
        </w:tc>
        <w:tc>
          <w:tcPr>
            <w:tcW w:w="696" w:type="dxa"/>
            <w:tcBorders>
              <w:bottom w:val="single" w:color="auto" w:sz="4" w:space="0"/>
            </w:tcBorders>
            <w:vAlign w:val="center"/>
          </w:tcPr>
          <w:p w14:paraId="17A87080">
            <w:pPr>
              <w:spacing w:line="360" w:lineRule="auto"/>
              <w:jc w:val="center"/>
              <w:rPr>
                <w:rFonts w:ascii="宋体" w:hAnsi="宋体" w:cs="宋体"/>
                <w:b/>
                <w:color w:val="auto"/>
                <w:sz w:val="24"/>
                <w:szCs w:val="24"/>
                <w:highlight w:val="none"/>
              </w:rPr>
            </w:pPr>
            <w:r>
              <w:rPr>
                <w:rFonts w:hint="eastAsia" w:ascii="宋体" w:hAnsi="宋体" w:cs="宋体"/>
                <w:b/>
                <w:color w:val="auto"/>
                <w:sz w:val="24"/>
                <w:szCs w:val="24"/>
                <w:highlight w:val="none"/>
              </w:rPr>
              <w:t>章</w:t>
            </w:r>
          </w:p>
        </w:tc>
        <w:tc>
          <w:tcPr>
            <w:tcW w:w="1422" w:type="dxa"/>
            <w:tcBorders>
              <w:bottom w:val="single" w:color="auto" w:sz="4" w:space="0"/>
            </w:tcBorders>
            <w:vAlign w:val="center"/>
          </w:tcPr>
          <w:p w14:paraId="02D30F35">
            <w:pPr>
              <w:spacing w:line="360" w:lineRule="auto"/>
              <w:jc w:val="center"/>
              <w:rPr>
                <w:rFonts w:ascii="宋体" w:hAnsi="宋体" w:cs="宋体"/>
                <w:b/>
                <w:color w:val="auto"/>
                <w:sz w:val="24"/>
                <w:szCs w:val="24"/>
                <w:highlight w:val="none"/>
              </w:rPr>
            </w:pPr>
            <w:r>
              <w:rPr>
                <w:rFonts w:hint="eastAsia" w:ascii="宋体" w:hAnsi="宋体" w:cs="宋体"/>
                <w:b/>
                <w:color w:val="auto"/>
                <w:sz w:val="24"/>
                <w:szCs w:val="24"/>
                <w:highlight w:val="none"/>
              </w:rPr>
              <w:t>条款号</w:t>
            </w:r>
          </w:p>
        </w:tc>
        <w:tc>
          <w:tcPr>
            <w:tcW w:w="6151" w:type="dxa"/>
            <w:tcBorders>
              <w:bottom w:val="single" w:color="auto" w:sz="4" w:space="0"/>
            </w:tcBorders>
            <w:vAlign w:val="center"/>
          </w:tcPr>
          <w:p w14:paraId="73918C9A">
            <w:pPr>
              <w:tabs>
                <w:tab w:val="left" w:pos="2848"/>
              </w:tabs>
              <w:spacing w:line="360" w:lineRule="auto"/>
              <w:jc w:val="center"/>
              <w:rPr>
                <w:rFonts w:ascii="宋体" w:hAnsi="宋体" w:cs="宋体"/>
                <w:b/>
                <w:color w:val="auto"/>
                <w:sz w:val="24"/>
                <w:szCs w:val="24"/>
                <w:highlight w:val="none"/>
              </w:rPr>
            </w:pPr>
            <w:r>
              <w:rPr>
                <w:rFonts w:hint="eastAsia" w:ascii="宋体" w:hAnsi="宋体" w:cs="宋体"/>
                <w:b/>
                <w:color w:val="auto"/>
                <w:sz w:val="24"/>
                <w:szCs w:val="24"/>
                <w:highlight w:val="none"/>
              </w:rPr>
              <w:t>具体内容</w:t>
            </w:r>
          </w:p>
        </w:tc>
      </w:tr>
      <w:tr w14:paraId="39C7B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vAlign w:val="center"/>
          </w:tcPr>
          <w:p w14:paraId="73F8A4FD">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1</w:t>
            </w:r>
          </w:p>
        </w:tc>
        <w:tc>
          <w:tcPr>
            <w:tcW w:w="696" w:type="dxa"/>
            <w:tcBorders>
              <w:top w:val="single" w:color="auto" w:sz="4" w:space="0"/>
              <w:left w:val="single" w:color="auto" w:sz="4" w:space="0"/>
              <w:bottom w:val="single" w:color="auto" w:sz="4" w:space="0"/>
              <w:right w:val="single" w:color="auto" w:sz="4" w:space="0"/>
            </w:tcBorders>
            <w:vAlign w:val="center"/>
          </w:tcPr>
          <w:p w14:paraId="68A1BFB2">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二</w:t>
            </w:r>
          </w:p>
        </w:tc>
        <w:tc>
          <w:tcPr>
            <w:tcW w:w="1422" w:type="dxa"/>
            <w:tcBorders>
              <w:top w:val="single" w:color="auto" w:sz="4" w:space="0"/>
              <w:left w:val="single" w:color="auto" w:sz="4" w:space="0"/>
              <w:bottom w:val="single" w:color="auto" w:sz="4" w:space="0"/>
              <w:right w:val="single" w:color="auto" w:sz="4" w:space="0"/>
            </w:tcBorders>
            <w:vAlign w:val="center"/>
          </w:tcPr>
          <w:p w14:paraId="618E3739">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3</w:t>
            </w:r>
          </w:p>
        </w:tc>
        <w:tc>
          <w:tcPr>
            <w:tcW w:w="6151" w:type="dxa"/>
            <w:tcBorders>
              <w:top w:val="single" w:color="auto" w:sz="4" w:space="0"/>
              <w:left w:val="single" w:color="auto" w:sz="4" w:space="0"/>
              <w:bottom w:val="single" w:color="auto" w:sz="4" w:space="0"/>
              <w:right w:val="single" w:color="auto" w:sz="4" w:space="0"/>
            </w:tcBorders>
            <w:vAlign w:val="center"/>
          </w:tcPr>
          <w:p w14:paraId="2228241C">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合格的投标人</w:t>
            </w:r>
          </w:p>
          <w:p w14:paraId="281ECA4D">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具体内容详见第二章第3条“合格的投标人”。</w:t>
            </w:r>
          </w:p>
        </w:tc>
      </w:tr>
      <w:tr w14:paraId="46D4A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vAlign w:val="center"/>
          </w:tcPr>
          <w:p w14:paraId="19EA78D5">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2</w:t>
            </w:r>
          </w:p>
        </w:tc>
        <w:tc>
          <w:tcPr>
            <w:tcW w:w="696" w:type="dxa"/>
            <w:tcBorders>
              <w:top w:val="single" w:color="auto" w:sz="4" w:space="0"/>
              <w:left w:val="single" w:color="auto" w:sz="4" w:space="0"/>
              <w:bottom w:val="single" w:color="auto" w:sz="4" w:space="0"/>
              <w:right w:val="single" w:color="auto" w:sz="4" w:space="0"/>
            </w:tcBorders>
            <w:vAlign w:val="center"/>
          </w:tcPr>
          <w:p w14:paraId="2405951F">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二</w:t>
            </w:r>
          </w:p>
        </w:tc>
        <w:tc>
          <w:tcPr>
            <w:tcW w:w="1422" w:type="dxa"/>
            <w:tcBorders>
              <w:top w:val="single" w:color="auto" w:sz="4" w:space="0"/>
              <w:left w:val="single" w:color="auto" w:sz="4" w:space="0"/>
              <w:bottom w:val="single" w:color="auto" w:sz="4" w:space="0"/>
              <w:right w:val="single" w:color="auto" w:sz="4" w:space="0"/>
            </w:tcBorders>
            <w:vAlign w:val="center"/>
          </w:tcPr>
          <w:p w14:paraId="73FF992C">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3.1</w:t>
            </w:r>
          </w:p>
        </w:tc>
        <w:tc>
          <w:tcPr>
            <w:tcW w:w="6151" w:type="dxa"/>
            <w:tcBorders>
              <w:top w:val="single" w:color="auto" w:sz="4" w:space="0"/>
              <w:left w:val="single" w:color="auto" w:sz="4" w:space="0"/>
              <w:bottom w:val="single" w:color="auto" w:sz="4" w:space="0"/>
              <w:right w:val="single" w:color="auto" w:sz="4" w:space="0"/>
            </w:tcBorders>
            <w:vAlign w:val="center"/>
          </w:tcPr>
          <w:p w14:paraId="0B9FB8CC">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3.1凡有能力提供本招标文件所述服务的，具备《中华人民共和国政府采购法》第二十二条第一款规定的条件且符合本招标文件规定资格要求的境内服务商均可能成为合格的投标人。</w:t>
            </w:r>
          </w:p>
          <w:p w14:paraId="745762FB">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投标人应具备《中华人民共和国政府采购法》第二十二条第一款规定的条件，并提供以下材料：</w:t>
            </w:r>
          </w:p>
          <w:p w14:paraId="27C8A539">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（1）法人或者其他组织的营业执照等证明文件，自然人的身份证明；</w:t>
            </w:r>
          </w:p>
          <w:p w14:paraId="2D8C12D4">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投标人是法人或者其他组织的应提供营业执照等证明文件，投标人是自然人的应提供有效的自然人身份证明。</w:t>
            </w:r>
          </w:p>
          <w:p w14:paraId="281C29F7">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（2）投标人已提供加载有统一社会信用代码营业执照的，视为已提供税务登记证和组织机构代码证。</w:t>
            </w:r>
          </w:p>
          <w:p w14:paraId="0A99B7C9">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（3）按要求提供福建省政府采购供应商资格承诺函。</w:t>
            </w:r>
          </w:p>
        </w:tc>
      </w:tr>
      <w:tr w14:paraId="0EEAD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vAlign w:val="center"/>
          </w:tcPr>
          <w:p w14:paraId="25632EEE">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3</w:t>
            </w:r>
          </w:p>
        </w:tc>
        <w:tc>
          <w:tcPr>
            <w:tcW w:w="696" w:type="dxa"/>
            <w:tcBorders>
              <w:top w:val="single" w:color="auto" w:sz="4" w:space="0"/>
              <w:left w:val="single" w:color="auto" w:sz="4" w:space="0"/>
              <w:bottom w:val="single" w:color="auto" w:sz="4" w:space="0"/>
              <w:right w:val="single" w:color="auto" w:sz="4" w:space="0"/>
            </w:tcBorders>
            <w:vAlign w:val="center"/>
          </w:tcPr>
          <w:p w14:paraId="3E0A66C5">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二</w:t>
            </w:r>
          </w:p>
        </w:tc>
        <w:tc>
          <w:tcPr>
            <w:tcW w:w="1422" w:type="dxa"/>
            <w:tcBorders>
              <w:top w:val="single" w:color="auto" w:sz="4" w:space="0"/>
              <w:left w:val="single" w:color="auto" w:sz="4" w:space="0"/>
              <w:bottom w:val="single" w:color="auto" w:sz="4" w:space="0"/>
              <w:right w:val="single" w:color="auto" w:sz="4" w:space="0"/>
            </w:tcBorders>
            <w:vAlign w:val="center"/>
          </w:tcPr>
          <w:p w14:paraId="430FF986">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3.7</w:t>
            </w:r>
          </w:p>
        </w:tc>
        <w:tc>
          <w:tcPr>
            <w:tcW w:w="6151" w:type="dxa"/>
            <w:tcBorders>
              <w:top w:val="single" w:color="auto" w:sz="4" w:space="0"/>
              <w:left w:val="single" w:color="auto" w:sz="4" w:space="0"/>
              <w:bottom w:val="single" w:color="auto" w:sz="4" w:space="0"/>
              <w:right w:val="single" w:color="auto" w:sz="4" w:space="0"/>
            </w:tcBorders>
            <w:vAlign w:val="center"/>
          </w:tcPr>
          <w:p w14:paraId="1ED966E2">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3.7投标代理人在同一个项目中只能接受一个投标人的委托参加投标。</w:t>
            </w:r>
          </w:p>
        </w:tc>
      </w:tr>
      <w:tr w14:paraId="4DED5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vAlign w:val="center"/>
          </w:tcPr>
          <w:p w14:paraId="661789D7">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4</w:t>
            </w:r>
          </w:p>
        </w:tc>
        <w:tc>
          <w:tcPr>
            <w:tcW w:w="696" w:type="dxa"/>
            <w:tcBorders>
              <w:top w:val="single" w:color="auto" w:sz="4" w:space="0"/>
              <w:left w:val="single" w:color="auto" w:sz="4" w:space="0"/>
              <w:bottom w:val="single" w:color="auto" w:sz="4" w:space="0"/>
              <w:right w:val="single" w:color="auto" w:sz="4" w:space="0"/>
            </w:tcBorders>
            <w:vAlign w:val="center"/>
          </w:tcPr>
          <w:p w14:paraId="0ED1E730">
            <w:pPr>
              <w:spacing w:line="360" w:lineRule="auto"/>
              <w:jc w:val="center"/>
              <w:rPr>
                <w:rFonts w:ascii="宋体" w:hAnsi="宋体" w:cs="宋体"/>
                <w:color w:val="auto"/>
                <w:sz w:val="24"/>
                <w:szCs w:val="24"/>
                <w:highlight w:val="none"/>
              </w:rPr>
            </w:pPr>
          </w:p>
        </w:tc>
        <w:tc>
          <w:tcPr>
            <w:tcW w:w="1422" w:type="dxa"/>
            <w:tcBorders>
              <w:top w:val="single" w:color="auto" w:sz="4" w:space="0"/>
              <w:left w:val="single" w:color="auto" w:sz="4" w:space="0"/>
              <w:bottom w:val="single" w:color="auto" w:sz="4" w:space="0"/>
              <w:right w:val="single" w:color="auto" w:sz="4" w:space="0"/>
            </w:tcBorders>
            <w:vAlign w:val="center"/>
          </w:tcPr>
          <w:p w14:paraId="7F397ABA">
            <w:pPr>
              <w:spacing w:line="360" w:lineRule="auto"/>
              <w:jc w:val="center"/>
              <w:rPr>
                <w:rFonts w:ascii="宋体" w:hAnsi="宋体" w:cs="宋体"/>
                <w:color w:val="auto"/>
                <w:sz w:val="24"/>
                <w:szCs w:val="24"/>
                <w:highlight w:val="none"/>
              </w:rPr>
            </w:pPr>
          </w:p>
        </w:tc>
        <w:tc>
          <w:tcPr>
            <w:tcW w:w="6151" w:type="dxa"/>
            <w:tcBorders>
              <w:top w:val="single" w:color="auto" w:sz="4" w:space="0"/>
              <w:left w:val="single" w:color="auto" w:sz="4" w:space="0"/>
              <w:bottom w:val="single" w:color="auto" w:sz="4" w:space="0"/>
              <w:right w:val="single" w:color="auto" w:sz="4" w:space="0"/>
            </w:tcBorders>
            <w:vAlign w:val="center"/>
          </w:tcPr>
          <w:p w14:paraId="1EEDA4EC">
            <w:pPr>
              <w:tabs>
                <w:tab w:val="left" w:pos="630"/>
              </w:tabs>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信用记录按照下列规定执行：信用记录的查询及审查：①由资格审查小组评审当日通过“信用中国”网站（www.creditchina.gov.cn）、中国政府采购网（www.ccgp.gov.cn）、信用中国（福建厦门）（credit.xm.gov.cn）查询并打印投标人信用记录（以下简称：“资格审查小组的查询结果”）。②经查询，投标人（包括联合体各方，联合体成员存在不良记录的，视同联合体存在不良信用记录，认定联合体资格审查不合格）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14:paraId="40D88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vAlign w:val="center"/>
          </w:tcPr>
          <w:p w14:paraId="491C8D9A">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5</w:t>
            </w:r>
          </w:p>
        </w:tc>
        <w:tc>
          <w:tcPr>
            <w:tcW w:w="696" w:type="dxa"/>
            <w:tcBorders>
              <w:top w:val="single" w:color="auto" w:sz="4" w:space="0"/>
              <w:left w:val="single" w:color="auto" w:sz="4" w:space="0"/>
              <w:bottom w:val="single" w:color="auto" w:sz="4" w:space="0"/>
              <w:right w:val="single" w:color="auto" w:sz="4" w:space="0"/>
            </w:tcBorders>
            <w:vAlign w:val="center"/>
          </w:tcPr>
          <w:p w14:paraId="62560A5F">
            <w:pPr>
              <w:spacing w:line="360" w:lineRule="auto"/>
              <w:jc w:val="center"/>
              <w:rPr>
                <w:rFonts w:ascii="宋体" w:hAnsi="宋体" w:cs="宋体"/>
                <w:color w:val="auto"/>
                <w:sz w:val="24"/>
                <w:szCs w:val="24"/>
                <w:highlight w:val="none"/>
              </w:rPr>
            </w:pPr>
          </w:p>
        </w:tc>
        <w:tc>
          <w:tcPr>
            <w:tcW w:w="1422" w:type="dxa"/>
            <w:tcBorders>
              <w:top w:val="single" w:color="auto" w:sz="4" w:space="0"/>
              <w:left w:val="single" w:color="auto" w:sz="4" w:space="0"/>
              <w:bottom w:val="single" w:color="auto" w:sz="4" w:space="0"/>
              <w:right w:val="single" w:color="auto" w:sz="4" w:space="0"/>
            </w:tcBorders>
            <w:vAlign w:val="center"/>
          </w:tcPr>
          <w:p w14:paraId="4C46F69A">
            <w:pPr>
              <w:spacing w:line="360" w:lineRule="auto"/>
              <w:jc w:val="center"/>
              <w:rPr>
                <w:rFonts w:ascii="宋体" w:hAnsi="宋体" w:cs="宋体"/>
                <w:color w:val="auto"/>
                <w:sz w:val="24"/>
                <w:szCs w:val="24"/>
                <w:highlight w:val="none"/>
              </w:rPr>
            </w:pPr>
          </w:p>
        </w:tc>
        <w:tc>
          <w:tcPr>
            <w:tcW w:w="6151" w:type="dxa"/>
            <w:tcBorders>
              <w:top w:val="single" w:color="auto" w:sz="4" w:space="0"/>
              <w:left w:val="single" w:color="auto" w:sz="4" w:space="0"/>
              <w:bottom w:val="single" w:color="auto" w:sz="4" w:space="0"/>
              <w:right w:val="single" w:color="auto" w:sz="4" w:space="0"/>
            </w:tcBorders>
            <w:vAlign w:val="center"/>
          </w:tcPr>
          <w:p w14:paraId="68C5184A">
            <w:pPr>
              <w:spacing w:line="360" w:lineRule="auto"/>
              <w:jc w:val="left"/>
              <w:rPr>
                <w:rFonts w:ascii="宋体" w:hAnsi="宋体" w:cs="宋体"/>
                <w:b/>
                <w:bCs/>
                <w:color w:val="auto"/>
                <w:sz w:val="24"/>
                <w:szCs w:val="24"/>
                <w:highlight w:val="none"/>
              </w:rPr>
            </w:pPr>
            <w:r>
              <w:rPr>
                <w:rFonts w:hint="eastAsia" w:ascii="宋体" w:hAnsi="宋体" w:cs="宋体"/>
                <w:b/>
                <w:bCs/>
                <w:color w:val="auto"/>
                <w:sz w:val="24"/>
                <w:szCs w:val="24"/>
                <w:highlight w:val="none"/>
              </w:rPr>
              <w:t>★1.投标人应提供工商营业执照（副本）（加盖公章）的复印件。</w:t>
            </w:r>
          </w:p>
        </w:tc>
      </w:tr>
      <w:tr w14:paraId="5823A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tcPr>
          <w:p w14:paraId="278D2F26">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6</w:t>
            </w:r>
          </w:p>
        </w:tc>
        <w:tc>
          <w:tcPr>
            <w:tcW w:w="696" w:type="dxa"/>
            <w:tcBorders>
              <w:top w:val="single" w:color="auto" w:sz="4" w:space="0"/>
              <w:left w:val="single" w:color="auto" w:sz="4" w:space="0"/>
              <w:bottom w:val="single" w:color="auto" w:sz="4" w:space="0"/>
              <w:right w:val="single" w:color="auto" w:sz="4" w:space="0"/>
            </w:tcBorders>
          </w:tcPr>
          <w:p w14:paraId="03E3BD08">
            <w:pPr>
              <w:spacing w:line="360" w:lineRule="auto"/>
              <w:jc w:val="center"/>
              <w:rPr>
                <w:rFonts w:ascii="宋体" w:hAnsi="宋体" w:cs="宋体"/>
                <w:color w:val="auto"/>
                <w:sz w:val="24"/>
                <w:szCs w:val="24"/>
                <w:highlight w:val="none"/>
              </w:rPr>
            </w:pPr>
          </w:p>
        </w:tc>
        <w:tc>
          <w:tcPr>
            <w:tcW w:w="1422" w:type="dxa"/>
            <w:tcBorders>
              <w:top w:val="single" w:color="auto" w:sz="4" w:space="0"/>
              <w:left w:val="single" w:color="auto" w:sz="4" w:space="0"/>
              <w:bottom w:val="single" w:color="auto" w:sz="4" w:space="0"/>
              <w:right w:val="single" w:color="auto" w:sz="4" w:space="0"/>
            </w:tcBorders>
          </w:tcPr>
          <w:p w14:paraId="16510482">
            <w:pPr>
              <w:spacing w:line="360" w:lineRule="auto"/>
              <w:jc w:val="center"/>
              <w:rPr>
                <w:rFonts w:ascii="宋体" w:hAnsi="宋体" w:cs="宋体"/>
                <w:color w:val="auto"/>
                <w:sz w:val="24"/>
                <w:szCs w:val="24"/>
                <w:highlight w:val="none"/>
              </w:rPr>
            </w:pPr>
          </w:p>
        </w:tc>
        <w:tc>
          <w:tcPr>
            <w:tcW w:w="6151" w:type="dxa"/>
            <w:tcBorders>
              <w:top w:val="single" w:color="auto" w:sz="4" w:space="0"/>
              <w:left w:val="single" w:color="auto" w:sz="4" w:space="0"/>
              <w:bottom w:val="single" w:color="auto" w:sz="4" w:space="0"/>
              <w:right w:val="single" w:color="auto" w:sz="4" w:space="0"/>
            </w:tcBorders>
          </w:tcPr>
          <w:p w14:paraId="193AF205">
            <w:pPr>
              <w:spacing w:line="360" w:lineRule="auto"/>
              <w:jc w:val="left"/>
              <w:rPr>
                <w:rFonts w:ascii="宋体" w:hAnsi="宋体" w:cs="宋体"/>
                <w:b/>
                <w:bCs/>
                <w:color w:val="auto"/>
                <w:sz w:val="24"/>
                <w:szCs w:val="24"/>
                <w:highlight w:val="none"/>
              </w:rPr>
            </w:pPr>
            <w:r>
              <w:rPr>
                <w:rFonts w:hint="eastAsia" w:ascii="宋体" w:hAnsi="宋体" w:cs="宋体"/>
                <w:b/>
                <w:bCs/>
                <w:color w:val="auto"/>
                <w:sz w:val="24"/>
                <w:szCs w:val="24"/>
                <w:highlight w:val="none"/>
              </w:rPr>
              <w:t>★2.投标人全权代表若不是单位负责人，应提供单位授权书原件，并提供被授权代表身份证复印件。</w:t>
            </w:r>
          </w:p>
        </w:tc>
      </w:tr>
      <w:tr w14:paraId="5D52D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tcPr>
          <w:p w14:paraId="01726951">
            <w:pPr>
              <w:spacing w:line="360" w:lineRule="auto"/>
              <w:jc w:val="center"/>
              <w:rPr>
                <w:rFonts w:ascii="宋体" w:hAnsi="宋体" w:cs="宋体"/>
                <w:color w:val="auto"/>
                <w:sz w:val="24"/>
                <w:szCs w:val="24"/>
                <w:highlight w:val="none"/>
              </w:rPr>
            </w:pPr>
            <w:r>
              <w:rPr>
                <w:rFonts w:ascii="宋体" w:hAnsi="宋体" w:cs="宋体"/>
                <w:color w:val="auto"/>
                <w:sz w:val="24"/>
                <w:szCs w:val="24"/>
                <w:highlight w:val="none"/>
              </w:rPr>
              <w:t>7</w:t>
            </w:r>
          </w:p>
        </w:tc>
        <w:tc>
          <w:tcPr>
            <w:tcW w:w="696" w:type="dxa"/>
            <w:tcBorders>
              <w:top w:val="single" w:color="auto" w:sz="4" w:space="0"/>
              <w:left w:val="single" w:color="auto" w:sz="4" w:space="0"/>
              <w:bottom w:val="single" w:color="auto" w:sz="4" w:space="0"/>
              <w:right w:val="single" w:color="auto" w:sz="4" w:space="0"/>
            </w:tcBorders>
          </w:tcPr>
          <w:p w14:paraId="48650A15">
            <w:pPr>
              <w:spacing w:line="360" w:lineRule="auto"/>
              <w:jc w:val="center"/>
              <w:rPr>
                <w:rFonts w:ascii="宋体" w:hAnsi="宋体" w:cs="宋体"/>
                <w:color w:val="auto"/>
                <w:sz w:val="24"/>
                <w:szCs w:val="24"/>
                <w:highlight w:val="none"/>
              </w:rPr>
            </w:pPr>
          </w:p>
        </w:tc>
        <w:tc>
          <w:tcPr>
            <w:tcW w:w="1422" w:type="dxa"/>
            <w:tcBorders>
              <w:top w:val="single" w:color="auto" w:sz="4" w:space="0"/>
              <w:left w:val="single" w:color="auto" w:sz="4" w:space="0"/>
              <w:bottom w:val="single" w:color="auto" w:sz="4" w:space="0"/>
              <w:right w:val="single" w:color="auto" w:sz="4" w:space="0"/>
            </w:tcBorders>
          </w:tcPr>
          <w:p w14:paraId="21D026B2">
            <w:pPr>
              <w:spacing w:line="360" w:lineRule="auto"/>
              <w:jc w:val="center"/>
              <w:rPr>
                <w:rFonts w:ascii="宋体" w:hAnsi="宋体" w:cs="宋体"/>
                <w:color w:val="auto"/>
                <w:sz w:val="24"/>
                <w:szCs w:val="24"/>
                <w:highlight w:val="none"/>
              </w:rPr>
            </w:pPr>
          </w:p>
        </w:tc>
        <w:tc>
          <w:tcPr>
            <w:tcW w:w="6151" w:type="dxa"/>
            <w:tcBorders>
              <w:top w:val="single" w:color="auto" w:sz="4" w:space="0"/>
              <w:left w:val="single" w:color="auto" w:sz="4" w:space="0"/>
              <w:bottom w:val="single" w:color="auto" w:sz="4" w:space="0"/>
              <w:right w:val="single" w:color="auto" w:sz="4" w:space="0"/>
            </w:tcBorders>
          </w:tcPr>
          <w:p w14:paraId="574722F2">
            <w:pPr>
              <w:spacing w:line="360" w:lineRule="auto"/>
              <w:jc w:val="left"/>
              <w:rPr>
                <w:rFonts w:ascii="宋体" w:hAnsi="宋体" w:cs="宋体"/>
                <w:b/>
                <w:bCs/>
                <w:color w:val="auto"/>
                <w:sz w:val="24"/>
                <w:szCs w:val="24"/>
                <w:highlight w:val="none"/>
              </w:rPr>
            </w:pPr>
            <w:r>
              <w:rPr>
                <w:rFonts w:hint="eastAsia" w:ascii="宋体" w:hAnsi="宋体" w:cs="宋体"/>
                <w:b/>
                <w:bCs/>
                <w:color w:val="auto"/>
                <w:sz w:val="24"/>
                <w:szCs w:val="24"/>
                <w:highlight w:val="none"/>
              </w:rPr>
              <w:t>★</w:t>
            </w:r>
            <w:r>
              <w:rPr>
                <w:rFonts w:hint="eastAsia" w:ascii="宋体" w:hAnsi="宋体" w:cs="宋体"/>
                <w:b/>
                <w:bCs/>
                <w:color w:val="auto"/>
                <w:sz w:val="24"/>
                <w:szCs w:val="24"/>
                <w:highlight w:val="none"/>
                <w:lang w:val="en-US" w:eastAsia="zh-CN"/>
              </w:rPr>
              <w:t>3</w:t>
            </w:r>
            <w:r>
              <w:rPr>
                <w:rFonts w:hint="eastAsia" w:ascii="宋体" w:hAnsi="宋体" w:cs="宋体"/>
                <w:b/>
                <w:bCs/>
                <w:color w:val="auto"/>
                <w:sz w:val="24"/>
                <w:szCs w:val="24"/>
                <w:highlight w:val="none"/>
              </w:rPr>
              <w:t>、本项目不接受联合体投标。</w:t>
            </w:r>
          </w:p>
        </w:tc>
      </w:tr>
      <w:tr w14:paraId="6A6BE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65" w:type="dxa"/>
            <w:gridSpan w:val="4"/>
            <w:tcBorders>
              <w:top w:val="single" w:color="auto" w:sz="4" w:space="0"/>
              <w:left w:val="single" w:color="auto" w:sz="4" w:space="0"/>
              <w:bottom w:val="single" w:color="auto" w:sz="4" w:space="0"/>
              <w:right w:val="single" w:color="auto" w:sz="4" w:space="0"/>
            </w:tcBorders>
          </w:tcPr>
          <w:p w14:paraId="1FB06D0E">
            <w:pPr>
              <w:spacing w:line="360" w:lineRule="auto"/>
              <w:ind w:firstLine="3373" w:firstLineChars="1400"/>
              <w:rPr>
                <w:rFonts w:ascii="宋体" w:hAnsi="宋体" w:cs="宋体"/>
                <w:color w:val="auto"/>
                <w:sz w:val="24"/>
                <w:szCs w:val="24"/>
                <w:highlight w:val="none"/>
              </w:rPr>
            </w:pPr>
            <w:r>
              <w:rPr>
                <w:rFonts w:hint="eastAsia" w:ascii="宋体" w:hAnsi="宋体" w:cs="宋体"/>
                <w:b/>
                <w:color w:val="auto"/>
                <w:sz w:val="24"/>
                <w:szCs w:val="24"/>
                <w:highlight w:val="none"/>
              </w:rPr>
              <w:t>符合性要求</w:t>
            </w:r>
          </w:p>
        </w:tc>
      </w:tr>
      <w:tr w14:paraId="01614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vAlign w:val="center"/>
          </w:tcPr>
          <w:p w14:paraId="67A3C698">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项号</w:t>
            </w:r>
          </w:p>
        </w:tc>
        <w:tc>
          <w:tcPr>
            <w:tcW w:w="696" w:type="dxa"/>
            <w:tcBorders>
              <w:top w:val="single" w:color="auto" w:sz="4" w:space="0"/>
              <w:left w:val="single" w:color="auto" w:sz="4" w:space="0"/>
              <w:bottom w:val="single" w:color="auto" w:sz="4" w:space="0"/>
              <w:right w:val="single" w:color="auto" w:sz="4" w:space="0"/>
            </w:tcBorders>
            <w:vAlign w:val="center"/>
          </w:tcPr>
          <w:p w14:paraId="06FD7137">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章</w:t>
            </w:r>
          </w:p>
        </w:tc>
        <w:tc>
          <w:tcPr>
            <w:tcW w:w="1422" w:type="dxa"/>
            <w:tcBorders>
              <w:top w:val="single" w:color="auto" w:sz="4" w:space="0"/>
              <w:left w:val="single" w:color="auto" w:sz="4" w:space="0"/>
              <w:bottom w:val="single" w:color="auto" w:sz="4" w:space="0"/>
              <w:right w:val="single" w:color="auto" w:sz="4" w:space="0"/>
            </w:tcBorders>
            <w:vAlign w:val="center"/>
          </w:tcPr>
          <w:p w14:paraId="7137F5F7">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条款号</w:t>
            </w:r>
          </w:p>
        </w:tc>
        <w:tc>
          <w:tcPr>
            <w:tcW w:w="6151" w:type="dxa"/>
            <w:tcBorders>
              <w:top w:val="single" w:color="auto" w:sz="4" w:space="0"/>
              <w:left w:val="single" w:color="auto" w:sz="4" w:space="0"/>
              <w:bottom w:val="single" w:color="auto" w:sz="4" w:space="0"/>
              <w:right w:val="single" w:color="auto" w:sz="4" w:space="0"/>
            </w:tcBorders>
            <w:vAlign w:val="center"/>
          </w:tcPr>
          <w:p w14:paraId="74B085D6">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具体内容</w:t>
            </w:r>
          </w:p>
        </w:tc>
      </w:tr>
      <w:tr w14:paraId="42EA5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vAlign w:val="center"/>
          </w:tcPr>
          <w:p w14:paraId="33BF883E">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1</w:t>
            </w:r>
          </w:p>
        </w:tc>
        <w:tc>
          <w:tcPr>
            <w:tcW w:w="696" w:type="dxa"/>
            <w:tcBorders>
              <w:top w:val="single" w:color="auto" w:sz="4" w:space="0"/>
              <w:left w:val="single" w:color="auto" w:sz="4" w:space="0"/>
              <w:bottom w:val="single" w:color="auto" w:sz="4" w:space="0"/>
              <w:right w:val="single" w:color="auto" w:sz="4" w:space="0"/>
            </w:tcBorders>
            <w:vAlign w:val="center"/>
          </w:tcPr>
          <w:p w14:paraId="5BE94A59">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一</w:t>
            </w:r>
          </w:p>
        </w:tc>
        <w:tc>
          <w:tcPr>
            <w:tcW w:w="1422" w:type="dxa"/>
            <w:tcBorders>
              <w:top w:val="single" w:color="auto" w:sz="4" w:space="0"/>
              <w:left w:val="single" w:color="auto" w:sz="4" w:space="0"/>
              <w:bottom w:val="single" w:color="auto" w:sz="4" w:space="0"/>
              <w:right w:val="single" w:color="auto" w:sz="4" w:space="0"/>
            </w:tcBorders>
            <w:vAlign w:val="center"/>
          </w:tcPr>
          <w:p w14:paraId="55A4E57E">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5</w:t>
            </w:r>
          </w:p>
        </w:tc>
        <w:tc>
          <w:tcPr>
            <w:tcW w:w="6151" w:type="dxa"/>
            <w:tcBorders>
              <w:top w:val="single" w:color="auto" w:sz="4" w:space="0"/>
              <w:left w:val="single" w:color="auto" w:sz="4" w:space="0"/>
              <w:bottom w:val="single" w:color="auto" w:sz="4" w:space="0"/>
              <w:right w:val="single" w:color="auto" w:sz="4" w:space="0"/>
            </w:tcBorders>
          </w:tcPr>
          <w:p w14:paraId="0B517A4E">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投标人的投标文件未按规定的投标截止时间之前提交的，其投标将被拒绝。</w:t>
            </w:r>
          </w:p>
        </w:tc>
      </w:tr>
      <w:tr w14:paraId="3A915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vAlign w:val="center"/>
          </w:tcPr>
          <w:p w14:paraId="4FE743E7">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2</w:t>
            </w:r>
          </w:p>
        </w:tc>
        <w:tc>
          <w:tcPr>
            <w:tcW w:w="696" w:type="dxa"/>
            <w:tcBorders>
              <w:top w:val="single" w:color="auto" w:sz="4" w:space="0"/>
              <w:left w:val="single" w:color="auto" w:sz="4" w:space="0"/>
              <w:bottom w:val="single" w:color="auto" w:sz="4" w:space="0"/>
              <w:right w:val="single" w:color="auto" w:sz="4" w:space="0"/>
            </w:tcBorders>
            <w:vAlign w:val="center"/>
          </w:tcPr>
          <w:p w14:paraId="46E4B698">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二</w:t>
            </w:r>
          </w:p>
        </w:tc>
        <w:tc>
          <w:tcPr>
            <w:tcW w:w="1422" w:type="dxa"/>
            <w:tcBorders>
              <w:top w:val="single" w:color="auto" w:sz="4" w:space="0"/>
              <w:left w:val="single" w:color="auto" w:sz="4" w:space="0"/>
              <w:bottom w:val="single" w:color="auto" w:sz="4" w:space="0"/>
              <w:right w:val="single" w:color="auto" w:sz="4" w:space="0"/>
            </w:tcBorders>
            <w:vAlign w:val="center"/>
          </w:tcPr>
          <w:p w14:paraId="75966963">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3.2</w:t>
            </w:r>
          </w:p>
        </w:tc>
        <w:tc>
          <w:tcPr>
            <w:tcW w:w="6151" w:type="dxa"/>
            <w:tcBorders>
              <w:top w:val="single" w:color="auto" w:sz="4" w:space="0"/>
              <w:left w:val="single" w:color="auto" w:sz="4" w:space="0"/>
              <w:bottom w:val="single" w:color="auto" w:sz="4" w:space="0"/>
              <w:right w:val="single" w:color="auto" w:sz="4" w:space="0"/>
            </w:tcBorders>
            <w:vAlign w:val="center"/>
          </w:tcPr>
          <w:p w14:paraId="03FCFBDD">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3.2投标人应遵守并符合中国的有关法律、法规和规章的规定，同时其投标服务也应符合中国的有关法律、法规和规章的规定。认可本须知中的规定。</w:t>
            </w:r>
          </w:p>
        </w:tc>
      </w:tr>
      <w:tr w14:paraId="7C31B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vAlign w:val="center"/>
          </w:tcPr>
          <w:p w14:paraId="72C480C4">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3</w:t>
            </w:r>
          </w:p>
        </w:tc>
        <w:tc>
          <w:tcPr>
            <w:tcW w:w="696" w:type="dxa"/>
            <w:tcBorders>
              <w:top w:val="single" w:color="auto" w:sz="4" w:space="0"/>
              <w:left w:val="single" w:color="auto" w:sz="4" w:space="0"/>
              <w:bottom w:val="single" w:color="auto" w:sz="4" w:space="0"/>
              <w:right w:val="single" w:color="auto" w:sz="4" w:space="0"/>
            </w:tcBorders>
            <w:vAlign w:val="center"/>
          </w:tcPr>
          <w:p w14:paraId="1DA6EB67">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二</w:t>
            </w:r>
          </w:p>
        </w:tc>
        <w:tc>
          <w:tcPr>
            <w:tcW w:w="1422" w:type="dxa"/>
            <w:tcBorders>
              <w:top w:val="single" w:color="auto" w:sz="4" w:space="0"/>
              <w:left w:val="single" w:color="auto" w:sz="4" w:space="0"/>
              <w:bottom w:val="single" w:color="auto" w:sz="4" w:space="0"/>
              <w:right w:val="single" w:color="auto" w:sz="4" w:space="0"/>
            </w:tcBorders>
            <w:vAlign w:val="center"/>
          </w:tcPr>
          <w:p w14:paraId="117CA6B8">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3.3</w:t>
            </w:r>
          </w:p>
        </w:tc>
        <w:tc>
          <w:tcPr>
            <w:tcW w:w="6151" w:type="dxa"/>
            <w:tcBorders>
              <w:top w:val="single" w:color="auto" w:sz="4" w:space="0"/>
              <w:left w:val="single" w:color="auto" w:sz="4" w:space="0"/>
              <w:bottom w:val="single" w:color="auto" w:sz="4" w:space="0"/>
              <w:right w:val="single" w:color="auto" w:sz="4" w:space="0"/>
            </w:tcBorders>
            <w:vAlign w:val="center"/>
          </w:tcPr>
          <w:p w14:paraId="60F2AE98">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3.3一个投标人只能提交一个投标文件。如果投标人之间存在下列互为关联关系的情形之一的，不得同时参加本项目同一合同包投标：</w:t>
            </w:r>
          </w:p>
          <w:p w14:paraId="29366FD8">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(1)法定代表人、单位负责人为同一人或夫妻关系的不同投标人；</w:t>
            </w:r>
          </w:p>
          <w:p w14:paraId="22B8B7E8">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(2)存在直接控股、管理关系的不同投标人；</w:t>
            </w:r>
          </w:p>
          <w:p w14:paraId="3DDB387B">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(3)均为同一家母公司直接或间接持股50％及以上的被投资公司。</w:t>
            </w:r>
          </w:p>
        </w:tc>
      </w:tr>
      <w:tr w14:paraId="4C616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vAlign w:val="center"/>
          </w:tcPr>
          <w:p w14:paraId="0B107D55">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4</w:t>
            </w:r>
          </w:p>
        </w:tc>
        <w:tc>
          <w:tcPr>
            <w:tcW w:w="696" w:type="dxa"/>
            <w:tcBorders>
              <w:top w:val="single" w:color="auto" w:sz="4" w:space="0"/>
              <w:left w:val="single" w:color="auto" w:sz="4" w:space="0"/>
              <w:bottom w:val="single" w:color="auto" w:sz="4" w:space="0"/>
              <w:right w:val="single" w:color="auto" w:sz="4" w:space="0"/>
            </w:tcBorders>
            <w:vAlign w:val="center"/>
          </w:tcPr>
          <w:p w14:paraId="1268F270">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二</w:t>
            </w:r>
          </w:p>
        </w:tc>
        <w:tc>
          <w:tcPr>
            <w:tcW w:w="1422" w:type="dxa"/>
            <w:tcBorders>
              <w:top w:val="single" w:color="auto" w:sz="4" w:space="0"/>
              <w:left w:val="single" w:color="auto" w:sz="4" w:space="0"/>
              <w:bottom w:val="single" w:color="auto" w:sz="4" w:space="0"/>
              <w:right w:val="single" w:color="auto" w:sz="4" w:space="0"/>
            </w:tcBorders>
            <w:vAlign w:val="center"/>
          </w:tcPr>
          <w:p w14:paraId="4DC75D92">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3.4</w:t>
            </w:r>
          </w:p>
        </w:tc>
        <w:tc>
          <w:tcPr>
            <w:tcW w:w="6151" w:type="dxa"/>
            <w:tcBorders>
              <w:top w:val="single" w:color="auto" w:sz="4" w:space="0"/>
              <w:left w:val="single" w:color="auto" w:sz="4" w:space="0"/>
              <w:bottom w:val="single" w:color="auto" w:sz="4" w:space="0"/>
              <w:right w:val="single" w:color="auto" w:sz="4" w:space="0"/>
            </w:tcBorders>
            <w:vAlign w:val="center"/>
          </w:tcPr>
          <w:p w14:paraId="0244DBD6">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3.4投标人不得与本次招标项下设计、编制技术规格和其他文件的公司或提供咨询服务的公司包括其附属机构有关联关系，关联关系指：（1） 法定代表人、单位负责人为同一人或夫妻关系的不同公司；（2） 存在直接控股、管理关系的不同公司；（3） 均为同一家母公司直接或间接持股50％及以上的被投资公司。</w:t>
            </w:r>
          </w:p>
        </w:tc>
      </w:tr>
      <w:tr w14:paraId="03E42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vAlign w:val="center"/>
          </w:tcPr>
          <w:p w14:paraId="4F24ADA6">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5</w:t>
            </w:r>
          </w:p>
        </w:tc>
        <w:tc>
          <w:tcPr>
            <w:tcW w:w="696" w:type="dxa"/>
            <w:tcBorders>
              <w:top w:val="single" w:color="auto" w:sz="4" w:space="0"/>
              <w:left w:val="single" w:color="auto" w:sz="4" w:space="0"/>
              <w:bottom w:val="single" w:color="auto" w:sz="4" w:space="0"/>
              <w:right w:val="single" w:color="auto" w:sz="4" w:space="0"/>
            </w:tcBorders>
            <w:vAlign w:val="center"/>
          </w:tcPr>
          <w:p w14:paraId="033D3D27">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二</w:t>
            </w:r>
          </w:p>
        </w:tc>
        <w:tc>
          <w:tcPr>
            <w:tcW w:w="1422" w:type="dxa"/>
            <w:tcBorders>
              <w:top w:val="single" w:color="auto" w:sz="4" w:space="0"/>
              <w:left w:val="single" w:color="auto" w:sz="4" w:space="0"/>
              <w:bottom w:val="single" w:color="auto" w:sz="4" w:space="0"/>
              <w:right w:val="single" w:color="auto" w:sz="4" w:space="0"/>
            </w:tcBorders>
            <w:vAlign w:val="center"/>
          </w:tcPr>
          <w:p w14:paraId="6634EFC9">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3.8</w:t>
            </w:r>
          </w:p>
        </w:tc>
        <w:tc>
          <w:tcPr>
            <w:tcW w:w="6151" w:type="dxa"/>
            <w:tcBorders>
              <w:top w:val="single" w:color="auto" w:sz="4" w:space="0"/>
              <w:left w:val="single" w:color="auto" w:sz="4" w:space="0"/>
              <w:bottom w:val="single" w:color="auto" w:sz="4" w:space="0"/>
              <w:right w:val="single" w:color="auto" w:sz="4" w:space="0"/>
            </w:tcBorders>
            <w:vAlign w:val="center"/>
          </w:tcPr>
          <w:p w14:paraId="12C827C6">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3.8投标人存在下列情形之一的，将被认定为串通投标行为并作无效投标处理：</w:t>
            </w:r>
          </w:p>
          <w:p w14:paraId="12D04030">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（1）投标人之间协商投标报价等投标文件的实质性内容；</w:t>
            </w:r>
          </w:p>
          <w:p w14:paraId="68176FE1">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（2）投标人之间约定中标供应商；</w:t>
            </w:r>
          </w:p>
          <w:p w14:paraId="4ADCD3FD">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（3）投标人之间约定部分投标人放弃投标或者中标；</w:t>
            </w:r>
          </w:p>
          <w:p w14:paraId="27D439E5">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（4）属于同一集团、协会、商会等组织成员的投标人按照该组织要求协同投标；</w:t>
            </w:r>
          </w:p>
          <w:p w14:paraId="3A313532">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（5）投标人之间为谋取中标或者排斥特定投标人而采取的其他联合行动；</w:t>
            </w:r>
          </w:p>
          <w:p w14:paraId="19FE5025">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（6）不同投标人的投标文件由同一单位或者个人编制；</w:t>
            </w:r>
          </w:p>
          <w:p w14:paraId="4ACBA9EB">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（7）不同投标人委托同一单位或者个人办理投标事宜；</w:t>
            </w:r>
          </w:p>
          <w:p w14:paraId="6F2BA33F">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（8）不同投标人的投标文件载明的项目管理成员或者联系人员为同一人；</w:t>
            </w:r>
          </w:p>
          <w:p w14:paraId="406F3372">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（9）不同投标人的投标文件异常一致或者投标报价呈规律性差异；</w:t>
            </w:r>
          </w:p>
          <w:p w14:paraId="695CBC1A">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（10）不同投标人的投标文件相互混装；</w:t>
            </w:r>
          </w:p>
          <w:p w14:paraId="348BE4AC">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（11）不同投标人的投标保证金从同一单位或者个人的账户转出。</w:t>
            </w:r>
          </w:p>
          <w:p w14:paraId="50AFB8C6">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（12）不同投标人的投标文件错、漏之处一致或雷同，且不能合理解释的；</w:t>
            </w:r>
          </w:p>
          <w:p w14:paraId="6F5B0B32">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（13）不同的投标人的法定代表人、委托代理人等由同一个单位缴纳社会保险的；</w:t>
            </w:r>
          </w:p>
          <w:p w14:paraId="6F1A2945">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（14）由同一人或分别由几个有利害关系的人携带两个以上（含两个）投标人的企业资料参与资格审查、领取招标资料，或代表两个以上（含两个）投标人参加招标答疑会、缴纳或退还投标保证金、开标的；</w:t>
            </w:r>
          </w:p>
          <w:p w14:paraId="5A8B5876">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（15）有关法律、法规或规章规定的其他串通投标行为。</w:t>
            </w:r>
          </w:p>
        </w:tc>
      </w:tr>
      <w:tr w14:paraId="15EF5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vAlign w:val="center"/>
          </w:tcPr>
          <w:p w14:paraId="19CF4EB9">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6</w:t>
            </w:r>
          </w:p>
        </w:tc>
        <w:tc>
          <w:tcPr>
            <w:tcW w:w="696" w:type="dxa"/>
            <w:tcBorders>
              <w:top w:val="single" w:color="auto" w:sz="4" w:space="0"/>
              <w:left w:val="single" w:color="auto" w:sz="4" w:space="0"/>
              <w:bottom w:val="single" w:color="auto" w:sz="4" w:space="0"/>
              <w:right w:val="single" w:color="auto" w:sz="4" w:space="0"/>
            </w:tcBorders>
            <w:vAlign w:val="center"/>
          </w:tcPr>
          <w:p w14:paraId="434432BF">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二</w:t>
            </w:r>
          </w:p>
        </w:tc>
        <w:tc>
          <w:tcPr>
            <w:tcW w:w="1422" w:type="dxa"/>
            <w:tcBorders>
              <w:top w:val="single" w:color="auto" w:sz="4" w:space="0"/>
              <w:left w:val="single" w:color="auto" w:sz="4" w:space="0"/>
              <w:bottom w:val="single" w:color="auto" w:sz="4" w:space="0"/>
              <w:right w:val="single" w:color="auto" w:sz="4" w:space="0"/>
            </w:tcBorders>
            <w:vAlign w:val="center"/>
          </w:tcPr>
          <w:p w14:paraId="0EEB4451">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8.1</w:t>
            </w:r>
          </w:p>
        </w:tc>
        <w:tc>
          <w:tcPr>
            <w:tcW w:w="6151" w:type="dxa"/>
            <w:tcBorders>
              <w:top w:val="single" w:color="auto" w:sz="4" w:space="0"/>
              <w:left w:val="single" w:color="auto" w:sz="4" w:space="0"/>
              <w:bottom w:val="single" w:color="auto" w:sz="4" w:space="0"/>
              <w:right w:val="single" w:color="auto" w:sz="4" w:space="0"/>
            </w:tcBorders>
          </w:tcPr>
          <w:p w14:paraId="3515D979">
            <w:pPr>
              <w:spacing w:line="360" w:lineRule="auto"/>
              <w:ind w:firstLine="482" w:firstLineChars="200"/>
              <w:rPr>
                <w:rFonts w:ascii="宋体" w:hAnsi="宋体" w:cs="宋体"/>
                <w:color w:val="auto"/>
                <w:sz w:val="24"/>
                <w:szCs w:val="24"/>
                <w:highlight w:val="none"/>
              </w:rPr>
            </w:pPr>
            <w:r>
              <w:rPr>
                <w:rFonts w:hint="eastAsia" w:ascii="宋体" w:hAnsi="宋体" w:cs="宋体"/>
                <w:b/>
                <w:color w:val="auto"/>
                <w:sz w:val="24"/>
                <w:szCs w:val="24"/>
                <w:highlight w:val="none"/>
              </w:rPr>
              <w:t>8.1投标人应仔细阅读招标文件的所有内容，按照招标文件的要求提交投标文件。投标文件应对招标文件的要求作出实质性响应，并保证所提供的全部资料的真实性，否则其投标将被拒绝。</w:t>
            </w:r>
          </w:p>
        </w:tc>
      </w:tr>
      <w:tr w14:paraId="7DCA6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vAlign w:val="center"/>
          </w:tcPr>
          <w:p w14:paraId="53AB8F49">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7</w:t>
            </w:r>
          </w:p>
        </w:tc>
        <w:tc>
          <w:tcPr>
            <w:tcW w:w="696" w:type="dxa"/>
            <w:tcBorders>
              <w:top w:val="single" w:color="auto" w:sz="4" w:space="0"/>
              <w:left w:val="single" w:color="auto" w:sz="4" w:space="0"/>
              <w:bottom w:val="single" w:color="auto" w:sz="4" w:space="0"/>
              <w:right w:val="single" w:color="auto" w:sz="4" w:space="0"/>
            </w:tcBorders>
            <w:vAlign w:val="center"/>
          </w:tcPr>
          <w:p w14:paraId="679481F3">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二</w:t>
            </w:r>
          </w:p>
        </w:tc>
        <w:tc>
          <w:tcPr>
            <w:tcW w:w="1422" w:type="dxa"/>
            <w:tcBorders>
              <w:top w:val="single" w:color="auto" w:sz="4" w:space="0"/>
              <w:left w:val="single" w:color="auto" w:sz="4" w:space="0"/>
              <w:bottom w:val="single" w:color="auto" w:sz="4" w:space="0"/>
              <w:right w:val="single" w:color="auto" w:sz="4" w:space="0"/>
            </w:tcBorders>
            <w:vAlign w:val="center"/>
          </w:tcPr>
          <w:p w14:paraId="3EB9BAD2">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8.2</w:t>
            </w:r>
          </w:p>
        </w:tc>
        <w:tc>
          <w:tcPr>
            <w:tcW w:w="6151" w:type="dxa"/>
            <w:tcBorders>
              <w:top w:val="single" w:color="auto" w:sz="4" w:space="0"/>
              <w:left w:val="single" w:color="auto" w:sz="4" w:space="0"/>
              <w:bottom w:val="single" w:color="auto" w:sz="4" w:space="0"/>
              <w:right w:val="single" w:color="auto" w:sz="4" w:space="0"/>
            </w:tcBorders>
          </w:tcPr>
          <w:p w14:paraId="3E7F828C">
            <w:pPr>
              <w:spacing w:line="360" w:lineRule="auto"/>
              <w:ind w:firstLine="482" w:firstLineChars="200"/>
              <w:rPr>
                <w:rFonts w:ascii="宋体" w:hAnsi="宋体" w:cs="宋体"/>
                <w:b/>
                <w:color w:val="auto"/>
                <w:sz w:val="24"/>
                <w:szCs w:val="24"/>
                <w:highlight w:val="none"/>
              </w:rPr>
            </w:pPr>
            <w:r>
              <w:rPr>
                <w:rFonts w:hint="eastAsia" w:ascii="宋体" w:hAnsi="宋体" w:cs="宋体"/>
                <w:b/>
                <w:color w:val="auto"/>
                <w:sz w:val="24"/>
                <w:szCs w:val="24"/>
                <w:highlight w:val="none"/>
              </w:rPr>
              <w:t>8.2除非有另外的规定，投标人可对招标服务一览表所列的全部合同包或部分合同包进行投标。招标采购单位不接受有任何可选择性的报价，每一种服务只能有一个报价，否则其投标将被拒绝。</w:t>
            </w:r>
          </w:p>
        </w:tc>
      </w:tr>
      <w:tr w14:paraId="30186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vAlign w:val="center"/>
          </w:tcPr>
          <w:p w14:paraId="1BD3AD92">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8</w:t>
            </w:r>
          </w:p>
        </w:tc>
        <w:tc>
          <w:tcPr>
            <w:tcW w:w="696" w:type="dxa"/>
            <w:tcBorders>
              <w:top w:val="single" w:color="auto" w:sz="4" w:space="0"/>
              <w:left w:val="single" w:color="auto" w:sz="4" w:space="0"/>
              <w:bottom w:val="single" w:color="auto" w:sz="4" w:space="0"/>
              <w:right w:val="single" w:color="auto" w:sz="4" w:space="0"/>
            </w:tcBorders>
            <w:vAlign w:val="center"/>
          </w:tcPr>
          <w:p w14:paraId="0C6D9E82">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二</w:t>
            </w:r>
          </w:p>
        </w:tc>
        <w:tc>
          <w:tcPr>
            <w:tcW w:w="1422" w:type="dxa"/>
            <w:tcBorders>
              <w:top w:val="single" w:color="auto" w:sz="4" w:space="0"/>
              <w:left w:val="single" w:color="auto" w:sz="4" w:space="0"/>
              <w:bottom w:val="single" w:color="auto" w:sz="4" w:space="0"/>
              <w:right w:val="single" w:color="auto" w:sz="4" w:space="0"/>
            </w:tcBorders>
            <w:vAlign w:val="center"/>
          </w:tcPr>
          <w:p w14:paraId="780A4AD8">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11.1</w:t>
            </w:r>
          </w:p>
        </w:tc>
        <w:tc>
          <w:tcPr>
            <w:tcW w:w="6151" w:type="dxa"/>
            <w:tcBorders>
              <w:top w:val="single" w:color="auto" w:sz="4" w:space="0"/>
              <w:left w:val="single" w:color="auto" w:sz="4" w:space="0"/>
              <w:bottom w:val="single" w:color="auto" w:sz="4" w:space="0"/>
              <w:right w:val="single" w:color="auto" w:sz="4" w:space="0"/>
            </w:tcBorders>
            <w:vAlign w:val="center"/>
          </w:tcPr>
          <w:p w14:paraId="43099416">
            <w:pPr>
              <w:spacing w:line="360" w:lineRule="auto"/>
              <w:ind w:firstLine="482" w:firstLineChars="200"/>
              <w:rPr>
                <w:rFonts w:ascii="宋体" w:hAnsi="宋体" w:cs="宋体"/>
                <w:b/>
                <w:color w:val="auto"/>
                <w:sz w:val="24"/>
                <w:szCs w:val="24"/>
                <w:highlight w:val="none"/>
              </w:rPr>
            </w:pPr>
            <w:r>
              <w:rPr>
                <w:rFonts w:hint="eastAsia" w:ascii="宋体" w:hAnsi="宋体" w:cs="宋体"/>
                <w:b/>
                <w:color w:val="auto"/>
                <w:sz w:val="24"/>
                <w:szCs w:val="24"/>
                <w:highlight w:val="none"/>
              </w:rPr>
              <w:t>11.1投标文件从投标截止之日开始生效，在</w:t>
            </w:r>
            <w:r>
              <w:rPr>
                <w:rFonts w:hint="eastAsia" w:ascii="宋体" w:hAnsi="宋体" w:cs="宋体"/>
                <w:b/>
                <w:bCs/>
                <w:color w:val="auto"/>
                <w:sz w:val="24"/>
                <w:szCs w:val="24"/>
                <w:highlight w:val="none"/>
              </w:rPr>
              <w:t>投标人须知前附表1</w:t>
            </w:r>
            <w:r>
              <w:rPr>
                <w:rFonts w:hint="eastAsia" w:ascii="宋体" w:hAnsi="宋体" w:cs="宋体"/>
                <w:b/>
                <w:color w:val="auto"/>
                <w:sz w:val="24"/>
                <w:szCs w:val="24"/>
                <w:highlight w:val="none"/>
              </w:rPr>
              <w:t>第3项所规定的期限内保持有效。有效期不足将导致其投标文件被拒绝。</w:t>
            </w:r>
          </w:p>
        </w:tc>
      </w:tr>
      <w:tr w14:paraId="4CA8A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vAlign w:val="center"/>
          </w:tcPr>
          <w:p w14:paraId="3685C6CE">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9</w:t>
            </w:r>
          </w:p>
        </w:tc>
        <w:tc>
          <w:tcPr>
            <w:tcW w:w="696" w:type="dxa"/>
            <w:tcBorders>
              <w:top w:val="single" w:color="auto" w:sz="4" w:space="0"/>
              <w:left w:val="single" w:color="auto" w:sz="4" w:space="0"/>
              <w:bottom w:val="single" w:color="auto" w:sz="4" w:space="0"/>
              <w:right w:val="single" w:color="auto" w:sz="4" w:space="0"/>
            </w:tcBorders>
            <w:vAlign w:val="center"/>
          </w:tcPr>
          <w:p w14:paraId="15257E0F">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二</w:t>
            </w:r>
          </w:p>
        </w:tc>
        <w:tc>
          <w:tcPr>
            <w:tcW w:w="1422" w:type="dxa"/>
            <w:tcBorders>
              <w:top w:val="single" w:color="auto" w:sz="4" w:space="0"/>
              <w:left w:val="single" w:color="auto" w:sz="4" w:space="0"/>
              <w:bottom w:val="single" w:color="auto" w:sz="4" w:space="0"/>
              <w:right w:val="single" w:color="auto" w:sz="4" w:space="0"/>
            </w:tcBorders>
            <w:vAlign w:val="center"/>
          </w:tcPr>
          <w:p w14:paraId="22C080C1">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12.5</w:t>
            </w:r>
          </w:p>
        </w:tc>
        <w:tc>
          <w:tcPr>
            <w:tcW w:w="6151" w:type="dxa"/>
            <w:tcBorders>
              <w:top w:val="single" w:color="auto" w:sz="4" w:space="0"/>
              <w:left w:val="single" w:color="auto" w:sz="4" w:space="0"/>
              <w:bottom w:val="single" w:color="auto" w:sz="4" w:space="0"/>
              <w:right w:val="single" w:color="auto" w:sz="4" w:space="0"/>
            </w:tcBorders>
            <w:vAlign w:val="center"/>
          </w:tcPr>
          <w:p w14:paraId="5FC472F4">
            <w:pPr>
              <w:spacing w:line="360" w:lineRule="auto"/>
              <w:ind w:firstLine="482" w:firstLineChars="200"/>
              <w:rPr>
                <w:rFonts w:ascii="宋体" w:hAnsi="宋体" w:cs="宋体"/>
                <w:b/>
                <w:color w:val="auto"/>
                <w:sz w:val="24"/>
                <w:szCs w:val="24"/>
                <w:highlight w:val="none"/>
              </w:rPr>
            </w:pPr>
            <w:r>
              <w:rPr>
                <w:rFonts w:hint="eastAsia" w:ascii="宋体" w:hAnsi="宋体" w:cs="宋体"/>
                <w:b/>
                <w:color w:val="auto"/>
                <w:sz w:val="24"/>
                <w:szCs w:val="24"/>
                <w:highlight w:val="none"/>
              </w:rPr>
              <w:t>12.5未按要求缴交投标保证金的投标，将被视为无效投标。</w:t>
            </w:r>
          </w:p>
        </w:tc>
      </w:tr>
      <w:tr w14:paraId="12EC3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vAlign w:val="center"/>
          </w:tcPr>
          <w:p w14:paraId="64CB1F4B">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10</w:t>
            </w:r>
          </w:p>
        </w:tc>
        <w:tc>
          <w:tcPr>
            <w:tcW w:w="696" w:type="dxa"/>
            <w:tcBorders>
              <w:top w:val="single" w:color="auto" w:sz="4" w:space="0"/>
              <w:left w:val="single" w:color="auto" w:sz="4" w:space="0"/>
              <w:bottom w:val="single" w:color="auto" w:sz="4" w:space="0"/>
              <w:right w:val="single" w:color="auto" w:sz="4" w:space="0"/>
            </w:tcBorders>
            <w:vAlign w:val="center"/>
          </w:tcPr>
          <w:p w14:paraId="543D68A2">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二</w:t>
            </w:r>
          </w:p>
        </w:tc>
        <w:tc>
          <w:tcPr>
            <w:tcW w:w="1422" w:type="dxa"/>
            <w:tcBorders>
              <w:top w:val="single" w:color="auto" w:sz="4" w:space="0"/>
              <w:left w:val="single" w:color="auto" w:sz="4" w:space="0"/>
              <w:bottom w:val="single" w:color="auto" w:sz="4" w:space="0"/>
              <w:right w:val="single" w:color="auto" w:sz="4" w:space="0"/>
            </w:tcBorders>
            <w:vAlign w:val="center"/>
          </w:tcPr>
          <w:p w14:paraId="4E02FA83">
            <w:pPr>
              <w:spacing w:line="360" w:lineRule="auto"/>
              <w:jc w:val="center"/>
              <w:rPr>
                <w:rFonts w:ascii="宋体" w:hAnsi="宋体" w:cs="宋体"/>
                <w:color w:val="auto"/>
                <w:sz w:val="24"/>
                <w:szCs w:val="24"/>
                <w:highlight w:val="none"/>
              </w:rPr>
            </w:pPr>
            <w:r>
              <w:rPr>
                <w:rFonts w:hint="eastAsia" w:ascii="宋体" w:hAnsi="宋体" w:cs="宋体"/>
                <w:b/>
                <w:color w:val="auto"/>
                <w:sz w:val="24"/>
                <w:szCs w:val="24"/>
                <w:highlight w:val="none"/>
              </w:rPr>
              <w:t>13.7</w:t>
            </w:r>
          </w:p>
        </w:tc>
        <w:tc>
          <w:tcPr>
            <w:tcW w:w="6151" w:type="dxa"/>
            <w:tcBorders>
              <w:top w:val="single" w:color="auto" w:sz="4" w:space="0"/>
              <w:left w:val="single" w:color="auto" w:sz="4" w:space="0"/>
              <w:bottom w:val="single" w:color="auto" w:sz="4" w:space="0"/>
              <w:right w:val="single" w:color="auto" w:sz="4" w:space="0"/>
            </w:tcBorders>
            <w:vAlign w:val="center"/>
          </w:tcPr>
          <w:p w14:paraId="1ACA8D51">
            <w:pPr>
              <w:spacing w:line="360" w:lineRule="auto"/>
              <w:ind w:firstLine="482"/>
              <w:rPr>
                <w:rFonts w:ascii="宋体" w:hAnsi="宋体" w:cs="宋体"/>
                <w:b/>
                <w:color w:val="auto"/>
                <w:sz w:val="24"/>
                <w:szCs w:val="24"/>
                <w:highlight w:val="none"/>
              </w:rPr>
            </w:pPr>
            <w:r>
              <w:rPr>
                <w:rFonts w:hint="eastAsia" w:ascii="宋体" w:hAnsi="宋体" w:cs="宋体"/>
                <w:b/>
                <w:color w:val="auto"/>
                <w:sz w:val="24"/>
                <w:szCs w:val="24"/>
                <w:highlight w:val="none"/>
              </w:rPr>
              <w:t>13.7未按本须知规定的格式填写投标文件、投标文件字迹模糊不清的，其投标将被拒绝。</w:t>
            </w:r>
          </w:p>
        </w:tc>
      </w:tr>
      <w:tr w14:paraId="1250C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vAlign w:val="center"/>
          </w:tcPr>
          <w:p w14:paraId="1DF425C8">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11</w:t>
            </w:r>
          </w:p>
        </w:tc>
        <w:tc>
          <w:tcPr>
            <w:tcW w:w="696" w:type="dxa"/>
            <w:tcBorders>
              <w:top w:val="single" w:color="auto" w:sz="4" w:space="0"/>
              <w:left w:val="single" w:color="auto" w:sz="4" w:space="0"/>
              <w:bottom w:val="single" w:color="auto" w:sz="4" w:space="0"/>
              <w:right w:val="single" w:color="auto" w:sz="4" w:space="0"/>
            </w:tcBorders>
            <w:vAlign w:val="center"/>
          </w:tcPr>
          <w:p w14:paraId="3DF02D67">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二</w:t>
            </w:r>
          </w:p>
        </w:tc>
        <w:tc>
          <w:tcPr>
            <w:tcW w:w="1422" w:type="dxa"/>
            <w:tcBorders>
              <w:top w:val="single" w:color="auto" w:sz="4" w:space="0"/>
              <w:left w:val="single" w:color="auto" w:sz="4" w:space="0"/>
              <w:bottom w:val="single" w:color="auto" w:sz="4" w:space="0"/>
              <w:right w:val="single" w:color="auto" w:sz="4" w:space="0"/>
            </w:tcBorders>
            <w:vAlign w:val="center"/>
          </w:tcPr>
          <w:p w14:paraId="1F1C0590">
            <w:pPr>
              <w:spacing w:line="360" w:lineRule="auto"/>
              <w:jc w:val="center"/>
              <w:rPr>
                <w:rFonts w:ascii="宋体" w:hAnsi="宋体" w:cs="宋体"/>
                <w:color w:val="auto"/>
                <w:sz w:val="24"/>
                <w:szCs w:val="24"/>
                <w:highlight w:val="none"/>
              </w:rPr>
            </w:pPr>
            <w:r>
              <w:rPr>
                <w:rFonts w:hint="eastAsia" w:ascii="宋体" w:hAnsi="宋体" w:cs="宋体"/>
                <w:b/>
                <w:color w:val="auto"/>
                <w:sz w:val="24"/>
                <w:szCs w:val="24"/>
                <w:highlight w:val="none"/>
              </w:rPr>
              <w:t>13.9</w:t>
            </w:r>
          </w:p>
        </w:tc>
        <w:tc>
          <w:tcPr>
            <w:tcW w:w="6151" w:type="dxa"/>
            <w:tcBorders>
              <w:top w:val="single" w:color="auto" w:sz="4" w:space="0"/>
              <w:left w:val="single" w:color="auto" w:sz="4" w:space="0"/>
              <w:bottom w:val="single" w:color="auto" w:sz="4" w:space="0"/>
              <w:right w:val="single" w:color="auto" w:sz="4" w:space="0"/>
            </w:tcBorders>
            <w:vAlign w:val="center"/>
          </w:tcPr>
          <w:p w14:paraId="69499E46">
            <w:pPr>
              <w:spacing w:line="360" w:lineRule="auto"/>
              <w:ind w:firstLine="482" w:firstLineChars="200"/>
              <w:rPr>
                <w:rFonts w:ascii="宋体" w:hAnsi="宋体" w:cs="宋体"/>
                <w:b/>
                <w:color w:val="auto"/>
                <w:sz w:val="24"/>
                <w:szCs w:val="24"/>
                <w:highlight w:val="none"/>
              </w:rPr>
            </w:pPr>
            <w:r>
              <w:rPr>
                <w:rFonts w:hint="eastAsia" w:ascii="宋体" w:hAnsi="宋体" w:cs="宋体"/>
                <w:b/>
                <w:color w:val="auto"/>
                <w:sz w:val="24"/>
                <w:szCs w:val="24"/>
                <w:highlight w:val="none"/>
              </w:rPr>
              <w:t>投标人应将上述文件按顺序装订成册、打印页码，并编列投标文件目录、资料清单，由于装订不规范或编排顺序混乱而导致投标文件被误读或漏读，该投标可能被视为无效投标或承担不利的评标结果。</w:t>
            </w:r>
          </w:p>
        </w:tc>
      </w:tr>
      <w:tr w14:paraId="227E7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vAlign w:val="center"/>
          </w:tcPr>
          <w:p w14:paraId="5995C278">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12</w:t>
            </w:r>
          </w:p>
        </w:tc>
        <w:tc>
          <w:tcPr>
            <w:tcW w:w="696" w:type="dxa"/>
            <w:tcBorders>
              <w:top w:val="single" w:color="auto" w:sz="4" w:space="0"/>
              <w:left w:val="single" w:color="auto" w:sz="4" w:space="0"/>
              <w:bottom w:val="single" w:color="auto" w:sz="4" w:space="0"/>
              <w:right w:val="single" w:color="auto" w:sz="4" w:space="0"/>
            </w:tcBorders>
            <w:vAlign w:val="center"/>
          </w:tcPr>
          <w:p w14:paraId="6C32F187">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二</w:t>
            </w:r>
          </w:p>
        </w:tc>
        <w:tc>
          <w:tcPr>
            <w:tcW w:w="1422" w:type="dxa"/>
            <w:tcBorders>
              <w:top w:val="single" w:color="auto" w:sz="4" w:space="0"/>
              <w:left w:val="single" w:color="auto" w:sz="4" w:space="0"/>
              <w:bottom w:val="single" w:color="auto" w:sz="4" w:space="0"/>
              <w:right w:val="single" w:color="auto" w:sz="4" w:space="0"/>
            </w:tcBorders>
            <w:vAlign w:val="center"/>
          </w:tcPr>
          <w:p w14:paraId="0F958C57">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14.1</w:t>
            </w:r>
          </w:p>
        </w:tc>
        <w:tc>
          <w:tcPr>
            <w:tcW w:w="6151" w:type="dxa"/>
            <w:tcBorders>
              <w:top w:val="single" w:color="auto" w:sz="4" w:space="0"/>
              <w:left w:val="single" w:color="auto" w:sz="4" w:space="0"/>
              <w:bottom w:val="single" w:color="auto" w:sz="4" w:space="0"/>
              <w:right w:val="single" w:color="auto" w:sz="4" w:space="0"/>
            </w:tcBorders>
            <w:vAlign w:val="center"/>
          </w:tcPr>
          <w:p w14:paraId="4E7FEC87">
            <w:pPr>
              <w:spacing w:line="360" w:lineRule="auto"/>
              <w:ind w:firstLine="480"/>
              <w:rPr>
                <w:rFonts w:ascii="宋体" w:hAnsi="宋体" w:cs="宋体"/>
                <w:b/>
                <w:color w:val="auto"/>
                <w:sz w:val="24"/>
                <w:szCs w:val="24"/>
                <w:highlight w:val="none"/>
              </w:rPr>
            </w:pPr>
            <w:r>
              <w:rPr>
                <w:rFonts w:hint="eastAsia" w:ascii="宋体" w:hAnsi="宋体" w:cs="宋体"/>
                <w:b/>
                <w:bCs/>
                <w:color w:val="auto"/>
                <w:sz w:val="24"/>
                <w:szCs w:val="24"/>
                <w:highlight w:val="none"/>
              </w:rPr>
              <w:t>14.1</w:t>
            </w:r>
            <w:r>
              <w:rPr>
                <w:rFonts w:hint="eastAsia" w:ascii="宋体" w:hAnsi="宋体" w:cs="宋体"/>
                <w:b/>
                <w:color w:val="auto"/>
                <w:sz w:val="24"/>
                <w:szCs w:val="24"/>
                <w:highlight w:val="none"/>
              </w:rPr>
              <w:t>投标文件未密封将导致其投标被拒绝。</w:t>
            </w:r>
          </w:p>
        </w:tc>
      </w:tr>
      <w:tr w14:paraId="75002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vAlign w:val="center"/>
          </w:tcPr>
          <w:p w14:paraId="6852F70F">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13</w:t>
            </w:r>
          </w:p>
        </w:tc>
        <w:tc>
          <w:tcPr>
            <w:tcW w:w="696" w:type="dxa"/>
            <w:tcBorders>
              <w:top w:val="single" w:color="auto" w:sz="4" w:space="0"/>
              <w:left w:val="single" w:color="auto" w:sz="4" w:space="0"/>
              <w:bottom w:val="single" w:color="auto" w:sz="4" w:space="0"/>
              <w:right w:val="single" w:color="auto" w:sz="4" w:space="0"/>
            </w:tcBorders>
            <w:vAlign w:val="center"/>
          </w:tcPr>
          <w:p w14:paraId="146BC10B">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二</w:t>
            </w:r>
          </w:p>
        </w:tc>
        <w:tc>
          <w:tcPr>
            <w:tcW w:w="1422" w:type="dxa"/>
            <w:tcBorders>
              <w:top w:val="single" w:color="auto" w:sz="4" w:space="0"/>
              <w:left w:val="single" w:color="auto" w:sz="4" w:space="0"/>
              <w:bottom w:val="single" w:color="auto" w:sz="4" w:space="0"/>
              <w:right w:val="single" w:color="auto" w:sz="4" w:space="0"/>
            </w:tcBorders>
            <w:vAlign w:val="center"/>
          </w:tcPr>
          <w:p w14:paraId="2A46DD3E">
            <w:pPr>
              <w:spacing w:line="360" w:lineRule="auto"/>
              <w:jc w:val="center"/>
              <w:rPr>
                <w:rFonts w:ascii="宋体" w:hAnsi="宋体" w:cs="宋体"/>
                <w:color w:val="auto"/>
                <w:sz w:val="24"/>
                <w:szCs w:val="24"/>
                <w:highlight w:val="none"/>
              </w:rPr>
            </w:pPr>
            <w:r>
              <w:rPr>
                <w:rFonts w:hint="eastAsia" w:ascii="宋体" w:hAnsi="宋体" w:cs="宋体"/>
                <w:b/>
                <w:color w:val="auto"/>
                <w:sz w:val="24"/>
                <w:szCs w:val="24"/>
                <w:highlight w:val="none"/>
              </w:rPr>
              <w:t>14.5</w:t>
            </w:r>
          </w:p>
        </w:tc>
        <w:tc>
          <w:tcPr>
            <w:tcW w:w="6151" w:type="dxa"/>
            <w:tcBorders>
              <w:top w:val="single" w:color="auto" w:sz="4" w:space="0"/>
              <w:left w:val="single" w:color="auto" w:sz="4" w:space="0"/>
              <w:bottom w:val="single" w:color="auto" w:sz="4" w:space="0"/>
              <w:right w:val="single" w:color="auto" w:sz="4" w:space="0"/>
            </w:tcBorders>
            <w:vAlign w:val="center"/>
          </w:tcPr>
          <w:p w14:paraId="07EC1D75">
            <w:pPr>
              <w:spacing w:line="360" w:lineRule="auto"/>
              <w:ind w:firstLine="482" w:firstLineChars="200"/>
              <w:rPr>
                <w:rFonts w:ascii="宋体" w:hAnsi="宋体" w:cs="宋体"/>
                <w:b/>
                <w:color w:val="auto"/>
                <w:sz w:val="24"/>
                <w:szCs w:val="24"/>
                <w:highlight w:val="none"/>
              </w:rPr>
            </w:pPr>
            <w:r>
              <w:rPr>
                <w:rFonts w:hint="eastAsia" w:ascii="宋体" w:hAnsi="宋体" w:cs="宋体"/>
                <w:b/>
                <w:color w:val="auto"/>
                <w:sz w:val="24"/>
                <w:szCs w:val="24"/>
                <w:highlight w:val="none"/>
              </w:rPr>
              <w:t>14.5投标文件应在投标邀请中规定的截止时间前送达，迟到的投标文件为无效投标文件， 将被拒收。</w:t>
            </w:r>
          </w:p>
        </w:tc>
      </w:tr>
      <w:tr w14:paraId="75E2A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vAlign w:val="center"/>
          </w:tcPr>
          <w:p w14:paraId="5B4D0155">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14</w:t>
            </w:r>
          </w:p>
        </w:tc>
        <w:tc>
          <w:tcPr>
            <w:tcW w:w="696" w:type="dxa"/>
            <w:tcBorders>
              <w:top w:val="single" w:color="auto" w:sz="4" w:space="0"/>
              <w:left w:val="single" w:color="auto" w:sz="4" w:space="0"/>
              <w:bottom w:val="single" w:color="auto" w:sz="4" w:space="0"/>
              <w:right w:val="single" w:color="auto" w:sz="4" w:space="0"/>
            </w:tcBorders>
            <w:vAlign w:val="center"/>
          </w:tcPr>
          <w:p w14:paraId="6F2B9EC5">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二</w:t>
            </w:r>
          </w:p>
        </w:tc>
        <w:tc>
          <w:tcPr>
            <w:tcW w:w="1422" w:type="dxa"/>
            <w:tcBorders>
              <w:top w:val="single" w:color="auto" w:sz="4" w:space="0"/>
              <w:left w:val="single" w:color="auto" w:sz="4" w:space="0"/>
              <w:bottom w:val="single" w:color="auto" w:sz="4" w:space="0"/>
              <w:right w:val="single" w:color="auto" w:sz="4" w:space="0"/>
            </w:tcBorders>
            <w:vAlign w:val="center"/>
          </w:tcPr>
          <w:p w14:paraId="1C4C24DD">
            <w:pPr>
              <w:spacing w:line="360" w:lineRule="auto"/>
              <w:jc w:val="center"/>
              <w:rPr>
                <w:rFonts w:ascii="宋体" w:hAnsi="宋体" w:cs="宋体"/>
                <w:color w:val="auto"/>
                <w:sz w:val="24"/>
                <w:szCs w:val="24"/>
                <w:highlight w:val="none"/>
              </w:rPr>
            </w:pPr>
            <w:r>
              <w:rPr>
                <w:rFonts w:hint="eastAsia" w:ascii="宋体" w:hAnsi="宋体" w:cs="宋体"/>
                <w:b/>
                <w:color w:val="auto"/>
                <w:sz w:val="24"/>
                <w:szCs w:val="24"/>
                <w:highlight w:val="none"/>
              </w:rPr>
              <w:t>14.7</w:t>
            </w:r>
          </w:p>
        </w:tc>
        <w:tc>
          <w:tcPr>
            <w:tcW w:w="6151" w:type="dxa"/>
            <w:tcBorders>
              <w:top w:val="single" w:color="auto" w:sz="4" w:space="0"/>
              <w:left w:val="single" w:color="auto" w:sz="4" w:space="0"/>
              <w:bottom w:val="single" w:color="auto" w:sz="4" w:space="0"/>
              <w:right w:val="single" w:color="auto" w:sz="4" w:space="0"/>
            </w:tcBorders>
          </w:tcPr>
          <w:p w14:paraId="5592914E">
            <w:pPr>
              <w:spacing w:line="360" w:lineRule="auto"/>
              <w:ind w:firstLine="480"/>
              <w:rPr>
                <w:rFonts w:ascii="宋体" w:hAnsi="宋体" w:cs="宋体"/>
                <w:b/>
                <w:color w:val="auto"/>
                <w:sz w:val="24"/>
                <w:szCs w:val="24"/>
                <w:highlight w:val="none"/>
              </w:rPr>
            </w:pPr>
            <w:r>
              <w:rPr>
                <w:rFonts w:hint="eastAsia" w:ascii="宋体" w:hAnsi="宋体" w:cs="宋体"/>
                <w:b/>
                <w:color w:val="auto"/>
                <w:sz w:val="24"/>
                <w:szCs w:val="24"/>
                <w:highlight w:val="none"/>
              </w:rPr>
              <w:t>14.7投标人在投标截止时间后不得修改、撤回投标文件。投标人在投标截止时间后修改投标文件的，其投标将被拒绝。</w:t>
            </w:r>
          </w:p>
        </w:tc>
      </w:tr>
      <w:tr w14:paraId="7C4CB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vAlign w:val="center"/>
          </w:tcPr>
          <w:p w14:paraId="5C7362FC">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15</w:t>
            </w:r>
          </w:p>
        </w:tc>
        <w:tc>
          <w:tcPr>
            <w:tcW w:w="696" w:type="dxa"/>
            <w:tcBorders>
              <w:top w:val="single" w:color="auto" w:sz="4" w:space="0"/>
              <w:left w:val="single" w:color="auto" w:sz="4" w:space="0"/>
              <w:bottom w:val="single" w:color="auto" w:sz="4" w:space="0"/>
              <w:right w:val="single" w:color="auto" w:sz="4" w:space="0"/>
            </w:tcBorders>
            <w:vAlign w:val="center"/>
          </w:tcPr>
          <w:p w14:paraId="437882F3">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二</w:t>
            </w:r>
          </w:p>
        </w:tc>
        <w:tc>
          <w:tcPr>
            <w:tcW w:w="1422" w:type="dxa"/>
            <w:tcBorders>
              <w:top w:val="single" w:color="auto" w:sz="4" w:space="0"/>
              <w:left w:val="single" w:color="auto" w:sz="4" w:space="0"/>
              <w:bottom w:val="single" w:color="auto" w:sz="4" w:space="0"/>
              <w:right w:val="single" w:color="auto" w:sz="4" w:space="0"/>
            </w:tcBorders>
            <w:vAlign w:val="center"/>
          </w:tcPr>
          <w:p w14:paraId="18F38F76">
            <w:pPr>
              <w:spacing w:line="360" w:lineRule="auto"/>
              <w:jc w:val="center"/>
              <w:rPr>
                <w:rFonts w:ascii="宋体" w:hAnsi="宋体" w:cs="宋体"/>
                <w:b/>
                <w:color w:val="auto"/>
                <w:sz w:val="24"/>
                <w:szCs w:val="24"/>
                <w:highlight w:val="none"/>
              </w:rPr>
            </w:pPr>
            <w:r>
              <w:rPr>
                <w:rFonts w:hint="eastAsia" w:ascii="宋体" w:hAnsi="宋体" w:cs="宋体"/>
                <w:b/>
                <w:color w:val="auto"/>
                <w:sz w:val="24"/>
                <w:szCs w:val="24"/>
                <w:highlight w:val="none"/>
              </w:rPr>
              <w:t>17.</w:t>
            </w:r>
          </w:p>
        </w:tc>
        <w:tc>
          <w:tcPr>
            <w:tcW w:w="6151" w:type="dxa"/>
            <w:tcBorders>
              <w:top w:val="single" w:color="auto" w:sz="4" w:space="0"/>
              <w:left w:val="single" w:color="auto" w:sz="4" w:space="0"/>
              <w:bottom w:val="single" w:color="auto" w:sz="4" w:space="0"/>
              <w:right w:val="single" w:color="auto" w:sz="4" w:space="0"/>
            </w:tcBorders>
          </w:tcPr>
          <w:p w14:paraId="3E16D672">
            <w:pPr>
              <w:spacing w:line="360" w:lineRule="auto"/>
              <w:ind w:firstLine="482" w:firstLineChars="200"/>
              <w:rPr>
                <w:rFonts w:ascii="宋体" w:hAnsi="宋体" w:cs="宋体"/>
                <w:b/>
                <w:color w:val="auto"/>
                <w:sz w:val="24"/>
                <w:szCs w:val="24"/>
                <w:highlight w:val="none"/>
              </w:rPr>
            </w:pPr>
            <w:r>
              <w:rPr>
                <w:rFonts w:hint="eastAsia" w:ascii="宋体" w:hAnsi="宋体" w:cs="宋体"/>
                <w:b/>
                <w:color w:val="auto"/>
                <w:sz w:val="24"/>
                <w:szCs w:val="24"/>
                <w:highlight w:val="none"/>
              </w:rPr>
              <w:t>17.投标人任何试图影响评委会对投标文件的评估、比较或者推荐候选人的行为，都将导致其投标按照无效投标处理，并被没收投标保证金。</w:t>
            </w:r>
          </w:p>
        </w:tc>
      </w:tr>
      <w:tr w14:paraId="4BB69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vAlign w:val="center"/>
          </w:tcPr>
          <w:p w14:paraId="3A904032">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16</w:t>
            </w:r>
          </w:p>
        </w:tc>
        <w:tc>
          <w:tcPr>
            <w:tcW w:w="696" w:type="dxa"/>
            <w:tcBorders>
              <w:top w:val="single" w:color="auto" w:sz="4" w:space="0"/>
              <w:left w:val="single" w:color="auto" w:sz="4" w:space="0"/>
              <w:bottom w:val="single" w:color="auto" w:sz="4" w:space="0"/>
              <w:right w:val="single" w:color="auto" w:sz="4" w:space="0"/>
            </w:tcBorders>
            <w:vAlign w:val="center"/>
          </w:tcPr>
          <w:p w14:paraId="32D0981D">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二</w:t>
            </w:r>
          </w:p>
        </w:tc>
        <w:tc>
          <w:tcPr>
            <w:tcW w:w="1422" w:type="dxa"/>
            <w:tcBorders>
              <w:top w:val="single" w:color="auto" w:sz="4" w:space="0"/>
              <w:left w:val="single" w:color="auto" w:sz="4" w:space="0"/>
              <w:bottom w:val="single" w:color="auto" w:sz="4" w:space="0"/>
              <w:right w:val="single" w:color="auto" w:sz="4" w:space="0"/>
            </w:tcBorders>
            <w:vAlign w:val="center"/>
          </w:tcPr>
          <w:p w14:paraId="26E141DD">
            <w:pPr>
              <w:spacing w:line="360" w:lineRule="auto"/>
              <w:jc w:val="center"/>
              <w:rPr>
                <w:rFonts w:ascii="宋体" w:hAnsi="宋体" w:cs="宋体"/>
                <w:b/>
                <w:color w:val="auto"/>
                <w:sz w:val="24"/>
                <w:szCs w:val="24"/>
                <w:highlight w:val="none"/>
              </w:rPr>
            </w:pPr>
            <w:r>
              <w:rPr>
                <w:rFonts w:hint="eastAsia" w:ascii="宋体" w:hAnsi="宋体" w:cs="宋体"/>
                <w:color w:val="auto"/>
                <w:sz w:val="24"/>
                <w:szCs w:val="24"/>
                <w:highlight w:val="none"/>
              </w:rPr>
              <w:t>17.2</w:t>
            </w:r>
          </w:p>
        </w:tc>
        <w:tc>
          <w:tcPr>
            <w:tcW w:w="6151" w:type="dxa"/>
            <w:tcBorders>
              <w:top w:val="single" w:color="auto" w:sz="4" w:space="0"/>
              <w:left w:val="single" w:color="auto" w:sz="4" w:space="0"/>
              <w:bottom w:val="single" w:color="auto" w:sz="4" w:space="0"/>
              <w:right w:val="single" w:color="auto" w:sz="4" w:space="0"/>
            </w:tcBorders>
          </w:tcPr>
          <w:p w14:paraId="0A1E85A4">
            <w:pPr>
              <w:spacing w:line="360" w:lineRule="auto"/>
              <w:ind w:firstLine="482" w:firstLineChars="200"/>
              <w:rPr>
                <w:rFonts w:ascii="宋体" w:hAnsi="宋体" w:cs="宋体"/>
                <w:b/>
                <w:color w:val="auto"/>
                <w:sz w:val="24"/>
                <w:szCs w:val="24"/>
                <w:highlight w:val="none"/>
              </w:rPr>
            </w:pPr>
            <w:r>
              <w:rPr>
                <w:rFonts w:ascii="宋体" w:hAnsi="宋体" w:cs="宋体"/>
                <w:b/>
                <w:color w:val="auto"/>
                <w:sz w:val="24"/>
                <w:szCs w:val="24"/>
                <w:highlight w:val="none"/>
              </w:rPr>
              <w:t>17.2</w:t>
            </w:r>
            <w:r>
              <w:rPr>
                <w:rFonts w:hint="eastAsia" w:ascii="宋体" w:hAnsi="宋体" w:cs="宋体"/>
                <w:b/>
                <w:color w:val="auto"/>
                <w:sz w:val="24"/>
                <w:szCs w:val="24"/>
                <w:highlight w:val="none"/>
              </w:rPr>
              <w:t>如果投标人不接受按上述方法对投标文件中的算术错误进行更正，其投标将按照无效投标处理并被没收投标保证金。</w:t>
            </w:r>
          </w:p>
        </w:tc>
      </w:tr>
      <w:tr w14:paraId="3565D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vAlign w:val="center"/>
          </w:tcPr>
          <w:p w14:paraId="08E4538B">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17</w:t>
            </w:r>
          </w:p>
        </w:tc>
        <w:tc>
          <w:tcPr>
            <w:tcW w:w="696" w:type="dxa"/>
            <w:tcBorders>
              <w:top w:val="single" w:color="auto" w:sz="4" w:space="0"/>
              <w:left w:val="single" w:color="auto" w:sz="4" w:space="0"/>
              <w:bottom w:val="single" w:color="auto" w:sz="4" w:space="0"/>
              <w:right w:val="single" w:color="auto" w:sz="4" w:space="0"/>
            </w:tcBorders>
            <w:vAlign w:val="center"/>
          </w:tcPr>
          <w:p w14:paraId="20EDB6FA">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二</w:t>
            </w:r>
          </w:p>
        </w:tc>
        <w:tc>
          <w:tcPr>
            <w:tcW w:w="1422" w:type="dxa"/>
            <w:tcBorders>
              <w:top w:val="single" w:color="auto" w:sz="4" w:space="0"/>
              <w:left w:val="single" w:color="auto" w:sz="4" w:space="0"/>
              <w:bottom w:val="single" w:color="auto" w:sz="4" w:space="0"/>
              <w:right w:val="single" w:color="auto" w:sz="4" w:space="0"/>
            </w:tcBorders>
            <w:vAlign w:val="center"/>
          </w:tcPr>
          <w:p w14:paraId="6BB6E835">
            <w:pPr>
              <w:spacing w:line="360" w:lineRule="auto"/>
              <w:jc w:val="center"/>
              <w:rPr>
                <w:rFonts w:ascii="宋体" w:hAnsi="宋体" w:cs="宋体"/>
                <w:b/>
                <w:color w:val="auto"/>
                <w:sz w:val="24"/>
                <w:szCs w:val="24"/>
                <w:highlight w:val="none"/>
              </w:rPr>
            </w:pPr>
            <w:r>
              <w:rPr>
                <w:rFonts w:hint="eastAsia" w:ascii="宋体" w:hAnsi="宋体" w:cs="宋体"/>
                <w:color w:val="auto"/>
                <w:sz w:val="24"/>
                <w:szCs w:val="24"/>
                <w:highlight w:val="none"/>
              </w:rPr>
              <w:t>17.3.2</w:t>
            </w:r>
          </w:p>
        </w:tc>
        <w:tc>
          <w:tcPr>
            <w:tcW w:w="6151" w:type="dxa"/>
            <w:tcBorders>
              <w:top w:val="single" w:color="auto" w:sz="4" w:space="0"/>
              <w:left w:val="single" w:color="auto" w:sz="4" w:space="0"/>
              <w:bottom w:val="single" w:color="auto" w:sz="4" w:space="0"/>
              <w:right w:val="single" w:color="auto" w:sz="4" w:space="0"/>
            </w:tcBorders>
          </w:tcPr>
          <w:p w14:paraId="6DC7C010">
            <w:pPr>
              <w:spacing w:line="360" w:lineRule="auto"/>
              <w:ind w:firstLine="482" w:firstLineChars="200"/>
              <w:rPr>
                <w:rFonts w:ascii="宋体" w:hAnsi="宋体" w:cs="宋体"/>
                <w:b/>
                <w:color w:val="auto"/>
                <w:sz w:val="24"/>
                <w:szCs w:val="24"/>
                <w:highlight w:val="none"/>
              </w:rPr>
            </w:pPr>
            <w:r>
              <w:rPr>
                <w:rFonts w:hint="eastAsia" w:ascii="宋体" w:hAnsi="宋体" w:cs="宋体"/>
                <w:b/>
                <w:color w:val="auto"/>
                <w:sz w:val="24"/>
                <w:szCs w:val="24"/>
                <w:highlight w:val="none"/>
              </w:rPr>
              <w:t>17.3.2依据招标文件的规定，评标委员会还将从投标文件的有效性、完整性和对招标文件的响应程度等方面进行审查，以确定其是否符合对招标文件的实质性要求作出响应。（采购人可根据具体项目的情况对实质性要求作特别的规定。）实质性偏离是指：（1）实质性影响合同的范围、质量和履行；（2）实质性违背招标文件，限制了采购人的权利和中标供应商合同项下的义务；（3）不公正地影响了其它作出实质性响应的投标人的竞争地位。对没有实质性响应的投标文件将不进行评估，其投标将按照无效投标处理。凡有下列情况之一者，投标文件也将被视为未实质性响应招标文件要求：</w:t>
            </w:r>
          </w:p>
          <w:p w14:paraId="128D8C6D">
            <w:pPr>
              <w:spacing w:line="360" w:lineRule="auto"/>
              <w:ind w:firstLine="482" w:firstLineChars="200"/>
              <w:rPr>
                <w:rFonts w:ascii="宋体" w:hAnsi="宋体" w:cs="宋体"/>
                <w:b/>
                <w:color w:val="auto"/>
                <w:sz w:val="24"/>
                <w:szCs w:val="24"/>
                <w:highlight w:val="none"/>
              </w:rPr>
            </w:pPr>
            <w:r>
              <w:rPr>
                <w:rFonts w:hint="eastAsia" w:ascii="宋体" w:hAnsi="宋体" w:cs="宋体"/>
                <w:b/>
                <w:color w:val="auto"/>
                <w:sz w:val="24"/>
                <w:szCs w:val="24"/>
                <w:highlight w:val="none"/>
              </w:rPr>
              <w:t xml:space="preserve"> (1) 未按规定提交投标保证金的；</w:t>
            </w:r>
          </w:p>
          <w:p w14:paraId="25C124E0">
            <w:pPr>
              <w:spacing w:line="360" w:lineRule="auto"/>
              <w:ind w:firstLine="482" w:firstLineChars="200"/>
              <w:rPr>
                <w:rFonts w:ascii="宋体" w:hAnsi="宋体" w:cs="宋体"/>
                <w:b/>
                <w:color w:val="auto"/>
                <w:sz w:val="24"/>
                <w:szCs w:val="24"/>
                <w:highlight w:val="none"/>
              </w:rPr>
            </w:pPr>
            <w:r>
              <w:rPr>
                <w:rFonts w:hint="eastAsia" w:ascii="宋体" w:hAnsi="宋体" w:cs="宋体"/>
                <w:b/>
                <w:color w:val="auto"/>
                <w:sz w:val="24"/>
                <w:szCs w:val="24"/>
                <w:highlight w:val="none"/>
              </w:rPr>
              <w:t>(2)投标有效期不满足招标文件要求的；</w:t>
            </w:r>
          </w:p>
          <w:p w14:paraId="789EA0D4">
            <w:pPr>
              <w:spacing w:line="360" w:lineRule="auto"/>
              <w:ind w:firstLine="482" w:firstLineChars="200"/>
              <w:rPr>
                <w:rFonts w:ascii="宋体" w:hAnsi="宋体" w:cs="宋体"/>
                <w:b/>
                <w:color w:val="auto"/>
                <w:sz w:val="24"/>
                <w:szCs w:val="24"/>
                <w:highlight w:val="none"/>
              </w:rPr>
            </w:pPr>
            <w:r>
              <w:rPr>
                <w:rFonts w:hint="eastAsia" w:ascii="宋体" w:hAnsi="宋体" w:cs="宋体"/>
                <w:b/>
                <w:color w:val="auto"/>
                <w:sz w:val="24"/>
                <w:szCs w:val="24"/>
                <w:highlight w:val="none"/>
              </w:rPr>
              <w:t>(3)投标内容与招标内容及要求有重大偏离或保留的；</w:t>
            </w:r>
          </w:p>
          <w:p w14:paraId="1917B52A">
            <w:pPr>
              <w:spacing w:line="360" w:lineRule="auto"/>
              <w:ind w:firstLine="482" w:firstLineChars="200"/>
              <w:rPr>
                <w:rFonts w:ascii="宋体" w:hAnsi="宋体" w:cs="宋体"/>
                <w:b/>
                <w:color w:val="auto"/>
                <w:sz w:val="24"/>
                <w:szCs w:val="24"/>
                <w:highlight w:val="none"/>
              </w:rPr>
            </w:pPr>
            <w:r>
              <w:rPr>
                <w:rFonts w:hint="eastAsia" w:ascii="宋体" w:hAnsi="宋体" w:cs="宋体"/>
                <w:b/>
                <w:color w:val="auto"/>
                <w:sz w:val="24"/>
                <w:szCs w:val="24"/>
                <w:highlight w:val="none"/>
              </w:rPr>
              <w:t>(4)投标人提交的是可选择的报价；</w:t>
            </w:r>
          </w:p>
          <w:p w14:paraId="778629D6">
            <w:pPr>
              <w:spacing w:line="360" w:lineRule="auto"/>
              <w:ind w:firstLine="482" w:firstLineChars="200"/>
              <w:rPr>
                <w:rFonts w:ascii="宋体" w:hAnsi="宋体" w:cs="宋体"/>
                <w:b/>
                <w:color w:val="auto"/>
                <w:sz w:val="24"/>
                <w:szCs w:val="24"/>
                <w:highlight w:val="none"/>
              </w:rPr>
            </w:pPr>
            <w:r>
              <w:rPr>
                <w:rFonts w:hint="eastAsia" w:ascii="宋体" w:hAnsi="宋体" w:cs="宋体"/>
                <w:b/>
                <w:color w:val="auto"/>
                <w:sz w:val="24"/>
                <w:szCs w:val="24"/>
                <w:highlight w:val="none"/>
              </w:rPr>
              <w:t>(5)投标人未按招标文件要求对投标进行分项报价；</w:t>
            </w:r>
          </w:p>
          <w:p w14:paraId="04D1E2FE">
            <w:pPr>
              <w:spacing w:line="360" w:lineRule="auto"/>
              <w:ind w:firstLine="482" w:firstLineChars="200"/>
              <w:rPr>
                <w:rFonts w:ascii="宋体" w:hAnsi="宋体" w:cs="宋体"/>
                <w:b/>
                <w:color w:val="auto"/>
                <w:sz w:val="24"/>
                <w:szCs w:val="24"/>
                <w:highlight w:val="none"/>
              </w:rPr>
            </w:pPr>
            <w:r>
              <w:rPr>
                <w:rFonts w:hint="eastAsia" w:ascii="宋体" w:hAnsi="宋体" w:cs="宋体"/>
                <w:b/>
                <w:color w:val="auto"/>
                <w:sz w:val="24"/>
                <w:szCs w:val="24"/>
                <w:highlight w:val="none"/>
              </w:rPr>
              <w:t>(6)投标文件中提供虚假或失实资料的；</w:t>
            </w:r>
          </w:p>
          <w:p w14:paraId="05702B4D">
            <w:pPr>
              <w:spacing w:line="360" w:lineRule="auto"/>
              <w:ind w:firstLine="482" w:firstLineChars="200"/>
              <w:rPr>
                <w:rFonts w:ascii="宋体" w:hAnsi="宋体" w:cs="宋体"/>
                <w:b/>
                <w:color w:val="auto"/>
                <w:sz w:val="24"/>
                <w:szCs w:val="24"/>
                <w:highlight w:val="none"/>
              </w:rPr>
            </w:pPr>
            <w:r>
              <w:rPr>
                <w:rFonts w:hint="eastAsia" w:ascii="宋体" w:hAnsi="宋体" w:cs="宋体"/>
                <w:b/>
                <w:color w:val="auto"/>
                <w:sz w:val="24"/>
                <w:szCs w:val="24"/>
                <w:highlight w:val="none"/>
              </w:rPr>
              <w:t>(7)不符合招标文件中规定的其它实质性条款。</w:t>
            </w:r>
          </w:p>
          <w:p w14:paraId="694C65BD">
            <w:pPr>
              <w:spacing w:line="360" w:lineRule="auto"/>
              <w:ind w:firstLine="482"/>
              <w:rPr>
                <w:rFonts w:ascii="宋体" w:hAnsi="宋体" w:cs="宋体"/>
                <w:color w:val="auto"/>
                <w:sz w:val="24"/>
                <w:szCs w:val="24"/>
                <w:highlight w:val="none"/>
              </w:rPr>
            </w:pPr>
            <w:r>
              <w:rPr>
                <w:rFonts w:hint="eastAsia" w:ascii="宋体" w:hAnsi="宋体" w:cs="宋体"/>
                <w:b/>
                <w:color w:val="auto"/>
                <w:sz w:val="24"/>
                <w:szCs w:val="24"/>
                <w:highlight w:val="none"/>
              </w:rPr>
              <w:t>评标委员会决定投标的响应性只根据投标文件本身的内容，而不寻求其他的外部证据。</w:t>
            </w:r>
          </w:p>
        </w:tc>
      </w:tr>
      <w:tr w14:paraId="67BB3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vAlign w:val="center"/>
          </w:tcPr>
          <w:p w14:paraId="27DC7DE7">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18</w:t>
            </w:r>
          </w:p>
        </w:tc>
        <w:tc>
          <w:tcPr>
            <w:tcW w:w="696" w:type="dxa"/>
            <w:tcBorders>
              <w:top w:val="single" w:color="auto" w:sz="4" w:space="0"/>
              <w:left w:val="single" w:color="auto" w:sz="4" w:space="0"/>
              <w:bottom w:val="single" w:color="auto" w:sz="4" w:space="0"/>
              <w:right w:val="single" w:color="auto" w:sz="4" w:space="0"/>
            </w:tcBorders>
            <w:vAlign w:val="center"/>
          </w:tcPr>
          <w:p w14:paraId="5312DE23">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二</w:t>
            </w:r>
          </w:p>
        </w:tc>
        <w:tc>
          <w:tcPr>
            <w:tcW w:w="1422" w:type="dxa"/>
            <w:tcBorders>
              <w:top w:val="single" w:color="auto" w:sz="4" w:space="0"/>
              <w:left w:val="single" w:color="auto" w:sz="4" w:space="0"/>
              <w:bottom w:val="single" w:color="auto" w:sz="4" w:space="0"/>
              <w:right w:val="single" w:color="auto" w:sz="4" w:space="0"/>
            </w:tcBorders>
            <w:vAlign w:val="center"/>
          </w:tcPr>
          <w:p w14:paraId="24183B8B">
            <w:pPr>
              <w:spacing w:line="360" w:lineRule="auto"/>
              <w:jc w:val="center"/>
              <w:rPr>
                <w:rFonts w:ascii="宋体" w:hAnsi="宋体" w:cs="宋体"/>
                <w:color w:val="auto"/>
                <w:sz w:val="24"/>
                <w:szCs w:val="24"/>
                <w:highlight w:val="none"/>
              </w:rPr>
            </w:pPr>
            <w:r>
              <w:rPr>
                <w:rFonts w:hint="eastAsia" w:ascii="宋体" w:hAnsi="宋体" w:cs="宋体"/>
                <w:b/>
                <w:color w:val="auto"/>
                <w:sz w:val="24"/>
                <w:szCs w:val="24"/>
                <w:highlight w:val="none"/>
              </w:rPr>
              <w:t>17.3.3</w:t>
            </w:r>
          </w:p>
        </w:tc>
        <w:tc>
          <w:tcPr>
            <w:tcW w:w="6151" w:type="dxa"/>
            <w:tcBorders>
              <w:top w:val="single" w:color="auto" w:sz="4" w:space="0"/>
              <w:left w:val="single" w:color="auto" w:sz="4" w:space="0"/>
              <w:bottom w:val="single" w:color="auto" w:sz="4" w:space="0"/>
              <w:right w:val="single" w:color="auto" w:sz="4" w:space="0"/>
            </w:tcBorders>
          </w:tcPr>
          <w:p w14:paraId="4677B3FD">
            <w:pPr>
              <w:spacing w:line="360" w:lineRule="auto"/>
              <w:ind w:firstLine="482" w:firstLineChars="200"/>
              <w:rPr>
                <w:rFonts w:ascii="宋体" w:hAnsi="宋体" w:cs="宋体"/>
                <w:color w:val="auto"/>
                <w:sz w:val="24"/>
                <w:szCs w:val="24"/>
                <w:highlight w:val="none"/>
              </w:rPr>
            </w:pPr>
            <w:r>
              <w:rPr>
                <w:rFonts w:hint="eastAsia" w:ascii="宋体" w:hAnsi="宋体" w:cs="宋体"/>
                <w:b/>
                <w:color w:val="auto"/>
                <w:sz w:val="24"/>
                <w:szCs w:val="24"/>
                <w:highlight w:val="none"/>
              </w:rPr>
              <w:t>17.3.3投标服务必须满足中华人民共和国相关法律法规及行业的强制性要求，否则该投标人的投标将按照无效投标处理。</w:t>
            </w:r>
          </w:p>
        </w:tc>
      </w:tr>
      <w:tr w14:paraId="40ABD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trPr>
        <w:tc>
          <w:tcPr>
            <w:tcW w:w="696" w:type="dxa"/>
            <w:tcBorders>
              <w:top w:val="single" w:color="auto" w:sz="4" w:space="0"/>
            </w:tcBorders>
            <w:vAlign w:val="center"/>
          </w:tcPr>
          <w:p w14:paraId="5B65C45C">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19</w:t>
            </w:r>
          </w:p>
        </w:tc>
        <w:tc>
          <w:tcPr>
            <w:tcW w:w="696" w:type="dxa"/>
            <w:tcBorders>
              <w:top w:val="single" w:color="auto" w:sz="4" w:space="0"/>
            </w:tcBorders>
            <w:vAlign w:val="center"/>
          </w:tcPr>
          <w:p w14:paraId="59091D64">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二</w:t>
            </w:r>
          </w:p>
        </w:tc>
        <w:tc>
          <w:tcPr>
            <w:tcW w:w="1422" w:type="dxa"/>
            <w:tcBorders>
              <w:top w:val="single" w:color="auto" w:sz="4" w:space="0"/>
            </w:tcBorders>
            <w:vAlign w:val="center"/>
          </w:tcPr>
          <w:p w14:paraId="60B43580">
            <w:pPr>
              <w:spacing w:line="360" w:lineRule="auto"/>
              <w:jc w:val="center"/>
              <w:rPr>
                <w:rFonts w:ascii="宋体" w:hAnsi="宋体" w:cs="宋体"/>
                <w:color w:val="auto"/>
                <w:sz w:val="24"/>
                <w:szCs w:val="24"/>
                <w:highlight w:val="none"/>
              </w:rPr>
            </w:pPr>
            <w:r>
              <w:rPr>
                <w:rFonts w:hint="eastAsia" w:ascii="宋体" w:hAnsi="宋体" w:cs="宋体"/>
                <w:b/>
                <w:color w:val="auto"/>
                <w:sz w:val="24"/>
                <w:szCs w:val="24"/>
                <w:highlight w:val="none"/>
              </w:rPr>
              <w:t>17.3.4</w:t>
            </w:r>
          </w:p>
        </w:tc>
        <w:tc>
          <w:tcPr>
            <w:tcW w:w="6151" w:type="dxa"/>
            <w:tcBorders>
              <w:top w:val="single" w:color="auto" w:sz="4" w:space="0"/>
            </w:tcBorders>
            <w:vAlign w:val="center"/>
          </w:tcPr>
          <w:p w14:paraId="0860DEC3">
            <w:pPr>
              <w:spacing w:line="360" w:lineRule="auto"/>
              <w:ind w:firstLine="482" w:firstLineChars="200"/>
              <w:rPr>
                <w:rFonts w:ascii="宋体" w:hAnsi="宋体" w:cs="宋体"/>
                <w:b/>
                <w:color w:val="auto"/>
                <w:sz w:val="24"/>
                <w:szCs w:val="24"/>
                <w:highlight w:val="none"/>
              </w:rPr>
            </w:pPr>
            <w:r>
              <w:rPr>
                <w:rFonts w:hint="eastAsia" w:ascii="宋体" w:hAnsi="宋体" w:cs="宋体"/>
                <w:b/>
                <w:color w:val="auto"/>
                <w:sz w:val="24"/>
                <w:szCs w:val="24"/>
                <w:highlight w:val="none"/>
              </w:rPr>
              <w:t>17.3.4采购人、招标代理机构有下列情形之一的，将被认定为采购人、招标代理机构与投标人有串通投标行为，该投标人投标作无效投标处理：</w:t>
            </w:r>
          </w:p>
          <w:p w14:paraId="669392AA">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（1）在开标前开启投标文件并将有关信息泄露给其他投标人；</w:t>
            </w:r>
          </w:p>
          <w:p w14:paraId="7A829A33">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（2）评审结果公告前，直接或者间接向投标人泄露评标委员会成员等信息；</w:t>
            </w:r>
          </w:p>
          <w:p w14:paraId="551A8524">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（3）明示或者暗示投标人压低或者抬高投标报价；</w:t>
            </w:r>
          </w:p>
          <w:p w14:paraId="11FBB8E2">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（4）授意投标人撤换、修改投标文件（按18条进行的澄清除外）；</w:t>
            </w:r>
          </w:p>
          <w:p w14:paraId="5BCE81AF">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（5）明示或者暗示投标人为特定投标人中标提供方便；</w:t>
            </w:r>
          </w:p>
          <w:p w14:paraId="1BED4FE7">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（6）为谋求特定投标人中标而采取的其他串通行为。</w:t>
            </w:r>
          </w:p>
        </w:tc>
      </w:tr>
      <w:tr w14:paraId="07A1D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vAlign w:val="center"/>
          </w:tcPr>
          <w:p w14:paraId="203E88A4">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20</w:t>
            </w:r>
          </w:p>
        </w:tc>
        <w:tc>
          <w:tcPr>
            <w:tcW w:w="696" w:type="dxa"/>
            <w:vAlign w:val="center"/>
          </w:tcPr>
          <w:p w14:paraId="4D10A0AE">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二</w:t>
            </w:r>
          </w:p>
        </w:tc>
        <w:tc>
          <w:tcPr>
            <w:tcW w:w="1422" w:type="dxa"/>
            <w:vAlign w:val="center"/>
          </w:tcPr>
          <w:p w14:paraId="337A3CC0">
            <w:pPr>
              <w:spacing w:line="360" w:lineRule="auto"/>
              <w:jc w:val="center"/>
              <w:rPr>
                <w:rFonts w:ascii="宋体" w:hAnsi="宋体" w:cs="宋体"/>
                <w:color w:val="auto"/>
                <w:sz w:val="24"/>
                <w:szCs w:val="24"/>
                <w:highlight w:val="none"/>
              </w:rPr>
            </w:pPr>
            <w:r>
              <w:rPr>
                <w:rFonts w:hint="eastAsia" w:ascii="宋体" w:hAnsi="宋体" w:cs="宋体"/>
                <w:b/>
                <w:color w:val="auto"/>
                <w:kern w:val="0"/>
                <w:sz w:val="24"/>
                <w:szCs w:val="24"/>
                <w:highlight w:val="none"/>
              </w:rPr>
              <w:t>17.3.5</w:t>
            </w:r>
          </w:p>
        </w:tc>
        <w:tc>
          <w:tcPr>
            <w:tcW w:w="6151" w:type="dxa"/>
            <w:vAlign w:val="center"/>
          </w:tcPr>
          <w:p w14:paraId="6E9B2AFD">
            <w:pPr>
              <w:spacing w:line="360" w:lineRule="auto"/>
              <w:ind w:firstLine="482" w:firstLineChars="200"/>
              <w:rPr>
                <w:rFonts w:ascii="宋体" w:hAnsi="宋体" w:cs="宋体"/>
                <w:b/>
                <w:color w:val="auto"/>
                <w:sz w:val="24"/>
                <w:szCs w:val="24"/>
                <w:highlight w:val="none"/>
              </w:rPr>
            </w:pPr>
            <w:r>
              <w:rPr>
                <w:rFonts w:hint="eastAsia" w:ascii="宋体" w:hAnsi="宋体" w:cs="宋体"/>
                <w:b/>
                <w:color w:val="auto"/>
                <w:kern w:val="0"/>
                <w:sz w:val="24"/>
                <w:szCs w:val="24"/>
                <w:highlight w:val="none"/>
              </w:rPr>
              <w:t>17.3.5出现17.3.4情形之一的，作无效投标处理的</w:t>
            </w:r>
            <w:r>
              <w:rPr>
                <w:rFonts w:hint="eastAsia" w:ascii="宋体" w:hAnsi="宋体" w:cs="宋体"/>
                <w:b/>
                <w:color w:val="auto"/>
                <w:sz w:val="24"/>
                <w:szCs w:val="24"/>
                <w:highlight w:val="none"/>
              </w:rPr>
              <w:t>投标人的投标保证金将予以没收，招标代理机构有权上报财政部门取消其采购供应商资格、并按有关规定予以处罚。</w:t>
            </w:r>
          </w:p>
        </w:tc>
      </w:tr>
      <w:tr w14:paraId="2D421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vAlign w:val="center"/>
          </w:tcPr>
          <w:p w14:paraId="5CED0E53">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21</w:t>
            </w:r>
          </w:p>
        </w:tc>
        <w:tc>
          <w:tcPr>
            <w:tcW w:w="696" w:type="dxa"/>
            <w:vAlign w:val="center"/>
          </w:tcPr>
          <w:p w14:paraId="4BD3138F">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二</w:t>
            </w:r>
          </w:p>
        </w:tc>
        <w:tc>
          <w:tcPr>
            <w:tcW w:w="1422" w:type="dxa"/>
            <w:vAlign w:val="center"/>
          </w:tcPr>
          <w:p w14:paraId="5681B024">
            <w:pPr>
              <w:spacing w:line="360" w:lineRule="auto"/>
              <w:jc w:val="center"/>
              <w:rPr>
                <w:rFonts w:ascii="宋体" w:hAnsi="宋体" w:cs="宋体"/>
                <w:color w:val="auto"/>
                <w:sz w:val="24"/>
                <w:szCs w:val="24"/>
                <w:highlight w:val="none"/>
              </w:rPr>
            </w:pPr>
            <w:r>
              <w:rPr>
                <w:rFonts w:hint="eastAsia" w:ascii="宋体" w:hAnsi="宋体" w:cs="宋体"/>
                <w:b/>
                <w:color w:val="auto"/>
                <w:sz w:val="24"/>
                <w:szCs w:val="24"/>
                <w:highlight w:val="none"/>
              </w:rPr>
              <w:t>19.3</w:t>
            </w:r>
          </w:p>
        </w:tc>
        <w:tc>
          <w:tcPr>
            <w:tcW w:w="6151" w:type="dxa"/>
            <w:vAlign w:val="center"/>
          </w:tcPr>
          <w:p w14:paraId="0DAC93F4">
            <w:pPr>
              <w:spacing w:line="360" w:lineRule="auto"/>
              <w:ind w:firstLine="482" w:firstLineChars="200"/>
              <w:rPr>
                <w:rFonts w:ascii="宋体" w:hAnsi="宋体" w:cs="宋体"/>
                <w:b/>
                <w:color w:val="auto"/>
                <w:sz w:val="24"/>
                <w:szCs w:val="24"/>
                <w:highlight w:val="none"/>
              </w:rPr>
            </w:pPr>
            <w:r>
              <w:rPr>
                <w:rFonts w:hint="eastAsia" w:ascii="宋体" w:hAnsi="宋体" w:cs="宋体"/>
                <w:b/>
                <w:color w:val="auto"/>
                <w:sz w:val="24"/>
                <w:szCs w:val="24"/>
                <w:highlight w:val="none"/>
              </w:rPr>
              <w:t>19.3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tc>
      </w:tr>
      <w:tr w14:paraId="7F250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vAlign w:val="center"/>
          </w:tcPr>
          <w:p w14:paraId="35B06997">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22</w:t>
            </w:r>
          </w:p>
        </w:tc>
        <w:tc>
          <w:tcPr>
            <w:tcW w:w="696" w:type="dxa"/>
            <w:vAlign w:val="center"/>
          </w:tcPr>
          <w:p w14:paraId="6668AAA6">
            <w:pPr>
              <w:spacing w:line="360" w:lineRule="auto"/>
              <w:jc w:val="center"/>
              <w:rPr>
                <w:rFonts w:ascii="宋体" w:hAnsi="宋体" w:cs="宋体"/>
                <w:color w:val="auto"/>
                <w:sz w:val="24"/>
                <w:szCs w:val="24"/>
                <w:highlight w:val="none"/>
              </w:rPr>
            </w:pPr>
          </w:p>
        </w:tc>
        <w:tc>
          <w:tcPr>
            <w:tcW w:w="1422" w:type="dxa"/>
            <w:vAlign w:val="center"/>
          </w:tcPr>
          <w:p w14:paraId="5449A2B4">
            <w:pPr>
              <w:spacing w:line="360" w:lineRule="auto"/>
              <w:jc w:val="center"/>
              <w:rPr>
                <w:rFonts w:ascii="宋体" w:hAnsi="宋体" w:cs="宋体"/>
                <w:color w:val="auto"/>
                <w:sz w:val="24"/>
                <w:szCs w:val="24"/>
                <w:highlight w:val="none"/>
              </w:rPr>
            </w:pPr>
          </w:p>
        </w:tc>
        <w:tc>
          <w:tcPr>
            <w:tcW w:w="6151" w:type="dxa"/>
            <w:vAlign w:val="center"/>
          </w:tcPr>
          <w:p w14:paraId="3D37C7AC">
            <w:pPr>
              <w:spacing w:line="360" w:lineRule="auto"/>
              <w:rPr>
                <w:rFonts w:ascii="宋体" w:hAnsi="宋体" w:cs="宋体"/>
                <w:bCs/>
                <w:color w:val="auto"/>
                <w:sz w:val="24"/>
                <w:szCs w:val="24"/>
                <w:highlight w:val="none"/>
              </w:rPr>
            </w:pPr>
            <w:r>
              <w:rPr>
                <w:rFonts w:hint="eastAsia" w:ascii="宋体" w:hAnsi="宋体" w:cs="宋体"/>
                <w:bCs/>
                <w:color w:val="auto"/>
                <w:sz w:val="24"/>
                <w:szCs w:val="24"/>
                <w:highlight w:val="none"/>
              </w:rPr>
              <w:t>投标人如果为联合体投标，则必须同时满足下列要求，否则</w:t>
            </w:r>
            <w:r>
              <w:rPr>
                <w:rFonts w:hint="eastAsia" w:ascii="宋体" w:hAnsi="宋体" w:cs="宋体"/>
                <w:color w:val="auto"/>
                <w:sz w:val="24"/>
                <w:szCs w:val="24"/>
                <w:highlight w:val="none"/>
              </w:rPr>
              <w:t>该投标人的投标将按照无效投标处理</w:t>
            </w:r>
            <w:r>
              <w:rPr>
                <w:rFonts w:hint="eastAsia" w:ascii="宋体" w:hAnsi="宋体" w:cs="宋体"/>
                <w:bCs/>
                <w:color w:val="auto"/>
                <w:sz w:val="24"/>
                <w:szCs w:val="24"/>
                <w:highlight w:val="none"/>
              </w:rPr>
              <w:t>：</w:t>
            </w:r>
          </w:p>
          <w:p w14:paraId="49ED3A6C">
            <w:pPr>
              <w:spacing w:line="360" w:lineRule="auto"/>
              <w:rPr>
                <w:rFonts w:ascii="宋体" w:hAnsi="宋体" w:cs="宋体"/>
                <w:bCs/>
                <w:color w:val="auto"/>
                <w:sz w:val="24"/>
                <w:szCs w:val="24"/>
                <w:highlight w:val="none"/>
              </w:rPr>
            </w:pPr>
            <w:r>
              <w:rPr>
                <w:rFonts w:hint="eastAsia" w:ascii="宋体" w:hAnsi="宋体" w:cs="宋体"/>
                <w:bCs/>
                <w:color w:val="auto"/>
                <w:sz w:val="24"/>
                <w:szCs w:val="24"/>
                <w:highlight w:val="none"/>
              </w:rPr>
              <w:t>①在开标一览表中注明是否联合体投标、联合体组成单位；</w:t>
            </w:r>
          </w:p>
          <w:p w14:paraId="3BA29246">
            <w:pPr>
              <w:spacing w:line="360" w:lineRule="auto"/>
              <w:jc w:val="left"/>
              <w:rPr>
                <w:rFonts w:ascii="宋体" w:hAnsi="宋体" w:cs="宋体"/>
                <w:color w:val="auto"/>
                <w:sz w:val="24"/>
                <w:szCs w:val="24"/>
                <w:highlight w:val="none"/>
              </w:rPr>
            </w:pPr>
            <w:r>
              <w:rPr>
                <w:rFonts w:hint="eastAsia" w:ascii="宋体" w:hAnsi="宋体" w:cs="宋体"/>
                <w:bCs/>
                <w:color w:val="auto"/>
                <w:sz w:val="24"/>
                <w:szCs w:val="24"/>
                <w:highlight w:val="none"/>
              </w:rPr>
              <w:t>②在投标文件中提供各方盖章签署的共同投标协议原件。</w:t>
            </w:r>
          </w:p>
        </w:tc>
      </w:tr>
      <w:tr w14:paraId="1EF1B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vAlign w:val="center"/>
          </w:tcPr>
          <w:p w14:paraId="785D2AFF">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23</w:t>
            </w:r>
          </w:p>
        </w:tc>
        <w:tc>
          <w:tcPr>
            <w:tcW w:w="696" w:type="dxa"/>
            <w:vAlign w:val="center"/>
          </w:tcPr>
          <w:p w14:paraId="6D1A5CA5">
            <w:pPr>
              <w:spacing w:line="360" w:lineRule="auto"/>
              <w:jc w:val="center"/>
              <w:rPr>
                <w:rFonts w:ascii="宋体" w:hAnsi="宋体" w:cs="宋体"/>
                <w:color w:val="auto"/>
                <w:sz w:val="24"/>
                <w:szCs w:val="24"/>
                <w:highlight w:val="none"/>
              </w:rPr>
            </w:pPr>
          </w:p>
        </w:tc>
        <w:tc>
          <w:tcPr>
            <w:tcW w:w="1422" w:type="dxa"/>
            <w:vAlign w:val="center"/>
          </w:tcPr>
          <w:p w14:paraId="14064F62">
            <w:pPr>
              <w:spacing w:line="360" w:lineRule="auto"/>
              <w:jc w:val="center"/>
              <w:rPr>
                <w:rFonts w:ascii="宋体" w:hAnsi="宋体" w:cs="宋体"/>
                <w:color w:val="auto"/>
                <w:sz w:val="24"/>
                <w:szCs w:val="24"/>
                <w:highlight w:val="none"/>
              </w:rPr>
            </w:pPr>
          </w:p>
        </w:tc>
        <w:tc>
          <w:tcPr>
            <w:tcW w:w="6151" w:type="dxa"/>
            <w:vAlign w:val="center"/>
          </w:tcPr>
          <w:p w14:paraId="76B024FF">
            <w:pPr>
              <w:spacing w:line="360" w:lineRule="auto"/>
              <w:jc w:val="left"/>
              <w:rPr>
                <w:rFonts w:ascii="宋体" w:hAnsi="宋体" w:cs="宋体"/>
                <w:color w:val="auto"/>
                <w:sz w:val="24"/>
                <w:szCs w:val="24"/>
                <w:highlight w:val="none"/>
              </w:rPr>
            </w:pPr>
            <w:r>
              <w:rPr>
                <w:rFonts w:hint="eastAsia" w:ascii="宋体" w:hAnsi="宋体" w:cs="宋体"/>
                <w:bCs/>
                <w:color w:val="auto"/>
                <w:sz w:val="24"/>
                <w:szCs w:val="24"/>
                <w:highlight w:val="none"/>
              </w:rPr>
              <w:t>投标文件中不得附有采购人不能接受的条款，</w:t>
            </w:r>
            <w:r>
              <w:rPr>
                <w:rFonts w:hint="eastAsia" w:ascii="宋体" w:hAnsi="宋体" w:cs="宋体"/>
                <w:color w:val="auto"/>
                <w:sz w:val="24"/>
                <w:szCs w:val="24"/>
                <w:highlight w:val="none"/>
              </w:rPr>
              <w:t>否则该投标人的投标将按照无效投标处理。</w:t>
            </w:r>
          </w:p>
        </w:tc>
      </w:tr>
      <w:tr w14:paraId="51396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vAlign w:val="center"/>
          </w:tcPr>
          <w:p w14:paraId="3DD99FA3">
            <w:pPr>
              <w:pStyle w:val="4"/>
              <w:spacing w:line="360" w:lineRule="auto"/>
              <w:ind w:firstLine="0"/>
              <w:jc w:val="center"/>
              <w:rPr>
                <w:rFonts w:ascii="宋体" w:hAnsi="宋体" w:cs="宋体"/>
                <w:color w:val="auto"/>
                <w:sz w:val="24"/>
                <w:szCs w:val="24"/>
                <w:highlight w:val="none"/>
              </w:rPr>
            </w:pPr>
            <w:r>
              <w:rPr>
                <w:rFonts w:hint="eastAsia" w:ascii="宋体" w:hAnsi="宋体" w:cs="宋体"/>
                <w:color w:val="auto"/>
                <w:sz w:val="24"/>
                <w:szCs w:val="24"/>
                <w:highlight w:val="none"/>
              </w:rPr>
              <w:t>24</w:t>
            </w:r>
          </w:p>
        </w:tc>
        <w:tc>
          <w:tcPr>
            <w:tcW w:w="696" w:type="dxa"/>
            <w:vAlign w:val="center"/>
          </w:tcPr>
          <w:p w14:paraId="3D6239E9">
            <w:pPr>
              <w:pStyle w:val="4"/>
              <w:spacing w:line="360" w:lineRule="auto"/>
              <w:rPr>
                <w:rFonts w:ascii="宋体" w:hAnsi="宋体" w:cs="宋体"/>
                <w:color w:val="auto"/>
                <w:sz w:val="24"/>
                <w:szCs w:val="24"/>
                <w:highlight w:val="none"/>
              </w:rPr>
            </w:pPr>
          </w:p>
        </w:tc>
        <w:tc>
          <w:tcPr>
            <w:tcW w:w="1422" w:type="dxa"/>
            <w:vAlign w:val="center"/>
          </w:tcPr>
          <w:p w14:paraId="5E47DF3E">
            <w:pPr>
              <w:pStyle w:val="4"/>
              <w:spacing w:line="360" w:lineRule="auto"/>
              <w:rPr>
                <w:rFonts w:ascii="宋体" w:hAnsi="宋体" w:cs="宋体"/>
                <w:b/>
                <w:color w:val="auto"/>
                <w:sz w:val="24"/>
                <w:szCs w:val="24"/>
                <w:highlight w:val="none"/>
              </w:rPr>
            </w:pPr>
          </w:p>
        </w:tc>
        <w:tc>
          <w:tcPr>
            <w:tcW w:w="6151" w:type="dxa"/>
            <w:vAlign w:val="center"/>
          </w:tcPr>
          <w:p w14:paraId="7FCCB86B">
            <w:pPr>
              <w:pStyle w:val="4"/>
              <w:spacing w:line="360" w:lineRule="auto"/>
              <w:jc w:val="left"/>
              <w:rPr>
                <w:rFonts w:ascii="宋体" w:hAnsi="宋体" w:cs="宋体"/>
                <w:b/>
                <w:color w:val="auto"/>
                <w:sz w:val="24"/>
                <w:szCs w:val="24"/>
                <w:highlight w:val="none"/>
              </w:rPr>
            </w:pPr>
            <w:r>
              <w:rPr>
                <w:rFonts w:hint="eastAsia" w:ascii="宋体" w:hAnsi="宋体" w:cs="宋体"/>
                <w:bCs/>
                <w:color w:val="auto"/>
                <w:sz w:val="24"/>
                <w:szCs w:val="24"/>
                <w:highlight w:val="none"/>
              </w:rPr>
              <w:t>本项目以合同包为单位，对于每个合同包，投标人必须完整地提供合同包要求的所有服务，否则</w:t>
            </w:r>
            <w:r>
              <w:rPr>
                <w:rFonts w:hint="eastAsia" w:ascii="宋体" w:hAnsi="宋体" w:cs="宋体"/>
                <w:color w:val="auto"/>
                <w:sz w:val="24"/>
                <w:szCs w:val="24"/>
                <w:highlight w:val="none"/>
              </w:rPr>
              <w:t>该投标人针对该合同包的投标将按照无效投标处理</w:t>
            </w:r>
            <w:r>
              <w:rPr>
                <w:rFonts w:hint="eastAsia" w:ascii="宋体" w:hAnsi="宋体" w:cs="宋体"/>
                <w:bCs/>
                <w:color w:val="auto"/>
                <w:sz w:val="24"/>
                <w:szCs w:val="24"/>
                <w:highlight w:val="none"/>
              </w:rPr>
              <w:t>。</w:t>
            </w:r>
          </w:p>
        </w:tc>
      </w:tr>
      <w:tr w14:paraId="01CB4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vAlign w:val="center"/>
          </w:tcPr>
          <w:p w14:paraId="2B1615B6">
            <w:pPr>
              <w:pStyle w:val="4"/>
              <w:spacing w:line="360" w:lineRule="auto"/>
              <w:ind w:firstLine="0"/>
              <w:jc w:val="center"/>
              <w:rPr>
                <w:rFonts w:ascii="宋体" w:hAnsi="宋体" w:cs="宋体"/>
                <w:color w:val="auto"/>
                <w:sz w:val="24"/>
                <w:szCs w:val="24"/>
                <w:highlight w:val="none"/>
              </w:rPr>
            </w:pPr>
            <w:r>
              <w:rPr>
                <w:rFonts w:hint="eastAsia" w:ascii="宋体" w:hAnsi="宋体" w:cs="宋体"/>
                <w:color w:val="auto"/>
                <w:sz w:val="24"/>
                <w:szCs w:val="24"/>
                <w:highlight w:val="none"/>
              </w:rPr>
              <w:t>25</w:t>
            </w:r>
          </w:p>
        </w:tc>
        <w:tc>
          <w:tcPr>
            <w:tcW w:w="696" w:type="dxa"/>
            <w:vAlign w:val="center"/>
          </w:tcPr>
          <w:p w14:paraId="37A5147C">
            <w:pPr>
              <w:pStyle w:val="4"/>
              <w:spacing w:line="360" w:lineRule="auto"/>
              <w:rPr>
                <w:rFonts w:ascii="宋体" w:hAnsi="宋体" w:cs="宋体"/>
                <w:b/>
                <w:color w:val="auto"/>
                <w:sz w:val="24"/>
                <w:szCs w:val="24"/>
                <w:highlight w:val="none"/>
              </w:rPr>
            </w:pPr>
          </w:p>
        </w:tc>
        <w:tc>
          <w:tcPr>
            <w:tcW w:w="1422" w:type="dxa"/>
            <w:vAlign w:val="center"/>
          </w:tcPr>
          <w:p w14:paraId="1393E679">
            <w:pPr>
              <w:pStyle w:val="4"/>
              <w:spacing w:line="360" w:lineRule="auto"/>
              <w:rPr>
                <w:rFonts w:ascii="宋体" w:hAnsi="宋体" w:cs="宋体"/>
                <w:b/>
                <w:color w:val="auto"/>
                <w:sz w:val="24"/>
                <w:szCs w:val="24"/>
                <w:highlight w:val="none"/>
              </w:rPr>
            </w:pPr>
          </w:p>
        </w:tc>
        <w:tc>
          <w:tcPr>
            <w:tcW w:w="6151" w:type="dxa"/>
            <w:vAlign w:val="center"/>
          </w:tcPr>
          <w:p w14:paraId="15B17C0F">
            <w:pPr>
              <w:spacing w:line="360" w:lineRule="auto"/>
              <w:rPr>
                <w:rFonts w:ascii="宋体" w:hAnsi="宋体" w:cs="宋体"/>
                <w:bCs/>
                <w:color w:val="auto"/>
                <w:sz w:val="24"/>
                <w:szCs w:val="24"/>
                <w:highlight w:val="none"/>
              </w:rPr>
            </w:pPr>
            <w:r>
              <w:rPr>
                <w:rFonts w:hint="eastAsia" w:ascii="宋体" w:hAnsi="宋体" w:cs="宋体"/>
                <w:bCs/>
                <w:color w:val="auto"/>
                <w:sz w:val="24"/>
                <w:szCs w:val="24"/>
                <w:highlight w:val="none"/>
              </w:rPr>
              <w:t>投标人应对其在投标文件中声明的关于中小企业事项的真实性负责，存在以下情形之一的，经评标委员会查实，应认定存在虚假的：</w:t>
            </w:r>
          </w:p>
          <w:p w14:paraId="1FAED90F">
            <w:pPr>
              <w:spacing w:line="360" w:lineRule="auto"/>
              <w:rPr>
                <w:rFonts w:ascii="宋体" w:hAnsi="宋体" w:cs="宋体"/>
                <w:bCs/>
                <w:color w:val="auto"/>
                <w:sz w:val="24"/>
                <w:szCs w:val="24"/>
                <w:highlight w:val="none"/>
              </w:rPr>
            </w:pPr>
            <w:r>
              <w:rPr>
                <w:rFonts w:hint="eastAsia" w:ascii="宋体" w:hAnsi="宋体" w:cs="宋体"/>
                <w:bCs/>
                <w:color w:val="auto"/>
                <w:sz w:val="24"/>
                <w:szCs w:val="24"/>
                <w:highlight w:val="none"/>
              </w:rPr>
              <w:t>（1）投标人（包括联合体任一方）不符合“工信部联企业〔2011〕300号”规定的中小企业标准的；</w:t>
            </w:r>
          </w:p>
          <w:p w14:paraId="7810D731">
            <w:pPr>
              <w:spacing w:line="360" w:lineRule="auto"/>
              <w:rPr>
                <w:rFonts w:ascii="宋体" w:hAnsi="宋体" w:cs="宋体"/>
                <w:bCs/>
                <w:color w:val="auto"/>
                <w:sz w:val="24"/>
                <w:szCs w:val="24"/>
                <w:highlight w:val="none"/>
              </w:rPr>
            </w:pPr>
            <w:r>
              <w:rPr>
                <w:rFonts w:hint="eastAsia" w:ascii="宋体" w:hAnsi="宋体" w:cs="宋体"/>
                <w:bCs/>
                <w:color w:val="auto"/>
                <w:sz w:val="24"/>
                <w:szCs w:val="24"/>
                <w:highlight w:val="none"/>
              </w:rPr>
              <w:t>（2）投标服务全部或部分为使用大型企业注册商标的服务的；</w:t>
            </w:r>
          </w:p>
          <w:p w14:paraId="6C4C69FE">
            <w:pPr>
              <w:spacing w:line="360" w:lineRule="auto"/>
              <w:rPr>
                <w:rFonts w:ascii="宋体" w:hAnsi="宋体" w:cs="宋体"/>
                <w:bCs/>
                <w:color w:val="auto"/>
                <w:sz w:val="24"/>
                <w:szCs w:val="24"/>
                <w:highlight w:val="none"/>
              </w:rPr>
            </w:pPr>
            <w:r>
              <w:rPr>
                <w:rFonts w:hint="eastAsia" w:ascii="宋体" w:hAnsi="宋体" w:cs="宋体"/>
                <w:bCs/>
                <w:color w:val="auto"/>
                <w:sz w:val="24"/>
                <w:szCs w:val="24"/>
                <w:highlight w:val="none"/>
              </w:rPr>
              <w:t>（3）投标文件中标明的小型或微型企业服务的服务商不符合“工信部联企业〔2011〕300号”规定的小型和微型企业标准的。</w:t>
            </w:r>
          </w:p>
          <w:p w14:paraId="429C6375">
            <w:pPr>
              <w:pStyle w:val="4"/>
              <w:spacing w:line="360" w:lineRule="auto"/>
              <w:jc w:val="left"/>
              <w:rPr>
                <w:rFonts w:ascii="宋体" w:hAnsi="宋体" w:cs="宋体"/>
                <w:b/>
                <w:color w:val="auto"/>
                <w:sz w:val="24"/>
                <w:szCs w:val="24"/>
                <w:highlight w:val="none"/>
              </w:rPr>
            </w:pPr>
            <w:r>
              <w:rPr>
                <w:rFonts w:hint="eastAsia" w:ascii="宋体" w:hAnsi="宋体" w:cs="宋体"/>
                <w:bCs/>
                <w:color w:val="auto"/>
                <w:sz w:val="24"/>
                <w:szCs w:val="24"/>
                <w:highlight w:val="none"/>
              </w:rPr>
              <w:t>在评审过程中发现上述虚假情形的，该投标人的投标作无效投标处理。</w:t>
            </w:r>
          </w:p>
        </w:tc>
      </w:tr>
      <w:tr w14:paraId="5842A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vAlign w:val="center"/>
          </w:tcPr>
          <w:p w14:paraId="34776C34">
            <w:pPr>
              <w:pStyle w:val="4"/>
              <w:spacing w:line="360" w:lineRule="auto"/>
              <w:ind w:firstLine="0"/>
              <w:jc w:val="center"/>
              <w:rPr>
                <w:rFonts w:ascii="宋体" w:hAnsi="宋体" w:cs="宋体"/>
                <w:color w:val="auto"/>
                <w:sz w:val="24"/>
                <w:szCs w:val="24"/>
                <w:highlight w:val="none"/>
              </w:rPr>
            </w:pPr>
            <w:r>
              <w:rPr>
                <w:rFonts w:hint="eastAsia" w:ascii="宋体" w:hAnsi="宋体" w:cs="宋体"/>
                <w:color w:val="auto"/>
                <w:sz w:val="24"/>
                <w:szCs w:val="24"/>
                <w:highlight w:val="none"/>
              </w:rPr>
              <w:t>26</w:t>
            </w:r>
          </w:p>
        </w:tc>
        <w:tc>
          <w:tcPr>
            <w:tcW w:w="696" w:type="dxa"/>
            <w:vAlign w:val="center"/>
          </w:tcPr>
          <w:p w14:paraId="6146CCCF">
            <w:pPr>
              <w:pStyle w:val="4"/>
              <w:spacing w:line="360" w:lineRule="auto"/>
              <w:rPr>
                <w:rFonts w:ascii="宋体" w:hAnsi="宋体" w:cs="宋体"/>
                <w:b/>
                <w:color w:val="auto"/>
                <w:sz w:val="24"/>
                <w:szCs w:val="24"/>
                <w:highlight w:val="none"/>
              </w:rPr>
            </w:pPr>
          </w:p>
        </w:tc>
        <w:tc>
          <w:tcPr>
            <w:tcW w:w="1422" w:type="dxa"/>
            <w:vAlign w:val="center"/>
          </w:tcPr>
          <w:p w14:paraId="788A301F">
            <w:pPr>
              <w:pStyle w:val="4"/>
              <w:spacing w:line="360" w:lineRule="auto"/>
              <w:rPr>
                <w:rFonts w:ascii="宋体" w:hAnsi="宋体" w:cs="宋体"/>
                <w:b/>
                <w:color w:val="auto"/>
                <w:sz w:val="24"/>
                <w:szCs w:val="24"/>
                <w:highlight w:val="none"/>
              </w:rPr>
            </w:pPr>
          </w:p>
        </w:tc>
        <w:tc>
          <w:tcPr>
            <w:tcW w:w="6151" w:type="dxa"/>
            <w:vAlign w:val="center"/>
          </w:tcPr>
          <w:p w14:paraId="5C36CD17">
            <w:pPr>
              <w:pStyle w:val="4"/>
              <w:spacing w:line="360" w:lineRule="auto"/>
              <w:jc w:val="left"/>
              <w:rPr>
                <w:rFonts w:ascii="宋体" w:hAnsi="宋体" w:cs="宋体"/>
                <w:color w:val="auto"/>
                <w:sz w:val="24"/>
                <w:szCs w:val="24"/>
                <w:highlight w:val="none"/>
              </w:rPr>
            </w:pPr>
            <w:r>
              <w:rPr>
                <w:rFonts w:hint="eastAsia" w:ascii="宋体" w:hAnsi="宋体" w:cs="宋体"/>
                <w:bCs/>
                <w:color w:val="auto"/>
                <w:sz w:val="24"/>
                <w:szCs w:val="24"/>
                <w:highlight w:val="none"/>
              </w:rPr>
              <w:t>减半缴纳投标保证金的投标人未按照招标文件格式要求在投标文件中提供《中小企业声明函》的，其投标作无效投标处理。</w:t>
            </w:r>
          </w:p>
        </w:tc>
      </w:tr>
      <w:tr w14:paraId="341F8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Borders>
              <w:bottom w:val="single" w:color="auto" w:sz="4" w:space="0"/>
            </w:tcBorders>
            <w:vAlign w:val="center"/>
          </w:tcPr>
          <w:p w14:paraId="3D9E751F">
            <w:pPr>
              <w:pStyle w:val="4"/>
              <w:spacing w:line="360" w:lineRule="auto"/>
              <w:ind w:firstLine="0"/>
              <w:jc w:val="center"/>
              <w:rPr>
                <w:rFonts w:ascii="宋体" w:hAnsi="宋体" w:cs="宋体"/>
                <w:color w:val="auto"/>
                <w:sz w:val="24"/>
                <w:szCs w:val="24"/>
                <w:highlight w:val="none"/>
              </w:rPr>
            </w:pPr>
            <w:r>
              <w:rPr>
                <w:rFonts w:hint="eastAsia" w:ascii="宋体" w:hAnsi="宋体" w:cs="宋体"/>
                <w:color w:val="auto"/>
                <w:sz w:val="24"/>
                <w:szCs w:val="24"/>
                <w:highlight w:val="none"/>
              </w:rPr>
              <w:t>27</w:t>
            </w:r>
          </w:p>
        </w:tc>
        <w:tc>
          <w:tcPr>
            <w:tcW w:w="696" w:type="dxa"/>
            <w:tcBorders>
              <w:bottom w:val="single" w:color="auto" w:sz="4" w:space="0"/>
            </w:tcBorders>
            <w:vAlign w:val="center"/>
          </w:tcPr>
          <w:p w14:paraId="69F5074E">
            <w:pPr>
              <w:pStyle w:val="4"/>
              <w:spacing w:line="360" w:lineRule="auto"/>
              <w:rPr>
                <w:rFonts w:ascii="宋体" w:hAnsi="宋体" w:cs="宋体"/>
                <w:b/>
                <w:color w:val="auto"/>
                <w:sz w:val="24"/>
                <w:szCs w:val="24"/>
                <w:highlight w:val="none"/>
              </w:rPr>
            </w:pPr>
          </w:p>
        </w:tc>
        <w:tc>
          <w:tcPr>
            <w:tcW w:w="1422" w:type="dxa"/>
            <w:tcBorders>
              <w:bottom w:val="single" w:color="auto" w:sz="4" w:space="0"/>
            </w:tcBorders>
            <w:vAlign w:val="center"/>
          </w:tcPr>
          <w:p w14:paraId="2B684B77">
            <w:pPr>
              <w:pStyle w:val="4"/>
              <w:spacing w:line="360" w:lineRule="auto"/>
              <w:rPr>
                <w:rFonts w:ascii="宋体" w:hAnsi="宋体" w:cs="宋体"/>
                <w:b/>
                <w:color w:val="auto"/>
                <w:sz w:val="24"/>
                <w:szCs w:val="24"/>
                <w:highlight w:val="none"/>
              </w:rPr>
            </w:pPr>
          </w:p>
        </w:tc>
        <w:tc>
          <w:tcPr>
            <w:tcW w:w="6151" w:type="dxa"/>
            <w:tcBorders>
              <w:bottom w:val="single" w:color="auto" w:sz="4" w:space="0"/>
            </w:tcBorders>
            <w:vAlign w:val="center"/>
          </w:tcPr>
          <w:p w14:paraId="090A2C81">
            <w:pPr>
              <w:pStyle w:val="4"/>
              <w:spacing w:line="360" w:lineRule="auto"/>
              <w:rPr>
                <w:rFonts w:ascii="宋体" w:hAnsi="宋体" w:cs="宋体"/>
                <w:b/>
                <w:color w:val="auto"/>
                <w:sz w:val="24"/>
                <w:szCs w:val="24"/>
                <w:highlight w:val="none"/>
              </w:rPr>
            </w:pPr>
            <w:r>
              <w:rPr>
                <w:rFonts w:hint="eastAsia" w:ascii="宋体" w:hAnsi="宋体" w:cs="宋体"/>
                <w:bCs/>
                <w:color w:val="auto"/>
                <w:sz w:val="24"/>
                <w:szCs w:val="24"/>
                <w:highlight w:val="none"/>
              </w:rPr>
              <w:t>投标人应按照招标文件格式要求在投标文件中提供《廉洁承诺书》原件（投标人为联合体的，联合体各方均应提供《廉洁承诺书》原件），否则作无效投标处理。</w:t>
            </w:r>
          </w:p>
        </w:tc>
      </w:tr>
      <w:tr w14:paraId="145D5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Borders>
              <w:bottom w:val="single" w:color="auto" w:sz="4" w:space="0"/>
            </w:tcBorders>
            <w:vAlign w:val="center"/>
          </w:tcPr>
          <w:p w14:paraId="7B9D3E29">
            <w:pPr>
              <w:pStyle w:val="4"/>
              <w:spacing w:line="360" w:lineRule="auto"/>
              <w:ind w:firstLine="0"/>
              <w:jc w:val="center"/>
              <w:rPr>
                <w:rFonts w:ascii="宋体" w:hAnsi="宋体" w:cs="宋体"/>
                <w:color w:val="auto"/>
                <w:sz w:val="24"/>
                <w:szCs w:val="24"/>
                <w:highlight w:val="none"/>
              </w:rPr>
            </w:pPr>
            <w:r>
              <w:rPr>
                <w:rFonts w:hint="eastAsia" w:ascii="宋体" w:hAnsi="宋体" w:cs="宋体"/>
                <w:color w:val="auto"/>
                <w:sz w:val="24"/>
                <w:szCs w:val="24"/>
                <w:highlight w:val="none"/>
              </w:rPr>
              <w:t>28</w:t>
            </w:r>
          </w:p>
        </w:tc>
        <w:tc>
          <w:tcPr>
            <w:tcW w:w="696" w:type="dxa"/>
            <w:tcBorders>
              <w:bottom w:val="single" w:color="auto" w:sz="4" w:space="0"/>
            </w:tcBorders>
            <w:vAlign w:val="center"/>
          </w:tcPr>
          <w:p w14:paraId="105DC796">
            <w:pPr>
              <w:pStyle w:val="4"/>
              <w:spacing w:line="360" w:lineRule="auto"/>
              <w:rPr>
                <w:rFonts w:ascii="宋体" w:hAnsi="宋体" w:cs="宋体"/>
                <w:b/>
                <w:color w:val="auto"/>
                <w:sz w:val="24"/>
                <w:szCs w:val="24"/>
                <w:highlight w:val="none"/>
              </w:rPr>
            </w:pPr>
          </w:p>
        </w:tc>
        <w:tc>
          <w:tcPr>
            <w:tcW w:w="1422" w:type="dxa"/>
            <w:tcBorders>
              <w:bottom w:val="single" w:color="auto" w:sz="4" w:space="0"/>
            </w:tcBorders>
            <w:vAlign w:val="center"/>
          </w:tcPr>
          <w:p w14:paraId="6F8746AB">
            <w:pPr>
              <w:pStyle w:val="4"/>
              <w:spacing w:line="360" w:lineRule="auto"/>
              <w:rPr>
                <w:rFonts w:ascii="宋体" w:hAnsi="宋体" w:cs="宋体"/>
                <w:b/>
                <w:color w:val="auto"/>
                <w:sz w:val="24"/>
                <w:szCs w:val="24"/>
                <w:highlight w:val="none"/>
              </w:rPr>
            </w:pPr>
          </w:p>
        </w:tc>
        <w:tc>
          <w:tcPr>
            <w:tcW w:w="6151" w:type="dxa"/>
            <w:tcBorders>
              <w:bottom w:val="single" w:color="auto" w:sz="4" w:space="0"/>
            </w:tcBorders>
            <w:vAlign w:val="center"/>
          </w:tcPr>
          <w:p w14:paraId="6D02BA28">
            <w:pPr>
              <w:spacing w:line="360" w:lineRule="auto"/>
              <w:rPr>
                <w:rFonts w:ascii="宋体" w:hAnsi="宋体" w:cs="宋体"/>
                <w:b/>
                <w:color w:val="auto"/>
                <w:sz w:val="24"/>
                <w:szCs w:val="24"/>
                <w:highlight w:val="none"/>
              </w:rPr>
            </w:pPr>
            <w:r>
              <w:rPr>
                <w:rFonts w:hint="eastAsia" w:ascii="宋体" w:hAnsi="宋体" w:cs="宋体"/>
                <w:bCs/>
                <w:color w:val="auto"/>
                <w:sz w:val="24"/>
                <w:szCs w:val="24"/>
                <w:highlight w:val="none"/>
              </w:rPr>
              <w:t>其他不满足招标文件要求经评标委员会认定须作无效投标处理的。</w:t>
            </w:r>
          </w:p>
        </w:tc>
      </w:tr>
      <w:tr w14:paraId="3B7F8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Borders>
              <w:bottom w:val="single" w:color="auto" w:sz="4" w:space="0"/>
            </w:tcBorders>
            <w:vAlign w:val="center"/>
          </w:tcPr>
          <w:p w14:paraId="339E345F">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29</w:t>
            </w:r>
          </w:p>
        </w:tc>
        <w:tc>
          <w:tcPr>
            <w:tcW w:w="696" w:type="dxa"/>
            <w:tcBorders>
              <w:bottom w:val="single" w:color="auto" w:sz="4" w:space="0"/>
            </w:tcBorders>
            <w:vAlign w:val="center"/>
          </w:tcPr>
          <w:p w14:paraId="7313A248">
            <w:pPr>
              <w:spacing w:line="360" w:lineRule="auto"/>
              <w:jc w:val="center"/>
              <w:rPr>
                <w:rFonts w:ascii="宋体" w:hAnsi="宋体" w:cs="宋体"/>
                <w:color w:val="auto"/>
                <w:sz w:val="24"/>
                <w:szCs w:val="24"/>
                <w:highlight w:val="none"/>
              </w:rPr>
            </w:pPr>
          </w:p>
        </w:tc>
        <w:tc>
          <w:tcPr>
            <w:tcW w:w="1422" w:type="dxa"/>
            <w:tcBorders>
              <w:bottom w:val="single" w:color="auto" w:sz="4" w:space="0"/>
            </w:tcBorders>
            <w:vAlign w:val="center"/>
          </w:tcPr>
          <w:p w14:paraId="38D5CCC2">
            <w:pPr>
              <w:spacing w:line="360" w:lineRule="auto"/>
              <w:jc w:val="center"/>
              <w:rPr>
                <w:rFonts w:ascii="宋体" w:hAnsi="宋体" w:cs="宋体"/>
                <w:color w:val="auto"/>
                <w:sz w:val="24"/>
                <w:szCs w:val="24"/>
                <w:highlight w:val="none"/>
              </w:rPr>
            </w:pPr>
          </w:p>
        </w:tc>
        <w:tc>
          <w:tcPr>
            <w:tcW w:w="6151" w:type="dxa"/>
            <w:tcBorders>
              <w:bottom w:val="single" w:color="auto" w:sz="4" w:space="0"/>
            </w:tcBorders>
            <w:vAlign w:val="center"/>
          </w:tcPr>
          <w:p w14:paraId="3A49497D">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本项目中如涉及商品包装和快递包装的，其包装需求标准应不低于《关于印发〈商品包装政府采购需求标准（试行）〉、〈快递包装政府采购需求标准（试行）〉的通知》（财办库〔2020〕123号）规定的包装要求，其他包装需求详见招标文件具体规定。采购人、中标供应商双方签订合同及验收环节，应包含上述包装要求的条款。</w:t>
            </w:r>
          </w:p>
        </w:tc>
      </w:tr>
      <w:tr w14:paraId="11954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Borders>
              <w:bottom w:val="single" w:color="auto" w:sz="4" w:space="0"/>
            </w:tcBorders>
            <w:vAlign w:val="center"/>
          </w:tcPr>
          <w:p w14:paraId="23C21563">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30</w:t>
            </w:r>
          </w:p>
        </w:tc>
        <w:tc>
          <w:tcPr>
            <w:tcW w:w="696" w:type="dxa"/>
            <w:tcBorders>
              <w:bottom w:val="single" w:color="auto" w:sz="4" w:space="0"/>
            </w:tcBorders>
            <w:vAlign w:val="center"/>
          </w:tcPr>
          <w:p w14:paraId="7602B5FE">
            <w:pPr>
              <w:spacing w:line="360" w:lineRule="auto"/>
              <w:jc w:val="center"/>
              <w:rPr>
                <w:rFonts w:ascii="宋体" w:hAnsi="宋体" w:cs="宋体"/>
                <w:color w:val="auto"/>
                <w:sz w:val="24"/>
                <w:szCs w:val="24"/>
                <w:highlight w:val="none"/>
              </w:rPr>
            </w:pPr>
          </w:p>
        </w:tc>
        <w:tc>
          <w:tcPr>
            <w:tcW w:w="1422" w:type="dxa"/>
            <w:tcBorders>
              <w:bottom w:val="single" w:color="auto" w:sz="4" w:space="0"/>
            </w:tcBorders>
            <w:vAlign w:val="center"/>
          </w:tcPr>
          <w:p w14:paraId="28FC67B7">
            <w:pPr>
              <w:spacing w:line="360" w:lineRule="auto"/>
              <w:jc w:val="center"/>
              <w:rPr>
                <w:rFonts w:ascii="宋体" w:hAnsi="宋体" w:cs="宋体"/>
                <w:color w:val="auto"/>
                <w:sz w:val="24"/>
                <w:szCs w:val="24"/>
                <w:highlight w:val="none"/>
              </w:rPr>
            </w:pPr>
          </w:p>
        </w:tc>
        <w:tc>
          <w:tcPr>
            <w:tcW w:w="6151" w:type="dxa"/>
            <w:tcBorders>
              <w:bottom w:val="single" w:color="auto" w:sz="4" w:space="0"/>
            </w:tcBorders>
            <w:vAlign w:val="center"/>
          </w:tcPr>
          <w:p w14:paraId="1FA0BEFA">
            <w:pPr>
              <w:spacing w:line="360" w:lineRule="auto"/>
              <w:rPr>
                <w:rFonts w:ascii="宋体" w:hAnsi="宋体" w:cs="宋体"/>
                <w:color w:val="auto"/>
                <w:sz w:val="24"/>
                <w:szCs w:val="24"/>
                <w:highlight w:val="none"/>
              </w:rPr>
            </w:pPr>
            <w:r>
              <w:rPr>
                <w:rFonts w:hint="eastAsia" w:ascii="宋体" w:hAnsi="宋体" w:cs="宋体"/>
                <w:b/>
                <w:bCs/>
                <w:color w:val="auto"/>
                <w:sz w:val="24"/>
                <w:szCs w:val="24"/>
                <w:highlight w:val="none"/>
              </w:rPr>
              <w:t>厦门市思明区展鸿路100号食堂：★食堂人员配置总人数不得少于14名且服务人员资历不低于本项目的岗位要求，若投标人在投标响应时做出优于招标文件要求的人员配置，项目实施时需按投标响应提供同等资历的人员，投标人投标时须对此作出承诺并加盖投标人公章。</w:t>
            </w:r>
          </w:p>
        </w:tc>
      </w:tr>
      <w:tr w14:paraId="7361F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Borders>
              <w:bottom w:val="single" w:color="auto" w:sz="4" w:space="0"/>
            </w:tcBorders>
            <w:vAlign w:val="center"/>
          </w:tcPr>
          <w:p w14:paraId="7F46A9D0">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31</w:t>
            </w:r>
          </w:p>
        </w:tc>
        <w:tc>
          <w:tcPr>
            <w:tcW w:w="696" w:type="dxa"/>
            <w:tcBorders>
              <w:bottom w:val="single" w:color="auto" w:sz="4" w:space="0"/>
            </w:tcBorders>
            <w:vAlign w:val="center"/>
          </w:tcPr>
          <w:p w14:paraId="61D14D29">
            <w:pPr>
              <w:spacing w:line="360" w:lineRule="auto"/>
              <w:jc w:val="center"/>
              <w:rPr>
                <w:rFonts w:ascii="宋体" w:hAnsi="宋体" w:cs="宋体"/>
                <w:color w:val="auto"/>
                <w:sz w:val="24"/>
                <w:szCs w:val="24"/>
                <w:highlight w:val="none"/>
              </w:rPr>
            </w:pPr>
          </w:p>
        </w:tc>
        <w:tc>
          <w:tcPr>
            <w:tcW w:w="1422" w:type="dxa"/>
            <w:tcBorders>
              <w:bottom w:val="single" w:color="auto" w:sz="4" w:space="0"/>
            </w:tcBorders>
            <w:vAlign w:val="center"/>
          </w:tcPr>
          <w:p w14:paraId="174AE810">
            <w:pPr>
              <w:spacing w:line="360" w:lineRule="auto"/>
              <w:jc w:val="center"/>
              <w:rPr>
                <w:rFonts w:ascii="宋体" w:hAnsi="宋体" w:cs="宋体"/>
                <w:color w:val="auto"/>
                <w:sz w:val="24"/>
                <w:szCs w:val="24"/>
                <w:highlight w:val="none"/>
              </w:rPr>
            </w:pPr>
          </w:p>
        </w:tc>
        <w:tc>
          <w:tcPr>
            <w:tcW w:w="6151" w:type="dxa"/>
            <w:tcBorders>
              <w:bottom w:val="single" w:color="auto" w:sz="4" w:space="0"/>
            </w:tcBorders>
            <w:vAlign w:val="center"/>
          </w:tcPr>
          <w:p w14:paraId="4F360AC1">
            <w:pPr>
              <w:spacing w:line="360" w:lineRule="auto"/>
              <w:rPr>
                <w:rFonts w:ascii="宋体" w:hAnsi="宋体" w:cs="宋体"/>
                <w:color w:val="auto"/>
                <w:sz w:val="24"/>
                <w:szCs w:val="24"/>
                <w:highlight w:val="none"/>
              </w:rPr>
            </w:pPr>
            <w:r>
              <w:rPr>
                <w:rFonts w:hint="eastAsia" w:ascii="宋体" w:hAnsi="宋体" w:cs="宋体"/>
                <w:b/>
                <w:bCs/>
                <w:color w:val="auto"/>
                <w:sz w:val="24"/>
                <w:szCs w:val="24"/>
                <w:highlight w:val="none"/>
              </w:rPr>
              <w:t>翔安区黎林路1699号食堂：★食堂人员配置总人数不得少于5名且服务人员资历不低于本项目的岗位要求，若投标人在投标响应时做出优于招标文件要求的人员配置，项目实施时需按投标响应提供同等资历的人员，投标人投标时须对此作出承诺并加盖投标人公章。</w:t>
            </w:r>
          </w:p>
        </w:tc>
      </w:tr>
      <w:tr w14:paraId="10A3E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Borders>
              <w:bottom w:val="single" w:color="auto" w:sz="4" w:space="0"/>
            </w:tcBorders>
            <w:vAlign w:val="center"/>
          </w:tcPr>
          <w:p w14:paraId="2D6FB771">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32</w:t>
            </w:r>
          </w:p>
        </w:tc>
        <w:tc>
          <w:tcPr>
            <w:tcW w:w="696" w:type="dxa"/>
            <w:tcBorders>
              <w:bottom w:val="single" w:color="auto" w:sz="4" w:space="0"/>
            </w:tcBorders>
            <w:vAlign w:val="center"/>
          </w:tcPr>
          <w:p w14:paraId="2D241E8B">
            <w:pPr>
              <w:spacing w:line="360" w:lineRule="auto"/>
              <w:jc w:val="center"/>
              <w:rPr>
                <w:rFonts w:ascii="宋体" w:hAnsi="宋体" w:cs="宋体"/>
                <w:color w:val="auto"/>
                <w:sz w:val="24"/>
                <w:szCs w:val="24"/>
                <w:highlight w:val="none"/>
              </w:rPr>
            </w:pPr>
          </w:p>
        </w:tc>
        <w:tc>
          <w:tcPr>
            <w:tcW w:w="1422" w:type="dxa"/>
            <w:tcBorders>
              <w:bottom w:val="single" w:color="auto" w:sz="4" w:space="0"/>
            </w:tcBorders>
            <w:vAlign w:val="center"/>
          </w:tcPr>
          <w:p w14:paraId="48593AA6">
            <w:pPr>
              <w:spacing w:line="360" w:lineRule="auto"/>
              <w:jc w:val="center"/>
              <w:rPr>
                <w:rFonts w:ascii="宋体" w:hAnsi="宋体" w:cs="宋体"/>
                <w:color w:val="auto"/>
                <w:sz w:val="24"/>
                <w:szCs w:val="24"/>
                <w:highlight w:val="none"/>
              </w:rPr>
            </w:pPr>
          </w:p>
        </w:tc>
        <w:tc>
          <w:tcPr>
            <w:tcW w:w="6151" w:type="dxa"/>
            <w:tcBorders>
              <w:bottom w:val="single" w:color="auto" w:sz="4" w:space="0"/>
            </w:tcBorders>
            <w:vAlign w:val="center"/>
          </w:tcPr>
          <w:p w14:paraId="3F0993C8">
            <w:pPr>
              <w:spacing w:line="360" w:lineRule="auto"/>
              <w:rPr>
                <w:rFonts w:ascii="宋体" w:hAnsi="宋体" w:cs="宋体"/>
                <w:color w:val="auto"/>
                <w:sz w:val="24"/>
                <w:szCs w:val="24"/>
                <w:highlight w:val="none"/>
              </w:rPr>
            </w:pPr>
            <w:r>
              <w:rPr>
                <w:rFonts w:hint="eastAsia" w:ascii="宋体" w:hAnsi="宋体" w:cs="宋体"/>
                <w:b/>
                <w:bCs/>
                <w:color w:val="auto"/>
                <w:sz w:val="24"/>
                <w:szCs w:val="24"/>
                <w:highlight w:val="none"/>
              </w:rPr>
              <w:t>★6.5投标人必须书面承诺其人员用工成本应满足厦门市政府每年公布的最低标准及相关社保缴交基数、公积金以及法律规定的福利待遇，若未书面承诺或低于法定要求及招标要求的，视为无效投标。</w:t>
            </w:r>
          </w:p>
        </w:tc>
      </w:tr>
      <w:tr w14:paraId="53592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Borders>
              <w:bottom w:val="single" w:color="auto" w:sz="4" w:space="0"/>
            </w:tcBorders>
            <w:vAlign w:val="center"/>
          </w:tcPr>
          <w:p w14:paraId="7B9771DD">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33</w:t>
            </w:r>
          </w:p>
        </w:tc>
        <w:tc>
          <w:tcPr>
            <w:tcW w:w="696" w:type="dxa"/>
            <w:tcBorders>
              <w:bottom w:val="single" w:color="auto" w:sz="4" w:space="0"/>
            </w:tcBorders>
            <w:vAlign w:val="center"/>
          </w:tcPr>
          <w:p w14:paraId="11DD3A59">
            <w:pPr>
              <w:spacing w:line="360" w:lineRule="auto"/>
              <w:jc w:val="center"/>
              <w:rPr>
                <w:rFonts w:ascii="宋体" w:hAnsi="宋体" w:cs="宋体"/>
                <w:color w:val="auto"/>
                <w:sz w:val="24"/>
                <w:szCs w:val="24"/>
                <w:highlight w:val="none"/>
              </w:rPr>
            </w:pPr>
          </w:p>
        </w:tc>
        <w:tc>
          <w:tcPr>
            <w:tcW w:w="1422" w:type="dxa"/>
            <w:tcBorders>
              <w:bottom w:val="single" w:color="auto" w:sz="4" w:space="0"/>
            </w:tcBorders>
            <w:vAlign w:val="center"/>
          </w:tcPr>
          <w:p w14:paraId="5D833A0E">
            <w:pPr>
              <w:spacing w:line="360" w:lineRule="auto"/>
              <w:jc w:val="center"/>
              <w:rPr>
                <w:rFonts w:ascii="宋体" w:hAnsi="宋体" w:cs="宋体"/>
                <w:color w:val="auto"/>
                <w:sz w:val="24"/>
                <w:szCs w:val="24"/>
                <w:highlight w:val="none"/>
              </w:rPr>
            </w:pPr>
          </w:p>
        </w:tc>
        <w:tc>
          <w:tcPr>
            <w:tcW w:w="6151" w:type="dxa"/>
            <w:tcBorders>
              <w:bottom w:val="single" w:color="auto" w:sz="4" w:space="0"/>
            </w:tcBorders>
            <w:vAlign w:val="center"/>
          </w:tcPr>
          <w:p w14:paraId="050769B1">
            <w:pPr>
              <w:spacing w:line="360" w:lineRule="auto"/>
              <w:rPr>
                <w:rFonts w:ascii="宋体" w:hAnsi="宋体" w:cs="宋体"/>
                <w:bCs/>
                <w:color w:val="auto"/>
                <w:sz w:val="24"/>
                <w:szCs w:val="24"/>
                <w:highlight w:val="none"/>
              </w:rPr>
            </w:pPr>
            <w:r>
              <w:rPr>
                <w:rFonts w:hint="eastAsia" w:ascii="宋体" w:hAnsi="宋体" w:cs="宋体"/>
                <w:b/>
                <w:bCs/>
                <w:iCs/>
                <w:color w:val="auto"/>
                <w:sz w:val="24"/>
                <w:szCs w:val="24"/>
                <w:highlight w:val="none"/>
              </w:rPr>
              <w:t>★6.7本项目的采购预算为175万元。本项目采购预算即最高限价，投标人的投标报价超出最高限价的，视为无效投标。</w:t>
            </w:r>
          </w:p>
        </w:tc>
      </w:tr>
    </w:tbl>
    <w:p w14:paraId="5831461B">
      <w:pPr>
        <w:spacing w:line="360" w:lineRule="auto"/>
        <w:jc w:val="left"/>
        <w:rPr>
          <w:rFonts w:ascii="宋体" w:hAnsi="宋体" w:cs="宋体"/>
          <w:bCs/>
          <w:color w:val="auto"/>
          <w:sz w:val="24"/>
          <w:szCs w:val="24"/>
          <w:highlight w:val="none"/>
        </w:rPr>
        <w:sectPr>
          <w:pgSz w:w="11906" w:h="16838"/>
          <w:pgMar w:top="1440" w:right="1803" w:bottom="1440" w:left="1803" w:header="567" w:footer="567" w:gutter="0"/>
          <w:cols w:space="720" w:num="1"/>
          <w:docGrid w:linePitch="312" w:charSpace="0"/>
        </w:sectPr>
      </w:pPr>
      <w:r>
        <w:rPr>
          <w:rFonts w:hint="eastAsia" w:ascii="宋体" w:hAnsi="宋体" w:cs="宋体"/>
          <w:bCs/>
          <w:color w:val="auto"/>
          <w:sz w:val="24"/>
          <w:szCs w:val="24"/>
          <w:highlight w:val="none"/>
        </w:rPr>
        <w:t>备注：由于编排顺序混乱而导致投标文件被误读或漏读，该投标人的投标可能被视为无效投标或承担不利的评标结果。</w:t>
      </w:r>
    </w:p>
    <w:p w14:paraId="2EBF751F">
      <w:pPr>
        <w:spacing w:line="360" w:lineRule="auto"/>
        <w:jc w:val="center"/>
        <w:outlineLvl w:val="1"/>
        <w:rPr>
          <w:rFonts w:ascii="宋体" w:hAnsi="宋体" w:cs="宋体"/>
          <w:b/>
          <w:color w:val="auto"/>
          <w:sz w:val="24"/>
          <w:szCs w:val="24"/>
          <w:highlight w:val="none"/>
          <w:u w:val="single"/>
        </w:rPr>
      </w:pPr>
      <w:bookmarkStart w:id="37" w:name="_Toc5017"/>
      <w:r>
        <w:rPr>
          <w:rFonts w:hint="eastAsia" w:ascii="宋体" w:hAnsi="宋体" w:cs="宋体"/>
          <w:b/>
          <w:bCs/>
          <w:color w:val="auto"/>
          <w:sz w:val="32"/>
          <w:szCs w:val="32"/>
          <w:highlight w:val="none"/>
        </w:rPr>
        <w:t>投标人须知前附表3：评标方法、评标标准、定标原则</w:t>
      </w:r>
      <w:bookmarkEnd w:id="37"/>
    </w:p>
    <w:tbl>
      <w:tblPr>
        <w:tblStyle w:val="21"/>
        <w:tblW w:w="0" w:type="auto"/>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00"/>
      </w:tblGrid>
      <w:tr w14:paraId="26383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100" w:type="dxa"/>
            <w:tcBorders>
              <w:top w:val="single" w:color="auto" w:sz="4" w:space="0"/>
              <w:left w:val="single" w:color="auto" w:sz="4" w:space="0"/>
              <w:bottom w:val="single" w:color="auto" w:sz="4" w:space="0"/>
              <w:right w:val="single" w:color="auto" w:sz="4" w:space="0"/>
            </w:tcBorders>
          </w:tcPr>
          <w:p w14:paraId="692ACE06">
            <w:pPr>
              <w:pStyle w:val="4"/>
              <w:numPr>
                <w:ilvl w:val="0"/>
                <w:numId w:val="1"/>
              </w:numPr>
              <w:snapToGrid w:val="0"/>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评标方法：</w:t>
            </w:r>
          </w:p>
          <w:p w14:paraId="71CF65A9">
            <w:pPr>
              <w:pStyle w:val="4"/>
              <w:spacing w:line="360" w:lineRule="auto"/>
              <w:ind w:left="480"/>
              <w:rPr>
                <w:rFonts w:ascii="宋体" w:hAnsi="宋体" w:cs="宋体"/>
                <w:color w:val="auto"/>
                <w:sz w:val="24"/>
                <w:szCs w:val="24"/>
                <w:highlight w:val="none"/>
              </w:rPr>
            </w:pPr>
            <w:r>
              <w:rPr>
                <w:rFonts w:hint="eastAsia" w:ascii="宋体" w:hAnsi="宋体" w:cs="宋体"/>
                <w:b/>
                <w:color w:val="auto"/>
                <w:sz w:val="24"/>
                <w:szCs w:val="24"/>
                <w:highlight w:val="none"/>
              </w:rPr>
              <w:fldChar w:fldCharType="begin"/>
            </w:r>
            <w:r>
              <w:rPr>
                <w:rFonts w:hint="eastAsia" w:ascii="宋体" w:hAnsi="宋体" w:cs="宋体"/>
                <w:b/>
                <w:color w:val="auto"/>
                <w:sz w:val="24"/>
                <w:szCs w:val="24"/>
                <w:highlight w:val="none"/>
              </w:rPr>
              <w:instrText xml:space="preserve"> eq \o\ac(</w:instrText>
            </w:r>
            <w:r>
              <w:rPr>
                <w:rFonts w:hint="eastAsia" w:ascii="宋体" w:hAnsi="宋体" w:cs="宋体"/>
                <w:b/>
                <w:color w:val="auto"/>
                <w:sz w:val="36"/>
                <w:szCs w:val="24"/>
                <w:highlight w:val="none"/>
              </w:rPr>
              <w:instrText xml:space="preserve">□</w:instrText>
            </w:r>
            <w:r>
              <w:rPr>
                <w:rFonts w:hint="eastAsia" w:ascii="宋体" w:hAnsi="宋体" w:cs="宋体"/>
                <w:b/>
                <w:color w:val="auto"/>
                <w:sz w:val="24"/>
                <w:szCs w:val="24"/>
                <w:highlight w:val="none"/>
              </w:rPr>
              <w:instrText xml:space="preserve">,√)</w:instrText>
            </w:r>
            <w:r>
              <w:rPr>
                <w:rFonts w:hint="eastAsia" w:ascii="宋体" w:hAnsi="宋体" w:cs="宋体"/>
                <w:b/>
                <w:color w:val="auto"/>
                <w:sz w:val="24"/>
                <w:szCs w:val="24"/>
                <w:highlight w:val="none"/>
              </w:rPr>
              <w:fldChar w:fldCharType="end"/>
            </w:r>
            <w:r>
              <w:rPr>
                <w:rFonts w:hint="eastAsia" w:ascii="宋体" w:hAnsi="宋体" w:cs="宋体"/>
                <w:color w:val="auto"/>
                <w:sz w:val="24"/>
                <w:szCs w:val="24"/>
                <w:highlight w:val="none"/>
              </w:rPr>
              <w:t xml:space="preserve"> 综合评分法  □ 最低评标价法  </w:t>
            </w:r>
          </w:p>
        </w:tc>
      </w:tr>
      <w:tr w14:paraId="5F143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00" w:type="dxa"/>
            <w:tcBorders>
              <w:top w:val="single" w:color="auto" w:sz="4" w:space="0"/>
              <w:left w:val="single" w:color="auto" w:sz="4" w:space="0"/>
              <w:bottom w:val="single" w:color="auto" w:sz="4" w:space="0"/>
              <w:right w:val="single" w:color="auto" w:sz="4" w:space="0"/>
            </w:tcBorders>
          </w:tcPr>
          <w:p w14:paraId="263BD0E8">
            <w:pPr>
              <w:pStyle w:val="4"/>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二、评标标准：</w:t>
            </w:r>
          </w:p>
          <w:p w14:paraId="7D5FA7AD">
            <w:pPr>
              <w:pStyle w:val="4"/>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（一）具体的评标标准、权重。</w:t>
            </w:r>
          </w:p>
          <w:p w14:paraId="472231AB">
            <w:pPr>
              <w:pStyle w:val="4"/>
              <w:spacing w:line="360" w:lineRule="auto"/>
              <w:ind w:firstLine="0"/>
              <w:rPr>
                <w:rFonts w:ascii="宋体" w:hAnsi="宋体" w:cs="宋体"/>
                <w:color w:val="auto"/>
                <w:sz w:val="24"/>
                <w:szCs w:val="24"/>
                <w:highlight w:val="none"/>
              </w:rPr>
            </w:pPr>
            <w:r>
              <w:rPr>
                <w:rFonts w:hint="eastAsia" w:ascii="宋体" w:hAnsi="宋体" w:cs="宋体"/>
                <w:color w:val="auto"/>
                <w:sz w:val="24"/>
                <w:szCs w:val="24"/>
                <w:highlight w:val="none"/>
              </w:rPr>
              <w:t>详见附件</w:t>
            </w:r>
          </w:p>
          <w:p w14:paraId="01537B48">
            <w:pPr>
              <w:pStyle w:val="4"/>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（二）推荐中标候选供应商名单。</w:t>
            </w:r>
          </w:p>
          <w:p w14:paraId="03CF703C">
            <w:pPr>
              <w:pStyle w:val="4"/>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1、中标候选供应商数量：</w:t>
            </w:r>
            <w:r>
              <w:rPr>
                <w:rFonts w:hint="eastAsia" w:ascii="宋体" w:hAnsi="宋体" w:cs="宋体"/>
                <w:color w:val="auto"/>
                <w:sz w:val="24"/>
                <w:szCs w:val="24"/>
                <w:highlight w:val="none"/>
                <w:u w:val="single"/>
              </w:rPr>
              <w:t xml:space="preserve"> 3 </w:t>
            </w:r>
            <w:r>
              <w:rPr>
                <w:rFonts w:hint="eastAsia" w:ascii="宋体" w:hAnsi="宋体" w:cs="宋体"/>
                <w:color w:val="auto"/>
                <w:sz w:val="24"/>
                <w:szCs w:val="24"/>
                <w:highlight w:val="none"/>
              </w:rPr>
              <w:t>个。</w:t>
            </w:r>
          </w:p>
          <w:p w14:paraId="7A1DBD61">
            <w:pPr>
              <w:pStyle w:val="4"/>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2、中标候选供应商排列顺序。经投标文件初审、澄清有关问题、比较与评价评标程序后，按以下办法推荐中标候选供应商名单的排列顺序（请按采购项目的评标方法从以下两项中选择一项打“√”）：</w:t>
            </w:r>
          </w:p>
          <w:p w14:paraId="32A3C229">
            <w:pPr>
              <w:pStyle w:val="4"/>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□采用最低评标价法的，按投标报价由低到高顺序排列。投标报价相同的，按技术指标优劣顺序排列。</w:t>
            </w:r>
          </w:p>
          <w:p w14:paraId="37984DBF">
            <w:pPr>
              <w:pStyle w:val="4"/>
              <w:spacing w:line="360" w:lineRule="auto"/>
              <w:ind w:firstLine="0"/>
              <w:rPr>
                <w:rFonts w:ascii="宋体" w:hAnsi="宋体" w:cs="宋体"/>
                <w:color w:val="auto"/>
                <w:sz w:val="24"/>
                <w:szCs w:val="24"/>
                <w:highlight w:val="none"/>
              </w:rPr>
            </w:pPr>
            <w:r>
              <w:rPr>
                <w:rFonts w:hint="eastAsia" w:ascii="宋体" w:hAnsi="宋体" w:cs="宋体"/>
                <w:color w:val="auto"/>
                <w:sz w:val="24"/>
                <w:szCs w:val="24"/>
                <w:highlight w:val="none"/>
              </w:rPr>
              <w:t xml:space="preserve">    </w:t>
            </w:r>
            <w:r>
              <w:rPr>
                <w:rFonts w:hint="eastAsia" w:ascii="宋体" w:hAnsi="宋体" w:cs="宋体"/>
                <w:b/>
                <w:color w:val="auto"/>
                <w:sz w:val="24"/>
                <w:szCs w:val="24"/>
                <w:highlight w:val="none"/>
              </w:rPr>
              <w:fldChar w:fldCharType="begin"/>
            </w:r>
            <w:r>
              <w:rPr>
                <w:rFonts w:hint="eastAsia" w:ascii="宋体" w:hAnsi="宋体" w:cs="宋体"/>
                <w:b/>
                <w:color w:val="auto"/>
                <w:sz w:val="24"/>
                <w:szCs w:val="24"/>
                <w:highlight w:val="none"/>
              </w:rPr>
              <w:instrText xml:space="preserve"> eq \o\ac(</w:instrText>
            </w:r>
            <w:r>
              <w:rPr>
                <w:rFonts w:hint="eastAsia" w:ascii="宋体" w:hAnsi="宋体" w:cs="宋体"/>
                <w:b/>
                <w:color w:val="auto"/>
                <w:sz w:val="36"/>
                <w:szCs w:val="24"/>
                <w:highlight w:val="none"/>
              </w:rPr>
              <w:instrText xml:space="preserve">□</w:instrText>
            </w:r>
            <w:r>
              <w:rPr>
                <w:rFonts w:hint="eastAsia" w:ascii="宋体" w:hAnsi="宋体" w:cs="宋体"/>
                <w:b/>
                <w:color w:val="auto"/>
                <w:sz w:val="24"/>
                <w:szCs w:val="24"/>
                <w:highlight w:val="none"/>
              </w:rPr>
              <w:instrText xml:space="preserve">,√)</w:instrText>
            </w:r>
            <w:r>
              <w:rPr>
                <w:rFonts w:hint="eastAsia" w:ascii="宋体" w:hAnsi="宋体" w:cs="宋体"/>
                <w:b/>
                <w:color w:val="auto"/>
                <w:sz w:val="24"/>
                <w:szCs w:val="24"/>
                <w:highlight w:val="none"/>
              </w:rPr>
              <w:fldChar w:fldCharType="end"/>
            </w:r>
            <w:r>
              <w:rPr>
                <w:rFonts w:hint="eastAsia" w:ascii="宋体" w:hAnsi="宋体" w:cs="宋体"/>
                <w:color w:val="auto"/>
                <w:sz w:val="24"/>
                <w:szCs w:val="24"/>
                <w:highlight w:val="none"/>
              </w:rPr>
              <w:t>采用综合评分法的，按评审后得分由高到低顺序排列。得分相同的，按投标报价由低到高顺序排列。综合得分相同且投标报价相同的，按技术得分顺序排列。综合得分相同且投标报价相同且技术得分相同的，由评标委员会投票表决。</w:t>
            </w:r>
          </w:p>
        </w:tc>
      </w:tr>
      <w:tr w14:paraId="2D794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00" w:type="dxa"/>
            <w:tcBorders>
              <w:top w:val="single" w:color="auto" w:sz="4" w:space="0"/>
              <w:left w:val="single" w:color="auto" w:sz="4" w:space="0"/>
              <w:bottom w:val="single" w:color="auto" w:sz="4" w:space="0"/>
              <w:right w:val="single" w:color="auto" w:sz="4" w:space="0"/>
            </w:tcBorders>
          </w:tcPr>
          <w:p w14:paraId="1D66E66B">
            <w:pPr>
              <w:pStyle w:val="4"/>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三、定标原则（确定中标供应商数量：</w:t>
            </w:r>
            <w:r>
              <w:rPr>
                <w:rFonts w:hint="eastAsia" w:ascii="宋体" w:hAnsi="宋体" w:cs="宋体"/>
                <w:color w:val="auto"/>
                <w:sz w:val="24"/>
                <w:szCs w:val="24"/>
                <w:highlight w:val="none"/>
                <w:u w:val="single"/>
              </w:rPr>
              <w:t>1</w:t>
            </w:r>
            <w:r>
              <w:rPr>
                <w:rFonts w:hint="eastAsia" w:ascii="宋体" w:hAnsi="宋体" w:cs="宋体"/>
                <w:color w:val="auto"/>
                <w:sz w:val="24"/>
                <w:szCs w:val="24"/>
                <w:highlight w:val="none"/>
              </w:rPr>
              <w:t>个）：</w:t>
            </w:r>
          </w:p>
          <w:p w14:paraId="27001776">
            <w:pPr>
              <w:pStyle w:val="4"/>
              <w:spacing w:line="360" w:lineRule="auto"/>
              <w:ind w:firstLine="482" w:firstLineChars="200"/>
              <w:rPr>
                <w:rFonts w:ascii="宋体" w:hAnsi="宋体" w:cs="宋体"/>
                <w:color w:val="auto"/>
                <w:sz w:val="24"/>
                <w:szCs w:val="24"/>
                <w:highlight w:val="none"/>
              </w:rPr>
            </w:pPr>
            <w:r>
              <w:rPr>
                <w:rFonts w:hint="eastAsia" w:ascii="宋体" w:hAnsi="宋体" w:cs="宋体"/>
                <w:b/>
                <w:color w:val="auto"/>
                <w:sz w:val="24"/>
                <w:szCs w:val="24"/>
                <w:highlight w:val="none"/>
              </w:rPr>
              <w:fldChar w:fldCharType="begin"/>
            </w:r>
            <w:r>
              <w:rPr>
                <w:rFonts w:hint="eastAsia" w:ascii="宋体" w:hAnsi="宋体" w:cs="宋体"/>
                <w:b/>
                <w:color w:val="auto"/>
                <w:sz w:val="24"/>
                <w:szCs w:val="24"/>
                <w:highlight w:val="none"/>
              </w:rPr>
              <w:instrText xml:space="preserve"> eq \o\ac(</w:instrText>
            </w:r>
            <w:r>
              <w:rPr>
                <w:rFonts w:hint="eastAsia" w:ascii="宋体" w:hAnsi="宋体" w:cs="宋体"/>
                <w:b/>
                <w:color w:val="auto"/>
                <w:sz w:val="36"/>
                <w:szCs w:val="24"/>
                <w:highlight w:val="none"/>
              </w:rPr>
              <w:instrText xml:space="preserve">□</w:instrText>
            </w:r>
            <w:r>
              <w:rPr>
                <w:rFonts w:hint="eastAsia" w:ascii="宋体" w:hAnsi="宋体" w:cs="宋体"/>
                <w:b/>
                <w:color w:val="auto"/>
                <w:sz w:val="24"/>
                <w:szCs w:val="24"/>
                <w:highlight w:val="none"/>
              </w:rPr>
              <w:instrText xml:space="preserve">,√)</w:instrText>
            </w:r>
            <w:r>
              <w:rPr>
                <w:rFonts w:hint="eastAsia" w:ascii="宋体" w:hAnsi="宋体" w:cs="宋体"/>
                <w:b/>
                <w:color w:val="auto"/>
                <w:sz w:val="24"/>
                <w:szCs w:val="24"/>
                <w:highlight w:val="none"/>
              </w:rPr>
              <w:fldChar w:fldCharType="end"/>
            </w:r>
            <w:r>
              <w:rPr>
                <w:rFonts w:hint="eastAsia" w:ascii="宋体" w:hAnsi="宋体" w:cs="宋体"/>
                <w:color w:val="auto"/>
                <w:sz w:val="24"/>
                <w:szCs w:val="24"/>
                <w:highlight w:val="none"/>
              </w:rPr>
              <w:t>采购人委托招标代理机构招标，在收到评标报告后五个工作日内，按照评标报告中推荐的中标候选供应商顺序确定中标供应商。</w:t>
            </w:r>
          </w:p>
          <w:p w14:paraId="63B0983E">
            <w:pPr>
              <w:pStyle w:val="4"/>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 采购人委托招标代理机构招标，授权评标委员会直接确定中标供应商。</w:t>
            </w:r>
          </w:p>
          <w:p w14:paraId="53E2ACD5">
            <w:pPr>
              <w:pStyle w:val="4"/>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 采购人自行组织招标，在评标结束后五个工作日内确定中标供应商。</w:t>
            </w:r>
          </w:p>
        </w:tc>
      </w:tr>
    </w:tbl>
    <w:p w14:paraId="6A58DFD9">
      <w:pPr>
        <w:tabs>
          <w:tab w:val="left" w:pos="-1080"/>
          <w:tab w:val="left" w:pos="180"/>
          <w:tab w:val="left" w:pos="1080"/>
        </w:tabs>
        <w:spacing w:line="360" w:lineRule="auto"/>
        <w:rPr>
          <w:rFonts w:ascii="宋体" w:hAnsi="宋体" w:cs="宋体"/>
          <w:b/>
          <w:color w:val="auto"/>
          <w:sz w:val="24"/>
          <w:szCs w:val="24"/>
          <w:highlight w:val="none"/>
        </w:rPr>
      </w:pPr>
    </w:p>
    <w:p w14:paraId="67D8D9B2">
      <w:pPr>
        <w:tabs>
          <w:tab w:val="left" w:pos="-1080"/>
          <w:tab w:val="left" w:pos="180"/>
          <w:tab w:val="left" w:pos="1080"/>
        </w:tabs>
        <w:spacing w:line="360" w:lineRule="auto"/>
        <w:rPr>
          <w:rFonts w:ascii="宋体" w:hAnsi="宋体" w:cs="宋体"/>
          <w:b/>
          <w:color w:val="auto"/>
          <w:sz w:val="24"/>
          <w:szCs w:val="24"/>
          <w:highlight w:val="none"/>
        </w:rPr>
      </w:pPr>
    </w:p>
    <w:p w14:paraId="06B1F490">
      <w:pPr>
        <w:tabs>
          <w:tab w:val="left" w:pos="-1080"/>
          <w:tab w:val="left" w:pos="180"/>
          <w:tab w:val="left" w:pos="1080"/>
        </w:tabs>
        <w:spacing w:line="360" w:lineRule="auto"/>
        <w:rPr>
          <w:rFonts w:ascii="宋体" w:hAnsi="宋体" w:cs="宋体"/>
          <w:b/>
          <w:color w:val="auto"/>
          <w:sz w:val="24"/>
          <w:szCs w:val="24"/>
          <w:highlight w:val="none"/>
        </w:rPr>
      </w:pPr>
    </w:p>
    <w:p w14:paraId="075F313A">
      <w:pPr>
        <w:tabs>
          <w:tab w:val="left" w:pos="-1080"/>
          <w:tab w:val="left" w:pos="180"/>
          <w:tab w:val="left" w:pos="1080"/>
        </w:tabs>
        <w:spacing w:line="360" w:lineRule="auto"/>
        <w:rPr>
          <w:rFonts w:ascii="宋体" w:hAnsi="宋体" w:cs="宋体"/>
          <w:b/>
          <w:color w:val="auto"/>
          <w:sz w:val="24"/>
          <w:szCs w:val="24"/>
          <w:highlight w:val="none"/>
        </w:rPr>
      </w:pPr>
    </w:p>
    <w:p w14:paraId="68044DF7">
      <w:pPr>
        <w:tabs>
          <w:tab w:val="left" w:pos="-1080"/>
          <w:tab w:val="left" w:pos="180"/>
          <w:tab w:val="left" w:pos="1080"/>
        </w:tabs>
        <w:spacing w:line="360" w:lineRule="auto"/>
        <w:rPr>
          <w:rFonts w:ascii="宋体" w:hAnsi="宋体" w:cs="宋体"/>
          <w:b/>
          <w:color w:val="auto"/>
          <w:sz w:val="24"/>
          <w:szCs w:val="24"/>
          <w:highlight w:val="none"/>
        </w:rPr>
      </w:pPr>
    </w:p>
    <w:p w14:paraId="660AFC93">
      <w:pPr>
        <w:tabs>
          <w:tab w:val="left" w:pos="-1080"/>
          <w:tab w:val="left" w:pos="180"/>
          <w:tab w:val="left" w:pos="1080"/>
        </w:tabs>
        <w:spacing w:line="360" w:lineRule="auto"/>
        <w:rPr>
          <w:rFonts w:ascii="宋体" w:hAnsi="宋体" w:cs="宋体"/>
          <w:b/>
          <w:color w:val="auto"/>
          <w:sz w:val="24"/>
          <w:szCs w:val="24"/>
          <w:highlight w:val="none"/>
        </w:rPr>
      </w:pPr>
      <w:r>
        <w:rPr>
          <w:rFonts w:hint="eastAsia" w:ascii="宋体" w:hAnsi="宋体" w:cs="宋体"/>
          <w:b/>
          <w:color w:val="auto"/>
          <w:sz w:val="24"/>
          <w:szCs w:val="24"/>
          <w:highlight w:val="none"/>
        </w:rPr>
        <w:t>附件：评标标准、权重</w:t>
      </w:r>
    </w:p>
    <w:p w14:paraId="480755EB">
      <w:pPr>
        <w:tabs>
          <w:tab w:val="left" w:pos="-1080"/>
          <w:tab w:val="left" w:pos="180"/>
          <w:tab w:val="left" w:pos="1080"/>
        </w:tabs>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（一）技术评分（F1）：按60分评分法，技术评分考虑下列因素：</w:t>
      </w:r>
    </w:p>
    <w:tbl>
      <w:tblPr>
        <w:tblStyle w:val="21"/>
        <w:tblW w:w="522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7"/>
        <w:gridCol w:w="773"/>
        <w:gridCol w:w="1062"/>
        <w:gridCol w:w="6439"/>
      </w:tblGrid>
      <w:tr w14:paraId="784B6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trPr>
        <w:tc>
          <w:tcPr>
            <w:tcW w:w="352" w:type="pct"/>
            <w:tcBorders>
              <w:right w:val="single" w:color="auto" w:sz="4" w:space="0"/>
            </w:tcBorders>
            <w:vAlign w:val="center"/>
          </w:tcPr>
          <w:p w14:paraId="654ADD82">
            <w:pPr>
              <w:widowControl/>
              <w:spacing w:line="360" w:lineRule="auto"/>
              <w:ind w:left="-42" w:leftChars="-20" w:right="-80" w:rightChars="-38"/>
              <w:jc w:val="center"/>
              <w:rPr>
                <w:rFonts w:ascii="宋体" w:hAnsi="宋体" w:cs="宋体"/>
                <w:b/>
                <w:bCs/>
                <w:color w:val="auto"/>
                <w:kern w:val="0"/>
                <w:sz w:val="24"/>
                <w:szCs w:val="24"/>
                <w:highlight w:val="none"/>
              </w:rPr>
            </w:pPr>
            <w:bookmarkStart w:id="38" w:name="_Hlk56000949"/>
            <w:r>
              <w:rPr>
                <w:rFonts w:hint="eastAsia" w:ascii="宋体" w:hAnsi="宋体" w:cs="宋体"/>
                <w:b/>
                <w:bCs/>
                <w:color w:val="auto"/>
                <w:kern w:val="0"/>
                <w:sz w:val="24"/>
                <w:szCs w:val="24"/>
                <w:highlight w:val="none"/>
              </w:rPr>
              <w:t>序号</w:t>
            </w:r>
          </w:p>
        </w:tc>
        <w:tc>
          <w:tcPr>
            <w:tcW w:w="434" w:type="pct"/>
            <w:vAlign w:val="center"/>
          </w:tcPr>
          <w:p w14:paraId="0D378F47">
            <w:pPr>
              <w:widowControl/>
              <w:spacing w:line="360" w:lineRule="auto"/>
              <w:jc w:val="center"/>
              <w:rPr>
                <w:rFonts w:ascii="宋体" w:hAnsi="宋体" w:cs="宋体"/>
                <w:b/>
                <w:bCs/>
                <w:color w:val="auto"/>
                <w:kern w:val="0"/>
                <w:sz w:val="24"/>
                <w:szCs w:val="24"/>
                <w:highlight w:val="none"/>
              </w:rPr>
            </w:pPr>
            <w:r>
              <w:rPr>
                <w:rFonts w:hint="eastAsia" w:ascii="宋体" w:hAnsi="宋体" w:cs="宋体"/>
                <w:b/>
                <w:bCs/>
                <w:color w:val="auto"/>
                <w:kern w:val="0"/>
                <w:sz w:val="24"/>
                <w:szCs w:val="24"/>
                <w:highlight w:val="none"/>
              </w:rPr>
              <w:t>评标分值</w:t>
            </w:r>
          </w:p>
        </w:tc>
        <w:tc>
          <w:tcPr>
            <w:tcW w:w="596" w:type="pct"/>
            <w:vAlign w:val="center"/>
          </w:tcPr>
          <w:p w14:paraId="5C82D3AE">
            <w:pPr>
              <w:widowControl/>
              <w:spacing w:line="360" w:lineRule="auto"/>
              <w:jc w:val="center"/>
              <w:rPr>
                <w:rFonts w:ascii="宋体" w:hAnsi="宋体" w:cs="宋体"/>
                <w:b/>
                <w:bCs/>
                <w:color w:val="auto"/>
                <w:kern w:val="0"/>
                <w:sz w:val="24"/>
                <w:szCs w:val="24"/>
                <w:highlight w:val="none"/>
              </w:rPr>
            </w:pPr>
            <w:r>
              <w:rPr>
                <w:rFonts w:hint="eastAsia" w:ascii="宋体" w:hAnsi="宋体" w:cs="宋体"/>
                <w:b/>
                <w:bCs/>
                <w:color w:val="auto"/>
                <w:kern w:val="0"/>
                <w:sz w:val="24"/>
                <w:szCs w:val="24"/>
                <w:highlight w:val="none"/>
              </w:rPr>
              <w:t>是否客观项</w:t>
            </w:r>
          </w:p>
        </w:tc>
        <w:tc>
          <w:tcPr>
            <w:tcW w:w="3615" w:type="pct"/>
            <w:vAlign w:val="center"/>
          </w:tcPr>
          <w:p w14:paraId="05F9D419">
            <w:pPr>
              <w:widowControl/>
              <w:spacing w:line="360" w:lineRule="auto"/>
              <w:jc w:val="center"/>
              <w:rPr>
                <w:rFonts w:ascii="宋体" w:hAnsi="宋体" w:cs="宋体"/>
                <w:b/>
                <w:bCs/>
                <w:color w:val="auto"/>
                <w:kern w:val="0"/>
                <w:sz w:val="24"/>
                <w:szCs w:val="24"/>
                <w:highlight w:val="none"/>
              </w:rPr>
            </w:pPr>
            <w:r>
              <w:rPr>
                <w:rFonts w:hint="eastAsia" w:ascii="宋体" w:hAnsi="宋体" w:cs="宋体"/>
                <w:b/>
                <w:bCs/>
                <w:color w:val="auto"/>
                <w:kern w:val="0"/>
                <w:sz w:val="24"/>
                <w:szCs w:val="24"/>
                <w:highlight w:val="none"/>
              </w:rPr>
              <w:t>评标方法描述</w:t>
            </w:r>
          </w:p>
        </w:tc>
      </w:tr>
      <w:tr w14:paraId="4104B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352" w:type="pct"/>
            <w:tcBorders>
              <w:right w:val="single" w:color="auto" w:sz="4" w:space="0"/>
            </w:tcBorders>
            <w:vAlign w:val="center"/>
          </w:tcPr>
          <w:p w14:paraId="7B673D67">
            <w:pPr>
              <w:widowControl/>
              <w:spacing w:line="360" w:lineRule="auto"/>
              <w:ind w:right="-80" w:rightChars="-38"/>
              <w:rPr>
                <w:rFonts w:ascii="宋体" w:hAnsi="宋体" w:cs="宋体"/>
                <w:color w:val="auto"/>
                <w:kern w:val="0"/>
                <w:sz w:val="24"/>
                <w:szCs w:val="24"/>
                <w:highlight w:val="none"/>
                <w:lang w:eastAsia="zh-Hans"/>
              </w:rPr>
            </w:pPr>
            <w:r>
              <w:rPr>
                <w:rFonts w:hint="eastAsia" w:ascii="宋体" w:hAnsi="宋体" w:cs="宋体"/>
                <w:color w:val="auto"/>
                <w:kern w:val="0"/>
                <w:sz w:val="24"/>
                <w:szCs w:val="24"/>
                <w:highlight w:val="none"/>
              </w:rPr>
              <w:t>1-1</w:t>
            </w:r>
          </w:p>
        </w:tc>
        <w:tc>
          <w:tcPr>
            <w:tcW w:w="434" w:type="pct"/>
            <w:vAlign w:val="center"/>
          </w:tcPr>
          <w:p w14:paraId="0DF07748">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3</w:t>
            </w:r>
          </w:p>
        </w:tc>
        <w:tc>
          <w:tcPr>
            <w:tcW w:w="596" w:type="pct"/>
            <w:tcBorders>
              <w:top w:val="single" w:color="auto" w:sz="4" w:space="0"/>
              <w:left w:val="single" w:color="auto" w:sz="4" w:space="0"/>
              <w:bottom w:val="single" w:color="auto" w:sz="4" w:space="0"/>
              <w:right w:val="single" w:color="auto" w:sz="4" w:space="0"/>
            </w:tcBorders>
            <w:vAlign w:val="center"/>
          </w:tcPr>
          <w:p w14:paraId="0CF75F09">
            <w:pPr>
              <w:widowControl/>
              <w:spacing w:line="360" w:lineRule="auto"/>
              <w:jc w:val="center"/>
              <w:rPr>
                <w:rFonts w:ascii="宋体" w:hAnsi="宋体" w:cs="宋体"/>
                <w:color w:val="auto"/>
                <w:kern w:val="0"/>
                <w:sz w:val="24"/>
                <w:szCs w:val="24"/>
                <w:highlight w:val="none"/>
              </w:rPr>
            </w:pPr>
            <w:r>
              <w:rPr>
                <w:rFonts w:hint="eastAsia" w:ascii="宋体" w:hAnsi="宋体" w:cs="宋体"/>
                <w:b/>
                <w:bCs/>
                <w:color w:val="auto"/>
                <w:kern w:val="0"/>
                <w:sz w:val="24"/>
                <w:szCs w:val="24"/>
                <w:highlight w:val="none"/>
              </w:rPr>
              <w:t>否</w:t>
            </w:r>
          </w:p>
        </w:tc>
        <w:tc>
          <w:tcPr>
            <w:tcW w:w="3615" w:type="pct"/>
            <w:tcBorders>
              <w:top w:val="single" w:color="auto" w:sz="4" w:space="0"/>
              <w:left w:val="single" w:color="auto" w:sz="4" w:space="0"/>
              <w:bottom w:val="single" w:color="auto" w:sz="4" w:space="0"/>
              <w:right w:val="single" w:color="auto" w:sz="4" w:space="0"/>
            </w:tcBorders>
            <w:vAlign w:val="center"/>
          </w:tcPr>
          <w:p w14:paraId="03390136">
            <w:pPr>
              <w:widowControl/>
              <w:spacing w:line="360" w:lineRule="auto"/>
              <w:jc w:val="left"/>
              <w:rPr>
                <w:rFonts w:ascii="宋体" w:hAnsi="宋体" w:cs="宋体"/>
                <w:snapToGrid w:val="0"/>
                <w:color w:val="auto"/>
                <w:sz w:val="24"/>
                <w:szCs w:val="24"/>
                <w:highlight w:val="none"/>
              </w:rPr>
            </w:pPr>
            <w:r>
              <w:rPr>
                <w:rFonts w:hint="eastAsia" w:ascii="宋体" w:hAnsi="宋体" w:cs="宋体"/>
                <w:color w:val="auto"/>
                <w:kern w:val="0"/>
                <w:sz w:val="24"/>
                <w:szCs w:val="24"/>
                <w:highlight w:val="none"/>
              </w:rPr>
              <w:t>根据投标人所提供</w:t>
            </w:r>
            <w:r>
              <w:rPr>
                <w:rFonts w:hint="eastAsia" w:ascii="宋体" w:hAnsi="宋体" w:cs="宋体"/>
                <w:b/>
                <w:bCs/>
                <w:color w:val="auto"/>
                <w:kern w:val="0"/>
                <w:sz w:val="24"/>
                <w:szCs w:val="24"/>
                <w:highlight w:val="none"/>
              </w:rPr>
              <w:t>人员管理方案</w:t>
            </w:r>
            <w:r>
              <w:rPr>
                <w:rFonts w:hint="eastAsia" w:ascii="宋体" w:hAnsi="宋体" w:cs="宋体"/>
                <w:color w:val="auto"/>
                <w:kern w:val="0"/>
                <w:sz w:val="24"/>
                <w:szCs w:val="24"/>
                <w:highlight w:val="none"/>
              </w:rPr>
              <w:t>进行评价：①有提供人事管理、薪酬管理、食堂管理等方案的得1分；②在满足①的基础上，</w:t>
            </w:r>
            <w:r>
              <w:rPr>
                <w:rFonts w:ascii="宋体" w:hAnsi="宋体" w:cs="宋体"/>
                <w:color w:val="auto"/>
                <w:sz w:val="24"/>
                <w:szCs w:val="24"/>
                <w:highlight w:val="none"/>
              </w:rPr>
              <w:t>人事管理、薪酬管理、食堂运营管理</w:t>
            </w:r>
            <w:r>
              <w:rPr>
                <w:rFonts w:hint="eastAsia" w:ascii="宋体" w:hAnsi="宋体" w:cs="宋体"/>
                <w:color w:val="auto"/>
                <w:sz w:val="24"/>
                <w:szCs w:val="24"/>
                <w:highlight w:val="none"/>
              </w:rPr>
              <w:t>方案</w:t>
            </w:r>
            <w:r>
              <w:rPr>
                <w:rFonts w:ascii="宋体" w:hAnsi="宋体" w:cs="宋体"/>
                <w:color w:val="auto"/>
                <w:sz w:val="24"/>
                <w:szCs w:val="24"/>
                <w:highlight w:val="none"/>
              </w:rPr>
              <w:t>完整、规范，能够全面满足本项目招标文件规定的运营服务需求</w:t>
            </w:r>
            <w:r>
              <w:rPr>
                <w:rFonts w:hint="eastAsia" w:ascii="宋体" w:hAnsi="宋体" w:cs="宋体"/>
                <w:color w:val="auto"/>
                <w:kern w:val="0"/>
                <w:sz w:val="24"/>
                <w:szCs w:val="24"/>
                <w:highlight w:val="none"/>
              </w:rPr>
              <w:t>的得3分；未提供或方案不完整或无法完全满足本项目需求不得分。</w:t>
            </w:r>
          </w:p>
        </w:tc>
      </w:tr>
      <w:tr w14:paraId="64F95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2" w:type="pct"/>
            <w:tcBorders>
              <w:right w:val="single" w:color="auto" w:sz="4" w:space="0"/>
            </w:tcBorders>
            <w:vAlign w:val="center"/>
          </w:tcPr>
          <w:p w14:paraId="3F103002">
            <w:pPr>
              <w:widowControl/>
              <w:spacing w:line="360" w:lineRule="auto"/>
              <w:ind w:right="-80" w:rightChars="-38"/>
              <w:rPr>
                <w:rFonts w:ascii="宋体" w:hAnsi="宋体" w:cs="宋体"/>
                <w:color w:val="auto"/>
                <w:kern w:val="0"/>
                <w:sz w:val="24"/>
                <w:szCs w:val="24"/>
                <w:highlight w:val="none"/>
                <w:lang w:eastAsia="zh-Hans"/>
              </w:rPr>
            </w:pPr>
            <w:r>
              <w:rPr>
                <w:rFonts w:hint="eastAsia" w:ascii="宋体" w:hAnsi="宋体" w:cs="宋体"/>
                <w:color w:val="auto"/>
                <w:kern w:val="0"/>
                <w:sz w:val="24"/>
                <w:szCs w:val="24"/>
                <w:highlight w:val="none"/>
              </w:rPr>
              <w:t>1-2</w:t>
            </w:r>
          </w:p>
        </w:tc>
        <w:tc>
          <w:tcPr>
            <w:tcW w:w="434" w:type="pct"/>
            <w:vAlign w:val="center"/>
          </w:tcPr>
          <w:p w14:paraId="069269EF">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3</w:t>
            </w:r>
          </w:p>
        </w:tc>
        <w:tc>
          <w:tcPr>
            <w:tcW w:w="596" w:type="pct"/>
            <w:tcBorders>
              <w:top w:val="single" w:color="auto" w:sz="4" w:space="0"/>
              <w:left w:val="single" w:color="auto" w:sz="4" w:space="0"/>
              <w:bottom w:val="single" w:color="auto" w:sz="4" w:space="0"/>
              <w:right w:val="single" w:color="auto" w:sz="4" w:space="0"/>
            </w:tcBorders>
            <w:vAlign w:val="center"/>
          </w:tcPr>
          <w:p w14:paraId="7A38D753">
            <w:pPr>
              <w:widowControl/>
              <w:spacing w:line="360" w:lineRule="auto"/>
              <w:jc w:val="center"/>
              <w:rPr>
                <w:rFonts w:ascii="宋体" w:hAnsi="宋体" w:cs="宋体"/>
                <w:color w:val="auto"/>
                <w:kern w:val="0"/>
                <w:sz w:val="24"/>
                <w:szCs w:val="24"/>
                <w:highlight w:val="none"/>
              </w:rPr>
            </w:pPr>
            <w:r>
              <w:rPr>
                <w:rFonts w:hint="eastAsia" w:ascii="宋体" w:hAnsi="宋体" w:cs="宋体"/>
                <w:b/>
                <w:bCs/>
                <w:color w:val="auto"/>
                <w:kern w:val="0"/>
                <w:sz w:val="24"/>
                <w:szCs w:val="24"/>
                <w:highlight w:val="none"/>
              </w:rPr>
              <w:t>否</w:t>
            </w:r>
          </w:p>
        </w:tc>
        <w:tc>
          <w:tcPr>
            <w:tcW w:w="3615" w:type="pct"/>
            <w:tcBorders>
              <w:top w:val="single" w:color="auto" w:sz="4" w:space="0"/>
              <w:left w:val="single" w:color="auto" w:sz="4" w:space="0"/>
              <w:bottom w:val="single" w:color="auto" w:sz="4" w:space="0"/>
              <w:right w:val="single" w:color="auto" w:sz="4" w:space="0"/>
            </w:tcBorders>
            <w:vAlign w:val="center"/>
          </w:tcPr>
          <w:p w14:paraId="7B481144">
            <w:pPr>
              <w:widowControl/>
              <w:spacing w:line="360" w:lineRule="auto"/>
              <w:jc w:val="left"/>
              <w:rPr>
                <w:rFonts w:ascii="宋体" w:hAnsi="宋体" w:cs="宋体"/>
                <w:color w:val="auto"/>
                <w:kern w:val="0"/>
                <w:sz w:val="24"/>
                <w:szCs w:val="24"/>
                <w:highlight w:val="none"/>
              </w:rPr>
            </w:pPr>
            <w:r>
              <w:rPr>
                <w:rFonts w:hint="eastAsia" w:ascii="宋体" w:hAnsi="宋体" w:cs="宋体"/>
                <w:color w:val="auto"/>
                <w:kern w:val="0"/>
                <w:sz w:val="24"/>
                <w:szCs w:val="24"/>
                <w:highlight w:val="none"/>
              </w:rPr>
              <w:t>根据投标人制定的</w:t>
            </w:r>
            <w:r>
              <w:rPr>
                <w:rFonts w:hint="eastAsia" w:ascii="宋体" w:hAnsi="宋体" w:cs="宋体"/>
                <w:b/>
                <w:bCs/>
                <w:color w:val="auto"/>
                <w:kern w:val="0"/>
                <w:sz w:val="24"/>
                <w:szCs w:val="24"/>
                <w:highlight w:val="none"/>
              </w:rPr>
              <w:t>消防安全保障方案及拟实施的消防实施方案</w:t>
            </w:r>
            <w:r>
              <w:rPr>
                <w:rFonts w:hint="eastAsia" w:ascii="宋体" w:hAnsi="宋体" w:cs="宋体"/>
                <w:color w:val="auto"/>
                <w:kern w:val="0"/>
                <w:sz w:val="24"/>
                <w:szCs w:val="24"/>
                <w:highlight w:val="none"/>
              </w:rPr>
              <w:t>进行评价： ①有制定消防安全保障及实施方案，符合本项目现场实际情况的得1分； ②在满足①的基础上，方案有预防发生消防事故的措施，定期的消防演练安排，制定有针对性的灭火和应急疏散预案，充分考虑各方面安全因素，有利于项目实施的得3分； ③未提供或不满足以上要求的不得分。</w:t>
            </w:r>
          </w:p>
        </w:tc>
      </w:tr>
      <w:tr w14:paraId="2C6F7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2" w:type="pct"/>
            <w:tcBorders>
              <w:right w:val="single" w:color="auto" w:sz="4" w:space="0"/>
            </w:tcBorders>
            <w:vAlign w:val="center"/>
          </w:tcPr>
          <w:p w14:paraId="465880D7">
            <w:pPr>
              <w:widowControl/>
              <w:spacing w:line="360" w:lineRule="auto"/>
              <w:ind w:right="-80" w:rightChars="-38"/>
              <w:rPr>
                <w:rFonts w:ascii="宋体" w:hAnsi="宋体" w:cs="宋体"/>
                <w:color w:val="auto"/>
                <w:kern w:val="0"/>
                <w:sz w:val="24"/>
                <w:szCs w:val="24"/>
                <w:highlight w:val="none"/>
              </w:rPr>
            </w:pPr>
            <w:r>
              <w:rPr>
                <w:rFonts w:hint="eastAsia" w:ascii="宋体" w:hAnsi="宋体" w:cs="宋体"/>
                <w:color w:val="auto"/>
                <w:kern w:val="0"/>
                <w:sz w:val="24"/>
                <w:szCs w:val="24"/>
                <w:highlight w:val="none"/>
              </w:rPr>
              <w:t>1-3</w:t>
            </w:r>
          </w:p>
        </w:tc>
        <w:tc>
          <w:tcPr>
            <w:tcW w:w="434" w:type="pct"/>
            <w:vAlign w:val="center"/>
          </w:tcPr>
          <w:p w14:paraId="7D15C74C">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3</w:t>
            </w:r>
          </w:p>
        </w:tc>
        <w:tc>
          <w:tcPr>
            <w:tcW w:w="596" w:type="pct"/>
            <w:tcBorders>
              <w:top w:val="single" w:color="auto" w:sz="4" w:space="0"/>
              <w:left w:val="single" w:color="auto" w:sz="4" w:space="0"/>
              <w:bottom w:val="single" w:color="auto" w:sz="4" w:space="0"/>
              <w:right w:val="single" w:color="auto" w:sz="4" w:space="0"/>
            </w:tcBorders>
            <w:vAlign w:val="center"/>
          </w:tcPr>
          <w:p w14:paraId="3D87DC73">
            <w:pPr>
              <w:widowControl/>
              <w:spacing w:line="360" w:lineRule="auto"/>
              <w:jc w:val="center"/>
              <w:rPr>
                <w:rFonts w:ascii="宋体" w:hAnsi="宋体" w:cs="宋体"/>
                <w:color w:val="auto"/>
                <w:kern w:val="0"/>
                <w:sz w:val="24"/>
                <w:szCs w:val="24"/>
                <w:highlight w:val="none"/>
              </w:rPr>
            </w:pPr>
            <w:r>
              <w:rPr>
                <w:rFonts w:hint="eastAsia" w:ascii="宋体" w:hAnsi="宋体" w:cs="宋体"/>
                <w:b/>
                <w:bCs/>
                <w:color w:val="auto"/>
                <w:kern w:val="0"/>
                <w:sz w:val="24"/>
                <w:szCs w:val="24"/>
                <w:highlight w:val="none"/>
              </w:rPr>
              <w:t>否</w:t>
            </w:r>
          </w:p>
        </w:tc>
        <w:tc>
          <w:tcPr>
            <w:tcW w:w="3615" w:type="pct"/>
            <w:tcBorders>
              <w:top w:val="single" w:color="auto" w:sz="4" w:space="0"/>
              <w:left w:val="single" w:color="auto" w:sz="4" w:space="0"/>
              <w:bottom w:val="single" w:color="auto" w:sz="4" w:space="0"/>
              <w:right w:val="single" w:color="auto" w:sz="4" w:space="0"/>
            </w:tcBorders>
            <w:vAlign w:val="center"/>
          </w:tcPr>
          <w:p w14:paraId="39E40AD5">
            <w:pPr>
              <w:widowControl/>
              <w:spacing w:line="360" w:lineRule="auto"/>
              <w:jc w:val="left"/>
              <w:rPr>
                <w:rFonts w:ascii="宋体" w:hAnsi="宋体" w:cs="宋体"/>
                <w:snapToGrid w:val="0"/>
                <w:color w:val="auto"/>
                <w:sz w:val="24"/>
                <w:szCs w:val="24"/>
                <w:highlight w:val="none"/>
              </w:rPr>
            </w:pPr>
            <w:r>
              <w:rPr>
                <w:rFonts w:hint="eastAsia" w:ascii="宋体" w:hAnsi="宋体" w:cs="宋体"/>
                <w:color w:val="auto"/>
                <w:kern w:val="0"/>
                <w:sz w:val="24"/>
                <w:szCs w:val="24"/>
                <w:highlight w:val="none"/>
              </w:rPr>
              <w:t>根据投标人提供的</w:t>
            </w:r>
            <w:r>
              <w:rPr>
                <w:rFonts w:hint="eastAsia" w:ascii="宋体" w:hAnsi="宋体" w:cs="宋体"/>
                <w:b/>
                <w:bCs/>
                <w:color w:val="auto"/>
                <w:kern w:val="0"/>
                <w:sz w:val="24"/>
                <w:szCs w:val="24"/>
                <w:highlight w:val="none"/>
              </w:rPr>
              <w:t>对</w:t>
            </w:r>
            <w:bookmarkStart w:id="39" w:name="_Hlk132788945"/>
            <w:r>
              <w:rPr>
                <w:rFonts w:hint="eastAsia" w:ascii="宋体" w:hAnsi="宋体" w:cs="宋体"/>
                <w:b/>
                <w:bCs/>
                <w:color w:val="auto"/>
                <w:kern w:val="0"/>
                <w:sz w:val="24"/>
                <w:szCs w:val="24"/>
                <w:highlight w:val="none"/>
              </w:rPr>
              <w:t>遇到停水停电、大型活动、紧急供餐、临时加餐情况的紧急预案</w:t>
            </w:r>
            <w:bookmarkEnd w:id="39"/>
            <w:r>
              <w:rPr>
                <w:rFonts w:hint="eastAsia" w:ascii="宋体" w:hAnsi="宋体" w:cs="宋体"/>
                <w:b/>
                <w:bCs/>
                <w:color w:val="auto"/>
                <w:kern w:val="0"/>
                <w:sz w:val="24"/>
                <w:szCs w:val="24"/>
                <w:highlight w:val="none"/>
              </w:rPr>
              <w:t>方案</w:t>
            </w:r>
            <w:r>
              <w:rPr>
                <w:rFonts w:hint="eastAsia" w:ascii="宋体" w:hAnsi="宋体" w:cs="宋体"/>
                <w:color w:val="auto"/>
                <w:kern w:val="0"/>
                <w:sz w:val="24"/>
                <w:szCs w:val="24"/>
                <w:highlight w:val="none"/>
              </w:rPr>
              <w:t>进行评价：①有提供停水停电、大型活动、紧急供餐、临时加餐情况的紧急预案，且基本符合实际要求的得1.5分； ②在满足①的基础上，方案考虑全面，内容包括但不限于能及时妥善处理，保障突发情况下食堂经营工作正常进行，能够切实保障用餐正常进行，人员调配合理，有利于该项工作实施的得3分； ③未提供或存在较大缺漏的不得分。</w:t>
            </w:r>
          </w:p>
        </w:tc>
      </w:tr>
      <w:tr w14:paraId="25FFC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2" w:type="pct"/>
            <w:tcBorders>
              <w:right w:val="single" w:color="auto" w:sz="4" w:space="0"/>
            </w:tcBorders>
            <w:vAlign w:val="center"/>
          </w:tcPr>
          <w:p w14:paraId="483881E3">
            <w:pPr>
              <w:widowControl/>
              <w:spacing w:line="360" w:lineRule="auto"/>
              <w:ind w:right="-80" w:rightChars="-38"/>
              <w:rPr>
                <w:rFonts w:ascii="宋体" w:hAnsi="宋体" w:cs="宋体"/>
                <w:color w:val="auto"/>
                <w:kern w:val="0"/>
                <w:sz w:val="24"/>
                <w:szCs w:val="24"/>
                <w:highlight w:val="none"/>
                <w:lang w:eastAsia="zh-Hans"/>
              </w:rPr>
            </w:pPr>
            <w:r>
              <w:rPr>
                <w:rFonts w:hint="eastAsia" w:ascii="宋体" w:hAnsi="宋体" w:cs="宋体"/>
                <w:color w:val="auto"/>
                <w:kern w:val="0"/>
                <w:sz w:val="24"/>
                <w:szCs w:val="24"/>
                <w:highlight w:val="none"/>
              </w:rPr>
              <w:t>1-4</w:t>
            </w:r>
          </w:p>
        </w:tc>
        <w:tc>
          <w:tcPr>
            <w:tcW w:w="434" w:type="pct"/>
            <w:vAlign w:val="center"/>
          </w:tcPr>
          <w:p w14:paraId="73B3301B">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3</w:t>
            </w:r>
          </w:p>
        </w:tc>
        <w:tc>
          <w:tcPr>
            <w:tcW w:w="596" w:type="pct"/>
            <w:tcBorders>
              <w:top w:val="single" w:color="auto" w:sz="4" w:space="0"/>
              <w:left w:val="single" w:color="auto" w:sz="4" w:space="0"/>
              <w:bottom w:val="single" w:color="auto" w:sz="4" w:space="0"/>
              <w:right w:val="single" w:color="auto" w:sz="4" w:space="0"/>
            </w:tcBorders>
            <w:vAlign w:val="center"/>
          </w:tcPr>
          <w:p w14:paraId="1A63C0A2">
            <w:pPr>
              <w:widowControl/>
              <w:spacing w:line="360" w:lineRule="auto"/>
              <w:jc w:val="center"/>
              <w:rPr>
                <w:rFonts w:ascii="宋体" w:hAnsi="宋体" w:cs="宋体"/>
                <w:color w:val="auto"/>
                <w:kern w:val="0"/>
                <w:sz w:val="24"/>
                <w:szCs w:val="24"/>
                <w:highlight w:val="none"/>
              </w:rPr>
            </w:pPr>
            <w:r>
              <w:rPr>
                <w:rFonts w:hint="eastAsia" w:ascii="宋体" w:hAnsi="宋体" w:cs="宋体"/>
                <w:b/>
                <w:bCs/>
                <w:color w:val="auto"/>
                <w:kern w:val="0"/>
                <w:sz w:val="24"/>
                <w:szCs w:val="24"/>
                <w:highlight w:val="none"/>
              </w:rPr>
              <w:t>否</w:t>
            </w:r>
          </w:p>
        </w:tc>
        <w:tc>
          <w:tcPr>
            <w:tcW w:w="3615" w:type="pct"/>
            <w:tcBorders>
              <w:top w:val="single" w:color="auto" w:sz="4" w:space="0"/>
              <w:left w:val="single" w:color="auto" w:sz="4" w:space="0"/>
              <w:bottom w:val="single" w:color="auto" w:sz="4" w:space="0"/>
              <w:right w:val="single" w:color="auto" w:sz="4" w:space="0"/>
            </w:tcBorders>
            <w:vAlign w:val="center"/>
          </w:tcPr>
          <w:p w14:paraId="7848B0EF">
            <w:pPr>
              <w:widowControl/>
              <w:spacing w:line="360" w:lineRule="auto"/>
              <w:jc w:val="left"/>
              <w:rPr>
                <w:rFonts w:ascii="宋体" w:hAnsi="宋体" w:cs="宋体"/>
                <w:snapToGrid w:val="0"/>
                <w:color w:val="auto"/>
                <w:sz w:val="24"/>
                <w:szCs w:val="24"/>
                <w:highlight w:val="none"/>
              </w:rPr>
            </w:pPr>
            <w:r>
              <w:rPr>
                <w:rFonts w:hint="eastAsia" w:ascii="宋体" w:hAnsi="宋体" w:cs="宋体"/>
                <w:color w:val="auto"/>
                <w:kern w:val="0"/>
                <w:sz w:val="24"/>
                <w:szCs w:val="24"/>
                <w:highlight w:val="none"/>
              </w:rPr>
              <w:t>根据投标人针对本项目提供的</w:t>
            </w:r>
            <w:bookmarkStart w:id="40" w:name="_Hlk132788960"/>
            <w:r>
              <w:rPr>
                <w:rFonts w:hint="eastAsia" w:ascii="宋体" w:hAnsi="宋体" w:cs="宋体"/>
                <w:b/>
                <w:bCs/>
                <w:color w:val="auto"/>
                <w:kern w:val="0"/>
                <w:sz w:val="24"/>
                <w:szCs w:val="24"/>
                <w:highlight w:val="none"/>
              </w:rPr>
              <w:t>食物中毒突发事件方案</w:t>
            </w:r>
            <w:bookmarkEnd w:id="40"/>
            <w:r>
              <w:rPr>
                <w:rFonts w:hint="eastAsia" w:ascii="宋体" w:hAnsi="宋体" w:cs="宋体"/>
                <w:color w:val="auto"/>
                <w:kern w:val="0"/>
                <w:sz w:val="24"/>
                <w:szCs w:val="24"/>
                <w:highlight w:val="none"/>
              </w:rPr>
              <w:t>进行评价：①对该项内容有做出响应，提供食物中毒突发事件方案，且符合本项目实施要求的得1分；②在满足①的基础上，方案内容包括但不限于能及时妥善处理，保障突发情况下食堂经营工作正常进行，能够切实保障用餐正常进行的得3分。未提供相关内容或提供的内容不符合本项目要求的得0分。</w:t>
            </w:r>
          </w:p>
        </w:tc>
      </w:tr>
      <w:tr w14:paraId="3B78D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2" w:type="pct"/>
            <w:tcBorders>
              <w:right w:val="single" w:color="auto" w:sz="4" w:space="0"/>
            </w:tcBorders>
            <w:vAlign w:val="center"/>
          </w:tcPr>
          <w:p w14:paraId="4C6112A2">
            <w:pPr>
              <w:widowControl/>
              <w:spacing w:line="360" w:lineRule="auto"/>
              <w:ind w:right="-80" w:rightChars="-38"/>
              <w:rPr>
                <w:rFonts w:ascii="宋体" w:hAnsi="宋体" w:cs="宋体"/>
                <w:color w:val="auto"/>
                <w:kern w:val="0"/>
                <w:sz w:val="24"/>
                <w:szCs w:val="24"/>
                <w:highlight w:val="none"/>
                <w:lang w:eastAsia="zh-Hans"/>
              </w:rPr>
            </w:pPr>
            <w:r>
              <w:rPr>
                <w:rFonts w:hint="eastAsia" w:ascii="宋体" w:hAnsi="宋体" w:cs="宋体"/>
                <w:color w:val="auto"/>
                <w:kern w:val="0"/>
                <w:sz w:val="24"/>
                <w:szCs w:val="24"/>
                <w:highlight w:val="none"/>
              </w:rPr>
              <w:t>1-5</w:t>
            </w:r>
          </w:p>
        </w:tc>
        <w:tc>
          <w:tcPr>
            <w:tcW w:w="434" w:type="pct"/>
            <w:vAlign w:val="center"/>
          </w:tcPr>
          <w:p w14:paraId="65511107">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3</w:t>
            </w:r>
          </w:p>
        </w:tc>
        <w:tc>
          <w:tcPr>
            <w:tcW w:w="596" w:type="pct"/>
            <w:tcBorders>
              <w:top w:val="single" w:color="auto" w:sz="4" w:space="0"/>
              <w:left w:val="single" w:color="auto" w:sz="4" w:space="0"/>
              <w:bottom w:val="single" w:color="auto" w:sz="4" w:space="0"/>
              <w:right w:val="single" w:color="auto" w:sz="4" w:space="0"/>
            </w:tcBorders>
            <w:vAlign w:val="center"/>
          </w:tcPr>
          <w:p w14:paraId="5FA31262">
            <w:pPr>
              <w:widowControl/>
              <w:spacing w:line="360" w:lineRule="auto"/>
              <w:jc w:val="center"/>
              <w:rPr>
                <w:rFonts w:ascii="宋体" w:hAnsi="宋体" w:cs="宋体"/>
                <w:color w:val="auto"/>
                <w:kern w:val="0"/>
                <w:sz w:val="24"/>
                <w:szCs w:val="24"/>
                <w:highlight w:val="none"/>
              </w:rPr>
            </w:pPr>
            <w:r>
              <w:rPr>
                <w:rFonts w:hint="eastAsia" w:ascii="宋体" w:hAnsi="宋体" w:cs="宋体"/>
                <w:b/>
                <w:bCs/>
                <w:color w:val="auto"/>
                <w:kern w:val="0"/>
                <w:sz w:val="24"/>
                <w:szCs w:val="24"/>
                <w:highlight w:val="none"/>
              </w:rPr>
              <w:t>是</w:t>
            </w:r>
          </w:p>
        </w:tc>
        <w:tc>
          <w:tcPr>
            <w:tcW w:w="3615" w:type="pct"/>
            <w:tcBorders>
              <w:top w:val="single" w:color="auto" w:sz="4" w:space="0"/>
              <w:left w:val="single" w:color="auto" w:sz="4" w:space="0"/>
              <w:bottom w:val="single" w:color="auto" w:sz="4" w:space="0"/>
              <w:right w:val="single" w:color="auto" w:sz="4" w:space="0"/>
            </w:tcBorders>
            <w:vAlign w:val="center"/>
          </w:tcPr>
          <w:p w14:paraId="065DF13E">
            <w:pPr>
              <w:widowControl/>
              <w:spacing w:line="360" w:lineRule="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根据供应商</w:t>
            </w:r>
            <w:bookmarkStart w:id="41" w:name="_Hlk132788993"/>
            <w:r>
              <w:rPr>
                <w:rFonts w:hint="eastAsia" w:ascii="宋体" w:hAnsi="宋体" w:cs="宋体"/>
                <w:b/>
                <w:bCs/>
                <w:color w:val="auto"/>
                <w:kern w:val="0"/>
                <w:sz w:val="24"/>
                <w:szCs w:val="24"/>
                <w:highlight w:val="none"/>
              </w:rPr>
              <w:t>餐饮服务从业人员卫生承诺</w:t>
            </w:r>
            <w:bookmarkEnd w:id="41"/>
            <w:r>
              <w:rPr>
                <w:rFonts w:hint="eastAsia" w:ascii="宋体" w:hAnsi="宋体" w:cs="宋体"/>
                <w:color w:val="auto"/>
                <w:kern w:val="0"/>
                <w:sz w:val="24"/>
                <w:szCs w:val="24"/>
                <w:highlight w:val="none"/>
              </w:rPr>
              <w:t>进行评价：①经健康体检、卫生知识培训合格后上岗；②穿戴清洁工作衣帽，头发不外露，不留长指甲，不带戒指和涂指甲油；③工作场所内不吸烟，不穿工作服进厕所，工作前及便后要洗手，不带病伤（感染性疾病）上岗。每提供一项承诺得1分，满分3分。</w:t>
            </w:r>
          </w:p>
        </w:tc>
      </w:tr>
      <w:tr w14:paraId="29369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2" w:type="pct"/>
            <w:tcBorders>
              <w:right w:val="single" w:color="auto" w:sz="4" w:space="0"/>
            </w:tcBorders>
            <w:vAlign w:val="center"/>
          </w:tcPr>
          <w:p w14:paraId="0CA594A6">
            <w:pPr>
              <w:widowControl/>
              <w:spacing w:line="360" w:lineRule="auto"/>
              <w:ind w:right="-80" w:rightChars="-38"/>
              <w:rPr>
                <w:rFonts w:ascii="宋体" w:hAnsi="宋体" w:cs="宋体"/>
                <w:color w:val="auto"/>
                <w:kern w:val="0"/>
                <w:sz w:val="24"/>
                <w:szCs w:val="24"/>
                <w:highlight w:val="none"/>
                <w:lang w:eastAsia="zh-Hans"/>
              </w:rPr>
            </w:pPr>
            <w:r>
              <w:rPr>
                <w:rFonts w:hint="eastAsia" w:ascii="宋体" w:hAnsi="宋体" w:cs="宋体"/>
                <w:color w:val="auto"/>
                <w:kern w:val="0"/>
                <w:sz w:val="24"/>
                <w:szCs w:val="24"/>
                <w:highlight w:val="none"/>
              </w:rPr>
              <w:t>1-6</w:t>
            </w:r>
          </w:p>
        </w:tc>
        <w:tc>
          <w:tcPr>
            <w:tcW w:w="434" w:type="pct"/>
            <w:vAlign w:val="center"/>
          </w:tcPr>
          <w:p w14:paraId="6AC87366">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3</w:t>
            </w:r>
          </w:p>
        </w:tc>
        <w:tc>
          <w:tcPr>
            <w:tcW w:w="596" w:type="pct"/>
            <w:tcBorders>
              <w:top w:val="single" w:color="auto" w:sz="4" w:space="0"/>
              <w:left w:val="single" w:color="auto" w:sz="4" w:space="0"/>
              <w:bottom w:val="single" w:color="auto" w:sz="4" w:space="0"/>
              <w:right w:val="single" w:color="auto" w:sz="4" w:space="0"/>
            </w:tcBorders>
            <w:vAlign w:val="center"/>
          </w:tcPr>
          <w:p w14:paraId="2488DE9A">
            <w:pPr>
              <w:widowControl/>
              <w:spacing w:line="360" w:lineRule="auto"/>
              <w:jc w:val="center"/>
              <w:rPr>
                <w:rFonts w:ascii="宋体" w:hAnsi="宋体" w:cs="宋体"/>
                <w:color w:val="auto"/>
                <w:kern w:val="0"/>
                <w:sz w:val="24"/>
                <w:szCs w:val="24"/>
                <w:highlight w:val="none"/>
              </w:rPr>
            </w:pPr>
            <w:r>
              <w:rPr>
                <w:rFonts w:hint="eastAsia" w:ascii="宋体" w:hAnsi="宋体" w:cs="宋体"/>
                <w:b/>
                <w:bCs/>
                <w:color w:val="auto"/>
                <w:kern w:val="0"/>
                <w:sz w:val="24"/>
                <w:szCs w:val="24"/>
                <w:highlight w:val="none"/>
              </w:rPr>
              <w:t>否</w:t>
            </w:r>
          </w:p>
        </w:tc>
        <w:tc>
          <w:tcPr>
            <w:tcW w:w="3615" w:type="pct"/>
            <w:tcBorders>
              <w:top w:val="single" w:color="auto" w:sz="4" w:space="0"/>
              <w:left w:val="single" w:color="auto" w:sz="4" w:space="0"/>
              <w:bottom w:val="single" w:color="auto" w:sz="4" w:space="0"/>
              <w:right w:val="single" w:color="auto" w:sz="4" w:space="0"/>
            </w:tcBorders>
            <w:vAlign w:val="center"/>
          </w:tcPr>
          <w:p w14:paraId="51EEC17D">
            <w:pPr>
              <w:widowControl/>
              <w:spacing w:line="360" w:lineRule="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本项目的食材由采购人负责采购，但中标人需对到货食材进行验收，根据投标人提供的</w:t>
            </w:r>
            <w:r>
              <w:rPr>
                <w:rFonts w:hint="eastAsia" w:ascii="宋体" w:hAnsi="宋体" w:cs="宋体"/>
                <w:b/>
                <w:bCs/>
                <w:color w:val="auto"/>
                <w:kern w:val="0"/>
                <w:sz w:val="24"/>
                <w:szCs w:val="24"/>
                <w:highlight w:val="none"/>
              </w:rPr>
              <w:t>食材验收管理方案</w:t>
            </w:r>
            <w:r>
              <w:rPr>
                <w:rFonts w:hint="eastAsia" w:ascii="宋体" w:hAnsi="宋体" w:cs="宋体"/>
                <w:color w:val="auto"/>
                <w:kern w:val="0"/>
                <w:sz w:val="24"/>
                <w:szCs w:val="24"/>
                <w:highlight w:val="none"/>
              </w:rPr>
              <w:t>（包括验收标准、要求、方式方法、管理制度等）进行评价：①有提供食材验收管理方案的得1分；②在满足①的基础上，方案包含食材验收标准（涵盖食材的质量等级、新鲜度等指标）、要求、方式方法合理、管理制度清晰，且贴合食材品类特点，对本项目有促进作用，得3分；内容不符合本项目要求，对项目实施带来较大风险或未提供资料的，不得分。</w:t>
            </w:r>
          </w:p>
        </w:tc>
      </w:tr>
      <w:tr w14:paraId="5F72B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2" w:type="pct"/>
            <w:tcBorders>
              <w:right w:val="single" w:color="auto" w:sz="4" w:space="0"/>
            </w:tcBorders>
            <w:vAlign w:val="center"/>
          </w:tcPr>
          <w:p w14:paraId="186E8F08">
            <w:pPr>
              <w:widowControl/>
              <w:spacing w:line="360" w:lineRule="auto"/>
              <w:ind w:right="-80" w:rightChars="-38"/>
              <w:rPr>
                <w:rFonts w:ascii="宋体" w:hAnsi="宋体" w:cs="宋体"/>
                <w:color w:val="auto"/>
                <w:kern w:val="0"/>
                <w:sz w:val="24"/>
                <w:szCs w:val="24"/>
                <w:highlight w:val="none"/>
                <w:lang w:eastAsia="zh-Hans"/>
              </w:rPr>
            </w:pPr>
            <w:r>
              <w:rPr>
                <w:rFonts w:hint="eastAsia" w:ascii="宋体" w:hAnsi="宋体" w:cs="宋体"/>
                <w:color w:val="auto"/>
                <w:kern w:val="0"/>
                <w:sz w:val="24"/>
                <w:szCs w:val="24"/>
                <w:highlight w:val="none"/>
              </w:rPr>
              <w:t>1-</w:t>
            </w:r>
            <w:r>
              <w:rPr>
                <w:rFonts w:ascii="宋体" w:hAnsi="宋体" w:cs="宋体"/>
                <w:color w:val="auto"/>
                <w:kern w:val="0"/>
                <w:sz w:val="24"/>
                <w:szCs w:val="24"/>
                <w:highlight w:val="none"/>
              </w:rPr>
              <w:t>7</w:t>
            </w:r>
          </w:p>
        </w:tc>
        <w:tc>
          <w:tcPr>
            <w:tcW w:w="434" w:type="pct"/>
            <w:vAlign w:val="center"/>
          </w:tcPr>
          <w:p w14:paraId="5B728FC7">
            <w:pPr>
              <w:widowControl/>
              <w:spacing w:line="360" w:lineRule="auto"/>
              <w:jc w:val="center"/>
              <w:rPr>
                <w:rFonts w:ascii="宋体" w:hAnsi="宋体" w:cs="宋体"/>
                <w:color w:val="auto"/>
                <w:kern w:val="0"/>
                <w:sz w:val="24"/>
                <w:szCs w:val="24"/>
                <w:highlight w:val="none"/>
              </w:rPr>
            </w:pPr>
            <w:r>
              <w:rPr>
                <w:rFonts w:ascii="宋体" w:hAnsi="宋体" w:cs="宋体"/>
                <w:color w:val="auto"/>
                <w:kern w:val="0"/>
                <w:sz w:val="24"/>
                <w:szCs w:val="24"/>
                <w:highlight w:val="none"/>
              </w:rPr>
              <w:t>3</w:t>
            </w:r>
          </w:p>
        </w:tc>
        <w:tc>
          <w:tcPr>
            <w:tcW w:w="596" w:type="pct"/>
            <w:tcBorders>
              <w:top w:val="single" w:color="auto" w:sz="4" w:space="0"/>
              <w:left w:val="single" w:color="auto" w:sz="4" w:space="0"/>
              <w:bottom w:val="single" w:color="auto" w:sz="4" w:space="0"/>
              <w:right w:val="single" w:color="auto" w:sz="4" w:space="0"/>
            </w:tcBorders>
            <w:vAlign w:val="center"/>
          </w:tcPr>
          <w:p w14:paraId="23D13022">
            <w:pPr>
              <w:widowControl/>
              <w:spacing w:line="360" w:lineRule="auto"/>
              <w:jc w:val="center"/>
              <w:rPr>
                <w:rFonts w:ascii="宋体" w:hAnsi="宋体" w:cs="宋体"/>
                <w:color w:val="auto"/>
                <w:kern w:val="0"/>
                <w:sz w:val="24"/>
                <w:szCs w:val="24"/>
                <w:highlight w:val="none"/>
              </w:rPr>
            </w:pPr>
            <w:r>
              <w:rPr>
                <w:rFonts w:hint="eastAsia" w:ascii="宋体" w:hAnsi="宋体" w:cs="宋体"/>
                <w:b/>
                <w:bCs/>
                <w:color w:val="auto"/>
                <w:kern w:val="0"/>
                <w:sz w:val="24"/>
                <w:szCs w:val="24"/>
                <w:highlight w:val="none"/>
              </w:rPr>
              <w:t>否</w:t>
            </w:r>
          </w:p>
        </w:tc>
        <w:tc>
          <w:tcPr>
            <w:tcW w:w="3615" w:type="pct"/>
            <w:tcBorders>
              <w:top w:val="single" w:color="auto" w:sz="4" w:space="0"/>
              <w:left w:val="single" w:color="auto" w:sz="4" w:space="0"/>
              <w:bottom w:val="single" w:color="auto" w:sz="4" w:space="0"/>
              <w:right w:val="single" w:color="auto" w:sz="4" w:space="0"/>
            </w:tcBorders>
            <w:vAlign w:val="center"/>
          </w:tcPr>
          <w:p w14:paraId="6B1C83C1">
            <w:pPr>
              <w:widowControl/>
              <w:spacing w:line="360" w:lineRule="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根据投标人针对本项目提供的</w:t>
            </w:r>
            <w:r>
              <w:rPr>
                <w:rFonts w:hint="eastAsia" w:ascii="宋体" w:hAnsi="宋体" w:cs="宋体"/>
                <w:b/>
                <w:bCs/>
                <w:color w:val="auto"/>
                <w:kern w:val="0"/>
                <w:sz w:val="24"/>
                <w:szCs w:val="24"/>
                <w:highlight w:val="none"/>
              </w:rPr>
              <w:t>食物安全管理方案</w:t>
            </w:r>
            <w:r>
              <w:rPr>
                <w:rFonts w:hint="eastAsia" w:ascii="宋体" w:hAnsi="宋体" w:cs="宋体"/>
                <w:color w:val="auto"/>
                <w:kern w:val="0"/>
                <w:sz w:val="24"/>
                <w:szCs w:val="24"/>
                <w:highlight w:val="none"/>
              </w:rPr>
              <w:t>进行评价：①对该项内容有做出响应，提供食物安全管理方案，且符合本项目实施要求的得1分；②在满足①的基础上，方案内容包括但不限于卫生管理制度、岗位职责、食品留样制度、库房管理制度、凉菜加工制作制度的得</w:t>
            </w:r>
            <w:r>
              <w:rPr>
                <w:rFonts w:ascii="宋体" w:hAnsi="宋体" w:cs="宋体"/>
                <w:color w:val="auto"/>
                <w:kern w:val="0"/>
                <w:sz w:val="24"/>
                <w:szCs w:val="24"/>
                <w:highlight w:val="none"/>
              </w:rPr>
              <w:t>2</w:t>
            </w:r>
            <w:r>
              <w:rPr>
                <w:rFonts w:hint="eastAsia" w:ascii="宋体" w:hAnsi="宋体" w:cs="宋体"/>
                <w:color w:val="auto"/>
                <w:kern w:val="0"/>
                <w:sz w:val="24"/>
                <w:szCs w:val="24"/>
                <w:highlight w:val="none"/>
              </w:rPr>
              <w:t>分。在满足基础上，投标人承诺提供卫生检查记录、食品采购索证档案、食谱登记、健康证的得</w:t>
            </w:r>
            <w:r>
              <w:rPr>
                <w:rFonts w:ascii="宋体" w:hAnsi="宋体" w:cs="宋体"/>
                <w:color w:val="auto"/>
                <w:kern w:val="0"/>
                <w:sz w:val="24"/>
                <w:szCs w:val="24"/>
                <w:highlight w:val="none"/>
              </w:rPr>
              <w:t>3</w:t>
            </w:r>
            <w:r>
              <w:rPr>
                <w:rFonts w:hint="eastAsia" w:ascii="宋体" w:hAnsi="宋体" w:cs="宋体"/>
                <w:color w:val="auto"/>
                <w:kern w:val="0"/>
                <w:sz w:val="24"/>
                <w:szCs w:val="24"/>
                <w:highlight w:val="none"/>
              </w:rPr>
              <w:t>分。未提供相关内容或提供的内容不符合本项目要求的不得分。</w:t>
            </w:r>
          </w:p>
        </w:tc>
      </w:tr>
      <w:tr w14:paraId="39F20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2" w:type="pct"/>
            <w:tcBorders>
              <w:right w:val="single" w:color="auto" w:sz="4" w:space="0"/>
            </w:tcBorders>
            <w:vAlign w:val="center"/>
          </w:tcPr>
          <w:p w14:paraId="3E862C13">
            <w:pPr>
              <w:widowControl/>
              <w:spacing w:line="360" w:lineRule="auto"/>
              <w:ind w:right="-80" w:rightChars="-38"/>
              <w:rPr>
                <w:rFonts w:ascii="宋体" w:hAnsi="宋体" w:cs="宋体"/>
                <w:color w:val="auto"/>
                <w:kern w:val="0"/>
                <w:sz w:val="24"/>
                <w:szCs w:val="24"/>
                <w:highlight w:val="none"/>
                <w:lang w:eastAsia="zh-Hans"/>
              </w:rPr>
            </w:pPr>
            <w:r>
              <w:rPr>
                <w:rFonts w:hint="eastAsia" w:ascii="宋体" w:hAnsi="宋体" w:cs="宋体"/>
                <w:color w:val="auto"/>
                <w:kern w:val="0"/>
                <w:sz w:val="24"/>
                <w:szCs w:val="24"/>
                <w:highlight w:val="none"/>
              </w:rPr>
              <w:t>1-</w:t>
            </w:r>
            <w:r>
              <w:rPr>
                <w:rFonts w:ascii="宋体" w:hAnsi="宋体" w:cs="宋体"/>
                <w:color w:val="auto"/>
                <w:kern w:val="0"/>
                <w:sz w:val="24"/>
                <w:szCs w:val="24"/>
                <w:highlight w:val="none"/>
              </w:rPr>
              <w:t>8</w:t>
            </w:r>
          </w:p>
        </w:tc>
        <w:tc>
          <w:tcPr>
            <w:tcW w:w="434" w:type="pct"/>
            <w:vAlign w:val="center"/>
          </w:tcPr>
          <w:p w14:paraId="686BCD7E">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3</w:t>
            </w:r>
          </w:p>
        </w:tc>
        <w:tc>
          <w:tcPr>
            <w:tcW w:w="596" w:type="pct"/>
            <w:tcBorders>
              <w:top w:val="single" w:color="auto" w:sz="4" w:space="0"/>
              <w:left w:val="single" w:color="auto" w:sz="4" w:space="0"/>
              <w:bottom w:val="single" w:color="auto" w:sz="4" w:space="0"/>
              <w:right w:val="single" w:color="auto" w:sz="4" w:space="0"/>
            </w:tcBorders>
            <w:vAlign w:val="center"/>
          </w:tcPr>
          <w:p w14:paraId="437EC19E">
            <w:pPr>
              <w:widowControl/>
              <w:spacing w:line="360" w:lineRule="auto"/>
              <w:jc w:val="center"/>
              <w:rPr>
                <w:rFonts w:ascii="宋体" w:hAnsi="宋体" w:cs="宋体"/>
                <w:color w:val="auto"/>
                <w:kern w:val="0"/>
                <w:sz w:val="24"/>
                <w:szCs w:val="24"/>
                <w:highlight w:val="none"/>
              </w:rPr>
            </w:pPr>
            <w:r>
              <w:rPr>
                <w:rFonts w:hint="eastAsia" w:ascii="宋体" w:hAnsi="宋体" w:cs="宋体"/>
                <w:b/>
                <w:bCs/>
                <w:color w:val="auto"/>
                <w:kern w:val="0"/>
                <w:sz w:val="24"/>
                <w:szCs w:val="24"/>
                <w:highlight w:val="none"/>
              </w:rPr>
              <w:t>否</w:t>
            </w:r>
          </w:p>
        </w:tc>
        <w:tc>
          <w:tcPr>
            <w:tcW w:w="3615" w:type="pct"/>
            <w:tcBorders>
              <w:top w:val="single" w:color="auto" w:sz="4" w:space="0"/>
              <w:left w:val="single" w:color="auto" w:sz="4" w:space="0"/>
              <w:bottom w:val="single" w:color="auto" w:sz="4" w:space="0"/>
              <w:right w:val="single" w:color="auto" w:sz="4" w:space="0"/>
            </w:tcBorders>
            <w:vAlign w:val="center"/>
          </w:tcPr>
          <w:p w14:paraId="4DC8507D">
            <w:pPr>
              <w:widowControl/>
              <w:spacing w:line="360" w:lineRule="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根据投标人所提供的</w:t>
            </w:r>
            <w:r>
              <w:rPr>
                <w:rFonts w:hint="eastAsia" w:ascii="宋体" w:hAnsi="宋体" w:cs="宋体"/>
                <w:b/>
                <w:bCs/>
                <w:color w:val="auto"/>
                <w:kern w:val="0"/>
                <w:sz w:val="24"/>
                <w:szCs w:val="24"/>
                <w:highlight w:val="none"/>
              </w:rPr>
              <w:t>清洗消毒方案</w:t>
            </w:r>
            <w:r>
              <w:rPr>
                <w:rFonts w:hint="eastAsia" w:ascii="宋体" w:hAnsi="宋体" w:cs="宋体"/>
                <w:color w:val="auto"/>
                <w:kern w:val="0"/>
                <w:sz w:val="24"/>
                <w:szCs w:val="24"/>
                <w:highlight w:val="none"/>
              </w:rPr>
              <w:t>进行评价：①有制定相应的清洗消毒措施，提供清洗消毒方案的得1分；②在满足①的基础上，清洗消毒方案已涵盖食堂所有需清洗消毒的区域、设备及用品等，对清洗消毒过程中的关键节点有具体质量控制措施，有相应的人力、物力投入安排，能够确保清洗消毒质量的，得3分；未提供措施或者措施不可行或不符合项目需求的不得分。</w:t>
            </w:r>
          </w:p>
        </w:tc>
      </w:tr>
      <w:tr w14:paraId="0B4EF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2" w:type="pct"/>
            <w:tcBorders>
              <w:right w:val="single" w:color="auto" w:sz="4" w:space="0"/>
            </w:tcBorders>
            <w:vAlign w:val="center"/>
          </w:tcPr>
          <w:p w14:paraId="47C97A74">
            <w:pPr>
              <w:widowControl/>
              <w:spacing w:line="360" w:lineRule="auto"/>
              <w:ind w:right="-80" w:rightChars="-38"/>
              <w:rPr>
                <w:rFonts w:ascii="宋体" w:hAnsi="宋体" w:cs="宋体"/>
                <w:color w:val="auto"/>
                <w:kern w:val="0"/>
                <w:sz w:val="24"/>
                <w:szCs w:val="24"/>
                <w:highlight w:val="none"/>
              </w:rPr>
            </w:pPr>
            <w:r>
              <w:rPr>
                <w:rFonts w:hint="eastAsia" w:ascii="宋体" w:hAnsi="宋体" w:cs="宋体"/>
                <w:color w:val="auto"/>
                <w:kern w:val="0"/>
                <w:sz w:val="24"/>
                <w:szCs w:val="24"/>
                <w:highlight w:val="none"/>
              </w:rPr>
              <w:t>1-</w:t>
            </w:r>
            <w:r>
              <w:rPr>
                <w:rFonts w:ascii="宋体" w:hAnsi="宋体" w:cs="宋体"/>
                <w:color w:val="auto"/>
                <w:kern w:val="0"/>
                <w:sz w:val="24"/>
                <w:szCs w:val="24"/>
                <w:highlight w:val="none"/>
              </w:rPr>
              <w:t>9</w:t>
            </w:r>
          </w:p>
        </w:tc>
        <w:tc>
          <w:tcPr>
            <w:tcW w:w="434" w:type="pct"/>
            <w:vAlign w:val="center"/>
          </w:tcPr>
          <w:p w14:paraId="4A25BE22">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3</w:t>
            </w:r>
          </w:p>
        </w:tc>
        <w:tc>
          <w:tcPr>
            <w:tcW w:w="596" w:type="pct"/>
            <w:tcBorders>
              <w:top w:val="single" w:color="auto" w:sz="4" w:space="0"/>
              <w:left w:val="single" w:color="auto" w:sz="4" w:space="0"/>
              <w:bottom w:val="single" w:color="auto" w:sz="4" w:space="0"/>
              <w:right w:val="single" w:color="auto" w:sz="4" w:space="0"/>
            </w:tcBorders>
            <w:vAlign w:val="center"/>
          </w:tcPr>
          <w:p w14:paraId="40AD6B04">
            <w:pPr>
              <w:widowControl/>
              <w:spacing w:line="360" w:lineRule="auto"/>
              <w:jc w:val="center"/>
              <w:rPr>
                <w:rFonts w:ascii="宋体" w:hAnsi="宋体" w:cs="宋体"/>
                <w:color w:val="auto"/>
                <w:kern w:val="0"/>
                <w:sz w:val="24"/>
                <w:szCs w:val="24"/>
                <w:highlight w:val="none"/>
              </w:rPr>
            </w:pPr>
            <w:r>
              <w:rPr>
                <w:rFonts w:hint="eastAsia" w:ascii="宋体" w:hAnsi="宋体" w:cs="宋体"/>
                <w:b/>
                <w:bCs/>
                <w:color w:val="auto"/>
                <w:kern w:val="0"/>
                <w:sz w:val="24"/>
                <w:szCs w:val="24"/>
                <w:highlight w:val="none"/>
              </w:rPr>
              <w:t>否</w:t>
            </w:r>
          </w:p>
        </w:tc>
        <w:tc>
          <w:tcPr>
            <w:tcW w:w="3615" w:type="pct"/>
            <w:tcBorders>
              <w:top w:val="single" w:color="auto" w:sz="4" w:space="0"/>
              <w:left w:val="single" w:color="auto" w:sz="4" w:space="0"/>
              <w:bottom w:val="single" w:color="auto" w:sz="4" w:space="0"/>
              <w:right w:val="single" w:color="auto" w:sz="4" w:space="0"/>
            </w:tcBorders>
            <w:vAlign w:val="center"/>
          </w:tcPr>
          <w:p w14:paraId="64B509A2">
            <w:pPr>
              <w:widowControl/>
              <w:spacing w:line="360" w:lineRule="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根据投标人对</w:t>
            </w:r>
            <w:r>
              <w:rPr>
                <w:rFonts w:hint="eastAsia" w:ascii="宋体" w:hAnsi="宋体" w:cs="宋体"/>
                <w:b/>
                <w:bCs/>
                <w:color w:val="auto"/>
                <w:kern w:val="0"/>
                <w:sz w:val="24"/>
                <w:szCs w:val="24"/>
                <w:highlight w:val="none"/>
              </w:rPr>
              <w:t>食堂的菜谱的制定、更新方案</w:t>
            </w:r>
            <w:r>
              <w:rPr>
                <w:rFonts w:hint="eastAsia" w:ascii="宋体" w:hAnsi="宋体" w:cs="宋体"/>
                <w:color w:val="auto"/>
                <w:kern w:val="0"/>
                <w:sz w:val="24"/>
                <w:szCs w:val="24"/>
                <w:highlight w:val="none"/>
              </w:rPr>
              <w:t>进行评价：①有提供食堂的菜谱的制定、更新方案的得1分；②在满足①的基础上，方案内容完整详细，内容包括但不限于菜单及营养配比，体现荤素搭配、营养均衡科学、菜系分类</w:t>
            </w:r>
            <w:r>
              <w:rPr>
                <w:rFonts w:hint="eastAsia" w:ascii="宋体" w:hAnsi="宋体" w:cs="宋体"/>
                <w:color w:val="auto"/>
                <w:kern w:val="0"/>
                <w:sz w:val="24"/>
                <w:szCs w:val="24"/>
                <w:highlight w:val="none"/>
                <w:lang w:eastAsia="zh-CN"/>
              </w:rPr>
              <w:t>、菜品更新机制及</w:t>
            </w:r>
            <w:r>
              <w:rPr>
                <w:rFonts w:hint="eastAsia" w:ascii="宋体" w:hAnsi="宋体" w:cs="宋体"/>
                <w:color w:val="auto"/>
                <w:kern w:val="0"/>
                <w:sz w:val="24"/>
                <w:szCs w:val="24"/>
                <w:highlight w:val="none"/>
              </w:rPr>
              <w:t>品种多样化的得3分；未提供相关方案或方案不可行的不得分。</w:t>
            </w:r>
          </w:p>
        </w:tc>
      </w:tr>
      <w:tr w14:paraId="0C03F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2" w:type="pct"/>
            <w:tcBorders>
              <w:right w:val="single" w:color="auto" w:sz="4" w:space="0"/>
            </w:tcBorders>
            <w:vAlign w:val="center"/>
          </w:tcPr>
          <w:p w14:paraId="4447E927">
            <w:pPr>
              <w:widowControl/>
              <w:spacing w:line="360" w:lineRule="auto"/>
              <w:ind w:right="-80" w:rightChars="-38"/>
              <w:rPr>
                <w:rFonts w:ascii="宋体" w:hAnsi="宋体" w:cs="宋体"/>
                <w:color w:val="auto"/>
                <w:kern w:val="0"/>
                <w:sz w:val="24"/>
                <w:szCs w:val="24"/>
                <w:highlight w:val="none"/>
                <w:lang w:eastAsia="zh-Hans"/>
              </w:rPr>
            </w:pPr>
            <w:r>
              <w:rPr>
                <w:rFonts w:hint="eastAsia" w:ascii="宋体" w:hAnsi="宋体" w:cs="宋体"/>
                <w:color w:val="auto"/>
                <w:kern w:val="0"/>
                <w:sz w:val="24"/>
                <w:szCs w:val="24"/>
                <w:highlight w:val="none"/>
              </w:rPr>
              <w:t>1-1</w:t>
            </w:r>
            <w:r>
              <w:rPr>
                <w:rFonts w:ascii="宋体" w:hAnsi="宋体" w:cs="宋体"/>
                <w:color w:val="auto"/>
                <w:kern w:val="0"/>
                <w:sz w:val="24"/>
                <w:szCs w:val="24"/>
                <w:highlight w:val="none"/>
              </w:rPr>
              <w:t>0</w:t>
            </w:r>
          </w:p>
        </w:tc>
        <w:tc>
          <w:tcPr>
            <w:tcW w:w="434" w:type="pct"/>
            <w:vAlign w:val="center"/>
          </w:tcPr>
          <w:p w14:paraId="06F46843">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3</w:t>
            </w:r>
          </w:p>
        </w:tc>
        <w:tc>
          <w:tcPr>
            <w:tcW w:w="596" w:type="pct"/>
            <w:tcBorders>
              <w:top w:val="single" w:color="auto" w:sz="4" w:space="0"/>
              <w:left w:val="single" w:color="auto" w:sz="4" w:space="0"/>
              <w:bottom w:val="single" w:color="auto" w:sz="4" w:space="0"/>
              <w:right w:val="single" w:color="auto" w:sz="4" w:space="0"/>
            </w:tcBorders>
            <w:vAlign w:val="center"/>
          </w:tcPr>
          <w:p w14:paraId="2CACCE04">
            <w:pPr>
              <w:widowControl/>
              <w:spacing w:line="360" w:lineRule="auto"/>
              <w:jc w:val="center"/>
              <w:rPr>
                <w:rFonts w:ascii="宋体" w:hAnsi="宋体" w:cs="宋体"/>
                <w:color w:val="auto"/>
                <w:kern w:val="0"/>
                <w:sz w:val="24"/>
                <w:szCs w:val="24"/>
                <w:highlight w:val="none"/>
              </w:rPr>
            </w:pPr>
            <w:r>
              <w:rPr>
                <w:rFonts w:hint="eastAsia" w:ascii="宋体" w:hAnsi="宋体" w:cs="宋体"/>
                <w:b/>
                <w:bCs/>
                <w:color w:val="auto"/>
                <w:kern w:val="0"/>
                <w:sz w:val="24"/>
                <w:szCs w:val="24"/>
                <w:highlight w:val="none"/>
              </w:rPr>
              <w:t>否</w:t>
            </w:r>
          </w:p>
        </w:tc>
        <w:tc>
          <w:tcPr>
            <w:tcW w:w="3615" w:type="pct"/>
            <w:tcBorders>
              <w:top w:val="single" w:color="auto" w:sz="4" w:space="0"/>
              <w:left w:val="single" w:color="auto" w:sz="4" w:space="0"/>
              <w:bottom w:val="single" w:color="auto" w:sz="4" w:space="0"/>
              <w:right w:val="single" w:color="auto" w:sz="4" w:space="0"/>
            </w:tcBorders>
            <w:vAlign w:val="center"/>
          </w:tcPr>
          <w:p w14:paraId="61D160C3">
            <w:pPr>
              <w:widowControl/>
              <w:spacing w:line="360" w:lineRule="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根据投标人所提供的</w:t>
            </w:r>
            <w:r>
              <w:rPr>
                <w:rFonts w:hint="eastAsia" w:ascii="宋体" w:hAnsi="宋体" w:cs="宋体"/>
                <w:b/>
                <w:bCs/>
                <w:color w:val="auto"/>
                <w:kern w:val="0"/>
                <w:sz w:val="24"/>
                <w:szCs w:val="24"/>
                <w:highlight w:val="none"/>
              </w:rPr>
              <w:t>加工制作方案</w:t>
            </w:r>
            <w:r>
              <w:rPr>
                <w:rFonts w:hint="eastAsia" w:ascii="宋体" w:hAnsi="宋体" w:cs="宋体"/>
                <w:color w:val="auto"/>
                <w:kern w:val="0"/>
                <w:sz w:val="24"/>
                <w:szCs w:val="24"/>
                <w:highlight w:val="none"/>
              </w:rPr>
              <w:t>进行评价：①有提供加工制作方案的得1分；②在满足①的基础上，加工制作方案明确涵盖食材接收、分拣、清洗、切配、烹饪、留样、备餐、餐具清洗消毒、剩余食材处理等全流程，各加工环节操作标准规范，具有针对性，留样管理规范可追溯的，得3分；未提供方案或者方案不可行或不符合项目需求的不得分。</w:t>
            </w:r>
          </w:p>
        </w:tc>
      </w:tr>
      <w:tr w14:paraId="030AE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2" w:type="pct"/>
            <w:tcBorders>
              <w:right w:val="single" w:color="auto" w:sz="4" w:space="0"/>
            </w:tcBorders>
            <w:vAlign w:val="center"/>
          </w:tcPr>
          <w:p w14:paraId="7D314774">
            <w:pPr>
              <w:widowControl/>
              <w:spacing w:line="360" w:lineRule="auto"/>
              <w:ind w:right="-80" w:rightChars="-38"/>
              <w:rPr>
                <w:rFonts w:ascii="宋体" w:hAnsi="宋体" w:cs="宋体"/>
                <w:color w:val="auto"/>
                <w:kern w:val="0"/>
                <w:sz w:val="24"/>
                <w:szCs w:val="24"/>
                <w:highlight w:val="none"/>
              </w:rPr>
            </w:pPr>
            <w:bookmarkStart w:id="42" w:name="_Hlk129357315"/>
            <w:r>
              <w:rPr>
                <w:rFonts w:hint="eastAsia" w:ascii="宋体" w:hAnsi="宋体" w:cs="宋体"/>
                <w:color w:val="auto"/>
                <w:kern w:val="0"/>
                <w:sz w:val="24"/>
                <w:szCs w:val="24"/>
                <w:highlight w:val="none"/>
              </w:rPr>
              <w:t>1-1</w:t>
            </w:r>
            <w:r>
              <w:rPr>
                <w:rFonts w:ascii="宋体" w:hAnsi="宋体" w:cs="宋体"/>
                <w:color w:val="auto"/>
                <w:kern w:val="0"/>
                <w:sz w:val="24"/>
                <w:szCs w:val="24"/>
                <w:highlight w:val="none"/>
              </w:rPr>
              <w:t>1</w:t>
            </w:r>
          </w:p>
        </w:tc>
        <w:tc>
          <w:tcPr>
            <w:tcW w:w="434" w:type="pct"/>
            <w:vAlign w:val="center"/>
          </w:tcPr>
          <w:p w14:paraId="55B7262C">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3</w:t>
            </w:r>
          </w:p>
        </w:tc>
        <w:tc>
          <w:tcPr>
            <w:tcW w:w="596" w:type="pct"/>
            <w:tcBorders>
              <w:top w:val="single" w:color="auto" w:sz="4" w:space="0"/>
              <w:left w:val="single" w:color="auto" w:sz="4" w:space="0"/>
              <w:bottom w:val="single" w:color="auto" w:sz="4" w:space="0"/>
              <w:right w:val="single" w:color="auto" w:sz="4" w:space="0"/>
            </w:tcBorders>
            <w:vAlign w:val="center"/>
          </w:tcPr>
          <w:p w14:paraId="6DDC2664">
            <w:pPr>
              <w:widowControl/>
              <w:spacing w:line="360" w:lineRule="auto"/>
              <w:jc w:val="center"/>
              <w:rPr>
                <w:rFonts w:ascii="宋体" w:hAnsi="宋体" w:cs="宋体"/>
                <w:b/>
                <w:bCs/>
                <w:color w:val="auto"/>
                <w:kern w:val="0"/>
                <w:sz w:val="24"/>
                <w:szCs w:val="24"/>
                <w:highlight w:val="none"/>
              </w:rPr>
            </w:pPr>
            <w:r>
              <w:rPr>
                <w:rFonts w:hint="eastAsia" w:ascii="宋体" w:hAnsi="宋体" w:cs="宋体"/>
                <w:b/>
                <w:bCs/>
                <w:color w:val="auto"/>
                <w:kern w:val="0"/>
                <w:sz w:val="24"/>
                <w:szCs w:val="24"/>
                <w:highlight w:val="none"/>
              </w:rPr>
              <w:t>否</w:t>
            </w:r>
          </w:p>
        </w:tc>
        <w:tc>
          <w:tcPr>
            <w:tcW w:w="3615" w:type="pct"/>
            <w:tcBorders>
              <w:top w:val="single" w:color="auto" w:sz="4" w:space="0"/>
              <w:left w:val="single" w:color="auto" w:sz="4" w:space="0"/>
              <w:bottom w:val="single" w:color="auto" w:sz="4" w:space="0"/>
              <w:right w:val="single" w:color="auto" w:sz="4" w:space="0"/>
            </w:tcBorders>
            <w:vAlign w:val="center"/>
          </w:tcPr>
          <w:p w14:paraId="4992B25A">
            <w:pPr>
              <w:widowControl/>
              <w:spacing w:line="360" w:lineRule="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根据投标人为本项目制定的</w:t>
            </w:r>
            <w:r>
              <w:rPr>
                <w:rFonts w:hint="eastAsia" w:ascii="宋体" w:hAnsi="宋体" w:cs="宋体"/>
                <w:b/>
                <w:color w:val="auto"/>
                <w:kern w:val="0"/>
                <w:sz w:val="24"/>
                <w:szCs w:val="24"/>
                <w:highlight w:val="none"/>
              </w:rPr>
              <w:t>反食品浪费制度</w:t>
            </w:r>
            <w:r>
              <w:rPr>
                <w:rFonts w:hint="eastAsia" w:ascii="宋体" w:hAnsi="宋体" w:cs="宋体"/>
                <w:color w:val="auto"/>
                <w:kern w:val="0"/>
                <w:sz w:val="24"/>
                <w:szCs w:val="24"/>
                <w:highlight w:val="none"/>
              </w:rPr>
              <w:t>进行评价：①有提供整体反食品浪费制度，匹配本项目需求的得1分；②在满足①的基础上，整体反食品浪费制度（包含但不限于反食品浪费教育培训、反食品浪费宣传活动、反食品浪费监督及考核等）的得2分；在满足①②的基础上，针对上述各要点制定单独方案，内容与要点相符、且针对性措施完整详细、具有操作性的得3分；未提供或不符合项目需求的不得分。</w:t>
            </w:r>
          </w:p>
        </w:tc>
      </w:tr>
      <w:tr w14:paraId="5D603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2" w:type="pct"/>
            <w:tcBorders>
              <w:right w:val="single" w:color="auto" w:sz="4" w:space="0"/>
            </w:tcBorders>
            <w:vAlign w:val="center"/>
          </w:tcPr>
          <w:p w14:paraId="618CB3CB">
            <w:pPr>
              <w:widowControl/>
              <w:spacing w:line="360" w:lineRule="auto"/>
              <w:ind w:right="-80" w:rightChars="-38"/>
              <w:rPr>
                <w:rFonts w:ascii="宋体" w:hAnsi="宋体" w:cs="宋体"/>
                <w:color w:val="auto"/>
                <w:kern w:val="0"/>
                <w:sz w:val="24"/>
                <w:szCs w:val="24"/>
                <w:highlight w:val="none"/>
              </w:rPr>
            </w:pPr>
            <w:r>
              <w:rPr>
                <w:rFonts w:hint="eastAsia" w:ascii="宋体" w:hAnsi="宋体" w:cs="宋体"/>
                <w:color w:val="auto"/>
                <w:kern w:val="0"/>
                <w:sz w:val="24"/>
                <w:szCs w:val="24"/>
                <w:highlight w:val="none"/>
              </w:rPr>
              <w:t>1</w:t>
            </w:r>
            <w:r>
              <w:rPr>
                <w:rFonts w:ascii="宋体" w:hAnsi="宋体" w:cs="宋体"/>
                <w:color w:val="auto"/>
                <w:kern w:val="0"/>
                <w:sz w:val="24"/>
                <w:szCs w:val="24"/>
                <w:highlight w:val="none"/>
              </w:rPr>
              <w:t>-12</w:t>
            </w:r>
          </w:p>
        </w:tc>
        <w:tc>
          <w:tcPr>
            <w:tcW w:w="434" w:type="pct"/>
            <w:vAlign w:val="center"/>
          </w:tcPr>
          <w:p w14:paraId="47EE31B8">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3</w:t>
            </w:r>
          </w:p>
        </w:tc>
        <w:tc>
          <w:tcPr>
            <w:tcW w:w="596" w:type="pct"/>
            <w:tcBorders>
              <w:top w:val="single" w:color="auto" w:sz="4" w:space="0"/>
              <w:left w:val="single" w:color="auto" w:sz="4" w:space="0"/>
              <w:bottom w:val="single" w:color="auto" w:sz="4" w:space="0"/>
              <w:right w:val="single" w:color="auto" w:sz="4" w:space="0"/>
            </w:tcBorders>
            <w:vAlign w:val="center"/>
          </w:tcPr>
          <w:p w14:paraId="74959F92">
            <w:pPr>
              <w:widowControl/>
              <w:spacing w:line="360" w:lineRule="auto"/>
              <w:jc w:val="center"/>
              <w:rPr>
                <w:rFonts w:ascii="宋体" w:hAnsi="宋体" w:cs="宋体"/>
                <w:b/>
                <w:bCs/>
                <w:color w:val="auto"/>
                <w:kern w:val="0"/>
                <w:sz w:val="24"/>
                <w:szCs w:val="24"/>
                <w:highlight w:val="none"/>
              </w:rPr>
            </w:pPr>
            <w:r>
              <w:rPr>
                <w:rFonts w:hint="eastAsia" w:ascii="宋体" w:hAnsi="宋体" w:cs="宋体"/>
                <w:b/>
                <w:bCs/>
                <w:color w:val="auto"/>
                <w:kern w:val="0"/>
                <w:sz w:val="24"/>
                <w:szCs w:val="24"/>
                <w:highlight w:val="none"/>
              </w:rPr>
              <w:t>否</w:t>
            </w:r>
          </w:p>
        </w:tc>
        <w:tc>
          <w:tcPr>
            <w:tcW w:w="3615" w:type="pct"/>
            <w:tcBorders>
              <w:top w:val="single" w:color="auto" w:sz="4" w:space="0"/>
              <w:left w:val="single" w:color="auto" w:sz="4" w:space="0"/>
              <w:bottom w:val="single" w:color="auto" w:sz="4" w:space="0"/>
              <w:right w:val="single" w:color="auto" w:sz="4" w:space="0"/>
            </w:tcBorders>
            <w:vAlign w:val="center"/>
          </w:tcPr>
          <w:p w14:paraId="2C0B4032">
            <w:pPr>
              <w:widowControl/>
              <w:spacing w:line="360" w:lineRule="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根据投标人为本项目制定的</w:t>
            </w:r>
            <w:r>
              <w:rPr>
                <w:rFonts w:hint="eastAsia" w:ascii="宋体" w:hAnsi="宋体" w:cs="宋体"/>
                <w:b/>
                <w:color w:val="auto"/>
                <w:kern w:val="0"/>
                <w:sz w:val="24"/>
                <w:szCs w:val="24"/>
                <w:highlight w:val="none"/>
              </w:rPr>
              <w:t>食品（材）存储管理制度</w:t>
            </w:r>
            <w:r>
              <w:rPr>
                <w:rFonts w:hint="eastAsia" w:ascii="宋体" w:hAnsi="宋体" w:cs="宋体"/>
                <w:color w:val="auto"/>
                <w:kern w:val="0"/>
                <w:sz w:val="24"/>
                <w:szCs w:val="24"/>
                <w:highlight w:val="none"/>
              </w:rPr>
              <w:t>进行评价：①有提供整体食品（材）存储管理制度，匹配本项目需求的得1分；在满足的基础上，整体食品（材）存储管理制度【包含但不限于食品（材）分类储存、食品（材）标识管理、食品（材）保质期等】的得2分；在满足的基础上，针对上述各要点制定单独方案，内容与要点相符、且针对性措施完整详细、具有操作性的得3分；未提供或不符合项目需求的不得分。</w:t>
            </w:r>
          </w:p>
        </w:tc>
      </w:tr>
      <w:tr w14:paraId="087AA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2" w:type="pct"/>
            <w:tcBorders>
              <w:right w:val="single" w:color="auto" w:sz="4" w:space="0"/>
            </w:tcBorders>
            <w:vAlign w:val="center"/>
          </w:tcPr>
          <w:p w14:paraId="7051C48A">
            <w:pPr>
              <w:widowControl/>
              <w:spacing w:line="360" w:lineRule="auto"/>
              <w:ind w:right="-80" w:rightChars="-38"/>
              <w:rPr>
                <w:rFonts w:ascii="宋体" w:hAnsi="宋体" w:cs="宋体"/>
                <w:color w:val="auto"/>
                <w:kern w:val="0"/>
                <w:sz w:val="24"/>
                <w:szCs w:val="24"/>
                <w:highlight w:val="none"/>
              </w:rPr>
            </w:pPr>
            <w:r>
              <w:rPr>
                <w:rFonts w:hint="eastAsia" w:ascii="宋体" w:hAnsi="宋体" w:cs="宋体"/>
                <w:color w:val="auto"/>
                <w:kern w:val="0"/>
                <w:sz w:val="24"/>
                <w:szCs w:val="24"/>
                <w:highlight w:val="none"/>
              </w:rPr>
              <w:t>1-13</w:t>
            </w:r>
          </w:p>
        </w:tc>
        <w:tc>
          <w:tcPr>
            <w:tcW w:w="434" w:type="pct"/>
            <w:vAlign w:val="center"/>
          </w:tcPr>
          <w:p w14:paraId="03B12019">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3</w:t>
            </w:r>
          </w:p>
        </w:tc>
        <w:tc>
          <w:tcPr>
            <w:tcW w:w="596" w:type="pct"/>
            <w:tcBorders>
              <w:top w:val="single" w:color="auto" w:sz="4" w:space="0"/>
              <w:left w:val="single" w:color="auto" w:sz="4" w:space="0"/>
              <w:bottom w:val="single" w:color="auto" w:sz="4" w:space="0"/>
              <w:right w:val="single" w:color="auto" w:sz="4" w:space="0"/>
            </w:tcBorders>
            <w:vAlign w:val="center"/>
          </w:tcPr>
          <w:p w14:paraId="31C4C31F">
            <w:pPr>
              <w:widowControl/>
              <w:spacing w:line="360" w:lineRule="auto"/>
              <w:jc w:val="center"/>
              <w:rPr>
                <w:rFonts w:ascii="宋体" w:hAnsi="宋体" w:cs="宋体"/>
                <w:color w:val="auto"/>
                <w:kern w:val="0"/>
                <w:sz w:val="24"/>
                <w:szCs w:val="24"/>
                <w:highlight w:val="none"/>
              </w:rPr>
            </w:pPr>
            <w:r>
              <w:rPr>
                <w:rFonts w:hint="eastAsia" w:ascii="宋体" w:hAnsi="宋体" w:cs="宋体"/>
                <w:b/>
                <w:bCs/>
                <w:color w:val="auto"/>
                <w:kern w:val="0"/>
                <w:sz w:val="24"/>
                <w:szCs w:val="24"/>
                <w:highlight w:val="none"/>
              </w:rPr>
              <w:t>是</w:t>
            </w:r>
          </w:p>
        </w:tc>
        <w:tc>
          <w:tcPr>
            <w:tcW w:w="3615" w:type="pct"/>
            <w:tcBorders>
              <w:top w:val="single" w:color="auto" w:sz="4" w:space="0"/>
              <w:left w:val="single" w:color="auto" w:sz="4" w:space="0"/>
              <w:bottom w:val="single" w:color="auto" w:sz="4" w:space="0"/>
              <w:right w:val="single" w:color="auto" w:sz="4" w:space="0"/>
            </w:tcBorders>
            <w:vAlign w:val="center"/>
          </w:tcPr>
          <w:p w14:paraId="1BC315EC">
            <w:pPr>
              <w:widowControl/>
              <w:spacing w:line="360" w:lineRule="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(1)投标人为保障食品原材料采购安全，有长期合作的具备相关检测资质的第三方检测机构，并承诺</w:t>
            </w:r>
            <w:r>
              <w:rPr>
                <w:rFonts w:hint="eastAsia" w:ascii="宋体" w:hAnsi="宋体" w:cs="宋体"/>
                <w:color w:val="auto"/>
                <w:kern w:val="0"/>
                <w:sz w:val="24"/>
                <w:szCs w:val="24"/>
                <w:highlight w:val="none"/>
                <w:lang w:val="en-US" w:eastAsia="zh-CN"/>
              </w:rPr>
              <w:t>在</w:t>
            </w:r>
            <w:r>
              <w:rPr>
                <w:rFonts w:hint="eastAsia" w:ascii="宋体" w:hAnsi="宋体" w:cs="宋体"/>
                <w:color w:val="auto"/>
                <w:kern w:val="0"/>
                <w:sz w:val="24"/>
                <w:szCs w:val="24"/>
                <w:highlight w:val="none"/>
              </w:rPr>
              <w:t>服务期内</w:t>
            </w:r>
            <w:r>
              <w:rPr>
                <w:rFonts w:hint="eastAsia" w:ascii="宋体" w:hAnsi="宋体" w:cs="宋体"/>
                <w:color w:val="auto"/>
                <w:kern w:val="0"/>
                <w:sz w:val="24"/>
                <w:szCs w:val="24"/>
                <w:highlight w:val="none"/>
                <w:lang w:val="en-US" w:eastAsia="zh-CN"/>
              </w:rPr>
              <w:t>每季度至少对</w:t>
            </w:r>
            <w:r>
              <w:rPr>
                <w:rFonts w:hint="eastAsia" w:ascii="宋体" w:hAnsi="宋体" w:cs="宋体"/>
                <w:color w:val="auto"/>
                <w:kern w:val="0"/>
                <w:sz w:val="24"/>
                <w:szCs w:val="24"/>
                <w:highlight w:val="none"/>
              </w:rPr>
              <w:t>各类食材送检</w:t>
            </w:r>
            <w:r>
              <w:rPr>
                <w:rFonts w:hint="eastAsia" w:ascii="宋体" w:hAnsi="宋体" w:cs="宋体"/>
                <w:color w:val="auto"/>
                <w:kern w:val="0"/>
                <w:sz w:val="24"/>
                <w:szCs w:val="24"/>
                <w:highlight w:val="none"/>
                <w:lang w:val="en-US" w:eastAsia="zh-CN"/>
              </w:rPr>
              <w:t>1次的</w:t>
            </w:r>
            <w:r>
              <w:rPr>
                <w:rFonts w:hint="eastAsia" w:ascii="宋体" w:hAnsi="宋体" w:cs="宋体"/>
                <w:color w:val="auto"/>
                <w:kern w:val="0"/>
                <w:sz w:val="24"/>
                <w:szCs w:val="24"/>
                <w:highlight w:val="none"/>
              </w:rPr>
              <w:t>得1.5分，须提供投标人与第三方检测机构签订的委托协议（委托协议需在存续期内）、第三方检测机构的资质证明文件复印件、检测费用结算增值税发票复印件（发票在国家税务总局增值税发票查验平台 (https://inv-veri.chinatax.gov.cn/）上该发票的查验结果截图）以及书面承诺函（承诺函格式自拟），否则不得分。</w:t>
            </w:r>
          </w:p>
          <w:p w14:paraId="58EB0F7B">
            <w:pPr>
              <w:widowControl/>
              <w:spacing w:line="360" w:lineRule="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(2)在满足（1）的基础上，同时提供投标截止时间近一年内任意三次进行检测的报告（报告内容包含：①餐具类、②荤菜类、③蛋类、④</w:t>
            </w:r>
            <w:r>
              <w:rPr>
                <w:rFonts w:hint="eastAsia" w:ascii="宋体" w:hAnsi="宋体" w:cs="宋体"/>
                <w:color w:val="auto"/>
                <w:kern w:val="0"/>
                <w:sz w:val="24"/>
                <w:szCs w:val="24"/>
                <w:highlight w:val="none"/>
                <w:lang w:eastAsia="zh-CN"/>
              </w:rPr>
              <w:t>调味品类</w:t>
            </w:r>
            <w:r>
              <w:rPr>
                <w:rFonts w:hint="eastAsia" w:ascii="宋体" w:hAnsi="宋体" w:cs="宋体"/>
                <w:color w:val="auto"/>
                <w:kern w:val="0"/>
                <w:sz w:val="24"/>
                <w:szCs w:val="24"/>
                <w:highlight w:val="none"/>
              </w:rPr>
              <w:t>、⑤干货类、⑥蔬菜类（青菜）、⑦水产品类（鱼）、⑧畜禽肉类（猪肉）、⑨冻品类、⑩生产用水）复印件的得1.5分，</w:t>
            </w:r>
            <w:r>
              <w:rPr>
                <w:rFonts w:hint="eastAsia" w:ascii="宋体" w:hAnsi="宋体" w:cs="宋体"/>
                <w:color w:val="auto"/>
                <w:kern w:val="0"/>
                <w:sz w:val="24"/>
                <w:szCs w:val="24"/>
                <w:highlight w:val="none"/>
                <w:lang w:eastAsia="zh-CN"/>
              </w:rPr>
              <w:t>同时</w:t>
            </w:r>
            <w:r>
              <w:rPr>
                <w:rFonts w:hint="eastAsia" w:ascii="宋体" w:hAnsi="宋体" w:cs="宋体"/>
                <w:color w:val="auto"/>
                <w:kern w:val="0"/>
                <w:sz w:val="24"/>
                <w:szCs w:val="24"/>
                <w:highlight w:val="none"/>
              </w:rPr>
              <w:t>检测报告上须标注CMA或CNAS标识，否则不得分。</w:t>
            </w:r>
          </w:p>
          <w:p w14:paraId="230A1AB5">
            <w:pPr>
              <w:widowControl/>
              <w:spacing w:line="360" w:lineRule="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本项满分3分。</w:t>
            </w:r>
          </w:p>
        </w:tc>
      </w:tr>
      <w:tr w14:paraId="42A2C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2" w:type="pct"/>
            <w:tcBorders>
              <w:right w:val="single" w:color="auto" w:sz="4" w:space="0"/>
            </w:tcBorders>
            <w:vAlign w:val="center"/>
          </w:tcPr>
          <w:p w14:paraId="415B5A2D">
            <w:pPr>
              <w:widowControl/>
              <w:spacing w:line="360" w:lineRule="auto"/>
              <w:ind w:right="-80" w:rightChars="-38"/>
              <w:rPr>
                <w:rFonts w:ascii="宋体" w:hAnsi="宋体" w:cs="宋体"/>
                <w:color w:val="auto"/>
                <w:kern w:val="0"/>
                <w:sz w:val="24"/>
                <w:szCs w:val="24"/>
                <w:highlight w:val="none"/>
              </w:rPr>
            </w:pPr>
            <w:r>
              <w:rPr>
                <w:rFonts w:hint="eastAsia" w:ascii="宋体" w:hAnsi="宋体" w:cs="宋体"/>
                <w:color w:val="auto"/>
                <w:kern w:val="0"/>
                <w:sz w:val="24"/>
                <w:szCs w:val="24"/>
                <w:highlight w:val="none"/>
              </w:rPr>
              <w:t>1-14</w:t>
            </w:r>
          </w:p>
        </w:tc>
        <w:tc>
          <w:tcPr>
            <w:tcW w:w="434" w:type="pct"/>
            <w:vAlign w:val="center"/>
          </w:tcPr>
          <w:p w14:paraId="28411B03">
            <w:pPr>
              <w:widowControl/>
              <w:spacing w:line="360" w:lineRule="auto"/>
              <w:jc w:val="center"/>
              <w:rPr>
                <w:rFonts w:ascii="宋体" w:hAnsi="宋体" w:cs="宋体"/>
                <w:color w:val="auto"/>
                <w:kern w:val="0"/>
                <w:sz w:val="24"/>
                <w:szCs w:val="24"/>
                <w:highlight w:val="none"/>
              </w:rPr>
            </w:pPr>
            <w:r>
              <w:rPr>
                <w:rFonts w:ascii="宋体" w:hAnsi="宋体" w:cs="宋体"/>
                <w:color w:val="auto"/>
                <w:kern w:val="0"/>
                <w:sz w:val="24"/>
                <w:szCs w:val="24"/>
                <w:highlight w:val="none"/>
              </w:rPr>
              <w:t>3</w:t>
            </w:r>
          </w:p>
        </w:tc>
        <w:tc>
          <w:tcPr>
            <w:tcW w:w="596" w:type="pct"/>
            <w:tcBorders>
              <w:top w:val="single" w:color="auto" w:sz="4" w:space="0"/>
              <w:left w:val="single" w:color="auto" w:sz="4" w:space="0"/>
              <w:bottom w:val="single" w:color="auto" w:sz="4" w:space="0"/>
              <w:right w:val="single" w:color="auto" w:sz="4" w:space="0"/>
            </w:tcBorders>
            <w:vAlign w:val="center"/>
          </w:tcPr>
          <w:p w14:paraId="628D17DF">
            <w:pPr>
              <w:widowControl/>
              <w:spacing w:line="360" w:lineRule="auto"/>
              <w:jc w:val="center"/>
              <w:rPr>
                <w:rFonts w:ascii="宋体" w:hAnsi="宋体" w:cs="宋体"/>
                <w:color w:val="auto"/>
                <w:kern w:val="0"/>
                <w:sz w:val="24"/>
                <w:szCs w:val="24"/>
                <w:highlight w:val="none"/>
              </w:rPr>
            </w:pPr>
            <w:r>
              <w:rPr>
                <w:rFonts w:hint="eastAsia" w:ascii="宋体" w:hAnsi="宋体" w:cs="宋体"/>
                <w:b/>
                <w:bCs/>
                <w:color w:val="auto"/>
                <w:kern w:val="0"/>
                <w:sz w:val="24"/>
                <w:szCs w:val="24"/>
                <w:highlight w:val="none"/>
              </w:rPr>
              <w:t>是</w:t>
            </w:r>
          </w:p>
        </w:tc>
        <w:tc>
          <w:tcPr>
            <w:tcW w:w="3615" w:type="pct"/>
            <w:tcBorders>
              <w:top w:val="single" w:color="auto" w:sz="4" w:space="0"/>
              <w:left w:val="single" w:color="auto" w:sz="4" w:space="0"/>
              <w:bottom w:val="single" w:color="auto" w:sz="4" w:space="0"/>
              <w:right w:val="single" w:color="auto" w:sz="4" w:space="0"/>
            </w:tcBorders>
            <w:vAlign w:val="center"/>
          </w:tcPr>
          <w:p w14:paraId="2260AAC7">
            <w:pPr>
              <w:widowControl/>
              <w:spacing w:line="360" w:lineRule="auto"/>
              <w:rPr>
                <w:rFonts w:ascii="宋体" w:hAnsi="宋体" w:cs="宋体"/>
                <w:color w:val="auto"/>
                <w:kern w:val="0"/>
                <w:sz w:val="24"/>
                <w:szCs w:val="24"/>
                <w:highlight w:val="none"/>
              </w:rPr>
            </w:pPr>
            <w:r>
              <w:rPr>
                <w:rFonts w:ascii="宋体" w:hAnsi="宋体" w:cs="宋体"/>
                <w:color w:val="auto"/>
                <w:kern w:val="0"/>
                <w:sz w:val="24"/>
                <w:szCs w:val="24"/>
                <w:highlight w:val="none"/>
              </w:rPr>
              <w:t>根据投标人提供的</w:t>
            </w:r>
            <w:r>
              <w:rPr>
                <w:rFonts w:ascii="宋体" w:hAnsi="宋体" w:cs="宋体"/>
                <w:b/>
                <w:color w:val="auto"/>
                <w:kern w:val="0"/>
                <w:sz w:val="24"/>
                <w:szCs w:val="24"/>
                <w:highlight w:val="none"/>
              </w:rPr>
              <w:t>卫生管理承诺及措施</w:t>
            </w:r>
            <w:r>
              <w:rPr>
                <w:rFonts w:ascii="宋体" w:hAnsi="宋体" w:cs="宋体"/>
                <w:color w:val="auto"/>
                <w:kern w:val="0"/>
                <w:sz w:val="24"/>
                <w:szCs w:val="24"/>
                <w:highlight w:val="none"/>
              </w:rPr>
              <w:t>进行评价：（1）有卫生管理制度和各区域管理标准。（2）有定期卫生检查记录并与奖惩挂钩。 （3）有必备的工作台帐（卫生检查记录、食品采购索证档案、食谱登记、健康证、卫生许可证等）。（4）食堂厨房25米内无污染源；保证后厨和餐厅外环境卫生良好。（5）厨房和餐厅内墙面清洁，无霉斑、无脱落、无积尘、污物及时处理。（6）下水道及阴沟畅通，排油烟机清洁不滴油；厕所清洁、有洗手池。（7）设置食品留样、专用冰箱、盛器及刀、墩板、抹布。（8）蒸饭器、消毒柜、保洁柜、绞肉机、案板、食品容器等摆放有序、清洁卫生。（9）公用餐具消毒经清洗消毒后的餐具符合国家卫生标准。（10）冷藏设施定期清理保洁，无臭无异味，不存放杂物和个人物品。 投标人对上述内容有提供承诺并有措施的每条得0.3分，本项满分3分，未提供承诺或未提供措施的不得分。</w:t>
            </w:r>
          </w:p>
        </w:tc>
      </w:tr>
      <w:tr w14:paraId="4F43E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2" w:type="pct"/>
            <w:tcBorders>
              <w:right w:val="single" w:color="auto" w:sz="4" w:space="0"/>
            </w:tcBorders>
            <w:vAlign w:val="center"/>
          </w:tcPr>
          <w:p w14:paraId="11C9BC1A">
            <w:pPr>
              <w:widowControl/>
              <w:spacing w:line="360" w:lineRule="auto"/>
              <w:ind w:right="-80" w:rightChars="-38"/>
              <w:rPr>
                <w:rFonts w:ascii="宋体" w:hAnsi="宋体" w:cs="宋体"/>
                <w:color w:val="auto"/>
                <w:sz w:val="24"/>
                <w:szCs w:val="24"/>
                <w:highlight w:val="none"/>
              </w:rPr>
            </w:pPr>
            <w:r>
              <w:rPr>
                <w:rFonts w:hint="eastAsia" w:ascii="宋体" w:hAnsi="宋体" w:cs="宋体"/>
                <w:color w:val="auto"/>
                <w:sz w:val="24"/>
                <w:szCs w:val="24"/>
                <w:highlight w:val="none"/>
              </w:rPr>
              <w:t>1-15</w:t>
            </w:r>
          </w:p>
        </w:tc>
        <w:tc>
          <w:tcPr>
            <w:tcW w:w="434" w:type="pct"/>
            <w:vAlign w:val="center"/>
          </w:tcPr>
          <w:p w14:paraId="23FA1D91">
            <w:pPr>
              <w:widowControl/>
              <w:spacing w:line="360" w:lineRule="auto"/>
              <w:jc w:val="center"/>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lang w:val="en-US" w:eastAsia="zh-CN"/>
              </w:rPr>
              <w:t>2</w:t>
            </w:r>
          </w:p>
        </w:tc>
        <w:tc>
          <w:tcPr>
            <w:tcW w:w="596" w:type="pct"/>
            <w:tcBorders>
              <w:top w:val="single" w:color="auto" w:sz="4" w:space="0"/>
              <w:left w:val="single" w:color="auto" w:sz="4" w:space="0"/>
              <w:bottom w:val="single" w:color="auto" w:sz="4" w:space="0"/>
              <w:right w:val="single" w:color="auto" w:sz="4" w:space="0"/>
            </w:tcBorders>
            <w:vAlign w:val="center"/>
          </w:tcPr>
          <w:p w14:paraId="408CFB17">
            <w:pPr>
              <w:widowControl/>
              <w:spacing w:line="360" w:lineRule="auto"/>
              <w:jc w:val="center"/>
              <w:rPr>
                <w:rFonts w:ascii="宋体" w:hAnsi="宋体" w:cs="宋体"/>
                <w:color w:val="auto"/>
                <w:kern w:val="0"/>
                <w:sz w:val="24"/>
                <w:szCs w:val="24"/>
                <w:highlight w:val="none"/>
              </w:rPr>
            </w:pPr>
            <w:r>
              <w:rPr>
                <w:rFonts w:hint="eastAsia" w:ascii="宋体" w:hAnsi="宋体" w:cs="宋体"/>
                <w:b/>
                <w:bCs/>
                <w:color w:val="auto"/>
                <w:kern w:val="0"/>
                <w:sz w:val="24"/>
                <w:szCs w:val="24"/>
                <w:highlight w:val="none"/>
              </w:rPr>
              <w:t>是</w:t>
            </w:r>
          </w:p>
        </w:tc>
        <w:tc>
          <w:tcPr>
            <w:tcW w:w="3615" w:type="pct"/>
            <w:tcBorders>
              <w:top w:val="single" w:color="auto" w:sz="4" w:space="0"/>
              <w:left w:val="single" w:color="auto" w:sz="4" w:space="0"/>
              <w:bottom w:val="single" w:color="auto" w:sz="4" w:space="0"/>
              <w:right w:val="single" w:color="auto" w:sz="4" w:space="0"/>
            </w:tcBorders>
            <w:vAlign w:val="center"/>
          </w:tcPr>
          <w:p w14:paraId="08560735">
            <w:pPr>
              <w:widowControl/>
              <w:spacing w:line="360" w:lineRule="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 xml:space="preserve">根据投标人为本项目拟配备的项目经理进行评价： </w:t>
            </w:r>
          </w:p>
          <w:p w14:paraId="12A4B90F">
            <w:pPr>
              <w:widowControl/>
              <w:spacing w:line="360" w:lineRule="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①</w:t>
            </w:r>
            <w:r>
              <w:rPr>
                <w:rFonts w:hint="eastAsia" w:ascii="宋体" w:hAnsi="宋体" w:cs="宋体"/>
                <w:color w:val="auto"/>
                <w:kern w:val="0"/>
                <w:sz w:val="24"/>
                <w:szCs w:val="24"/>
                <w:highlight w:val="none"/>
                <w:lang w:val="zh-CN"/>
              </w:rPr>
              <w:t>思明区</w:t>
            </w:r>
            <w:r>
              <w:rPr>
                <w:rFonts w:hint="eastAsia" w:ascii="宋体" w:hAnsi="宋体" w:cs="宋体"/>
                <w:color w:val="auto"/>
                <w:kern w:val="0"/>
                <w:sz w:val="24"/>
                <w:szCs w:val="24"/>
                <w:highlight w:val="none"/>
              </w:rPr>
              <w:t>展鸿路100号食堂：投标人拟派遣的项目经理（1人）在投标单位服务一年（含）以上；具有同类项目、同等职位任职三年（含）以上资历的得</w:t>
            </w:r>
            <w:r>
              <w:rPr>
                <w:rFonts w:hint="eastAsia" w:ascii="宋体" w:hAnsi="宋体" w:cs="宋体"/>
                <w:color w:val="auto"/>
                <w:kern w:val="0"/>
                <w:sz w:val="24"/>
                <w:szCs w:val="24"/>
                <w:highlight w:val="none"/>
                <w:lang w:val="en-US" w:eastAsia="zh-CN"/>
              </w:rPr>
              <w:t>2</w:t>
            </w:r>
            <w:r>
              <w:rPr>
                <w:rFonts w:hint="eastAsia" w:ascii="宋体" w:hAnsi="宋体" w:cs="宋体"/>
                <w:color w:val="auto"/>
                <w:kern w:val="0"/>
                <w:sz w:val="24"/>
                <w:szCs w:val="24"/>
                <w:highlight w:val="none"/>
              </w:rPr>
              <w:t>分。</w:t>
            </w:r>
          </w:p>
          <w:p w14:paraId="554CFBA7">
            <w:pPr>
              <w:widowControl/>
              <w:spacing w:line="360" w:lineRule="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注：投标人须上述人员身份证复印件、与投标人签订的劳动合同复印件（合同期限须在一年（含以上））、投标截止时间前6个月任意1个月为该人员缴交社保的证明、同类项目、同等职位任职年限的经验证明复印件并加盖投标人公章，否则不得分，原件备查。</w:t>
            </w:r>
          </w:p>
        </w:tc>
      </w:tr>
      <w:tr w14:paraId="11BDC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2" w:type="pct"/>
            <w:tcBorders>
              <w:right w:val="single" w:color="auto" w:sz="4" w:space="0"/>
            </w:tcBorders>
            <w:vAlign w:val="center"/>
          </w:tcPr>
          <w:p w14:paraId="7F475A35">
            <w:pPr>
              <w:widowControl/>
              <w:spacing w:line="360" w:lineRule="auto"/>
              <w:ind w:right="-80" w:rightChars="-38"/>
              <w:rPr>
                <w:rFonts w:ascii="宋体" w:hAnsi="宋体" w:cs="宋体"/>
                <w:color w:val="auto"/>
                <w:sz w:val="24"/>
                <w:szCs w:val="24"/>
                <w:highlight w:val="none"/>
              </w:rPr>
            </w:pPr>
            <w:r>
              <w:rPr>
                <w:rFonts w:hint="eastAsia" w:ascii="宋体" w:hAnsi="宋体" w:cs="宋体"/>
                <w:color w:val="auto"/>
                <w:sz w:val="24"/>
                <w:szCs w:val="24"/>
                <w:highlight w:val="none"/>
              </w:rPr>
              <w:t>1-16</w:t>
            </w:r>
          </w:p>
        </w:tc>
        <w:tc>
          <w:tcPr>
            <w:tcW w:w="434" w:type="pct"/>
            <w:vAlign w:val="center"/>
          </w:tcPr>
          <w:p w14:paraId="253B98D0">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2</w:t>
            </w:r>
          </w:p>
        </w:tc>
        <w:tc>
          <w:tcPr>
            <w:tcW w:w="596" w:type="pct"/>
            <w:tcBorders>
              <w:top w:val="single" w:color="auto" w:sz="4" w:space="0"/>
              <w:left w:val="single" w:color="auto" w:sz="4" w:space="0"/>
              <w:bottom w:val="single" w:color="auto" w:sz="4" w:space="0"/>
              <w:right w:val="single" w:color="auto" w:sz="4" w:space="0"/>
            </w:tcBorders>
            <w:vAlign w:val="center"/>
          </w:tcPr>
          <w:p w14:paraId="13588CBF">
            <w:pPr>
              <w:widowControl/>
              <w:spacing w:line="360" w:lineRule="auto"/>
              <w:jc w:val="center"/>
              <w:rPr>
                <w:rFonts w:ascii="宋体" w:hAnsi="宋体" w:cs="宋体"/>
                <w:b/>
                <w:bCs/>
                <w:color w:val="auto"/>
                <w:kern w:val="0"/>
                <w:sz w:val="24"/>
                <w:szCs w:val="24"/>
                <w:highlight w:val="none"/>
              </w:rPr>
            </w:pPr>
            <w:r>
              <w:rPr>
                <w:rFonts w:hint="eastAsia" w:ascii="宋体" w:hAnsi="宋体" w:cs="宋体"/>
                <w:b/>
                <w:bCs/>
                <w:color w:val="auto"/>
                <w:kern w:val="0"/>
                <w:sz w:val="24"/>
                <w:szCs w:val="24"/>
                <w:highlight w:val="none"/>
              </w:rPr>
              <w:t>是</w:t>
            </w:r>
          </w:p>
        </w:tc>
        <w:tc>
          <w:tcPr>
            <w:tcW w:w="3615" w:type="pct"/>
            <w:tcBorders>
              <w:top w:val="single" w:color="auto" w:sz="4" w:space="0"/>
              <w:left w:val="single" w:color="auto" w:sz="4" w:space="0"/>
              <w:bottom w:val="single" w:color="auto" w:sz="4" w:space="0"/>
              <w:right w:val="single" w:color="auto" w:sz="4" w:space="0"/>
            </w:tcBorders>
            <w:vAlign w:val="center"/>
          </w:tcPr>
          <w:p w14:paraId="64D3BFF2">
            <w:pPr>
              <w:widowControl/>
              <w:spacing w:line="360" w:lineRule="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 xml:space="preserve">根据投标人为本项目拟配备的项目经理进行评价： </w:t>
            </w:r>
          </w:p>
          <w:p w14:paraId="198E134B">
            <w:pPr>
              <w:widowControl/>
              <w:spacing w:line="360" w:lineRule="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②翔安区黎林路1699号食堂：投标人拟派遣的项目经理（1人）在投标单位服务一年（含）以上；具有同类项目、同等职位任职一年以上资历的得2分。</w:t>
            </w:r>
          </w:p>
          <w:p w14:paraId="3730C80D">
            <w:pPr>
              <w:widowControl/>
              <w:spacing w:line="360" w:lineRule="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注：投标人须上述人员身份证复印件、与投标人签订的劳动合同复印件（合同期限须在一年（含以上））、投标截止时间前6个月任意1个月为该人员缴交社保的证明、同类项目、同等职位任职年限的经验证明复印件并加盖投标人公章，否则不得分，原件备查。</w:t>
            </w:r>
          </w:p>
        </w:tc>
      </w:tr>
      <w:tr w14:paraId="60C2F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2" w:type="pct"/>
            <w:tcBorders>
              <w:right w:val="single" w:color="auto" w:sz="4" w:space="0"/>
            </w:tcBorders>
            <w:vAlign w:val="center"/>
          </w:tcPr>
          <w:p w14:paraId="31413449">
            <w:pPr>
              <w:widowControl/>
              <w:spacing w:line="360" w:lineRule="auto"/>
              <w:ind w:right="-80" w:rightChars="-38"/>
              <w:rPr>
                <w:rFonts w:ascii="宋体" w:hAnsi="宋体" w:cs="宋体"/>
                <w:color w:val="auto"/>
                <w:kern w:val="0"/>
                <w:sz w:val="24"/>
                <w:szCs w:val="24"/>
                <w:highlight w:val="none"/>
              </w:rPr>
            </w:pPr>
            <w:r>
              <w:rPr>
                <w:rFonts w:hint="eastAsia" w:ascii="宋体" w:hAnsi="宋体" w:cs="宋体"/>
                <w:color w:val="auto"/>
                <w:kern w:val="0"/>
                <w:sz w:val="24"/>
                <w:szCs w:val="24"/>
                <w:highlight w:val="none"/>
              </w:rPr>
              <w:t>1-17</w:t>
            </w:r>
          </w:p>
        </w:tc>
        <w:tc>
          <w:tcPr>
            <w:tcW w:w="434" w:type="pct"/>
            <w:vAlign w:val="center"/>
          </w:tcPr>
          <w:p w14:paraId="6DA44423">
            <w:pPr>
              <w:widowControl/>
              <w:spacing w:line="360" w:lineRule="auto"/>
              <w:jc w:val="center"/>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lang w:val="en-US" w:eastAsia="zh-CN"/>
              </w:rPr>
              <w:t>4</w:t>
            </w:r>
          </w:p>
        </w:tc>
        <w:tc>
          <w:tcPr>
            <w:tcW w:w="596" w:type="pct"/>
            <w:tcBorders>
              <w:top w:val="single" w:color="auto" w:sz="4" w:space="0"/>
              <w:left w:val="single" w:color="auto" w:sz="4" w:space="0"/>
              <w:bottom w:val="single" w:color="auto" w:sz="4" w:space="0"/>
              <w:right w:val="single" w:color="auto" w:sz="4" w:space="0"/>
            </w:tcBorders>
            <w:vAlign w:val="center"/>
          </w:tcPr>
          <w:p w14:paraId="4E3CEE22">
            <w:pPr>
              <w:widowControl/>
              <w:spacing w:line="360" w:lineRule="auto"/>
              <w:jc w:val="center"/>
              <w:rPr>
                <w:rFonts w:ascii="宋体" w:hAnsi="宋体" w:cs="宋体"/>
                <w:color w:val="auto"/>
                <w:kern w:val="0"/>
                <w:sz w:val="24"/>
                <w:szCs w:val="24"/>
                <w:highlight w:val="none"/>
              </w:rPr>
            </w:pPr>
            <w:r>
              <w:rPr>
                <w:rFonts w:hint="eastAsia" w:ascii="宋体" w:hAnsi="宋体" w:cs="宋体"/>
                <w:b/>
                <w:bCs/>
                <w:color w:val="auto"/>
                <w:kern w:val="0"/>
                <w:sz w:val="24"/>
                <w:szCs w:val="24"/>
                <w:highlight w:val="none"/>
              </w:rPr>
              <w:t>是</w:t>
            </w:r>
          </w:p>
        </w:tc>
        <w:tc>
          <w:tcPr>
            <w:tcW w:w="3615" w:type="pct"/>
            <w:tcBorders>
              <w:top w:val="single" w:color="auto" w:sz="4" w:space="0"/>
              <w:left w:val="single" w:color="auto" w:sz="4" w:space="0"/>
              <w:bottom w:val="single" w:color="auto" w:sz="4" w:space="0"/>
              <w:right w:val="single" w:color="auto" w:sz="4" w:space="0"/>
            </w:tcBorders>
          </w:tcPr>
          <w:p w14:paraId="47B5D771">
            <w:pPr>
              <w:widowControl/>
              <w:spacing w:line="360" w:lineRule="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 xml:space="preserve">根据投标人为本项目拟配备的厨师长进行评价： </w:t>
            </w:r>
          </w:p>
          <w:p w14:paraId="7153BFD0">
            <w:pPr>
              <w:widowControl/>
              <w:spacing w:line="360" w:lineRule="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①</w:t>
            </w:r>
            <w:r>
              <w:rPr>
                <w:rFonts w:hint="eastAsia" w:ascii="宋体" w:hAnsi="宋体" w:cs="宋体"/>
                <w:color w:val="auto"/>
                <w:kern w:val="0"/>
                <w:sz w:val="24"/>
                <w:szCs w:val="24"/>
                <w:highlight w:val="none"/>
                <w:lang w:val="zh-CN"/>
              </w:rPr>
              <w:t>思明区</w:t>
            </w:r>
            <w:r>
              <w:rPr>
                <w:rFonts w:hint="eastAsia" w:ascii="宋体" w:hAnsi="宋体" w:cs="宋体"/>
                <w:color w:val="auto"/>
                <w:kern w:val="0"/>
                <w:sz w:val="24"/>
                <w:szCs w:val="24"/>
                <w:highlight w:val="none"/>
              </w:rPr>
              <w:t>展鸿路100号食堂：投标人拟配备厨师长（1人）具备一级（高级技师）中式烹调师或三级（高级）及以上中餐厨师长（或行政总厨或酒店管理）职业资格（或技能等级）证书及具有同类项目3年（含）以上任职经历的得3分。在此基础上，</w:t>
            </w:r>
            <w:r>
              <w:rPr>
                <w:rFonts w:hint="eastAsia" w:ascii="宋体" w:hAnsi="宋体" w:cs="宋体"/>
                <w:color w:val="auto"/>
                <w:kern w:val="0"/>
                <w:sz w:val="24"/>
                <w:szCs w:val="24"/>
                <w:highlight w:val="none"/>
                <w:lang w:val="en-US" w:eastAsia="zh-CN"/>
              </w:rPr>
              <w:t>配备的厨师长还</w:t>
            </w:r>
            <w:r>
              <w:rPr>
                <w:rFonts w:hint="eastAsia" w:ascii="宋体" w:hAnsi="宋体" w:cs="宋体"/>
                <w:color w:val="auto"/>
                <w:kern w:val="0"/>
                <w:sz w:val="24"/>
                <w:szCs w:val="24"/>
                <w:highlight w:val="none"/>
              </w:rPr>
              <w:t>具备公共营养师证的，再加</w:t>
            </w:r>
            <w:r>
              <w:rPr>
                <w:rFonts w:hint="eastAsia" w:ascii="宋体" w:hAnsi="宋体" w:cs="宋体"/>
                <w:color w:val="auto"/>
                <w:kern w:val="0"/>
                <w:sz w:val="24"/>
                <w:szCs w:val="24"/>
                <w:highlight w:val="none"/>
                <w:lang w:val="en-US" w:eastAsia="zh-CN"/>
              </w:rPr>
              <w:t>1</w:t>
            </w:r>
            <w:r>
              <w:rPr>
                <w:rFonts w:hint="eastAsia" w:ascii="宋体" w:hAnsi="宋体" w:cs="宋体"/>
                <w:color w:val="auto"/>
                <w:kern w:val="0"/>
                <w:sz w:val="24"/>
                <w:szCs w:val="24"/>
                <w:highlight w:val="none"/>
              </w:rPr>
              <w:t>分，本项满分</w:t>
            </w:r>
            <w:r>
              <w:rPr>
                <w:rFonts w:hint="eastAsia" w:ascii="宋体" w:hAnsi="宋体" w:cs="宋体"/>
                <w:color w:val="auto"/>
                <w:kern w:val="0"/>
                <w:sz w:val="24"/>
                <w:szCs w:val="24"/>
                <w:highlight w:val="none"/>
                <w:lang w:val="en-US" w:eastAsia="zh-CN"/>
              </w:rPr>
              <w:t>4</w:t>
            </w:r>
            <w:r>
              <w:rPr>
                <w:rFonts w:hint="eastAsia" w:ascii="宋体" w:hAnsi="宋体" w:cs="宋体"/>
                <w:color w:val="auto"/>
                <w:kern w:val="0"/>
                <w:sz w:val="24"/>
                <w:szCs w:val="24"/>
                <w:highlight w:val="none"/>
              </w:rPr>
              <w:t>分。</w:t>
            </w:r>
          </w:p>
          <w:p w14:paraId="54D09C70">
            <w:pPr>
              <w:widowControl/>
              <w:spacing w:line="360" w:lineRule="auto"/>
              <w:rPr>
                <w:rFonts w:ascii="宋体" w:hAnsi="宋体" w:cs="宋体"/>
                <w:color w:val="auto"/>
                <w:kern w:val="0"/>
                <w:sz w:val="24"/>
                <w:szCs w:val="24"/>
                <w:highlight w:val="none"/>
              </w:rPr>
            </w:pPr>
            <w:r>
              <w:rPr>
                <w:rFonts w:hint="eastAsia"/>
                <w:color w:val="auto"/>
                <w:sz w:val="24"/>
                <w:szCs w:val="28"/>
                <w:highlight w:val="none"/>
              </w:rPr>
              <w:t>注：</w:t>
            </w:r>
            <w:r>
              <w:rPr>
                <w:rFonts w:hint="eastAsia" w:ascii="宋体" w:hAnsi="宋体" w:cs="宋体"/>
                <w:color w:val="auto"/>
                <w:kern w:val="0"/>
                <w:sz w:val="24"/>
                <w:szCs w:val="24"/>
                <w:highlight w:val="none"/>
              </w:rPr>
              <w:t>投标人须提供：①相关证书复印件；②职业资格（或技能等级）证书应分别单独提供其能在技能人才评价证书全国联网zscx.osta.org.cn（或人社部门所属职业技能鉴定指导中心官网）上查询的截图并注明网址</w:t>
            </w: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rPr>
              <w:t>如无法提供查询截图的，还需提供其他佐证材料（如人社部门等颁发机构或监管机构等单位出具的证明）作为得分依据；③投标人在投标截止时间前近6个月（不含投标截止时间的当月）内任意1个月为该人员缴交社保的证明；同类项目、同等职位任职年限的经验证明复印件。未按以上要求提供材料的不得分，原件备查。</w:t>
            </w:r>
          </w:p>
        </w:tc>
      </w:tr>
      <w:tr w14:paraId="3B3B9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2" w:type="pct"/>
            <w:tcBorders>
              <w:right w:val="single" w:color="auto" w:sz="4" w:space="0"/>
            </w:tcBorders>
            <w:vAlign w:val="center"/>
          </w:tcPr>
          <w:p w14:paraId="3E9080D1">
            <w:pPr>
              <w:widowControl/>
              <w:spacing w:line="360" w:lineRule="auto"/>
              <w:ind w:right="-80" w:rightChars="-38"/>
              <w:rPr>
                <w:rFonts w:ascii="宋体" w:hAnsi="宋体" w:cs="宋体"/>
                <w:color w:val="auto"/>
                <w:kern w:val="0"/>
                <w:sz w:val="24"/>
                <w:szCs w:val="24"/>
                <w:highlight w:val="none"/>
              </w:rPr>
            </w:pPr>
            <w:r>
              <w:rPr>
                <w:rFonts w:hint="eastAsia" w:ascii="宋体" w:hAnsi="宋体" w:cs="宋体"/>
                <w:color w:val="auto"/>
                <w:kern w:val="0"/>
                <w:sz w:val="24"/>
                <w:szCs w:val="24"/>
                <w:highlight w:val="none"/>
              </w:rPr>
              <w:t>1-18</w:t>
            </w:r>
          </w:p>
        </w:tc>
        <w:tc>
          <w:tcPr>
            <w:tcW w:w="434" w:type="pct"/>
            <w:vAlign w:val="center"/>
          </w:tcPr>
          <w:p w14:paraId="693985BC">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2</w:t>
            </w:r>
          </w:p>
        </w:tc>
        <w:tc>
          <w:tcPr>
            <w:tcW w:w="596" w:type="pct"/>
            <w:tcBorders>
              <w:top w:val="single" w:color="auto" w:sz="4" w:space="0"/>
              <w:left w:val="single" w:color="auto" w:sz="4" w:space="0"/>
              <w:bottom w:val="single" w:color="auto" w:sz="4" w:space="0"/>
              <w:right w:val="single" w:color="auto" w:sz="4" w:space="0"/>
            </w:tcBorders>
            <w:vAlign w:val="center"/>
          </w:tcPr>
          <w:p w14:paraId="06C1D440">
            <w:pPr>
              <w:widowControl/>
              <w:spacing w:line="360" w:lineRule="auto"/>
              <w:jc w:val="center"/>
              <w:rPr>
                <w:rFonts w:ascii="宋体" w:hAnsi="宋体" w:cs="宋体"/>
                <w:b/>
                <w:bCs/>
                <w:color w:val="auto"/>
                <w:kern w:val="0"/>
                <w:sz w:val="24"/>
                <w:szCs w:val="24"/>
                <w:highlight w:val="none"/>
              </w:rPr>
            </w:pPr>
            <w:r>
              <w:rPr>
                <w:rFonts w:hint="eastAsia" w:ascii="宋体" w:hAnsi="宋体" w:cs="宋体"/>
                <w:b/>
                <w:bCs/>
                <w:color w:val="auto"/>
                <w:kern w:val="0"/>
                <w:sz w:val="24"/>
                <w:szCs w:val="24"/>
                <w:highlight w:val="none"/>
              </w:rPr>
              <w:t>是</w:t>
            </w:r>
          </w:p>
        </w:tc>
        <w:tc>
          <w:tcPr>
            <w:tcW w:w="3615" w:type="pct"/>
            <w:tcBorders>
              <w:top w:val="single" w:color="auto" w:sz="4" w:space="0"/>
              <w:left w:val="single" w:color="auto" w:sz="4" w:space="0"/>
              <w:bottom w:val="single" w:color="auto" w:sz="4" w:space="0"/>
              <w:right w:val="single" w:color="auto" w:sz="4" w:space="0"/>
            </w:tcBorders>
          </w:tcPr>
          <w:p w14:paraId="305D5671">
            <w:pPr>
              <w:widowControl/>
              <w:spacing w:line="360" w:lineRule="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 xml:space="preserve">根据投标人为本项目拟配备的厨师长进行评价： </w:t>
            </w:r>
          </w:p>
          <w:p w14:paraId="586C615C">
            <w:pPr>
              <w:widowControl/>
              <w:spacing w:line="360" w:lineRule="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②翔安区黎林路1699号食堂：投标人拟配备厨师长（1人）具备国家认证的相关厨师职业资格证书及具有同类项目2年（含）以上任职经历的得2分。</w:t>
            </w:r>
          </w:p>
          <w:p w14:paraId="5DC8BEEA">
            <w:pPr>
              <w:widowControl/>
              <w:spacing w:line="360" w:lineRule="auto"/>
              <w:rPr>
                <w:rFonts w:ascii="宋体" w:hAnsi="宋体" w:cs="宋体"/>
                <w:color w:val="auto"/>
                <w:kern w:val="0"/>
                <w:sz w:val="24"/>
                <w:szCs w:val="24"/>
                <w:highlight w:val="none"/>
              </w:rPr>
            </w:pPr>
            <w:r>
              <w:rPr>
                <w:rFonts w:hint="eastAsia"/>
                <w:color w:val="auto"/>
                <w:sz w:val="24"/>
                <w:szCs w:val="28"/>
                <w:highlight w:val="none"/>
              </w:rPr>
              <w:t>注：</w:t>
            </w:r>
            <w:r>
              <w:rPr>
                <w:rFonts w:hint="eastAsia" w:ascii="宋体" w:hAnsi="宋体" w:cs="宋体"/>
                <w:color w:val="auto"/>
                <w:kern w:val="0"/>
                <w:sz w:val="24"/>
                <w:szCs w:val="24"/>
                <w:highlight w:val="none"/>
              </w:rPr>
              <w:t>投标人须提供：①相关证书复印件；②职业资格（或技能等级）证书应分别单独提供其能在技能人才评价证书全国联网zscx.osta.org.cn（或人社部门所属职业技能鉴定指导中心官网）上查询的截图并注明网址</w:t>
            </w:r>
            <w:r>
              <w:rPr>
                <w:rFonts w:hint="eastAsia" w:ascii="宋体" w:hAnsi="宋体" w:cs="宋体"/>
                <w:color w:val="auto"/>
                <w:kern w:val="0"/>
                <w:sz w:val="24"/>
                <w:szCs w:val="24"/>
                <w:highlight w:val="none"/>
                <w:lang w:eastAsia="zh-CN"/>
              </w:rPr>
              <w:t>，如无法提供查询截图的，还需提供其他佐证材料（如人社部门等颁发机构或监管机构等单位出具的证明）作为得分依据</w:t>
            </w:r>
            <w:r>
              <w:rPr>
                <w:rFonts w:hint="eastAsia" w:ascii="宋体" w:hAnsi="宋体" w:cs="宋体"/>
                <w:color w:val="auto"/>
                <w:kern w:val="0"/>
                <w:sz w:val="24"/>
                <w:szCs w:val="24"/>
                <w:highlight w:val="none"/>
              </w:rPr>
              <w:t>；③投标人在投标截止时间前近6个月（不含投标截止时间的当月）内任意1个月为该人员缴交社保的证明；同类项目、同等职位任职年限的经验证明复印件。未按以上要求提供材料的不得分，原件备查。</w:t>
            </w:r>
          </w:p>
        </w:tc>
      </w:tr>
      <w:tr w14:paraId="3FD23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2" w:type="pct"/>
            <w:tcBorders>
              <w:right w:val="single" w:color="auto" w:sz="4" w:space="0"/>
            </w:tcBorders>
            <w:vAlign w:val="center"/>
          </w:tcPr>
          <w:p w14:paraId="369FD3CC">
            <w:pPr>
              <w:widowControl/>
              <w:spacing w:line="360" w:lineRule="auto"/>
              <w:ind w:right="-80" w:rightChars="-38"/>
              <w:rPr>
                <w:rFonts w:ascii="宋体" w:hAnsi="宋体" w:cs="宋体"/>
                <w:color w:val="auto"/>
                <w:kern w:val="0"/>
                <w:sz w:val="24"/>
                <w:szCs w:val="24"/>
                <w:highlight w:val="none"/>
              </w:rPr>
            </w:pPr>
            <w:r>
              <w:rPr>
                <w:rFonts w:hint="eastAsia" w:ascii="宋体" w:hAnsi="宋体" w:cs="宋体"/>
                <w:color w:val="auto"/>
                <w:kern w:val="0"/>
                <w:sz w:val="24"/>
                <w:szCs w:val="24"/>
                <w:highlight w:val="none"/>
              </w:rPr>
              <w:t>1-19</w:t>
            </w:r>
          </w:p>
        </w:tc>
        <w:tc>
          <w:tcPr>
            <w:tcW w:w="434" w:type="pct"/>
            <w:vAlign w:val="center"/>
          </w:tcPr>
          <w:p w14:paraId="76DDB089">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2</w:t>
            </w:r>
          </w:p>
        </w:tc>
        <w:tc>
          <w:tcPr>
            <w:tcW w:w="596" w:type="pct"/>
            <w:tcBorders>
              <w:top w:val="single" w:color="auto" w:sz="4" w:space="0"/>
              <w:left w:val="single" w:color="auto" w:sz="4" w:space="0"/>
              <w:bottom w:val="single" w:color="auto" w:sz="4" w:space="0"/>
              <w:right w:val="single" w:color="auto" w:sz="4" w:space="0"/>
            </w:tcBorders>
            <w:vAlign w:val="center"/>
          </w:tcPr>
          <w:p w14:paraId="60013CCF">
            <w:pPr>
              <w:widowControl/>
              <w:spacing w:line="360" w:lineRule="auto"/>
              <w:jc w:val="center"/>
              <w:rPr>
                <w:rFonts w:ascii="宋体" w:hAnsi="宋体" w:cs="宋体"/>
                <w:color w:val="auto"/>
                <w:kern w:val="0"/>
                <w:sz w:val="24"/>
                <w:szCs w:val="24"/>
                <w:highlight w:val="none"/>
              </w:rPr>
            </w:pPr>
            <w:r>
              <w:rPr>
                <w:rFonts w:hint="eastAsia" w:ascii="宋体" w:hAnsi="宋体" w:cs="宋体"/>
                <w:b/>
                <w:bCs/>
                <w:color w:val="auto"/>
                <w:kern w:val="0"/>
                <w:sz w:val="24"/>
                <w:szCs w:val="24"/>
                <w:highlight w:val="none"/>
              </w:rPr>
              <w:t>是</w:t>
            </w:r>
          </w:p>
        </w:tc>
        <w:tc>
          <w:tcPr>
            <w:tcW w:w="3615" w:type="pct"/>
            <w:tcBorders>
              <w:top w:val="single" w:color="auto" w:sz="4" w:space="0"/>
              <w:left w:val="single" w:color="auto" w:sz="4" w:space="0"/>
              <w:bottom w:val="single" w:color="auto" w:sz="4" w:space="0"/>
              <w:right w:val="single" w:color="auto" w:sz="4" w:space="0"/>
            </w:tcBorders>
          </w:tcPr>
          <w:p w14:paraId="6346F5D1">
            <w:pPr>
              <w:widowControl/>
              <w:spacing w:line="360" w:lineRule="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 xml:space="preserve">根据投标人为本项目拟配备的锅台师傅进行评价： </w:t>
            </w:r>
          </w:p>
          <w:p w14:paraId="53EACB88">
            <w:pPr>
              <w:widowControl/>
              <w:spacing w:line="360" w:lineRule="auto"/>
              <w:rPr>
                <w:rFonts w:ascii="宋体" w:hAnsi="宋体" w:cs="宋体"/>
                <w:color w:val="auto"/>
                <w:sz w:val="24"/>
                <w:szCs w:val="24"/>
                <w:highlight w:val="none"/>
              </w:rPr>
            </w:pPr>
            <w:r>
              <w:rPr>
                <w:rFonts w:hint="eastAsia" w:ascii="宋体" w:hAnsi="宋体" w:cs="宋体"/>
                <w:color w:val="auto"/>
                <w:kern w:val="0"/>
                <w:sz w:val="24"/>
                <w:szCs w:val="24"/>
                <w:highlight w:val="none"/>
              </w:rPr>
              <w:t>投标人拟配备的锅台师傅（3人）具备国家认证的相关厨师中式烹调师资格证书的得2分。投标人须提供相关证书复印件，投标截止时间前近6个月（不含投标截止时间的当月）内任意1个月为该人员缴交社保的证明，原件备查。</w:t>
            </w:r>
          </w:p>
        </w:tc>
      </w:tr>
      <w:tr w14:paraId="0AC7A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2" w:type="pct"/>
            <w:tcBorders>
              <w:right w:val="single" w:color="auto" w:sz="4" w:space="0"/>
            </w:tcBorders>
            <w:vAlign w:val="center"/>
          </w:tcPr>
          <w:p w14:paraId="5F1A14A4">
            <w:pPr>
              <w:widowControl/>
              <w:spacing w:line="360" w:lineRule="auto"/>
              <w:ind w:right="-80" w:rightChars="-38"/>
              <w:rPr>
                <w:rFonts w:ascii="宋体" w:hAnsi="宋体" w:cs="宋体"/>
                <w:color w:val="auto"/>
                <w:kern w:val="0"/>
                <w:sz w:val="24"/>
                <w:szCs w:val="24"/>
                <w:highlight w:val="none"/>
              </w:rPr>
            </w:pPr>
            <w:r>
              <w:rPr>
                <w:rFonts w:hint="eastAsia" w:ascii="宋体" w:hAnsi="宋体" w:cs="宋体"/>
                <w:color w:val="auto"/>
                <w:kern w:val="0"/>
                <w:sz w:val="24"/>
                <w:szCs w:val="24"/>
                <w:highlight w:val="none"/>
              </w:rPr>
              <w:t>1-20</w:t>
            </w:r>
          </w:p>
        </w:tc>
        <w:tc>
          <w:tcPr>
            <w:tcW w:w="434" w:type="pct"/>
            <w:vAlign w:val="center"/>
          </w:tcPr>
          <w:p w14:paraId="65280D52">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2</w:t>
            </w:r>
          </w:p>
        </w:tc>
        <w:tc>
          <w:tcPr>
            <w:tcW w:w="596" w:type="pct"/>
            <w:tcBorders>
              <w:top w:val="single" w:color="auto" w:sz="4" w:space="0"/>
              <w:left w:val="single" w:color="auto" w:sz="4" w:space="0"/>
              <w:bottom w:val="single" w:color="auto" w:sz="4" w:space="0"/>
              <w:right w:val="single" w:color="auto" w:sz="4" w:space="0"/>
            </w:tcBorders>
            <w:vAlign w:val="center"/>
          </w:tcPr>
          <w:p w14:paraId="570739DB">
            <w:pPr>
              <w:widowControl/>
              <w:spacing w:line="360" w:lineRule="auto"/>
              <w:jc w:val="center"/>
              <w:rPr>
                <w:rFonts w:ascii="宋体" w:hAnsi="宋体" w:cs="宋体"/>
                <w:b/>
                <w:bCs/>
                <w:color w:val="auto"/>
                <w:kern w:val="0"/>
                <w:sz w:val="24"/>
                <w:szCs w:val="24"/>
                <w:highlight w:val="none"/>
              </w:rPr>
            </w:pPr>
            <w:r>
              <w:rPr>
                <w:rFonts w:hint="eastAsia" w:ascii="宋体" w:hAnsi="宋体" w:cs="宋体"/>
                <w:b/>
                <w:bCs/>
                <w:color w:val="auto"/>
                <w:kern w:val="0"/>
                <w:sz w:val="24"/>
                <w:szCs w:val="24"/>
                <w:highlight w:val="none"/>
              </w:rPr>
              <w:t>是</w:t>
            </w:r>
          </w:p>
        </w:tc>
        <w:tc>
          <w:tcPr>
            <w:tcW w:w="3615" w:type="pct"/>
            <w:tcBorders>
              <w:top w:val="single" w:color="auto" w:sz="4" w:space="0"/>
              <w:left w:val="single" w:color="auto" w:sz="4" w:space="0"/>
              <w:bottom w:val="single" w:color="auto" w:sz="4" w:space="0"/>
              <w:right w:val="single" w:color="auto" w:sz="4" w:space="0"/>
            </w:tcBorders>
          </w:tcPr>
          <w:p w14:paraId="7A588538">
            <w:pPr>
              <w:widowControl/>
              <w:spacing w:line="360" w:lineRule="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 xml:space="preserve">根据投标人为本项目拟配备的面点师傅进行评价： </w:t>
            </w:r>
          </w:p>
          <w:p w14:paraId="43A9BC62">
            <w:pPr>
              <w:widowControl/>
              <w:spacing w:line="360" w:lineRule="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投标人拟配备的面点师傅（1人）具备三级（高级）及以上中式面点师证的，得1.5分；在此基础上，同时具备四级（中级）及以上西式面点师证的，再加0.5分，本项满分2分。</w:t>
            </w:r>
          </w:p>
          <w:p w14:paraId="110AB84D">
            <w:pPr>
              <w:widowControl/>
              <w:spacing w:line="360" w:lineRule="auto"/>
              <w:rPr>
                <w:rFonts w:ascii="宋体" w:hAnsi="宋体" w:cs="宋体"/>
                <w:color w:val="auto"/>
                <w:kern w:val="0"/>
                <w:sz w:val="24"/>
                <w:szCs w:val="24"/>
                <w:highlight w:val="none"/>
              </w:rPr>
            </w:pPr>
            <w:r>
              <w:rPr>
                <w:rFonts w:hint="eastAsia"/>
                <w:color w:val="auto"/>
                <w:sz w:val="24"/>
                <w:szCs w:val="28"/>
                <w:highlight w:val="none"/>
              </w:rPr>
              <w:t>注：</w:t>
            </w:r>
            <w:r>
              <w:rPr>
                <w:rFonts w:hint="eastAsia" w:ascii="宋体" w:hAnsi="宋体" w:cs="宋体"/>
                <w:color w:val="auto"/>
                <w:kern w:val="0"/>
                <w:sz w:val="24"/>
                <w:szCs w:val="24"/>
                <w:highlight w:val="none"/>
              </w:rPr>
              <w:t>投标人须提供：①相关证书复印件；②证书在“技能人才评价证书全国联网查询”系统（网址：zscx.osta.org.cn）或人社部门所属职业技能鉴定指导中心官网系统查询截图；如无法提供查询截图的，还需提供其他佐证材料（如人社部门等颁发机构或监管机构等单位出具的证明）作为得分依据；③投标人在投标截止时间前近6个月（不含投标截止时间的当月）内任意1个月为该人员缴交社保的证明。未按以上要求提供材料的不得分，原件备查。</w:t>
            </w:r>
          </w:p>
        </w:tc>
      </w:tr>
      <w:tr w14:paraId="6E137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2" w:type="pct"/>
            <w:tcBorders>
              <w:right w:val="single" w:color="auto" w:sz="4" w:space="0"/>
            </w:tcBorders>
            <w:vAlign w:val="center"/>
          </w:tcPr>
          <w:p w14:paraId="3BAADB7D">
            <w:pPr>
              <w:widowControl/>
              <w:spacing w:line="360" w:lineRule="auto"/>
              <w:ind w:right="-80" w:rightChars="-38"/>
              <w:rPr>
                <w:rFonts w:ascii="宋体" w:hAnsi="宋体" w:cs="宋体"/>
                <w:color w:val="auto"/>
                <w:kern w:val="0"/>
                <w:sz w:val="24"/>
                <w:szCs w:val="24"/>
                <w:highlight w:val="none"/>
              </w:rPr>
            </w:pPr>
            <w:r>
              <w:rPr>
                <w:rFonts w:hint="eastAsia" w:ascii="宋体" w:hAnsi="宋体" w:cs="宋体"/>
                <w:color w:val="auto"/>
                <w:kern w:val="0"/>
                <w:sz w:val="24"/>
                <w:szCs w:val="24"/>
                <w:highlight w:val="none"/>
              </w:rPr>
              <w:t>1-21</w:t>
            </w:r>
          </w:p>
        </w:tc>
        <w:tc>
          <w:tcPr>
            <w:tcW w:w="434" w:type="pct"/>
            <w:vAlign w:val="center"/>
          </w:tcPr>
          <w:p w14:paraId="68256A20">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1</w:t>
            </w:r>
          </w:p>
        </w:tc>
        <w:tc>
          <w:tcPr>
            <w:tcW w:w="596" w:type="pct"/>
            <w:tcBorders>
              <w:top w:val="single" w:color="auto" w:sz="4" w:space="0"/>
              <w:left w:val="single" w:color="auto" w:sz="4" w:space="0"/>
              <w:bottom w:val="single" w:color="auto" w:sz="4" w:space="0"/>
              <w:right w:val="single" w:color="auto" w:sz="4" w:space="0"/>
            </w:tcBorders>
            <w:vAlign w:val="center"/>
          </w:tcPr>
          <w:p w14:paraId="439E042E">
            <w:pPr>
              <w:widowControl/>
              <w:spacing w:line="360" w:lineRule="auto"/>
              <w:jc w:val="center"/>
              <w:rPr>
                <w:rFonts w:ascii="宋体" w:hAnsi="宋体" w:cs="宋体"/>
                <w:color w:val="auto"/>
                <w:kern w:val="0"/>
                <w:sz w:val="24"/>
                <w:szCs w:val="24"/>
                <w:highlight w:val="none"/>
              </w:rPr>
            </w:pPr>
            <w:r>
              <w:rPr>
                <w:rFonts w:hint="eastAsia" w:ascii="宋体" w:hAnsi="宋体" w:cs="宋体"/>
                <w:b/>
                <w:bCs/>
                <w:color w:val="auto"/>
                <w:kern w:val="0"/>
                <w:sz w:val="24"/>
                <w:szCs w:val="24"/>
                <w:highlight w:val="none"/>
              </w:rPr>
              <w:t>是</w:t>
            </w:r>
          </w:p>
        </w:tc>
        <w:tc>
          <w:tcPr>
            <w:tcW w:w="3615" w:type="pct"/>
            <w:tcBorders>
              <w:top w:val="single" w:color="auto" w:sz="4" w:space="0"/>
              <w:left w:val="single" w:color="auto" w:sz="4" w:space="0"/>
              <w:bottom w:val="single" w:color="auto" w:sz="4" w:space="0"/>
              <w:right w:val="single" w:color="auto" w:sz="4" w:space="0"/>
            </w:tcBorders>
          </w:tcPr>
          <w:p w14:paraId="3406E480">
            <w:pPr>
              <w:widowControl/>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采购人认为中标人所派遣人员不能胜任其岗位职责的，提出更换意见后，中标人应承诺在5个工作日内予以更换不低于原岗位资格要求的人员，有提供承诺的得1分，未提供承诺不得分。</w:t>
            </w:r>
          </w:p>
        </w:tc>
      </w:tr>
      <w:bookmarkEnd w:id="42"/>
      <w:tr w14:paraId="62429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2" w:type="pct"/>
            <w:tcBorders>
              <w:right w:val="single" w:color="auto" w:sz="4" w:space="0"/>
            </w:tcBorders>
            <w:vAlign w:val="center"/>
          </w:tcPr>
          <w:p w14:paraId="582DD94A">
            <w:pPr>
              <w:widowControl/>
              <w:spacing w:line="360" w:lineRule="auto"/>
              <w:ind w:right="-80" w:rightChars="-38"/>
              <w:rPr>
                <w:rFonts w:ascii="宋体" w:hAnsi="宋体" w:cs="宋体"/>
                <w:color w:val="auto"/>
                <w:kern w:val="0"/>
                <w:sz w:val="24"/>
                <w:szCs w:val="24"/>
                <w:highlight w:val="none"/>
              </w:rPr>
            </w:pPr>
            <w:r>
              <w:rPr>
                <w:rFonts w:hint="eastAsia" w:ascii="宋体" w:hAnsi="宋体" w:cs="宋体"/>
                <w:color w:val="auto"/>
                <w:kern w:val="0"/>
                <w:sz w:val="24"/>
                <w:szCs w:val="24"/>
                <w:highlight w:val="none"/>
              </w:rPr>
              <w:t>1-22</w:t>
            </w:r>
          </w:p>
        </w:tc>
        <w:tc>
          <w:tcPr>
            <w:tcW w:w="434" w:type="pct"/>
            <w:vAlign w:val="center"/>
          </w:tcPr>
          <w:p w14:paraId="50D22205">
            <w:pPr>
              <w:widowControl/>
              <w:spacing w:line="360" w:lineRule="auto"/>
              <w:jc w:val="center"/>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lang w:val="en-US" w:eastAsia="zh-CN"/>
              </w:rPr>
              <w:t>2</w:t>
            </w:r>
          </w:p>
        </w:tc>
        <w:tc>
          <w:tcPr>
            <w:tcW w:w="596" w:type="pct"/>
            <w:tcBorders>
              <w:top w:val="single" w:color="auto" w:sz="4" w:space="0"/>
              <w:left w:val="single" w:color="auto" w:sz="4" w:space="0"/>
              <w:bottom w:val="single" w:color="auto" w:sz="4" w:space="0"/>
              <w:right w:val="single" w:color="auto" w:sz="4" w:space="0"/>
            </w:tcBorders>
            <w:vAlign w:val="center"/>
          </w:tcPr>
          <w:p w14:paraId="22F44001">
            <w:pPr>
              <w:widowControl/>
              <w:spacing w:line="360" w:lineRule="auto"/>
              <w:jc w:val="center"/>
              <w:rPr>
                <w:rFonts w:ascii="宋体" w:hAnsi="宋体" w:cs="宋体"/>
                <w:color w:val="auto"/>
                <w:kern w:val="0"/>
                <w:sz w:val="24"/>
                <w:szCs w:val="24"/>
                <w:highlight w:val="none"/>
              </w:rPr>
            </w:pPr>
            <w:r>
              <w:rPr>
                <w:rFonts w:hint="eastAsia" w:ascii="宋体" w:hAnsi="宋体" w:cs="宋体"/>
                <w:b/>
                <w:bCs/>
                <w:color w:val="auto"/>
                <w:kern w:val="0"/>
                <w:sz w:val="24"/>
                <w:szCs w:val="24"/>
                <w:highlight w:val="none"/>
              </w:rPr>
              <w:t>是</w:t>
            </w:r>
          </w:p>
        </w:tc>
        <w:tc>
          <w:tcPr>
            <w:tcW w:w="3615" w:type="pct"/>
            <w:tcBorders>
              <w:top w:val="single" w:color="auto" w:sz="4" w:space="0"/>
              <w:left w:val="single" w:color="auto" w:sz="4" w:space="0"/>
              <w:bottom w:val="single" w:color="auto" w:sz="4" w:space="0"/>
              <w:right w:val="single" w:color="auto" w:sz="4" w:space="0"/>
            </w:tcBorders>
          </w:tcPr>
          <w:p w14:paraId="2E3E425A">
            <w:pPr>
              <w:widowControl/>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根据投标人在服务团队人员出现辞退或不合格或轮岗等情况，可为本项目提供的备用及保障人员情况进行评分：</w:t>
            </w:r>
            <w:r>
              <w:rPr>
                <w:rFonts w:hint="eastAsia" w:ascii="宋体" w:hAnsi="宋体" w:cs="宋体"/>
                <w:color w:val="auto"/>
                <w:kern w:val="0"/>
                <w:sz w:val="24"/>
                <w:szCs w:val="24"/>
                <w:highlight w:val="none"/>
              </w:rPr>
              <w:t>①</w:t>
            </w:r>
            <w:r>
              <w:rPr>
                <w:rFonts w:hint="eastAsia" w:ascii="宋体" w:hAnsi="宋体" w:cs="宋体"/>
                <w:color w:val="auto"/>
                <w:sz w:val="24"/>
                <w:szCs w:val="24"/>
                <w:highlight w:val="none"/>
              </w:rPr>
              <w:t>投标人提供一个具备二级技师及以上烹调师证书的人员得1分</w:t>
            </w:r>
            <w:r>
              <w:rPr>
                <w:rFonts w:hint="eastAsia" w:ascii="宋体" w:hAnsi="宋体" w:cs="宋体"/>
                <w:color w:val="auto"/>
                <w:sz w:val="24"/>
                <w:szCs w:val="24"/>
                <w:highlight w:val="none"/>
                <w:lang w:eastAsia="zh-CN"/>
              </w:rPr>
              <w:t>；</w:t>
            </w:r>
            <w:r>
              <w:rPr>
                <w:rFonts w:hint="eastAsia" w:ascii="宋体" w:hAnsi="宋体" w:cs="宋体"/>
                <w:color w:val="auto"/>
                <w:kern w:val="0"/>
                <w:sz w:val="24"/>
                <w:szCs w:val="24"/>
                <w:highlight w:val="none"/>
              </w:rPr>
              <w:t>②</w:t>
            </w:r>
            <w:r>
              <w:rPr>
                <w:rFonts w:hint="eastAsia" w:ascii="宋体" w:hAnsi="宋体" w:cs="宋体"/>
                <w:color w:val="auto"/>
                <w:kern w:val="0"/>
                <w:sz w:val="24"/>
                <w:szCs w:val="24"/>
                <w:highlight w:val="none"/>
                <w:lang w:val="en-US" w:eastAsia="zh-CN"/>
              </w:rPr>
              <w:t>投标人</w:t>
            </w:r>
            <w:r>
              <w:rPr>
                <w:rFonts w:hint="eastAsia" w:ascii="宋体" w:hAnsi="宋体" w:cs="宋体"/>
                <w:color w:val="auto"/>
                <w:sz w:val="24"/>
                <w:szCs w:val="24"/>
                <w:highlight w:val="none"/>
              </w:rPr>
              <w:t>提供一个</w:t>
            </w:r>
            <w:r>
              <w:rPr>
                <w:rFonts w:hint="eastAsia" w:ascii="宋体" w:hAnsi="宋体" w:cs="宋体"/>
                <w:color w:val="auto"/>
                <w:kern w:val="0"/>
                <w:sz w:val="24"/>
                <w:szCs w:val="24"/>
                <w:highlight w:val="none"/>
              </w:rPr>
              <w:t>在投标单位服务一年以上</w:t>
            </w:r>
            <w:r>
              <w:rPr>
                <w:rFonts w:hint="eastAsia" w:ascii="宋体" w:hAnsi="宋体" w:cs="宋体"/>
                <w:color w:val="auto"/>
                <w:kern w:val="0"/>
                <w:sz w:val="24"/>
                <w:szCs w:val="24"/>
                <w:highlight w:val="none"/>
                <w:lang w:eastAsia="zh-CN"/>
              </w:rPr>
              <w:t>，同时</w:t>
            </w:r>
            <w:r>
              <w:rPr>
                <w:rFonts w:hint="eastAsia" w:ascii="宋体" w:hAnsi="宋体" w:cs="宋体"/>
                <w:color w:val="auto"/>
                <w:kern w:val="0"/>
                <w:sz w:val="24"/>
                <w:szCs w:val="24"/>
                <w:highlight w:val="none"/>
              </w:rPr>
              <w:t>具有同类项目、同等职位任职一年以上资历</w:t>
            </w:r>
            <w:r>
              <w:rPr>
                <w:rFonts w:hint="eastAsia" w:ascii="宋体" w:hAnsi="宋体" w:cs="宋体"/>
                <w:color w:val="auto"/>
                <w:sz w:val="24"/>
                <w:szCs w:val="24"/>
                <w:highlight w:val="none"/>
                <w:lang w:eastAsia="zh-CN"/>
              </w:rPr>
              <w:t>的项目经理的</w:t>
            </w:r>
            <w:r>
              <w:rPr>
                <w:rFonts w:hint="eastAsia" w:ascii="宋体" w:hAnsi="宋体" w:cs="宋体"/>
                <w:color w:val="auto"/>
                <w:sz w:val="24"/>
                <w:szCs w:val="24"/>
                <w:highlight w:val="none"/>
              </w:rPr>
              <w:t>得1分。投标人须提供相关职业资格或技能等级证书以及人员相关证书复印件，</w:t>
            </w:r>
            <w:r>
              <w:rPr>
                <w:rFonts w:hint="eastAsia" w:ascii="宋体" w:hAnsi="宋体" w:cs="宋体"/>
                <w:color w:val="auto"/>
                <w:kern w:val="0"/>
                <w:sz w:val="24"/>
                <w:szCs w:val="24"/>
                <w:highlight w:val="none"/>
              </w:rPr>
              <w:t>投标人在投标截止时间前近6个月（不含投标截止时间的当月）内任意1个月为该人员缴交社保的证明，原件备查。</w:t>
            </w:r>
          </w:p>
        </w:tc>
      </w:tr>
      <w:tr w14:paraId="603DB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2" w:type="pct"/>
            <w:tcBorders>
              <w:right w:val="single" w:color="auto" w:sz="4" w:space="0"/>
            </w:tcBorders>
            <w:vAlign w:val="center"/>
          </w:tcPr>
          <w:p w14:paraId="06B0A8CA">
            <w:pPr>
              <w:widowControl/>
              <w:spacing w:line="360" w:lineRule="auto"/>
              <w:ind w:right="-80" w:rightChars="-38"/>
              <w:rPr>
                <w:rFonts w:ascii="宋体" w:hAnsi="宋体" w:cs="宋体"/>
                <w:color w:val="auto"/>
                <w:kern w:val="0"/>
                <w:sz w:val="24"/>
                <w:szCs w:val="24"/>
                <w:highlight w:val="none"/>
              </w:rPr>
            </w:pPr>
            <w:r>
              <w:rPr>
                <w:rFonts w:hint="eastAsia" w:ascii="宋体" w:hAnsi="宋体" w:cs="宋体"/>
                <w:color w:val="auto"/>
                <w:kern w:val="0"/>
                <w:sz w:val="24"/>
                <w:szCs w:val="24"/>
                <w:highlight w:val="none"/>
              </w:rPr>
              <w:t>1-23</w:t>
            </w:r>
          </w:p>
        </w:tc>
        <w:tc>
          <w:tcPr>
            <w:tcW w:w="434" w:type="pct"/>
            <w:vAlign w:val="center"/>
          </w:tcPr>
          <w:p w14:paraId="0E9EFDE4">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1</w:t>
            </w:r>
          </w:p>
        </w:tc>
        <w:tc>
          <w:tcPr>
            <w:tcW w:w="596" w:type="pct"/>
            <w:tcBorders>
              <w:top w:val="single" w:color="auto" w:sz="4" w:space="0"/>
              <w:left w:val="single" w:color="auto" w:sz="4" w:space="0"/>
              <w:bottom w:val="single" w:color="auto" w:sz="4" w:space="0"/>
              <w:right w:val="single" w:color="auto" w:sz="4" w:space="0"/>
            </w:tcBorders>
            <w:vAlign w:val="center"/>
          </w:tcPr>
          <w:p w14:paraId="74C1C23F">
            <w:pPr>
              <w:widowControl/>
              <w:spacing w:line="360" w:lineRule="auto"/>
              <w:jc w:val="center"/>
              <w:rPr>
                <w:rFonts w:ascii="宋体" w:hAnsi="宋体" w:cs="宋体"/>
                <w:color w:val="auto"/>
                <w:kern w:val="0"/>
                <w:sz w:val="24"/>
                <w:szCs w:val="24"/>
                <w:highlight w:val="none"/>
              </w:rPr>
            </w:pPr>
            <w:r>
              <w:rPr>
                <w:rFonts w:hint="eastAsia" w:ascii="宋体" w:hAnsi="宋体" w:cs="宋体"/>
                <w:b/>
                <w:bCs/>
                <w:color w:val="auto"/>
                <w:kern w:val="0"/>
                <w:sz w:val="24"/>
                <w:szCs w:val="24"/>
                <w:highlight w:val="none"/>
              </w:rPr>
              <w:t>是</w:t>
            </w:r>
          </w:p>
        </w:tc>
        <w:tc>
          <w:tcPr>
            <w:tcW w:w="3615" w:type="pct"/>
            <w:tcBorders>
              <w:top w:val="single" w:color="auto" w:sz="4" w:space="0"/>
              <w:left w:val="single" w:color="auto" w:sz="4" w:space="0"/>
              <w:bottom w:val="single" w:color="auto" w:sz="4" w:space="0"/>
              <w:right w:val="single" w:color="auto" w:sz="4" w:space="0"/>
            </w:tcBorders>
          </w:tcPr>
          <w:p w14:paraId="5B69F51E">
            <w:pPr>
              <w:widowControl/>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投标人承诺为拟投入本项目的所有员工购买员工团体意外险或雇主责任险且总保额不得少于人民币100万元的得 1分。</w:t>
            </w:r>
          </w:p>
        </w:tc>
      </w:tr>
      <w:bookmarkEnd w:id="38"/>
    </w:tbl>
    <w:p w14:paraId="04A5E89E">
      <w:pPr>
        <w:tabs>
          <w:tab w:val="left" w:pos="-1080"/>
          <w:tab w:val="left" w:pos="180"/>
          <w:tab w:val="left" w:pos="1080"/>
        </w:tabs>
        <w:spacing w:line="360" w:lineRule="auto"/>
        <w:rPr>
          <w:rFonts w:ascii="宋体" w:hAnsi="宋体" w:cs="宋体"/>
          <w:color w:val="auto"/>
          <w:sz w:val="24"/>
          <w:szCs w:val="24"/>
          <w:highlight w:val="none"/>
        </w:rPr>
      </w:pPr>
    </w:p>
    <w:p w14:paraId="5D5ED422">
      <w:pPr>
        <w:tabs>
          <w:tab w:val="left" w:pos="-1080"/>
          <w:tab w:val="left" w:pos="180"/>
          <w:tab w:val="left" w:pos="1080"/>
        </w:tabs>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（二）商务评分（F2）：按20分评分法，商务评分考虑下列因素：</w:t>
      </w:r>
    </w:p>
    <w:tbl>
      <w:tblPr>
        <w:tblStyle w:val="21"/>
        <w:tblW w:w="522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
        <w:gridCol w:w="748"/>
        <w:gridCol w:w="951"/>
        <w:gridCol w:w="6350"/>
      </w:tblGrid>
      <w:tr w14:paraId="59518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9" w:type="pct"/>
            <w:tcBorders>
              <w:right w:val="single" w:color="auto" w:sz="4" w:space="0"/>
            </w:tcBorders>
            <w:vAlign w:val="center"/>
          </w:tcPr>
          <w:p w14:paraId="789E88A2">
            <w:pPr>
              <w:widowControl/>
              <w:spacing w:line="360" w:lineRule="auto"/>
              <w:ind w:left="-42" w:leftChars="-20" w:right="-80" w:rightChars="-38"/>
              <w:jc w:val="center"/>
              <w:rPr>
                <w:rFonts w:ascii="宋体" w:hAnsi="宋体" w:cs="宋体"/>
                <w:b/>
                <w:bCs/>
                <w:color w:val="auto"/>
                <w:kern w:val="0"/>
                <w:sz w:val="24"/>
                <w:szCs w:val="24"/>
                <w:highlight w:val="none"/>
              </w:rPr>
            </w:pPr>
            <w:r>
              <w:rPr>
                <w:rFonts w:hint="eastAsia" w:ascii="宋体" w:hAnsi="宋体" w:cs="宋体"/>
                <w:b/>
                <w:bCs/>
                <w:color w:val="auto"/>
                <w:kern w:val="0"/>
                <w:sz w:val="24"/>
                <w:szCs w:val="24"/>
                <w:highlight w:val="none"/>
              </w:rPr>
              <w:t>序号</w:t>
            </w:r>
          </w:p>
        </w:tc>
        <w:tc>
          <w:tcPr>
            <w:tcW w:w="420" w:type="pct"/>
            <w:vAlign w:val="center"/>
          </w:tcPr>
          <w:p w14:paraId="74DCAE6B">
            <w:pPr>
              <w:widowControl/>
              <w:spacing w:line="360" w:lineRule="auto"/>
              <w:jc w:val="center"/>
              <w:rPr>
                <w:rFonts w:ascii="宋体" w:hAnsi="宋体" w:cs="宋体"/>
                <w:b/>
                <w:bCs/>
                <w:color w:val="auto"/>
                <w:kern w:val="0"/>
                <w:sz w:val="24"/>
                <w:szCs w:val="24"/>
                <w:highlight w:val="none"/>
              </w:rPr>
            </w:pPr>
            <w:r>
              <w:rPr>
                <w:rFonts w:hint="eastAsia" w:ascii="宋体" w:hAnsi="宋体" w:cs="宋体"/>
                <w:b/>
                <w:bCs/>
                <w:color w:val="auto"/>
                <w:kern w:val="0"/>
                <w:sz w:val="24"/>
                <w:szCs w:val="24"/>
                <w:highlight w:val="none"/>
              </w:rPr>
              <w:t>评标分值</w:t>
            </w:r>
          </w:p>
        </w:tc>
        <w:tc>
          <w:tcPr>
            <w:tcW w:w="534" w:type="pct"/>
            <w:vAlign w:val="center"/>
          </w:tcPr>
          <w:p w14:paraId="0B5E8681">
            <w:pPr>
              <w:widowControl/>
              <w:spacing w:line="360" w:lineRule="auto"/>
              <w:jc w:val="center"/>
              <w:rPr>
                <w:rFonts w:ascii="宋体" w:hAnsi="宋体" w:cs="宋体"/>
                <w:b/>
                <w:bCs/>
                <w:color w:val="auto"/>
                <w:kern w:val="0"/>
                <w:sz w:val="24"/>
                <w:szCs w:val="24"/>
                <w:highlight w:val="none"/>
              </w:rPr>
            </w:pPr>
            <w:r>
              <w:rPr>
                <w:rFonts w:hint="eastAsia" w:ascii="宋体" w:hAnsi="宋体" w:cs="宋体"/>
                <w:b/>
                <w:bCs/>
                <w:color w:val="auto"/>
                <w:kern w:val="0"/>
                <w:sz w:val="24"/>
                <w:szCs w:val="24"/>
                <w:highlight w:val="none"/>
              </w:rPr>
              <w:t>是否客观项</w:t>
            </w:r>
          </w:p>
        </w:tc>
        <w:tc>
          <w:tcPr>
            <w:tcW w:w="3566" w:type="pct"/>
            <w:vAlign w:val="center"/>
          </w:tcPr>
          <w:p w14:paraId="2E888E33">
            <w:pPr>
              <w:widowControl/>
              <w:spacing w:line="360" w:lineRule="auto"/>
              <w:jc w:val="center"/>
              <w:rPr>
                <w:rFonts w:ascii="宋体" w:hAnsi="宋体" w:cs="宋体"/>
                <w:b/>
                <w:bCs/>
                <w:color w:val="auto"/>
                <w:kern w:val="0"/>
                <w:sz w:val="24"/>
                <w:szCs w:val="24"/>
                <w:highlight w:val="none"/>
              </w:rPr>
            </w:pPr>
            <w:r>
              <w:rPr>
                <w:rFonts w:hint="eastAsia" w:ascii="宋体" w:hAnsi="宋体" w:cs="宋体"/>
                <w:b/>
                <w:bCs/>
                <w:color w:val="auto"/>
                <w:kern w:val="0"/>
                <w:sz w:val="24"/>
                <w:szCs w:val="24"/>
                <w:highlight w:val="none"/>
              </w:rPr>
              <w:t>评标方法描述</w:t>
            </w:r>
          </w:p>
        </w:tc>
      </w:tr>
      <w:tr w14:paraId="27E96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9" w:type="pct"/>
            <w:tcBorders>
              <w:right w:val="single" w:color="auto" w:sz="4" w:space="0"/>
            </w:tcBorders>
            <w:vAlign w:val="center"/>
          </w:tcPr>
          <w:p w14:paraId="28442BF5">
            <w:pPr>
              <w:widowControl/>
              <w:spacing w:line="360" w:lineRule="auto"/>
              <w:ind w:right="-80" w:rightChars="-38"/>
              <w:jc w:val="center"/>
              <w:rPr>
                <w:rFonts w:ascii="宋体" w:hAnsi="宋体" w:cs="宋体"/>
                <w:color w:val="auto"/>
                <w:kern w:val="0"/>
                <w:sz w:val="24"/>
                <w:szCs w:val="24"/>
                <w:highlight w:val="none"/>
              </w:rPr>
            </w:pPr>
            <w:r>
              <w:rPr>
                <w:rFonts w:hint="eastAsia" w:ascii="宋体" w:hAnsi="宋体" w:cs="宋体"/>
                <w:color w:val="auto"/>
                <w:sz w:val="24"/>
                <w:szCs w:val="24"/>
                <w:highlight w:val="none"/>
              </w:rPr>
              <w:t>2-</w:t>
            </w:r>
            <w:r>
              <w:rPr>
                <w:rFonts w:ascii="宋体" w:hAnsi="宋体" w:cs="宋体"/>
                <w:color w:val="auto"/>
                <w:sz w:val="24"/>
                <w:szCs w:val="24"/>
                <w:highlight w:val="none"/>
              </w:rPr>
              <w:t>1</w:t>
            </w:r>
          </w:p>
        </w:tc>
        <w:tc>
          <w:tcPr>
            <w:tcW w:w="420" w:type="pct"/>
            <w:vAlign w:val="center"/>
          </w:tcPr>
          <w:p w14:paraId="170C124F">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sz w:val="24"/>
                <w:szCs w:val="24"/>
                <w:highlight w:val="none"/>
              </w:rPr>
              <w:t>1</w:t>
            </w:r>
          </w:p>
        </w:tc>
        <w:tc>
          <w:tcPr>
            <w:tcW w:w="534" w:type="pct"/>
            <w:vAlign w:val="center"/>
          </w:tcPr>
          <w:p w14:paraId="5F1C8192">
            <w:pPr>
              <w:widowControl/>
              <w:spacing w:line="360" w:lineRule="auto"/>
              <w:jc w:val="center"/>
              <w:rPr>
                <w:rFonts w:ascii="宋体" w:hAnsi="宋体" w:cs="宋体"/>
                <w:color w:val="auto"/>
                <w:sz w:val="24"/>
                <w:szCs w:val="24"/>
                <w:highlight w:val="none"/>
              </w:rPr>
            </w:pPr>
            <w:r>
              <w:rPr>
                <w:rFonts w:hint="eastAsia" w:ascii="宋体" w:hAnsi="宋体" w:cs="宋体"/>
                <w:b/>
                <w:bCs/>
                <w:color w:val="auto"/>
                <w:kern w:val="0"/>
                <w:sz w:val="24"/>
                <w:szCs w:val="24"/>
                <w:highlight w:val="none"/>
              </w:rPr>
              <w:t>是</w:t>
            </w:r>
          </w:p>
        </w:tc>
        <w:tc>
          <w:tcPr>
            <w:tcW w:w="3566" w:type="pct"/>
            <w:vAlign w:val="center"/>
          </w:tcPr>
          <w:p w14:paraId="5535DC77">
            <w:pPr>
              <w:widowControl/>
              <w:adjustRightInd w:val="0"/>
              <w:snapToGrid w:val="0"/>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投标人通过食品安全管理体系认证的得1分，并提供在有效期内的证书复印件且附上全国认证认可信息公共服务平台（http://cx.cnca.cn）网站查询结果的下载网页，否则不得分</w:t>
            </w:r>
            <w:r>
              <w:rPr>
                <w:rFonts w:hint="eastAsia" w:ascii="宋体" w:hAnsi="宋体" w:cs="宋体"/>
                <w:color w:val="auto"/>
                <w:kern w:val="0"/>
                <w:sz w:val="24"/>
                <w:szCs w:val="24"/>
                <w:highlight w:val="none"/>
              </w:rPr>
              <w:t>，原件备查。</w:t>
            </w:r>
          </w:p>
        </w:tc>
      </w:tr>
      <w:tr w14:paraId="1FF32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9" w:type="pct"/>
            <w:tcBorders>
              <w:right w:val="single" w:color="auto" w:sz="4" w:space="0"/>
            </w:tcBorders>
            <w:vAlign w:val="center"/>
          </w:tcPr>
          <w:p w14:paraId="306CDB23">
            <w:pPr>
              <w:widowControl/>
              <w:spacing w:line="360" w:lineRule="auto"/>
              <w:ind w:right="-80" w:rightChars="-38"/>
              <w:jc w:val="center"/>
              <w:rPr>
                <w:rFonts w:ascii="宋体" w:hAnsi="宋体" w:cs="宋体"/>
                <w:color w:val="auto"/>
                <w:kern w:val="0"/>
                <w:sz w:val="24"/>
                <w:szCs w:val="24"/>
                <w:highlight w:val="none"/>
              </w:rPr>
            </w:pPr>
            <w:r>
              <w:rPr>
                <w:rFonts w:hint="eastAsia" w:ascii="宋体" w:hAnsi="宋体" w:cs="宋体"/>
                <w:color w:val="auto"/>
                <w:sz w:val="24"/>
                <w:szCs w:val="24"/>
                <w:highlight w:val="none"/>
              </w:rPr>
              <w:t>2-</w:t>
            </w:r>
            <w:r>
              <w:rPr>
                <w:rFonts w:ascii="宋体" w:hAnsi="宋体" w:cs="宋体"/>
                <w:color w:val="auto"/>
                <w:sz w:val="24"/>
                <w:szCs w:val="24"/>
                <w:highlight w:val="none"/>
              </w:rPr>
              <w:t>2</w:t>
            </w:r>
          </w:p>
        </w:tc>
        <w:tc>
          <w:tcPr>
            <w:tcW w:w="420" w:type="pct"/>
            <w:vAlign w:val="center"/>
          </w:tcPr>
          <w:p w14:paraId="1048F0A1">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sz w:val="24"/>
                <w:szCs w:val="24"/>
                <w:highlight w:val="none"/>
              </w:rPr>
              <w:t>1</w:t>
            </w:r>
          </w:p>
        </w:tc>
        <w:tc>
          <w:tcPr>
            <w:tcW w:w="534" w:type="pct"/>
            <w:vAlign w:val="center"/>
          </w:tcPr>
          <w:p w14:paraId="5ECD4804">
            <w:pPr>
              <w:widowControl/>
              <w:spacing w:line="360" w:lineRule="auto"/>
              <w:jc w:val="center"/>
              <w:rPr>
                <w:rFonts w:ascii="宋体" w:hAnsi="宋体" w:cs="宋体"/>
                <w:color w:val="auto"/>
                <w:sz w:val="24"/>
                <w:szCs w:val="24"/>
                <w:highlight w:val="none"/>
              </w:rPr>
            </w:pPr>
            <w:r>
              <w:rPr>
                <w:rFonts w:hint="eastAsia" w:ascii="宋体" w:hAnsi="宋体" w:cs="宋体"/>
                <w:b/>
                <w:bCs/>
                <w:color w:val="auto"/>
                <w:kern w:val="0"/>
                <w:sz w:val="24"/>
                <w:szCs w:val="24"/>
                <w:highlight w:val="none"/>
              </w:rPr>
              <w:t>是</w:t>
            </w:r>
          </w:p>
        </w:tc>
        <w:tc>
          <w:tcPr>
            <w:tcW w:w="3566" w:type="pct"/>
            <w:vAlign w:val="center"/>
          </w:tcPr>
          <w:p w14:paraId="2328262C">
            <w:pPr>
              <w:widowControl/>
              <w:adjustRightInd w:val="0"/>
              <w:snapToGrid w:val="0"/>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投标人通过质量管理体系认证的得1分，并提供在有效期内的证书复印件且附上全国认证认可信息公共服务平台（http://cx.cnca.cn）网站查询结果的下载网页，否则不得分</w:t>
            </w:r>
            <w:r>
              <w:rPr>
                <w:rFonts w:hint="eastAsia" w:ascii="宋体" w:hAnsi="宋体" w:cs="宋体"/>
                <w:color w:val="auto"/>
                <w:kern w:val="0"/>
                <w:sz w:val="24"/>
                <w:szCs w:val="24"/>
                <w:highlight w:val="none"/>
              </w:rPr>
              <w:t>，原件备查。</w:t>
            </w:r>
          </w:p>
        </w:tc>
      </w:tr>
      <w:tr w14:paraId="417ED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9" w:type="pct"/>
            <w:tcBorders>
              <w:right w:val="single" w:color="auto" w:sz="4" w:space="0"/>
            </w:tcBorders>
            <w:vAlign w:val="center"/>
          </w:tcPr>
          <w:p w14:paraId="0BEFAB05">
            <w:pPr>
              <w:widowControl/>
              <w:spacing w:line="360" w:lineRule="auto"/>
              <w:ind w:right="-80" w:rightChars="-38"/>
              <w:jc w:val="center"/>
              <w:rPr>
                <w:rFonts w:ascii="宋体" w:hAnsi="宋体" w:cs="宋体"/>
                <w:color w:val="auto"/>
                <w:kern w:val="0"/>
                <w:sz w:val="24"/>
                <w:szCs w:val="24"/>
                <w:highlight w:val="none"/>
              </w:rPr>
            </w:pPr>
            <w:r>
              <w:rPr>
                <w:rFonts w:hint="eastAsia" w:ascii="宋体" w:hAnsi="宋体" w:cs="宋体"/>
                <w:color w:val="auto"/>
                <w:sz w:val="24"/>
                <w:szCs w:val="24"/>
                <w:highlight w:val="none"/>
              </w:rPr>
              <w:t>2-</w:t>
            </w:r>
            <w:r>
              <w:rPr>
                <w:rFonts w:ascii="宋体" w:hAnsi="宋体" w:cs="宋体"/>
                <w:color w:val="auto"/>
                <w:sz w:val="24"/>
                <w:szCs w:val="24"/>
                <w:highlight w:val="none"/>
              </w:rPr>
              <w:t>3</w:t>
            </w:r>
          </w:p>
        </w:tc>
        <w:tc>
          <w:tcPr>
            <w:tcW w:w="420" w:type="pct"/>
            <w:vAlign w:val="center"/>
          </w:tcPr>
          <w:p w14:paraId="7A59C7B3">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sz w:val="24"/>
                <w:szCs w:val="24"/>
                <w:highlight w:val="none"/>
              </w:rPr>
              <w:t>1</w:t>
            </w:r>
          </w:p>
        </w:tc>
        <w:tc>
          <w:tcPr>
            <w:tcW w:w="534" w:type="pct"/>
            <w:vAlign w:val="center"/>
          </w:tcPr>
          <w:p w14:paraId="71EF84C5">
            <w:pPr>
              <w:widowControl/>
              <w:spacing w:line="360" w:lineRule="auto"/>
              <w:jc w:val="center"/>
              <w:rPr>
                <w:rFonts w:ascii="宋体" w:hAnsi="宋体" w:cs="宋体"/>
                <w:color w:val="auto"/>
                <w:sz w:val="24"/>
                <w:szCs w:val="24"/>
                <w:highlight w:val="none"/>
              </w:rPr>
            </w:pPr>
            <w:r>
              <w:rPr>
                <w:rFonts w:hint="eastAsia" w:ascii="宋体" w:hAnsi="宋体" w:cs="宋体"/>
                <w:b/>
                <w:bCs/>
                <w:color w:val="auto"/>
                <w:kern w:val="0"/>
                <w:sz w:val="24"/>
                <w:szCs w:val="24"/>
                <w:highlight w:val="none"/>
              </w:rPr>
              <w:t>是</w:t>
            </w:r>
          </w:p>
        </w:tc>
        <w:tc>
          <w:tcPr>
            <w:tcW w:w="3566" w:type="pct"/>
            <w:vAlign w:val="center"/>
          </w:tcPr>
          <w:p w14:paraId="62ABD1E5">
            <w:pPr>
              <w:widowControl/>
              <w:adjustRightInd w:val="0"/>
              <w:snapToGrid w:val="0"/>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投标人通过环境管理体系认证的得1分，并提供在有效期内的证书复印件且附上全国认证认可信息公共服务平台（http://cx.cnca.cn）网站查询结果的下载网页，否则不得分</w:t>
            </w:r>
            <w:r>
              <w:rPr>
                <w:rFonts w:hint="eastAsia" w:ascii="宋体" w:hAnsi="宋体" w:cs="宋体"/>
                <w:color w:val="auto"/>
                <w:kern w:val="0"/>
                <w:sz w:val="24"/>
                <w:szCs w:val="24"/>
                <w:highlight w:val="none"/>
              </w:rPr>
              <w:t>，原件备查。</w:t>
            </w:r>
          </w:p>
        </w:tc>
      </w:tr>
      <w:tr w14:paraId="02D85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9" w:type="pct"/>
            <w:tcBorders>
              <w:right w:val="single" w:color="auto" w:sz="4" w:space="0"/>
            </w:tcBorders>
            <w:vAlign w:val="center"/>
          </w:tcPr>
          <w:p w14:paraId="1BDED4D6">
            <w:pPr>
              <w:widowControl/>
              <w:spacing w:line="360" w:lineRule="auto"/>
              <w:ind w:right="-80" w:rightChars="-38"/>
              <w:jc w:val="center"/>
              <w:rPr>
                <w:rFonts w:ascii="宋体" w:hAnsi="宋体" w:cs="宋体"/>
                <w:color w:val="auto"/>
                <w:kern w:val="0"/>
                <w:sz w:val="24"/>
                <w:szCs w:val="24"/>
                <w:highlight w:val="none"/>
              </w:rPr>
            </w:pPr>
            <w:r>
              <w:rPr>
                <w:rFonts w:hint="eastAsia" w:ascii="宋体" w:hAnsi="宋体" w:cs="宋体"/>
                <w:color w:val="auto"/>
                <w:sz w:val="24"/>
                <w:szCs w:val="24"/>
                <w:highlight w:val="none"/>
              </w:rPr>
              <w:t>2-</w:t>
            </w:r>
            <w:r>
              <w:rPr>
                <w:rFonts w:ascii="宋体" w:hAnsi="宋体" w:cs="宋体"/>
                <w:color w:val="auto"/>
                <w:sz w:val="24"/>
                <w:szCs w:val="24"/>
                <w:highlight w:val="none"/>
              </w:rPr>
              <w:t>4</w:t>
            </w:r>
          </w:p>
        </w:tc>
        <w:tc>
          <w:tcPr>
            <w:tcW w:w="420" w:type="pct"/>
            <w:vAlign w:val="center"/>
          </w:tcPr>
          <w:p w14:paraId="599C6712">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sz w:val="24"/>
                <w:szCs w:val="24"/>
                <w:highlight w:val="none"/>
              </w:rPr>
              <w:t>1</w:t>
            </w:r>
          </w:p>
        </w:tc>
        <w:tc>
          <w:tcPr>
            <w:tcW w:w="534" w:type="pct"/>
            <w:vAlign w:val="center"/>
          </w:tcPr>
          <w:p w14:paraId="34F0582F">
            <w:pPr>
              <w:widowControl/>
              <w:spacing w:line="360" w:lineRule="auto"/>
              <w:jc w:val="center"/>
              <w:rPr>
                <w:rFonts w:ascii="宋体" w:hAnsi="宋体" w:cs="宋体"/>
                <w:color w:val="auto"/>
                <w:sz w:val="24"/>
                <w:szCs w:val="24"/>
                <w:highlight w:val="none"/>
              </w:rPr>
            </w:pPr>
            <w:r>
              <w:rPr>
                <w:rFonts w:hint="eastAsia" w:ascii="宋体" w:hAnsi="宋体" w:cs="宋体"/>
                <w:b/>
                <w:bCs/>
                <w:color w:val="auto"/>
                <w:kern w:val="0"/>
                <w:sz w:val="24"/>
                <w:szCs w:val="24"/>
                <w:highlight w:val="none"/>
              </w:rPr>
              <w:t>是</w:t>
            </w:r>
          </w:p>
        </w:tc>
        <w:tc>
          <w:tcPr>
            <w:tcW w:w="3566" w:type="pct"/>
            <w:vAlign w:val="center"/>
          </w:tcPr>
          <w:p w14:paraId="05572E18">
            <w:pPr>
              <w:adjustRightInd w:val="0"/>
              <w:snapToGrid w:val="0"/>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投标人通过职业健康安全管理体系认证的得1分，并提供在有效期内的证书复印件且附上全国认证认可信息公共服务平台（http://cx.cnca.cn）网站查询结果的下载网页，否则不得分</w:t>
            </w:r>
            <w:r>
              <w:rPr>
                <w:rFonts w:hint="eastAsia" w:ascii="宋体" w:hAnsi="宋体" w:cs="宋体"/>
                <w:color w:val="auto"/>
                <w:kern w:val="0"/>
                <w:sz w:val="24"/>
                <w:szCs w:val="24"/>
                <w:highlight w:val="none"/>
              </w:rPr>
              <w:t>，原件备查。</w:t>
            </w:r>
          </w:p>
        </w:tc>
      </w:tr>
      <w:tr w14:paraId="00463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9" w:type="pct"/>
            <w:tcBorders>
              <w:right w:val="single" w:color="auto" w:sz="4" w:space="0"/>
            </w:tcBorders>
            <w:vAlign w:val="center"/>
          </w:tcPr>
          <w:p w14:paraId="3C0804DC">
            <w:pPr>
              <w:widowControl/>
              <w:spacing w:line="360" w:lineRule="auto"/>
              <w:ind w:right="-80" w:rightChars="-38"/>
              <w:jc w:val="center"/>
              <w:rPr>
                <w:rFonts w:hint="eastAsia" w:ascii="宋体" w:hAnsi="宋体" w:eastAsia="宋体" w:cs="宋体"/>
                <w:color w:val="auto"/>
                <w:kern w:val="0"/>
                <w:sz w:val="24"/>
                <w:szCs w:val="24"/>
                <w:highlight w:val="none"/>
                <w:lang w:val="en-US" w:eastAsia="zh-CN" w:bidi="ar-SA"/>
              </w:rPr>
            </w:pPr>
            <w:r>
              <w:rPr>
                <w:rFonts w:hint="eastAsia" w:ascii="宋体" w:hAnsi="宋体" w:cs="宋体"/>
                <w:color w:val="auto"/>
                <w:sz w:val="24"/>
                <w:szCs w:val="24"/>
                <w:highlight w:val="none"/>
              </w:rPr>
              <w:t>2-</w:t>
            </w:r>
            <w:r>
              <w:rPr>
                <w:rFonts w:hint="eastAsia" w:ascii="宋体" w:hAnsi="宋体" w:cs="宋体"/>
                <w:color w:val="auto"/>
                <w:sz w:val="24"/>
                <w:szCs w:val="24"/>
                <w:highlight w:val="none"/>
                <w:lang w:val="en-US" w:eastAsia="zh-CN"/>
              </w:rPr>
              <w:t>5</w:t>
            </w:r>
          </w:p>
        </w:tc>
        <w:tc>
          <w:tcPr>
            <w:tcW w:w="420" w:type="pct"/>
            <w:vAlign w:val="center"/>
          </w:tcPr>
          <w:p w14:paraId="0F2942E1">
            <w:pPr>
              <w:widowControl/>
              <w:spacing w:line="360" w:lineRule="auto"/>
              <w:jc w:val="center"/>
              <w:rPr>
                <w:rFonts w:hint="eastAsia" w:ascii="宋体" w:hAnsi="宋体" w:eastAsia="宋体" w:cs="宋体"/>
                <w:color w:val="auto"/>
                <w:kern w:val="0"/>
                <w:sz w:val="24"/>
                <w:szCs w:val="24"/>
                <w:highlight w:val="none"/>
                <w:lang w:val="en-US" w:eastAsia="zh-CN" w:bidi="ar-SA"/>
              </w:rPr>
            </w:pPr>
            <w:r>
              <w:rPr>
                <w:rFonts w:hint="eastAsia" w:ascii="宋体" w:hAnsi="宋体" w:cs="宋体"/>
                <w:color w:val="auto"/>
                <w:sz w:val="24"/>
                <w:szCs w:val="24"/>
                <w:highlight w:val="none"/>
              </w:rPr>
              <w:t>1</w:t>
            </w:r>
          </w:p>
        </w:tc>
        <w:tc>
          <w:tcPr>
            <w:tcW w:w="534" w:type="pct"/>
            <w:vAlign w:val="center"/>
          </w:tcPr>
          <w:p w14:paraId="3B93D163">
            <w:pPr>
              <w:widowControl/>
              <w:spacing w:line="360"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cs="宋体"/>
                <w:b/>
                <w:bCs/>
                <w:color w:val="auto"/>
                <w:kern w:val="0"/>
                <w:sz w:val="24"/>
                <w:szCs w:val="24"/>
                <w:highlight w:val="none"/>
              </w:rPr>
              <w:t>是</w:t>
            </w:r>
          </w:p>
        </w:tc>
        <w:tc>
          <w:tcPr>
            <w:tcW w:w="3566" w:type="pct"/>
            <w:vAlign w:val="center"/>
          </w:tcPr>
          <w:p w14:paraId="21024AC4">
            <w:pPr>
              <w:adjustRightInd w:val="0"/>
              <w:snapToGrid w:val="0"/>
              <w:spacing w:line="360" w:lineRule="auto"/>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sz w:val="24"/>
                <w:szCs w:val="24"/>
                <w:highlight w:val="none"/>
              </w:rPr>
              <w:t>投标人通过危害分析与关键控制点(HACCP)体系认证的得1分，并提供在有效期内的证书复印件且附上全国认证认可信息公共服务平台（http://cx.cnca.cn）网站查询结果的下载网页，否则不得分</w:t>
            </w:r>
            <w:r>
              <w:rPr>
                <w:rFonts w:hint="eastAsia" w:ascii="宋体" w:hAnsi="宋体" w:cs="宋体"/>
                <w:color w:val="auto"/>
                <w:kern w:val="0"/>
                <w:sz w:val="24"/>
                <w:szCs w:val="24"/>
                <w:highlight w:val="none"/>
              </w:rPr>
              <w:t>，原件备查。</w:t>
            </w:r>
          </w:p>
        </w:tc>
      </w:tr>
      <w:tr w14:paraId="2F9D4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9" w:type="pct"/>
            <w:tcBorders>
              <w:right w:val="single" w:color="auto" w:sz="4" w:space="0"/>
            </w:tcBorders>
            <w:vAlign w:val="center"/>
          </w:tcPr>
          <w:p w14:paraId="4FB9F3BB">
            <w:pPr>
              <w:widowControl/>
              <w:spacing w:line="360" w:lineRule="auto"/>
              <w:ind w:right="-80" w:rightChars="-38"/>
              <w:jc w:val="center"/>
              <w:rPr>
                <w:rFonts w:hint="eastAsia" w:ascii="宋体" w:hAnsi="宋体" w:eastAsia="宋体" w:cs="宋体"/>
                <w:color w:val="auto"/>
                <w:kern w:val="0"/>
                <w:sz w:val="24"/>
                <w:szCs w:val="24"/>
                <w:highlight w:val="none"/>
                <w:lang w:val="en-US" w:eastAsia="zh-CN" w:bidi="ar-SA"/>
              </w:rPr>
            </w:pPr>
            <w:r>
              <w:rPr>
                <w:rFonts w:hint="eastAsia" w:ascii="宋体" w:hAnsi="宋体" w:cs="宋体"/>
                <w:color w:val="auto"/>
                <w:sz w:val="24"/>
                <w:szCs w:val="24"/>
                <w:highlight w:val="none"/>
              </w:rPr>
              <w:t>2-</w:t>
            </w:r>
            <w:r>
              <w:rPr>
                <w:rFonts w:hint="eastAsia" w:ascii="宋体" w:hAnsi="宋体" w:cs="宋体"/>
                <w:color w:val="auto"/>
                <w:sz w:val="24"/>
                <w:szCs w:val="24"/>
                <w:highlight w:val="none"/>
                <w:lang w:val="en-US" w:eastAsia="zh-CN"/>
              </w:rPr>
              <w:t>6</w:t>
            </w:r>
          </w:p>
        </w:tc>
        <w:tc>
          <w:tcPr>
            <w:tcW w:w="420" w:type="pct"/>
            <w:vAlign w:val="center"/>
          </w:tcPr>
          <w:p w14:paraId="58807884">
            <w:pPr>
              <w:widowControl/>
              <w:spacing w:line="360" w:lineRule="auto"/>
              <w:jc w:val="center"/>
              <w:rPr>
                <w:rFonts w:hint="eastAsia" w:ascii="宋体" w:hAnsi="宋体" w:eastAsia="宋体" w:cs="宋体"/>
                <w:color w:val="auto"/>
                <w:kern w:val="0"/>
                <w:sz w:val="24"/>
                <w:szCs w:val="24"/>
                <w:highlight w:val="none"/>
                <w:lang w:val="en-US" w:eastAsia="zh-CN" w:bidi="ar-SA"/>
              </w:rPr>
            </w:pPr>
            <w:r>
              <w:rPr>
                <w:rFonts w:hint="eastAsia" w:ascii="宋体" w:hAnsi="宋体" w:cs="宋体"/>
                <w:color w:val="auto"/>
                <w:sz w:val="24"/>
                <w:szCs w:val="24"/>
                <w:highlight w:val="none"/>
              </w:rPr>
              <w:t>1</w:t>
            </w:r>
          </w:p>
        </w:tc>
        <w:tc>
          <w:tcPr>
            <w:tcW w:w="534" w:type="pct"/>
            <w:vAlign w:val="center"/>
          </w:tcPr>
          <w:p w14:paraId="48B83484">
            <w:pPr>
              <w:widowControl/>
              <w:spacing w:line="360"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cs="宋体"/>
                <w:b/>
                <w:bCs/>
                <w:color w:val="auto"/>
                <w:kern w:val="0"/>
                <w:sz w:val="24"/>
                <w:szCs w:val="24"/>
                <w:highlight w:val="none"/>
              </w:rPr>
              <w:t>是</w:t>
            </w:r>
          </w:p>
        </w:tc>
        <w:tc>
          <w:tcPr>
            <w:tcW w:w="3566" w:type="pct"/>
            <w:vAlign w:val="center"/>
          </w:tcPr>
          <w:p w14:paraId="46239413">
            <w:pPr>
              <w:adjustRightInd w:val="0"/>
              <w:snapToGrid w:val="0"/>
              <w:spacing w:line="360" w:lineRule="auto"/>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sz w:val="24"/>
                <w:szCs w:val="24"/>
                <w:highlight w:val="none"/>
              </w:rPr>
              <w:t>投标人通过食品可追溯管理体系认证的得1分，并提供在有效期内的证书复印件且附上全国认证认可信息公共服务平台（http://cx.cnca.cn）网站查询结果的下载网页，否则不得分</w:t>
            </w:r>
            <w:r>
              <w:rPr>
                <w:rFonts w:hint="eastAsia" w:ascii="宋体" w:hAnsi="宋体" w:cs="宋体"/>
                <w:color w:val="auto"/>
                <w:kern w:val="0"/>
                <w:sz w:val="24"/>
                <w:szCs w:val="24"/>
                <w:highlight w:val="none"/>
              </w:rPr>
              <w:t>，原件备查。</w:t>
            </w:r>
          </w:p>
        </w:tc>
      </w:tr>
      <w:tr w14:paraId="3C8E8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9" w:type="pct"/>
            <w:tcBorders>
              <w:right w:val="single" w:color="auto" w:sz="4" w:space="0"/>
            </w:tcBorders>
            <w:vAlign w:val="center"/>
          </w:tcPr>
          <w:p w14:paraId="09F0CF73">
            <w:pPr>
              <w:widowControl/>
              <w:spacing w:line="360" w:lineRule="auto"/>
              <w:ind w:right="-80" w:rightChars="-38"/>
              <w:jc w:val="center"/>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rPr>
              <w:t>2-</w:t>
            </w:r>
            <w:r>
              <w:rPr>
                <w:rFonts w:hint="eastAsia" w:ascii="宋体" w:hAnsi="宋体" w:cs="宋体"/>
                <w:color w:val="auto"/>
                <w:kern w:val="0"/>
                <w:sz w:val="24"/>
                <w:szCs w:val="24"/>
                <w:highlight w:val="none"/>
                <w:lang w:val="en-US" w:eastAsia="zh-CN"/>
              </w:rPr>
              <w:t>7</w:t>
            </w:r>
          </w:p>
        </w:tc>
        <w:tc>
          <w:tcPr>
            <w:tcW w:w="420" w:type="pct"/>
            <w:vAlign w:val="center"/>
          </w:tcPr>
          <w:p w14:paraId="62D2080E">
            <w:pPr>
              <w:widowControl/>
              <w:spacing w:line="360" w:lineRule="auto"/>
              <w:jc w:val="center"/>
              <w:rPr>
                <w:rFonts w:ascii="宋体" w:hAnsi="宋体" w:cs="宋体"/>
                <w:color w:val="auto"/>
                <w:kern w:val="0"/>
                <w:sz w:val="24"/>
                <w:szCs w:val="24"/>
                <w:highlight w:val="none"/>
              </w:rPr>
            </w:pPr>
            <w:r>
              <w:rPr>
                <w:rFonts w:ascii="宋体" w:hAnsi="宋体" w:cs="宋体"/>
                <w:color w:val="auto"/>
                <w:kern w:val="0"/>
                <w:sz w:val="24"/>
                <w:szCs w:val="24"/>
                <w:highlight w:val="none"/>
              </w:rPr>
              <w:t>3</w:t>
            </w:r>
          </w:p>
        </w:tc>
        <w:tc>
          <w:tcPr>
            <w:tcW w:w="534" w:type="pct"/>
            <w:vAlign w:val="center"/>
          </w:tcPr>
          <w:p w14:paraId="1B093B2C">
            <w:pPr>
              <w:widowControl/>
              <w:spacing w:line="360" w:lineRule="auto"/>
              <w:jc w:val="center"/>
              <w:rPr>
                <w:rFonts w:ascii="宋体" w:hAnsi="宋体" w:cs="宋体"/>
                <w:color w:val="auto"/>
                <w:kern w:val="0"/>
                <w:sz w:val="24"/>
                <w:szCs w:val="24"/>
                <w:highlight w:val="none"/>
              </w:rPr>
            </w:pPr>
            <w:r>
              <w:rPr>
                <w:rFonts w:hint="eastAsia" w:ascii="宋体" w:hAnsi="宋体" w:cs="宋体"/>
                <w:b/>
                <w:bCs/>
                <w:color w:val="auto"/>
                <w:kern w:val="0"/>
                <w:sz w:val="24"/>
                <w:szCs w:val="24"/>
                <w:highlight w:val="none"/>
              </w:rPr>
              <w:t>是</w:t>
            </w:r>
          </w:p>
        </w:tc>
        <w:tc>
          <w:tcPr>
            <w:tcW w:w="3566" w:type="pct"/>
            <w:vAlign w:val="center"/>
          </w:tcPr>
          <w:p w14:paraId="35672DD7">
            <w:pPr>
              <w:adjustRightInd w:val="0"/>
              <w:snapToGrid w:val="0"/>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投标人202</w:t>
            </w: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rPr>
              <w:t>年1月1日以来获得设区市级及以上市场监督管理部门（或行业协会）颁发的与餐饮企业经营相关荣誉称号（或表彰） 的每提供一个得1分，满分</w:t>
            </w:r>
            <w:r>
              <w:rPr>
                <w:rFonts w:ascii="宋体" w:hAnsi="宋体" w:cs="宋体"/>
                <w:color w:val="auto"/>
                <w:sz w:val="24"/>
                <w:szCs w:val="24"/>
                <w:highlight w:val="none"/>
              </w:rPr>
              <w:t>3</w:t>
            </w:r>
            <w:r>
              <w:rPr>
                <w:rFonts w:hint="eastAsia" w:ascii="宋体" w:hAnsi="宋体" w:cs="宋体"/>
                <w:color w:val="auto"/>
                <w:sz w:val="24"/>
                <w:szCs w:val="24"/>
                <w:highlight w:val="none"/>
              </w:rPr>
              <w:t>分。须提供证书复印件并加盖投标人单位公章，否则不得分</w:t>
            </w:r>
            <w:r>
              <w:rPr>
                <w:rFonts w:hint="eastAsia" w:ascii="宋体" w:hAnsi="宋体" w:cs="宋体"/>
                <w:color w:val="auto"/>
                <w:kern w:val="0"/>
                <w:sz w:val="24"/>
                <w:szCs w:val="24"/>
                <w:highlight w:val="none"/>
              </w:rPr>
              <w:t>，原件备查。</w:t>
            </w:r>
          </w:p>
        </w:tc>
      </w:tr>
      <w:tr w14:paraId="42AE9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9" w:type="pct"/>
            <w:tcBorders>
              <w:right w:val="single" w:color="auto" w:sz="4" w:space="0"/>
            </w:tcBorders>
            <w:vAlign w:val="center"/>
          </w:tcPr>
          <w:p w14:paraId="4678E2D0">
            <w:pPr>
              <w:widowControl/>
              <w:spacing w:line="360" w:lineRule="auto"/>
              <w:ind w:right="-80" w:rightChars="-38"/>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2-</w:t>
            </w:r>
            <w:r>
              <w:rPr>
                <w:rFonts w:hint="eastAsia" w:ascii="宋体" w:hAnsi="宋体" w:cs="宋体"/>
                <w:color w:val="auto"/>
                <w:kern w:val="0"/>
                <w:sz w:val="24"/>
                <w:szCs w:val="24"/>
                <w:highlight w:val="none"/>
                <w:lang w:val="en-US" w:eastAsia="zh-CN"/>
              </w:rPr>
              <w:t>8</w:t>
            </w:r>
          </w:p>
        </w:tc>
        <w:tc>
          <w:tcPr>
            <w:tcW w:w="420" w:type="pct"/>
            <w:vAlign w:val="center"/>
          </w:tcPr>
          <w:p w14:paraId="7D0D4EAC">
            <w:pPr>
              <w:widowControl/>
              <w:spacing w:line="360" w:lineRule="auto"/>
              <w:jc w:val="center"/>
              <w:rPr>
                <w:rFonts w:ascii="宋体" w:hAnsi="宋体" w:cs="宋体"/>
                <w:color w:val="auto"/>
                <w:kern w:val="0"/>
                <w:sz w:val="24"/>
                <w:szCs w:val="24"/>
                <w:highlight w:val="none"/>
              </w:rPr>
            </w:pPr>
            <w:r>
              <w:rPr>
                <w:rFonts w:ascii="宋体" w:hAnsi="宋体" w:cs="宋体"/>
                <w:color w:val="auto"/>
                <w:kern w:val="0"/>
                <w:sz w:val="24"/>
                <w:szCs w:val="24"/>
                <w:highlight w:val="none"/>
              </w:rPr>
              <w:t>3</w:t>
            </w:r>
          </w:p>
        </w:tc>
        <w:tc>
          <w:tcPr>
            <w:tcW w:w="534" w:type="pct"/>
            <w:vAlign w:val="center"/>
          </w:tcPr>
          <w:p w14:paraId="20CC311F">
            <w:pPr>
              <w:widowControl/>
              <w:spacing w:line="360" w:lineRule="auto"/>
              <w:jc w:val="center"/>
              <w:rPr>
                <w:rFonts w:ascii="宋体" w:hAnsi="宋体" w:cs="宋体"/>
                <w:color w:val="auto"/>
                <w:kern w:val="0"/>
                <w:sz w:val="24"/>
                <w:szCs w:val="24"/>
                <w:highlight w:val="none"/>
              </w:rPr>
            </w:pPr>
            <w:r>
              <w:rPr>
                <w:rFonts w:hint="eastAsia" w:ascii="宋体" w:hAnsi="宋体" w:cs="宋体"/>
                <w:b/>
                <w:bCs/>
                <w:color w:val="auto"/>
                <w:kern w:val="0"/>
                <w:sz w:val="24"/>
                <w:szCs w:val="24"/>
                <w:highlight w:val="none"/>
              </w:rPr>
              <w:t>是</w:t>
            </w:r>
          </w:p>
        </w:tc>
        <w:tc>
          <w:tcPr>
            <w:tcW w:w="3566" w:type="pct"/>
            <w:vAlign w:val="center"/>
          </w:tcPr>
          <w:p w14:paraId="6E46E502">
            <w:pPr>
              <w:adjustRightInd w:val="0"/>
              <w:snapToGrid w:val="0"/>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根据投标人的食堂餐饮服务食品安全等级进行评价：2023年1月1日以来（以合同签订日期为准）投标人经营过或正在经营的食堂年度餐饮服务食品安全动态等级为“好（或者A级）”的，每提供一个食堂得1分，本项满分</w:t>
            </w:r>
            <w:r>
              <w:rPr>
                <w:rFonts w:ascii="宋体" w:hAnsi="宋体" w:cs="宋体"/>
                <w:color w:val="auto"/>
                <w:sz w:val="24"/>
                <w:szCs w:val="24"/>
                <w:highlight w:val="none"/>
              </w:rPr>
              <w:t>3</w:t>
            </w:r>
            <w:r>
              <w:rPr>
                <w:rFonts w:hint="eastAsia" w:ascii="宋体" w:hAnsi="宋体" w:cs="宋体"/>
                <w:color w:val="auto"/>
                <w:sz w:val="24"/>
                <w:szCs w:val="24"/>
                <w:highlight w:val="none"/>
              </w:rPr>
              <w:t>分。 投标人须完整提供以下证明材料：①食堂的经营合同扫描件；②市场监督管理部门出具的相关证明材料佐证，否则不得分</w:t>
            </w:r>
            <w:r>
              <w:rPr>
                <w:rFonts w:hint="eastAsia" w:ascii="宋体" w:hAnsi="宋体" w:cs="宋体"/>
                <w:color w:val="auto"/>
                <w:kern w:val="0"/>
                <w:sz w:val="24"/>
                <w:szCs w:val="24"/>
                <w:highlight w:val="none"/>
              </w:rPr>
              <w:t>，原件备查。</w:t>
            </w:r>
          </w:p>
        </w:tc>
      </w:tr>
      <w:tr w14:paraId="4CACB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9" w:type="pct"/>
            <w:tcBorders>
              <w:right w:val="single" w:color="auto" w:sz="4" w:space="0"/>
            </w:tcBorders>
            <w:vAlign w:val="center"/>
          </w:tcPr>
          <w:p w14:paraId="24FF6E97">
            <w:pPr>
              <w:widowControl/>
              <w:spacing w:line="360" w:lineRule="auto"/>
              <w:ind w:right="-80" w:rightChars="-38"/>
              <w:jc w:val="center"/>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rPr>
              <w:t>2-</w:t>
            </w:r>
            <w:r>
              <w:rPr>
                <w:rFonts w:hint="eastAsia" w:ascii="宋体" w:hAnsi="宋体" w:cs="宋体"/>
                <w:color w:val="auto"/>
                <w:kern w:val="0"/>
                <w:sz w:val="24"/>
                <w:szCs w:val="24"/>
                <w:highlight w:val="none"/>
                <w:lang w:val="en-US" w:eastAsia="zh-CN"/>
              </w:rPr>
              <w:t>9</w:t>
            </w:r>
          </w:p>
        </w:tc>
        <w:tc>
          <w:tcPr>
            <w:tcW w:w="420" w:type="pct"/>
            <w:vAlign w:val="center"/>
          </w:tcPr>
          <w:p w14:paraId="0954886F">
            <w:pPr>
              <w:widowControl/>
              <w:spacing w:line="360" w:lineRule="auto"/>
              <w:jc w:val="center"/>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lang w:val="en-US" w:eastAsia="zh-CN"/>
              </w:rPr>
              <w:t>3</w:t>
            </w:r>
          </w:p>
        </w:tc>
        <w:tc>
          <w:tcPr>
            <w:tcW w:w="534" w:type="pct"/>
            <w:vAlign w:val="center"/>
          </w:tcPr>
          <w:p w14:paraId="40767A53">
            <w:pPr>
              <w:widowControl/>
              <w:spacing w:line="360" w:lineRule="auto"/>
              <w:jc w:val="center"/>
              <w:rPr>
                <w:rFonts w:ascii="宋体" w:hAnsi="宋体" w:cs="宋体"/>
                <w:color w:val="auto"/>
                <w:kern w:val="0"/>
                <w:sz w:val="24"/>
                <w:szCs w:val="24"/>
                <w:highlight w:val="none"/>
              </w:rPr>
            </w:pPr>
            <w:r>
              <w:rPr>
                <w:rFonts w:hint="eastAsia" w:ascii="宋体" w:hAnsi="宋体" w:cs="宋体"/>
                <w:b/>
                <w:bCs/>
                <w:color w:val="auto"/>
                <w:kern w:val="0"/>
                <w:sz w:val="24"/>
                <w:szCs w:val="24"/>
                <w:highlight w:val="none"/>
              </w:rPr>
              <w:t>是</w:t>
            </w:r>
          </w:p>
        </w:tc>
        <w:tc>
          <w:tcPr>
            <w:tcW w:w="3566" w:type="pct"/>
            <w:vAlign w:val="center"/>
          </w:tcPr>
          <w:p w14:paraId="1AD3FF39">
            <w:pPr>
              <w:adjustRightInd w:val="0"/>
              <w:snapToGrid w:val="0"/>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根据投标人提供的2023年1月1日以来（以合同起始日期为准）的同类食堂运营业绩进行评价，每提供一个食堂运营业绩有效证明材料得0.5分，本项满分</w:t>
            </w: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rPr>
              <w:t>分。</w:t>
            </w:r>
          </w:p>
          <w:p w14:paraId="644BA7B9">
            <w:pPr>
              <w:adjustRightInd w:val="0"/>
              <w:snapToGrid w:val="0"/>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说明：同类项目是指投标人承接食堂餐饮服务业务，提供餐食供应，并负责食堂保洁、食堂管理等。投标人须同时提供：①相关网站中标公告网页截图及该网页截图的网址；②中标通知书复印件；③合同复印件；④能够证明该业绩项目已经采购人验收合格的相关证明文件。上述业绩资料应完整提供，否则，评标委员会对该业绩不予采信</w:t>
            </w:r>
            <w:r>
              <w:rPr>
                <w:rFonts w:hint="eastAsia" w:ascii="宋体" w:hAnsi="宋体" w:cs="宋体"/>
                <w:color w:val="auto"/>
                <w:kern w:val="0"/>
                <w:sz w:val="24"/>
                <w:szCs w:val="24"/>
                <w:highlight w:val="none"/>
              </w:rPr>
              <w:t>，原件备查。</w:t>
            </w:r>
            <w:r>
              <w:rPr>
                <w:rFonts w:hint="eastAsia" w:ascii="宋体" w:hAnsi="宋体" w:cs="宋体"/>
                <w:color w:val="auto"/>
                <w:sz w:val="24"/>
                <w:szCs w:val="24"/>
                <w:highlight w:val="none"/>
              </w:rPr>
              <w:t>【同一个业绩不在商务2-</w:t>
            </w:r>
            <w:r>
              <w:rPr>
                <w:rFonts w:hint="eastAsia" w:ascii="宋体" w:hAnsi="宋体" w:cs="宋体"/>
                <w:color w:val="auto"/>
                <w:sz w:val="24"/>
                <w:szCs w:val="24"/>
                <w:highlight w:val="none"/>
                <w:lang w:val="en-US" w:eastAsia="zh-CN"/>
              </w:rPr>
              <w:t>9</w:t>
            </w:r>
            <w:r>
              <w:rPr>
                <w:rFonts w:hint="eastAsia" w:ascii="宋体" w:hAnsi="宋体" w:cs="宋体"/>
                <w:color w:val="auto"/>
                <w:sz w:val="24"/>
                <w:szCs w:val="24"/>
                <w:highlight w:val="none"/>
              </w:rPr>
              <w:t>、2-</w:t>
            </w:r>
            <w:r>
              <w:rPr>
                <w:rFonts w:hint="eastAsia" w:ascii="宋体" w:hAnsi="宋体" w:cs="宋体"/>
                <w:color w:val="auto"/>
                <w:sz w:val="24"/>
                <w:szCs w:val="24"/>
                <w:highlight w:val="none"/>
                <w:lang w:val="en-US" w:eastAsia="zh-CN"/>
              </w:rPr>
              <w:t>10</w:t>
            </w:r>
            <w:r>
              <w:rPr>
                <w:rFonts w:hint="eastAsia" w:ascii="宋体" w:hAnsi="宋体" w:cs="宋体"/>
                <w:color w:val="auto"/>
                <w:sz w:val="24"/>
                <w:szCs w:val="24"/>
                <w:highlight w:val="none"/>
              </w:rPr>
              <w:t>重复得分。】</w:t>
            </w:r>
          </w:p>
        </w:tc>
      </w:tr>
      <w:tr w14:paraId="159F0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9" w:type="pct"/>
            <w:tcBorders>
              <w:right w:val="single" w:color="auto" w:sz="4" w:space="0"/>
            </w:tcBorders>
            <w:vAlign w:val="center"/>
          </w:tcPr>
          <w:p w14:paraId="35643F3E">
            <w:pPr>
              <w:widowControl/>
              <w:spacing w:line="360" w:lineRule="auto"/>
              <w:ind w:right="-80" w:rightChars="-38"/>
              <w:jc w:val="center"/>
              <w:rPr>
                <w:rFonts w:hint="default"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rPr>
              <w:t>2</w:t>
            </w:r>
            <w:r>
              <w:rPr>
                <w:rFonts w:ascii="宋体" w:hAnsi="宋体" w:cs="宋体"/>
                <w:color w:val="auto"/>
                <w:kern w:val="0"/>
                <w:sz w:val="24"/>
                <w:szCs w:val="24"/>
                <w:highlight w:val="none"/>
              </w:rPr>
              <w:t>-</w:t>
            </w:r>
            <w:r>
              <w:rPr>
                <w:rFonts w:hint="eastAsia" w:ascii="宋体" w:hAnsi="宋体" w:cs="宋体"/>
                <w:color w:val="auto"/>
                <w:kern w:val="0"/>
                <w:sz w:val="24"/>
                <w:szCs w:val="24"/>
                <w:highlight w:val="none"/>
                <w:lang w:val="en-US" w:eastAsia="zh-CN"/>
              </w:rPr>
              <w:t>10</w:t>
            </w:r>
          </w:p>
        </w:tc>
        <w:tc>
          <w:tcPr>
            <w:tcW w:w="420" w:type="pct"/>
            <w:vAlign w:val="center"/>
          </w:tcPr>
          <w:p w14:paraId="12D03FE9">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3</w:t>
            </w:r>
          </w:p>
        </w:tc>
        <w:tc>
          <w:tcPr>
            <w:tcW w:w="534" w:type="pct"/>
            <w:vAlign w:val="center"/>
          </w:tcPr>
          <w:p w14:paraId="0D940F3E">
            <w:pPr>
              <w:widowControl/>
              <w:spacing w:line="360" w:lineRule="auto"/>
              <w:jc w:val="center"/>
              <w:rPr>
                <w:rFonts w:ascii="宋体" w:hAnsi="宋体" w:cs="宋体"/>
                <w:b/>
                <w:bCs/>
                <w:color w:val="auto"/>
                <w:kern w:val="0"/>
                <w:sz w:val="24"/>
                <w:szCs w:val="24"/>
                <w:highlight w:val="none"/>
              </w:rPr>
            </w:pPr>
            <w:r>
              <w:rPr>
                <w:rFonts w:hint="eastAsia" w:ascii="宋体" w:hAnsi="宋体" w:cs="宋体"/>
                <w:b/>
                <w:bCs/>
                <w:color w:val="auto"/>
                <w:kern w:val="0"/>
                <w:sz w:val="24"/>
                <w:szCs w:val="24"/>
                <w:highlight w:val="none"/>
              </w:rPr>
              <w:t>是</w:t>
            </w:r>
          </w:p>
        </w:tc>
        <w:tc>
          <w:tcPr>
            <w:tcW w:w="3566" w:type="pct"/>
            <w:vAlign w:val="center"/>
          </w:tcPr>
          <w:p w14:paraId="078132F4">
            <w:pPr>
              <w:adjustRightInd w:val="0"/>
              <w:snapToGrid w:val="0"/>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根据投标人提供的2023年1月1日以来（以合同起始日期为准）所完成的同类食堂运营项目（同类项目是指投标人承接食堂餐饮服务业务，提供餐食供应，并负责食堂保洁、食堂管理等）获得业主单位认可的证明材料进行评价，每提供1个完整的业主单位好评有效证明材料的得1分，满分为3分。说明：</w:t>
            </w:r>
            <w:r>
              <w:rPr>
                <w:rFonts w:ascii="宋体" w:hAnsi="宋体" w:cs="宋体"/>
                <w:color w:val="auto"/>
                <w:sz w:val="24"/>
                <w:szCs w:val="24"/>
                <w:highlight w:val="none"/>
              </w:rPr>
              <w:t>好评</w:t>
            </w:r>
            <w:r>
              <w:rPr>
                <w:rFonts w:hint="eastAsia" w:ascii="宋体" w:hAnsi="宋体" w:cs="宋体"/>
                <w:color w:val="auto"/>
                <w:sz w:val="24"/>
                <w:szCs w:val="24"/>
                <w:highlight w:val="none"/>
              </w:rPr>
              <w:t>证明材料为</w:t>
            </w:r>
            <w:r>
              <w:rPr>
                <w:rFonts w:ascii="宋体" w:hAnsi="宋体" w:cs="宋体"/>
                <w:color w:val="auto"/>
                <w:sz w:val="24"/>
                <w:szCs w:val="24"/>
                <w:highlight w:val="none"/>
              </w:rPr>
              <w:t>业主</w:t>
            </w:r>
            <w:r>
              <w:rPr>
                <w:rFonts w:hint="eastAsia" w:ascii="宋体" w:hAnsi="宋体" w:cs="宋体"/>
                <w:color w:val="auto"/>
                <w:sz w:val="24"/>
                <w:szCs w:val="24"/>
                <w:highlight w:val="none"/>
              </w:rPr>
              <w:t>单位</w:t>
            </w:r>
            <w:r>
              <w:rPr>
                <w:rFonts w:ascii="宋体" w:hAnsi="宋体" w:cs="宋体"/>
                <w:color w:val="auto"/>
                <w:sz w:val="24"/>
                <w:szCs w:val="24"/>
                <w:highlight w:val="none"/>
              </w:rPr>
              <w:t>盖公章的评价为良好、满意、优秀等正面评价证明材料</w:t>
            </w:r>
            <w:r>
              <w:rPr>
                <w:rFonts w:hint="eastAsia" w:ascii="宋体" w:hAnsi="宋体" w:cs="宋体"/>
                <w:color w:val="auto"/>
                <w:sz w:val="24"/>
                <w:szCs w:val="24"/>
                <w:highlight w:val="none"/>
              </w:rPr>
              <w:t>或业主单位出具的认可其服务的感谢信</w:t>
            </w:r>
            <w:r>
              <w:rPr>
                <w:rFonts w:ascii="宋体" w:hAnsi="宋体" w:cs="宋体"/>
                <w:color w:val="auto"/>
                <w:sz w:val="24"/>
                <w:szCs w:val="24"/>
                <w:highlight w:val="none"/>
              </w:rPr>
              <w:t>，以及双方签订的合同有效复印件。未提供材料或材料不全的不得分（同一采购人出具的好评证明材料不重复得分）</w:t>
            </w:r>
            <w:r>
              <w:rPr>
                <w:rFonts w:hint="eastAsia" w:ascii="宋体" w:hAnsi="宋体" w:cs="宋体"/>
                <w:color w:val="auto"/>
                <w:kern w:val="0"/>
                <w:sz w:val="24"/>
                <w:szCs w:val="24"/>
                <w:highlight w:val="none"/>
              </w:rPr>
              <w:t>，原件备查。</w:t>
            </w:r>
            <w:r>
              <w:rPr>
                <w:rFonts w:hint="eastAsia" w:ascii="宋体" w:hAnsi="宋体" w:cs="宋体"/>
                <w:color w:val="auto"/>
                <w:sz w:val="24"/>
                <w:szCs w:val="24"/>
                <w:highlight w:val="none"/>
              </w:rPr>
              <w:t>【同一个业绩不在商务2-</w:t>
            </w:r>
            <w:r>
              <w:rPr>
                <w:rFonts w:hint="eastAsia" w:ascii="宋体" w:hAnsi="宋体" w:cs="宋体"/>
                <w:color w:val="auto"/>
                <w:sz w:val="24"/>
                <w:szCs w:val="24"/>
                <w:highlight w:val="none"/>
                <w:lang w:val="en-US" w:eastAsia="zh-CN"/>
              </w:rPr>
              <w:t>9</w:t>
            </w:r>
            <w:r>
              <w:rPr>
                <w:rFonts w:hint="eastAsia" w:ascii="宋体" w:hAnsi="宋体" w:cs="宋体"/>
                <w:color w:val="auto"/>
                <w:sz w:val="24"/>
                <w:szCs w:val="24"/>
                <w:highlight w:val="none"/>
              </w:rPr>
              <w:t>、2-</w:t>
            </w:r>
            <w:r>
              <w:rPr>
                <w:rFonts w:hint="eastAsia" w:ascii="宋体" w:hAnsi="宋体" w:cs="宋体"/>
                <w:color w:val="auto"/>
                <w:sz w:val="24"/>
                <w:szCs w:val="24"/>
                <w:highlight w:val="none"/>
                <w:lang w:val="en-US" w:eastAsia="zh-CN"/>
              </w:rPr>
              <w:t>10</w:t>
            </w:r>
            <w:r>
              <w:rPr>
                <w:rFonts w:hint="eastAsia" w:ascii="宋体" w:hAnsi="宋体" w:cs="宋体"/>
                <w:color w:val="auto"/>
                <w:sz w:val="24"/>
                <w:szCs w:val="24"/>
                <w:highlight w:val="none"/>
              </w:rPr>
              <w:t>重复得分。】</w:t>
            </w:r>
          </w:p>
        </w:tc>
      </w:tr>
      <w:tr w14:paraId="0A611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9" w:type="pct"/>
            <w:tcBorders>
              <w:right w:val="single" w:color="auto" w:sz="4" w:space="0"/>
            </w:tcBorders>
            <w:vAlign w:val="center"/>
          </w:tcPr>
          <w:p w14:paraId="355D973C">
            <w:pPr>
              <w:widowControl/>
              <w:spacing w:line="360" w:lineRule="auto"/>
              <w:ind w:right="-80" w:rightChars="-38"/>
              <w:jc w:val="center"/>
              <w:rPr>
                <w:rFonts w:hint="default"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rPr>
              <w:t>2-</w:t>
            </w:r>
            <w:r>
              <w:rPr>
                <w:rFonts w:hint="eastAsia" w:ascii="宋体" w:hAnsi="宋体" w:cs="宋体"/>
                <w:color w:val="auto"/>
                <w:kern w:val="0"/>
                <w:sz w:val="24"/>
                <w:szCs w:val="24"/>
                <w:highlight w:val="none"/>
                <w:lang w:val="en-US" w:eastAsia="zh-CN"/>
              </w:rPr>
              <w:t>11</w:t>
            </w:r>
          </w:p>
        </w:tc>
        <w:tc>
          <w:tcPr>
            <w:tcW w:w="420" w:type="pct"/>
            <w:vAlign w:val="center"/>
          </w:tcPr>
          <w:p w14:paraId="088156E0">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1</w:t>
            </w:r>
          </w:p>
        </w:tc>
        <w:tc>
          <w:tcPr>
            <w:tcW w:w="534" w:type="pct"/>
            <w:vAlign w:val="center"/>
          </w:tcPr>
          <w:p w14:paraId="2DA3045A">
            <w:pPr>
              <w:widowControl/>
              <w:spacing w:line="360" w:lineRule="auto"/>
              <w:jc w:val="center"/>
              <w:rPr>
                <w:rFonts w:ascii="宋体" w:hAnsi="宋体" w:cs="宋体"/>
                <w:color w:val="auto"/>
                <w:kern w:val="0"/>
                <w:sz w:val="24"/>
                <w:szCs w:val="24"/>
                <w:highlight w:val="none"/>
              </w:rPr>
            </w:pPr>
            <w:r>
              <w:rPr>
                <w:rFonts w:hint="eastAsia" w:ascii="宋体" w:hAnsi="宋体" w:cs="宋体"/>
                <w:b/>
                <w:bCs/>
                <w:color w:val="auto"/>
                <w:kern w:val="0"/>
                <w:sz w:val="24"/>
                <w:szCs w:val="24"/>
                <w:highlight w:val="none"/>
              </w:rPr>
              <w:t>是</w:t>
            </w:r>
          </w:p>
        </w:tc>
        <w:tc>
          <w:tcPr>
            <w:tcW w:w="3566" w:type="pct"/>
            <w:vAlign w:val="center"/>
          </w:tcPr>
          <w:p w14:paraId="315CED50">
            <w:pPr>
              <w:adjustRightInd w:val="0"/>
              <w:snapToGrid w:val="0"/>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投标人承诺，投标人及其分公司距本项目开标之日前五年内，未发生过食物中毒安全事故或因食品安全问题被行政处罚及公告的得1分，未承诺的不得分。</w:t>
            </w:r>
          </w:p>
        </w:tc>
      </w:tr>
      <w:tr w14:paraId="55390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9" w:type="pct"/>
            <w:tcBorders>
              <w:right w:val="single" w:color="auto" w:sz="4" w:space="0"/>
            </w:tcBorders>
            <w:vAlign w:val="center"/>
          </w:tcPr>
          <w:p w14:paraId="4D317475">
            <w:pPr>
              <w:widowControl/>
              <w:spacing w:line="360" w:lineRule="auto"/>
              <w:ind w:right="-80" w:rightChars="-38"/>
              <w:jc w:val="center"/>
              <w:rPr>
                <w:rFonts w:hint="eastAsia"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rPr>
              <w:t>2-1</w:t>
            </w:r>
            <w:r>
              <w:rPr>
                <w:rFonts w:hint="eastAsia" w:ascii="宋体" w:hAnsi="宋体" w:cs="宋体"/>
                <w:color w:val="auto"/>
                <w:kern w:val="0"/>
                <w:sz w:val="24"/>
                <w:szCs w:val="24"/>
                <w:highlight w:val="none"/>
                <w:lang w:val="en-US" w:eastAsia="zh-CN"/>
              </w:rPr>
              <w:t>2</w:t>
            </w:r>
          </w:p>
        </w:tc>
        <w:tc>
          <w:tcPr>
            <w:tcW w:w="420" w:type="pct"/>
            <w:vAlign w:val="center"/>
          </w:tcPr>
          <w:p w14:paraId="0EA93DD8">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1</w:t>
            </w:r>
          </w:p>
        </w:tc>
        <w:tc>
          <w:tcPr>
            <w:tcW w:w="534" w:type="pct"/>
            <w:vAlign w:val="center"/>
          </w:tcPr>
          <w:p w14:paraId="70FED26F">
            <w:pPr>
              <w:widowControl/>
              <w:spacing w:line="360" w:lineRule="auto"/>
              <w:jc w:val="center"/>
              <w:rPr>
                <w:rFonts w:ascii="宋体" w:hAnsi="宋体" w:cs="宋体"/>
                <w:color w:val="auto"/>
                <w:kern w:val="0"/>
                <w:sz w:val="24"/>
                <w:szCs w:val="24"/>
                <w:highlight w:val="none"/>
              </w:rPr>
            </w:pPr>
            <w:r>
              <w:rPr>
                <w:rFonts w:hint="eastAsia" w:ascii="宋体" w:hAnsi="宋体" w:cs="宋体"/>
                <w:b/>
                <w:bCs/>
                <w:color w:val="auto"/>
                <w:kern w:val="0"/>
                <w:sz w:val="24"/>
                <w:szCs w:val="24"/>
                <w:highlight w:val="none"/>
              </w:rPr>
              <w:t>是</w:t>
            </w:r>
          </w:p>
        </w:tc>
        <w:tc>
          <w:tcPr>
            <w:tcW w:w="3566" w:type="pct"/>
            <w:vAlign w:val="center"/>
          </w:tcPr>
          <w:p w14:paraId="4548F1C5">
            <w:pPr>
              <w:adjustRightInd w:val="0"/>
              <w:snapToGrid w:val="0"/>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投标人承诺为经营场所投保餐饮场所责任保险</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食品安全责任保险的得1分，须提供书面承诺函（承诺函格式自拟），未提供承诺或承诺不完整的不得分。</w:t>
            </w:r>
          </w:p>
        </w:tc>
      </w:tr>
    </w:tbl>
    <w:p w14:paraId="44A037CF">
      <w:pPr>
        <w:tabs>
          <w:tab w:val="left" w:pos="-1080"/>
          <w:tab w:val="left" w:pos="180"/>
          <w:tab w:val="left" w:pos="1080"/>
        </w:tabs>
        <w:spacing w:line="360" w:lineRule="auto"/>
        <w:rPr>
          <w:rFonts w:ascii="宋体" w:hAnsi="宋体" w:cs="宋体"/>
          <w:color w:val="auto"/>
          <w:sz w:val="24"/>
          <w:szCs w:val="24"/>
          <w:highlight w:val="none"/>
        </w:rPr>
      </w:pPr>
    </w:p>
    <w:p w14:paraId="36FC917A">
      <w:pPr>
        <w:tabs>
          <w:tab w:val="left" w:pos="-1080"/>
          <w:tab w:val="left" w:pos="180"/>
          <w:tab w:val="left" w:pos="1080"/>
        </w:tabs>
        <w:spacing w:line="360" w:lineRule="auto"/>
        <w:rPr>
          <w:rFonts w:ascii="宋体" w:hAnsi="宋体" w:cs="宋体"/>
          <w:color w:val="auto"/>
          <w:sz w:val="24"/>
          <w:szCs w:val="24"/>
          <w:highlight w:val="none"/>
        </w:rPr>
      </w:pPr>
    </w:p>
    <w:p w14:paraId="0F6ACFE0">
      <w:pPr>
        <w:tabs>
          <w:tab w:val="left" w:pos="-1080"/>
          <w:tab w:val="left" w:pos="180"/>
          <w:tab w:val="left" w:pos="1080"/>
        </w:tabs>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（三）价格评分（F3）：按20分评分法，评标委员会对各有效标投标报价（投标总价）进行审核确定评标价，并将最低有效标的评标价设为基准价，定其价格得分为20分。按公式：价格得分＝20</w:t>
      </w:r>
      <w:r>
        <w:rPr>
          <w:rFonts w:hint="eastAsia" w:ascii="宋体" w:hAnsi="宋体" w:cs="宋体"/>
          <w:color w:val="auto"/>
          <w:sz w:val="24"/>
          <w:szCs w:val="24"/>
          <w:highlight w:val="none"/>
        </w:rPr>
        <w:sym w:font="Symbol" w:char="00B4"/>
      </w:r>
      <w:r>
        <w:rPr>
          <w:rFonts w:hint="eastAsia" w:ascii="宋体" w:hAnsi="宋体" w:cs="宋体"/>
          <w:color w:val="auto"/>
          <w:sz w:val="24"/>
          <w:szCs w:val="24"/>
          <w:highlight w:val="none"/>
        </w:rPr>
        <w:t xml:space="preserve"> （基准价/各个通过审核的有效投标人的评标价）计算，由此算出各个通过审核的有效投标人的价格得分。</w:t>
      </w:r>
    </w:p>
    <w:p w14:paraId="2A8C148B">
      <w:pPr>
        <w:spacing w:line="360" w:lineRule="auto"/>
        <w:ind w:firstLine="480" w:firstLineChars="200"/>
        <w:rPr>
          <w:rFonts w:ascii="宋体" w:hAnsi="宋体" w:cs="宋体"/>
          <w:color w:val="auto"/>
          <w:sz w:val="24"/>
          <w:szCs w:val="24"/>
          <w:highlight w:val="none"/>
        </w:rPr>
      </w:pPr>
    </w:p>
    <w:p w14:paraId="18661304">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备注：1、异常低价审查</w:t>
      </w:r>
    </w:p>
    <w:p w14:paraId="126AC5BA">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1.1政府采购评审中出现下列情形之一的，评标委员会应当启动异常低价投标审查程序：</w:t>
      </w:r>
    </w:p>
    <w:p w14:paraId="7576D962">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（1）投标报价低于全部通过符合性审查投标人投标报价平均值65%的，即投标报价＜全部通过符合性审查投标人投标报价平均值×65%；</w:t>
      </w:r>
    </w:p>
    <w:p w14:paraId="6DB4FDCD">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（2）投标报价低于通过符合性审查的次低报价投标人投标报价65%的，即投标报价＜通过符合性审查的次低报价投标人投标报价×65%；</w:t>
      </w:r>
    </w:p>
    <w:p w14:paraId="7A6CAD97">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（3）投标报价低于采购项目最高限价65%的，即投标报价＜采购项目最高限价×65%；</w:t>
      </w:r>
    </w:p>
    <w:p w14:paraId="72EDCBA1">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（4）评标委员会基于专业判断，认为投标人报价过低，有可能影响产品质量或者不能诚信履约的其他情形。</w:t>
      </w:r>
    </w:p>
    <w:p w14:paraId="2475BB23">
      <w:pPr>
        <w:widowControl/>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1.2评标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3）项情形，供应商已随投标文件一并提交相关书面说明及必要的证明材料的，在评审现场可不再重复提交。</w:t>
      </w:r>
    </w:p>
    <w:p w14:paraId="56FC4968">
      <w:pPr>
        <w:widowControl/>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评标委员会依据专业经验，参考同类项目中标（成交）价格、 类似产品市场价格水平、行业人工费用标准、国家有关部门指导行业协会发布的行业平均成本等情况，对报价合理性进行判断。 投标供应商不能提供书面说明、证明材料，或者提供的书面说明、证明材料不能证明其报价合理性的，评标委员会应当将其作为无效投标处理。</w:t>
      </w:r>
    </w:p>
    <w:p w14:paraId="3CE66F62">
      <w:pPr>
        <w:widowControl/>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采购人、采购代理机构应当为评标委员会在评审现场及时获取同类项目中标（成交）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w:t>
      </w:r>
    </w:p>
    <w:p w14:paraId="2D3574FF">
      <w:pPr>
        <w:widowControl/>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异常低价投标审查的启动原因、审查意见和审查结果应当在评审报告中记录，并随供应商提供的相关书面说明及证明材料，以及评标委员会有关互联网浏览、查询历史一并归档。</w:t>
      </w:r>
    </w:p>
    <w:p w14:paraId="6A5E9D4F">
      <w:pPr>
        <w:widowControl/>
        <w:spacing w:line="360" w:lineRule="auto"/>
        <w:ind w:firstLine="480" w:firstLineChars="200"/>
        <w:jc w:val="left"/>
        <w:rPr>
          <w:rFonts w:ascii="宋体" w:hAnsi="宋体" w:cs="宋体"/>
          <w:color w:val="auto"/>
          <w:sz w:val="24"/>
          <w:szCs w:val="24"/>
          <w:highlight w:val="none"/>
        </w:rPr>
      </w:pPr>
    </w:p>
    <w:p w14:paraId="1D9FC54E">
      <w:pPr>
        <w:tabs>
          <w:tab w:val="left" w:pos="-1080"/>
          <w:tab w:val="left" w:pos="180"/>
          <w:tab w:val="left" w:pos="1080"/>
        </w:tabs>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（四）综合得分= F1+ F2 + F3 。</w:t>
      </w:r>
    </w:p>
    <w:p w14:paraId="3FFF0F7B">
      <w:pPr>
        <w:pStyle w:val="9"/>
        <w:spacing w:line="360" w:lineRule="auto"/>
        <w:ind w:firstLine="480" w:firstLineChars="200"/>
        <w:rPr>
          <w:rFonts w:hAnsi="宋体" w:cs="宋体"/>
          <w:color w:val="auto"/>
          <w:sz w:val="24"/>
          <w:szCs w:val="24"/>
          <w:highlight w:val="none"/>
        </w:rPr>
      </w:pPr>
      <w:r>
        <w:rPr>
          <w:rFonts w:hint="eastAsia" w:hAnsi="宋体" w:cs="宋体"/>
          <w:bCs/>
          <w:color w:val="auto"/>
          <w:sz w:val="24"/>
          <w:szCs w:val="24"/>
          <w:highlight w:val="none"/>
        </w:rPr>
        <w:t>备注：1、技术商务评分中涉及排名情况的评分由评标委员会根据各投标人投标文件的响应情况进行综合评议得出排名。</w:t>
      </w:r>
    </w:p>
    <w:p w14:paraId="4615CE74">
      <w:pPr>
        <w:spacing w:line="360" w:lineRule="auto"/>
        <w:ind w:firstLine="1440" w:firstLineChars="450"/>
        <w:rPr>
          <w:rFonts w:ascii="宋体" w:hAnsi="宋体" w:cs="宋体"/>
          <w:color w:val="auto"/>
          <w:sz w:val="32"/>
          <w:szCs w:val="32"/>
          <w:highlight w:val="none"/>
        </w:rPr>
        <w:sectPr>
          <w:pgSz w:w="11906" w:h="16838"/>
          <w:pgMar w:top="1440" w:right="1803" w:bottom="1440" w:left="1803" w:header="567" w:footer="567" w:gutter="0"/>
          <w:cols w:space="720" w:num="1"/>
          <w:docGrid w:linePitch="312" w:charSpace="0"/>
        </w:sectPr>
      </w:pPr>
    </w:p>
    <w:p w14:paraId="3A86F0EE">
      <w:pPr>
        <w:spacing w:line="360" w:lineRule="auto"/>
        <w:ind w:firstLine="1446" w:firstLineChars="450"/>
        <w:outlineLvl w:val="1"/>
        <w:rPr>
          <w:rFonts w:ascii="宋体" w:hAnsi="宋体" w:cs="宋体"/>
          <w:b/>
          <w:bCs/>
          <w:color w:val="auto"/>
          <w:sz w:val="24"/>
          <w:szCs w:val="24"/>
          <w:highlight w:val="none"/>
        </w:rPr>
      </w:pPr>
      <w:bookmarkStart w:id="43" w:name="_Toc1672"/>
      <w:r>
        <w:rPr>
          <w:rFonts w:hint="eastAsia" w:ascii="宋体" w:hAnsi="宋体" w:cs="宋体"/>
          <w:b/>
          <w:bCs/>
          <w:color w:val="auto"/>
          <w:sz w:val="32"/>
          <w:szCs w:val="32"/>
          <w:highlight w:val="none"/>
        </w:rPr>
        <w:t>投标人须知前附表4：中小企业优惠办法</w:t>
      </w:r>
      <w:bookmarkEnd w:id="43"/>
    </w:p>
    <w:tbl>
      <w:tblPr>
        <w:tblStyle w:val="21"/>
        <w:tblW w:w="86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677"/>
        <w:gridCol w:w="6063"/>
      </w:tblGrid>
      <w:tr w14:paraId="36E1F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00" w:type="dxa"/>
            <w:vAlign w:val="center"/>
          </w:tcPr>
          <w:p w14:paraId="40565B42">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序号</w:t>
            </w:r>
          </w:p>
        </w:tc>
        <w:tc>
          <w:tcPr>
            <w:tcW w:w="1677" w:type="dxa"/>
            <w:vAlign w:val="center"/>
          </w:tcPr>
          <w:p w14:paraId="735E0768">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项目</w:t>
            </w:r>
          </w:p>
        </w:tc>
        <w:tc>
          <w:tcPr>
            <w:tcW w:w="6063" w:type="dxa"/>
            <w:vAlign w:val="center"/>
          </w:tcPr>
          <w:p w14:paraId="5A471D7B">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具体内容</w:t>
            </w:r>
          </w:p>
        </w:tc>
      </w:tr>
      <w:tr w14:paraId="0E29E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jc w:val="center"/>
        </w:trPr>
        <w:tc>
          <w:tcPr>
            <w:tcW w:w="900" w:type="dxa"/>
            <w:vAlign w:val="center"/>
          </w:tcPr>
          <w:p w14:paraId="0CC83E4E">
            <w:pPr>
              <w:spacing w:line="360" w:lineRule="auto"/>
              <w:jc w:val="center"/>
              <w:rPr>
                <w:rFonts w:ascii="宋体" w:hAnsi="宋体" w:cs="宋体"/>
                <w:b/>
                <w:color w:val="auto"/>
                <w:sz w:val="24"/>
                <w:szCs w:val="24"/>
                <w:highlight w:val="none"/>
              </w:rPr>
            </w:pPr>
            <w:r>
              <w:rPr>
                <w:rFonts w:hint="eastAsia" w:ascii="宋体" w:hAnsi="宋体" w:cs="宋体"/>
                <w:b/>
                <w:color w:val="auto"/>
                <w:sz w:val="24"/>
                <w:szCs w:val="24"/>
                <w:highlight w:val="none"/>
              </w:rPr>
              <w:t>1</w:t>
            </w:r>
          </w:p>
        </w:tc>
        <w:tc>
          <w:tcPr>
            <w:tcW w:w="1677" w:type="dxa"/>
            <w:vAlign w:val="center"/>
          </w:tcPr>
          <w:p w14:paraId="548B2A7A">
            <w:pPr>
              <w:spacing w:line="360" w:lineRule="auto"/>
              <w:jc w:val="center"/>
              <w:rPr>
                <w:rFonts w:ascii="宋体" w:hAnsi="宋体" w:cs="宋体"/>
                <w:b/>
                <w:color w:val="auto"/>
                <w:sz w:val="24"/>
                <w:szCs w:val="24"/>
                <w:highlight w:val="none"/>
              </w:rPr>
            </w:pPr>
            <w:r>
              <w:rPr>
                <w:rFonts w:hint="eastAsia" w:ascii="宋体" w:hAnsi="宋体" w:cs="宋体"/>
                <w:b/>
                <w:color w:val="auto"/>
                <w:sz w:val="24"/>
                <w:szCs w:val="24"/>
                <w:highlight w:val="none"/>
              </w:rPr>
              <w:t>本项目是否属于预留份额专门面向中小企业采购活动：</w:t>
            </w:r>
          </w:p>
        </w:tc>
        <w:tc>
          <w:tcPr>
            <w:tcW w:w="6063" w:type="dxa"/>
            <w:vAlign w:val="center"/>
          </w:tcPr>
          <w:p w14:paraId="4C73EE81">
            <w:pPr>
              <w:spacing w:line="360" w:lineRule="auto"/>
              <w:rPr>
                <w:rFonts w:ascii="宋体" w:hAnsi="宋体" w:cs="宋体"/>
                <w:color w:val="auto"/>
                <w:sz w:val="24"/>
                <w:szCs w:val="24"/>
                <w:highlight w:val="none"/>
              </w:rPr>
            </w:pPr>
            <w:r>
              <w:rPr>
                <w:rFonts w:hint="eastAsia" w:ascii="宋体" w:hAnsi="宋体" w:cs="宋体"/>
                <w:b/>
                <w:color w:val="auto"/>
                <w:sz w:val="24"/>
                <w:szCs w:val="24"/>
                <w:highlight w:val="none"/>
              </w:rPr>
              <w:fldChar w:fldCharType="begin"/>
            </w:r>
            <w:r>
              <w:rPr>
                <w:rFonts w:hint="eastAsia" w:ascii="宋体" w:hAnsi="宋体" w:cs="宋体"/>
                <w:b/>
                <w:color w:val="auto"/>
                <w:sz w:val="24"/>
                <w:szCs w:val="24"/>
                <w:highlight w:val="none"/>
              </w:rPr>
              <w:instrText xml:space="preserve"> eq \o\ac(</w:instrText>
            </w:r>
            <w:r>
              <w:rPr>
                <w:rFonts w:hint="eastAsia" w:ascii="宋体" w:hAnsi="宋体" w:cs="宋体"/>
                <w:b/>
                <w:color w:val="auto"/>
                <w:sz w:val="36"/>
                <w:szCs w:val="24"/>
                <w:highlight w:val="none"/>
              </w:rPr>
              <w:instrText xml:space="preserve">□</w:instrText>
            </w:r>
            <w:r>
              <w:rPr>
                <w:rFonts w:hint="eastAsia" w:ascii="宋体" w:hAnsi="宋体" w:cs="宋体"/>
                <w:b/>
                <w:color w:val="auto"/>
                <w:sz w:val="24"/>
                <w:szCs w:val="24"/>
                <w:highlight w:val="none"/>
              </w:rPr>
              <w:instrText xml:space="preserve">)</w:instrText>
            </w:r>
            <w:r>
              <w:rPr>
                <w:rFonts w:hint="eastAsia" w:ascii="宋体" w:hAnsi="宋体" w:cs="宋体"/>
                <w:b/>
                <w:color w:val="auto"/>
                <w:sz w:val="24"/>
                <w:szCs w:val="24"/>
                <w:highlight w:val="none"/>
              </w:rPr>
              <w:fldChar w:fldCharType="end"/>
            </w:r>
            <w:r>
              <w:rPr>
                <w:rFonts w:hint="eastAsia" w:ascii="宋体" w:hAnsi="宋体" w:cs="宋体"/>
                <w:color w:val="auto"/>
                <w:sz w:val="24"/>
                <w:szCs w:val="24"/>
                <w:highlight w:val="none"/>
              </w:rPr>
              <w:t xml:space="preserve">是/ </w:t>
            </w:r>
            <w:r>
              <w:rPr>
                <w:rFonts w:ascii="Segoe UI Symbol" w:hAnsi="Segoe UI Symbol" w:cs="Segoe UI Symbol"/>
                <w:b/>
                <w:color w:val="auto"/>
                <w:sz w:val="24"/>
                <w:szCs w:val="24"/>
                <w:highlight w:val="none"/>
              </w:rPr>
              <w:t>☑</w:t>
            </w:r>
            <w:r>
              <w:rPr>
                <w:rFonts w:hint="eastAsia" w:ascii="宋体" w:hAnsi="宋体" w:cs="宋体"/>
                <w:color w:val="auto"/>
                <w:sz w:val="24"/>
                <w:szCs w:val="24"/>
                <w:highlight w:val="none"/>
              </w:rPr>
              <w:t>否</w:t>
            </w:r>
          </w:p>
        </w:tc>
      </w:tr>
      <w:tr w14:paraId="61897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5" w:hRule="atLeast"/>
          <w:jc w:val="center"/>
        </w:trPr>
        <w:tc>
          <w:tcPr>
            <w:tcW w:w="900" w:type="dxa"/>
            <w:vAlign w:val="center"/>
          </w:tcPr>
          <w:p w14:paraId="60C8E581">
            <w:pPr>
              <w:spacing w:line="360" w:lineRule="auto"/>
              <w:jc w:val="center"/>
              <w:rPr>
                <w:rFonts w:ascii="宋体" w:hAnsi="宋体" w:cs="宋体"/>
                <w:b/>
                <w:color w:val="auto"/>
                <w:sz w:val="24"/>
                <w:szCs w:val="24"/>
                <w:highlight w:val="none"/>
              </w:rPr>
            </w:pPr>
            <w:r>
              <w:rPr>
                <w:rFonts w:hint="eastAsia" w:ascii="宋体" w:hAnsi="宋体" w:cs="宋体"/>
                <w:b/>
                <w:color w:val="auto"/>
                <w:sz w:val="24"/>
                <w:szCs w:val="24"/>
                <w:highlight w:val="none"/>
              </w:rPr>
              <w:t>2</w:t>
            </w:r>
          </w:p>
        </w:tc>
        <w:tc>
          <w:tcPr>
            <w:tcW w:w="1677" w:type="dxa"/>
            <w:vAlign w:val="center"/>
          </w:tcPr>
          <w:p w14:paraId="1791139A">
            <w:pPr>
              <w:spacing w:line="360" w:lineRule="auto"/>
              <w:jc w:val="center"/>
              <w:rPr>
                <w:rFonts w:ascii="宋体" w:hAnsi="宋体" w:cs="宋体"/>
                <w:color w:val="auto"/>
                <w:sz w:val="24"/>
                <w:szCs w:val="24"/>
                <w:highlight w:val="none"/>
              </w:rPr>
            </w:pPr>
            <w:r>
              <w:rPr>
                <w:rFonts w:hint="eastAsia" w:ascii="宋体" w:hAnsi="宋体" w:cs="宋体"/>
                <w:b/>
                <w:color w:val="auto"/>
                <w:sz w:val="24"/>
                <w:szCs w:val="24"/>
                <w:highlight w:val="none"/>
              </w:rPr>
              <w:t>中小企业的认定标准</w:t>
            </w:r>
          </w:p>
        </w:tc>
        <w:tc>
          <w:tcPr>
            <w:tcW w:w="6063" w:type="dxa"/>
          </w:tcPr>
          <w:p w14:paraId="2C2140E3">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中小企业参加政府采购活动，应当出具《中小企业声明函》，否则不得享受相关中小企业扶持政策。</w:t>
            </w:r>
          </w:p>
          <w:p w14:paraId="4E226A2A">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须满足以下条件，才能认定为中小企业</w:t>
            </w:r>
            <w:r>
              <w:rPr>
                <w:rFonts w:hint="eastAsia" w:ascii="宋体" w:hAnsi="宋体" w:cs="宋体"/>
                <w:b/>
                <w:color w:val="auto"/>
                <w:sz w:val="24"/>
                <w:szCs w:val="24"/>
                <w:highlight w:val="none"/>
              </w:rPr>
              <w:t>（含中型、小型、微型企业，下同）</w:t>
            </w:r>
            <w:r>
              <w:rPr>
                <w:rFonts w:hint="eastAsia" w:ascii="宋体" w:hAnsi="宋体" w:cs="宋体"/>
                <w:color w:val="auto"/>
                <w:sz w:val="24"/>
                <w:szCs w:val="24"/>
                <w:highlight w:val="none"/>
              </w:rPr>
              <w:t>：</w:t>
            </w:r>
          </w:p>
          <w:p w14:paraId="17B952F0">
            <w:pPr>
              <w:spacing w:line="360" w:lineRule="auto"/>
              <w:ind w:firstLine="480" w:firstLineChars="200"/>
              <w:rPr>
                <w:rFonts w:ascii="宋体" w:hAnsi="宋体" w:cs="宋体"/>
                <w:color w:val="auto"/>
                <w:sz w:val="24"/>
                <w:szCs w:val="24"/>
                <w:highlight w:val="none"/>
              </w:rPr>
            </w:pPr>
            <w:r>
              <w:rPr>
                <w:rFonts w:hint="eastAsia" w:ascii="宋体" w:hAnsi="宋体" w:cs="宋体"/>
                <w:bCs/>
                <w:color w:val="auto"/>
                <w:sz w:val="24"/>
                <w:szCs w:val="24"/>
                <w:highlight w:val="none"/>
              </w:rPr>
              <w:t>《政府采购促进中小企业发展管理办法》（财库〔2020〕46号）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w:t>
            </w:r>
          </w:p>
        </w:tc>
      </w:tr>
      <w:tr w14:paraId="3FF9A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900" w:type="dxa"/>
            <w:vAlign w:val="center"/>
          </w:tcPr>
          <w:p w14:paraId="49A9DD37">
            <w:pPr>
              <w:widowControl/>
              <w:spacing w:line="360" w:lineRule="auto"/>
              <w:jc w:val="center"/>
              <w:rPr>
                <w:rFonts w:ascii="宋体" w:hAnsi="宋体" w:cs="宋体"/>
                <w:b/>
                <w:color w:val="auto"/>
                <w:sz w:val="24"/>
                <w:szCs w:val="24"/>
                <w:highlight w:val="none"/>
              </w:rPr>
            </w:pPr>
            <w:r>
              <w:rPr>
                <w:rFonts w:hint="eastAsia" w:ascii="宋体" w:hAnsi="宋体" w:cs="宋体"/>
                <w:b/>
                <w:color w:val="auto"/>
                <w:sz w:val="24"/>
                <w:szCs w:val="24"/>
                <w:highlight w:val="none"/>
              </w:rPr>
              <w:t>3</w:t>
            </w:r>
          </w:p>
        </w:tc>
        <w:tc>
          <w:tcPr>
            <w:tcW w:w="1677" w:type="dxa"/>
            <w:vAlign w:val="center"/>
          </w:tcPr>
          <w:p w14:paraId="43DE271A">
            <w:pPr>
              <w:widowControl/>
              <w:spacing w:line="360" w:lineRule="auto"/>
              <w:jc w:val="center"/>
              <w:rPr>
                <w:rFonts w:ascii="宋体" w:hAnsi="宋体" w:cs="宋体"/>
                <w:b/>
                <w:color w:val="auto"/>
                <w:sz w:val="24"/>
                <w:szCs w:val="24"/>
                <w:highlight w:val="none"/>
              </w:rPr>
            </w:pPr>
            <w:r>
              <w:rPr>
                <w:rFonts w:hint="eastAsia" w:ascii="宋体" w:hAnsi="宋体" w:cs="宋体"/>
                <w:b/>
                <w:color w:val="auto"/>
                <w:sz w:val="24"/>
                <w:szCs w:val="24"/>
                <w:highlight w:val="none"/>
              </w:rPr>
              <w:t>优惠办法：</w:t>
            </w:r>
          </w:p>
        </w:tc>
        <w:tc>
          <w:tcPr>
            <w:tcW w:w="6063" w:type="dxa"/>
            <w:tcBorders>
              <w:bottom w:val="single" w:color="auto" w:sz="4" w:space="0"/>
            </w:tcBorders>
          </w:tcPr>
          <w:p w14:paraId="5AD4F4EE">
            <w:pPr>
              <w:pStyle w:val="20"/>
              <w:numPr>
                <w:ilvl w:val="255"/>
                <w:numId w:val="0"/>
              </w:numPr>
              <w:spacing w:line="360" w:lineRule="auto"/>
              <w:ind w:left="0" w:firstLine="482" w:firstLineChars="200"/>
              <w:rPr>
                <w:rFonts w:ascii="宋体" w:hAnsi="宋体" w:cs="宋体"/>
                <w:b/>
                <w:color w:val="auto"/>
                <w:sz w:val="24"/>
                <w:szCs w:val="24"/>
                <w:highlight w:val="none"/>
              </w:rPr>
            </w:pPr>
            <w:r>
              <w:rPr>
                <w:rFonts w:hint="eastAsia" w:ascii="宋体" w:hAnsi="宋体" w:cs="宋体"/>
                <w:b/>
                <w:color w:val="auto"/>
                <w:sz w:val="24"/>
                <w:szCs w:val="24"/>
                <w:highlight w:val="none"/>
              </w:rPr>
              <w:t>投标人为中小企业（含中型、小型、微型企业，下同）：</w:t>
            </w:r>
          </w:p>
          <w:p w14:paraId="04D5D21C">
            <w:pPr>
              <w:pStyle w:val="20"/>
              <w:numPr>
                <w:ilvl w:val="255"/>
                <w:numId w:val="0"/>
              </w:numPr>
              <w:spacing w:line="360" w:lineRule="auto"/>
              <w:ind w:left="0"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①投标保证金：减半</w:t>
            </w:r>
          </w:p>
          <w:p w14:paraId="6B09E1FC">
            <w:pPr>
              <w:pStyle w:val="20"/>
              <w:numPr>
                <w:ilvl w:val="255"/>
                <w:numId w:val="0"/>
              </w:numPr>
              <w:spacing w:line="360" w:lineRule="auto"/>
              <w:ind w:left="0"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②履约保证金：按约定比例的50%支付（如果有的话）</w:t>
            </w:r>
          </w:p>
          <w:p w14:paraId="0ACD62DF">
            <w:pPr>
              <w:pStyle w:val="20"/>
              <w:numPr>
                <w:ilvl w:val="255"/>
                <w:numId w:val="0"/>
              </w:numPr>
              <w:spacing w:line="360" w:lineRule="auto"/>
              <w:ind w:left="0"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③代理服务费：按招标文件规定的收费标准下调10%</w:t>
            </w:r>
          </w:p>
          <w:p w14:paraId="464C9E7A">
            <w:pPr>
              <w:pStyle w:val="20"/>
              <w:widowControl w:val="0"/>
              <w:numPr>
                <w:ilvl w:val="255"/>
                <w:numId w:val="0"/>
              </w:numPr>
              <w:spacing w:line="360" w:lineRule="auto"/>
              <w:ind w:left="0"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本项目的服务承接商为小微企业。</w:t>
            </w:r>
            <w:r>
              <w:rPr>
                <w:rFonts w:hint="eastAsia" w:ascii="宋体" w:hAnsi="宋体" w:cs="宋体"/>
                <w:color w:val="auto"/>
                <w:sz w:val="24"/>
                <w:szCs w:val="24"/>
                <w:highlight w:val="none"/>
              </w:rPr>
              <w:t>对其投标报价给予</w:t>
            </w:r>
            <w:r>
              <w:rPr>
                <w:rFonts w:ascii="宋体" w:hAnsi="宋体" w:cs="宋体"/>
                <w:color w:val="auto"/>
                <w:sz w:val="24"/>
                <w:szCs w:val="24"/>
                <w:highlight w:val="none"/>
              </w:rPr>
              <w:t>10%的扣除</w:t>
            </w:r>
            <w:r>
              <w:rPr>
                <w:rFonts w:hint="eastAsia" w:ascii="宋体" w:hAnsi="宋体" w:cs="宋体"/>
                <w:color w:val="auto"/>
                <w:sz w:val="24"/>
                <w:szCs w:val="24"/>
                <w:highlight w:val="none"/>
              </w:rPr>
              <w:t>，扣除后的价格作为该投标人的评标价参与价格评分。</w:t>
            </w:r>
          </w:p>
          <w:p w14:paraId="7D3D9773">
            <w:pPr>
              <w:pStyle w:val="20"/>
              <w:numPr>
                <w:ilvl w:val="255"/>
                <w:numId w:val="0"/>
              </w:numPr>
              <w:spacing w:line="360" w:lineRule="auto"/>
              <w:ind w:firstLine="480" w:firstLineChars="200"/>
              <w:rPr>
                <w:rFonts w:ascii="Calibri" w:hAnsi="Calibri" w:cs="Times New Roman"/>
                <w:color w:val="auto"/>
                <w:sz w:val="21"/>
                <w:szCs w:val="22"/>
                <w:highlight w:val="none"/>
              </w:rPr>
            </w:pPr>
            <w:r>
              <w:rPr>
                <w:rFonts w:hint="eastAsia" w:ascii="宋体" w:hAnsi="宋体" w:cs="宋体"/>
                <w:color w:val="auto"/>
                <w:sz w:val="24"/>
                <w:szCs w:val="24"/>
                <w:highlight w:val="none"/>
              </w:rPr>
              <w:t>按照《财政部 司法部关于政府采购支持监狱企业发展有关问题的通知》（财库〔2014〕68号）有关规定，监狱企业视同小型、微型企业。根据《财政部 民政部 中国残疾人联合会关于促进残疾人就业政府采购政策的通知》（财库〔2017〕141号），残疾人福利性单位视同小型、微型企业。残疾人福利性单位属于小型、微型企业的，不重复享受政策。</w:t>
            </w:r>
          </w:p>
        </w:tc>
      </w:tr>
      <w:tr w14:paraId="2C2B1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 w:hRule="atLeast"/>
          <w:jc w:val="center"/>
        </w:trPr>
        <w:tc>
          <w:tcPr>
            <w:tcW w:w="900" w:type="dxa"/>
            <w:vAlign w:val="center"/>
          </w:tcPr>
          <w:p w14:paraId="01D08520">
            <w:pPr>
              <w:widowControl/>
              <w:spacing w:line="360" w:lineRule="auto"/>
              <w:jc w:val="center"/>
              <w:rPr>
                <w:rFonts w:ascii="宋体" w:hAnsi="宋体" w:cs="宋体"/>
                <w:b/>
                <w:dstrike/>
                <w:color w:val="auto"/>
                <w:sz w:val="24"/>
                <w:szCs w:val="24"/>
                <w:highlight w:val="none"/>
              </w:rPr>
            </w:pPr>
            <w:r>
              <w:rPr>
                <w:rFonts w:hint="eastAsia" w:ascii="宋体" w:hAnsi="宋体" w:cs="宋体"/>
                <w:b/>
                <w:color w:val="auto"/>
                <w:sz w:val="24"/>
                <w:szCs w:val="24"/>
                <w:highlight w:val="none"/>
              </w:rPr>
              <w:t>4</w:t>
            </w:r>
          </w:p>
        </w:tc>
        <w:tc>
          <w:tcPr>
            <w:tcW w:w="1677" w:type="dxa"/>
            <w:vAlign w:val="center"/>
          </w:tcPr>
          <w:p w14:paraId="2DA5F5A3">
            <w:pPr>
              <w:pStyle w:val="18"/>
              <w:spacing w:before="0" w:beforeAutospacing="0" w:after="0" w:afterAutospacing="0" w:line="360" w:lineRule="auto"/>
              <w:rPr>
                <w:color w:val="auto"/>
                <w:highlight w:val="none"/>
              </w:rPr>
            </w:pPr>
            <w:r>
              <w:rPr>
                <w:rFonts w:hint="eastAsia"/>
                <w:color w:val="auto"/>
                <w:highlight w:val="none"/>
              </w:rPr>
              <w:t>本项目对应的中小企业划分标准所属</w:t>
            </w:r>
            <w:r>
              <w:rPr>
                <w:rFonts w:hint="eastAsia"/>
                <w:color w:val="auto"/>
                <w:highlight w:val="none"/>
                <w:u w:val="single"/>
              </w:rPr>
              <w:t>餐饮业行业。</w:t>
            </w:r>
          </w:p>
        </w:tc>
        <w:tc>
          <w:tcPr>
            <w:tcW w:w="6063" w:type="dxa"/>
            <w:tcBorders>
              <w:bottom w:val="single" w:color="auto" w:sz="4" w:space="0"/>
            </w:tcBorders>
          </w:tcPr>
          <w:p w14:paraId="1809529B">
            <w:pPr>
              <w:spacing w:line="360" w:lineRule="auto"/>
              <w:rPr>
                <w:rFonts w:ascii="宋体" w:hAnsi="宋体" w:cs="宋体"/>
                <w:dstrike/>
                <w:color w:val="auto"/>
                <w:sz w:val="24"/>
                <w:szCs w:val="24"/>
                <w:highlight w:val="none"/>
                <w:u w:val="single"/>
              </w:rPr>
            </w:pPr>
            <w:r>
              <w:rPr>
                <w:rFonts w:hint="eastAsia" w:ascii="宋体" w:hAnsi="宋体" w:cs="宋体"/>
                <w:color w:val="auto"/>
                <w:sz w:val="24"/>
                <w:szCs w:val="24"/>
                <w:highlight w:val="none"/>
              </w:rPr>
              <w:t>现行中小企业划分标准行业包括农、林、牧、渔业，工业，建筑业，批发业，零售业，交通运输业，仓储业，邮政业，住宿业，餐饮业，信息传输业，软件和信息技术服务业，房地产开发经营，物业管理，租赁和商务服务业和其他未列明行业等十六类。</w:t>
            </w:r>
          </w:p>
        </w:tc>
      </w:tr>
      <w:tr w14:paraId="33584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 w:hRule="atLeast"/>
          <w:jc w:val="center"/>
        </w:trPr>
        <w:tc>
          <w:tcPr>
            <w:tcW w:w="900" w:type="dxa"/>
            <w:vAlign w:val="center"/>
          </w:tcPr>
          <w:p w14:paraId="58213754">
            <w:pPr>
              <w:widowControl/>
              <w:spacing w:line="360" w:lineRule="auto"/>
              <w:jc w:val="center"/>
              <w:rPr>
                <w:rFonts w:ascii="宋体" w:hAnsi="宋体" w:cs="宋体"/>
                <w:b/>
                <w:color w:val="auto"/>
                <w:sz w:val="24"/>
                <w:szCs w:val="24"/>
                <w:highlight w:val="none"/>
              </w:rPr>
            </w:pPr>
            <w:r>
              <w:rPr>
                <w:rFonts w:hint="eastAsia" w:ascii="宋体" w:hAnsi="宋体" w:cs="宋体"/>
                <w:b/>
                <w:color w:val="auto"/>
                <w:sz w:val="24"/>
                <w:szCs w:val="24"/>
                <w:highlight w:val="none"/>
              </w:rPr>
              <w:t>5</w:t>
            </w:r>
          </w:p>
        </w:tc>
        <w:tc>
          <w:tcPr>
            <w:tcW w:w="1677" w:type="dxa"/>
            <w:vAlign w:val="center"/>
          </w:tcPr>
          <w:p w14:paraId="258EA44F">
            <w:pPr>
              <w:widowControl/>
              <w:spacing w:line="360" w:lineRule="auto"/>
              <w:jc w:val="center"/>
              <w:rPr>
                <w:rFonts w:ascii="宋体" w:hAnsi="宋体" w:cs="宋体"/>
                <w:b/>
                <w:color w:val="auto"/>
                <w:sz w:val="24"/>
                <w:szCs w:val="24"/>
                <w:highlight w:val="none"/>
              </w:rPr>
            </w:pPr>
            <w:r>
              <w:rPr>
                <w:rFonts w:hint="eastAsia" w:ascii="宋体" w:hAnsi="宋体" w:cs="宋体"/>
                <w:b/>
                <w:color w:val="auto"/>
                <w:sz w:val="24"/>
                <w:szCs w:val="24"/>
                <w:highlight w:val="none"/>
              </w:rPr>
              <w:t>相关风险</w:t>
            </w:r>
          </w:p>
        </w:tc>
        <w:tc>
          <w:tcPr>
            <w:tcW w:w="6063" w:type="dxa"/>
            <w:tcBorders>
              <w:bottom w:val="single" w:color="auto" w:sz="4" w:space="0"/>
            </w:tcBorders>
          </w:tcPr>
          <w:p w14:paraId="64A87FD2">
            <w:pPr>
              <w:spacing w:line="360" w:lineRule="auto"/>
              <w:ind w:firstLine="482" w:firstLineChars="200"/>
              <w:rPr>
                <w:rFonts w:ascii="宋体" w:hAnsi="宋体" w:cs="宋体"/>
                <w:b/>
                <w:color w:val="auto"/>
                <w:sz w:val="24"/>
                <w:szCs w:val="24"/>
                <w:highlight w:val="none"/>
              </w:rPr>
            </w:pPr>
            <w:r>
              <w:rPr>
                <w:rFonts w:hint="eastAsia" w:ascii="宋体" w:hAnsi="宋体" w:cs="宋体"/>
                <w:b/>
                <w:color w:val="auto"/>
                <w:sz w:val="24"/>
                <w:szCs w:val="24"/>
                <w:highlight w:val="none"/>
              </w:rPr>
              <w:t>一、经评标委员会评审，存在下列任一情况的，投标人将不被视为中小企业：</w:t>
            </w:r>
          </w:p>
          <w:p w14:paraId="5EC98C46">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1.投标人不符合“工信部联企业〔2011〕300号”规定的中小企业标准的；</w:t>
            </w:r>
          </w:p>
          <w:p w14:paraId="2590001F">
            <w:pPr>
              <w:spacing w:line="360" w:lineRule="auto"/>
              <w:ind w:firstLine="482" w:firstLineChars="200"/>
              <w:rPr>
                <w:rFonts w:ascii="宋体" w:hAnsi="宋体" w:cs="宋体"/>
                <w:b/>
                <w:color w:val="auto"/>
                <w:kern w:val="0"/>
                <w:sz w:val="24"/>
                <w:szCs w:val="24"/>
                <w:highlight w:val="none"/>
              </w:rPr>
            </w:pPr>
            <w:r>
              <w:rPr>
                <w:rFonts w:hint="eastAsia" w:ascii="宋体" w:hAnsi="宋体" w:cs="宋体"/>
                <w:b/>
                <w:color w:val="auto"/>
                <w:kern w:val="0"/>
                <w:sz w:val="24"/>
                <w:szCs w:val="24"/>
                <w:highlight w:val="none"/>
              </w:rPr>
              <w:t>二、提供虚假声明后果：</w:t>
            </w:r>
          </w:p>
          <w:p w14:paraId="2A8071D1">
            <w:pPr>
              <w:widowControl/>
              <w:spacing w:line="360" w:lineRule="auto"/>
              <w:ind w:firstLine="480" w:firstLineChars="200"/>
              <w:rPr>
                <w:rFonts w:ascii="宋体" w:hAnsi="宋体" w:cs="宋体"/>
                <w:b/>
                <w:i/>
                <w:color w:val="auto"/>
                <w:kern w:val="0"/>
                <w:sz w:val="24"/>
                <w:szCs w:val="24"/>
                <w:highlight w:val="none"/>
                <w:u w:val="single"/>
              </w:rPr>
            </w:pPr>
            <w:r>
              <w:rPr>
                <w:rFonts w:hint="eastAsia" w:ascii="宋体" w:hAnsi="宋体" w:cs="宋体"/>
                <w:color w:val="auto"/>
                <w:kern w:val="0"/>
                <w:sz w:val="24"/>
                <w:szCs w:val="24"/>
                <w:highlight w:val="none"/>
              </w:rPr>
              <w:t>投标人为取得中小企业身份而提供虚假声明，在评审过程中发现的，按无效投标处理，投标保证金不予退还；已取得中标资格的，无论该行为是否影响中标，均取消其中标资格，投标保证金、代理服务费不予退还，该投标人还应承担由此引起的其他经济、法律责任。出现此种情形时，采购人、招标代理机构将有关情况上报政府采购监管部门，由监管部门按有关规定对其进行相应处罚。采购人、招标代理机构</w:t>
            </w:r>
            <w:r>
              <w:rPr>
                <w:rFonts w:hint="eastAsia" w:ascii="宋体" w:hAnsi="宋体" w:cs="宋体"/>
                <w:color w:val="auto"/>
                <w:sz w:val="24"/>
                <w:szCs w:val="24"/>
                <w:highlight w:val="none"/>
              </w:rPr>
              <w:t>有权上报财政部门，建议财政部门将该投标人列入不良行为记录名单，在一至三年内禁止该投标人参加政府采购活动并予以通报。</w:t>
            </w:r>
            <w:r>
              <w:rPr>
                <w:rFonts w:hint="eastAsia" w:ascii="宋体" w:hAnsi="宋体" w:cs="宋体"/>
                <w:b/>
                <w:i/>
                <w:color w:val="auto"/>
                <w:kern w:val="0"/>
                <w:sz w:val="24"/>
                <w:szCs w:val="24"/>
                <w:highlight w:val="none"/>
                <w:u w:val="single"/>
              </w:rPr>
              <w:t>（提醒：如果不满足中小企业的认定标准，则不需要提供《中小企业声明函》，否则因此导致虚假应标的后果由投标人自行承担。）</w:t>
            </w:r>
          </w:p>
        </w:tc>
      </w:tr>
    </w:tbl>
    <w:p w14:paraId="7A4FD93C">
      <w:pPr>
        <w:spacing w:line="360" w:lineRule="auto"/>
        <w:rPr>
          <w:rFonts w:ascii="宋体" w:hAnsi="宋体" w:cs="宋体"/>
          <w:b/>
          <w:color w:val="auto"/>
          <w:sz w:val="24"/>
          <w:szCs w:val="24"/>
          <w:highlight w:val="none"/>
        </w:rPr>
      </w:pPr>
    </w:p>
    <w:p w14:paraId="43EF7A86">
      <w:pPr>
        <w:spacing w:line="360" w:lineRule="auto"/>
        <w:rPr>
          <w:rFonts w:ascii="宋体" w:hAnsi="宋体" w:cs="宋体"/>
          <w:b/>
          <w:bCs/>
          <w:color w:val="auto"/>
          <w:sz w:val="24"/>
          <w:szCs w:val="24"/>
          <w:highlight w:val="none"/>
        </w:rPr>
      </w:pPr>
    </w:p>
    <w:p w14:paraId="32D159FB">
      <w:pPr>
        <w:spacing w:line="360" w:lineRule="auto"/>
        <w:rPr>
          <w:rFonts w:ascii="宋体" w:hAnsi="宋体" w:cs="宋体"/>
          <w:b/>
          <w:bCs/>
          <w:color w:val="auto"/>
          <w:sz w:val="24"/>
          <w:szCs w:val="24"/>
          <w:highlight w:val="none"/>
        </w:rPr>
      </w:pPr>
    </w:p>
    <w:p w14:paraId="31EEC1AB">
      <w:pPr>
        <w:spacing w:line="360" w:lineRule="auto"/>
        <w:jc w:val="center"/>
        <w:rPr>
          <w:rFonts w:ascii="宋体" w:hAnsi="宋体" w:cs="宋体"/>
          <w:b/>
          <w:color w:val="auto"/>
          <w:sz w:val="32"/>
          <w:szCs w:val="32"/>
          <w:highlight w:val="none"/>
        </w:rPr>
        <w:sectPr>
          <w:pgSz w:w="11906" w:h="16838"/>
          <w:pgMar w:top="1440" w:right="1803" w:bottom="1440" w:left="1803" w:header="567" w:footer="567" w:gutter="0"/>
          <w:cols w:space="720" w:num="1"/>
          <w:docGrid w:linePitch="312" w:charSpace="0"/>
        </w:sectPr>
      </w:pPr>
      <w:bookmarkStart w:id="44" w:name="OLE_LINK1"/>
    </w:p>
    <w:p w14:paraId="256C961E">
      <w:pPr>
        <w:spacing w:line="360" w:lineRule="auto"/>
        <w:jc w:val="center"/>
        <w:rPr>
          <w:rFonts w:ascii="宋体" w:hAnsi="宋体" w:cs="宋体"/>
          <w:b/>
          <w:color w:val="auto"/>
          <w:sz w:val="32"/>
          <w:szCs w:val="32"/>
          <w:highlight w:val="none"/>
        </w:rPr>
      </w:pPr>
      <w:r>
        <w:rPr>
          <w:rFonts w:hint="eastAsia" w:ascii="宋体" w:hAnsi="宋体" w:cs="宋体"/>
          <w:b/>
          <w:color w:val="auto"/>
          <w:sz w:val="32"/>
          <w:szCs w:val="32"/>
          <w:highlight w:val="none"/>
        </w:rPr>
        <w:t xml:space="preserve">第二章    投标人须知           </w:t>
      </w:r>
    </w:p>
    <w:p w14:paraId="47656BAC">
      <w:pPr>
        <w:spacing w:line="360" w:lineRule="auto"/>
        <w:jc w:val="center"/>
        <w:rPr>
          <w:rFonts w:ascii="宋体" w:hAnsi="宋体" w:cs="宋体"/>
          <w:b/>
          <w:color w:val="auto"/>
          <w:sz w:val="32"/>
          <w:szCs w:val="32"/>
          <w:highlight w:val="none"/>
        </w:rPr>
      </w:pPr>
      <w:r>
        <w:rPr>
          <w:rFonts w:hint="eastAsia" w:ascii="宋体" w:hAnsi="宋体" w:cs="宋体"/>
          <w:b/>
          <w:color w:val="auto"/>
          <w:sz w:val="32"/>
          <w:szCs w:val="32"/>
          <w:highlight w:val="none"/>
        </w:rPr>
        <w:t xml:space="preserve"> </w:t>
      </w:r>
    </w:p>
    <w:bookmarkEnd w:id="44"/>
    <w:p w14:paraId="7A1DFFF7">
      <w:pPr>
        <w:spacing w:line="360" w:lineRule="auto"/>
        <w:jc w:val="center"/>
        <w:outlineLvl w:val="1"/>
        <w:rPr>
          <w:rFonts w:ascii="宋体" w:hAnsi="宋体" w:cs="宋体"/>
          <w:b/>
          <w:color w:val="auto"/>
          <w:sz w:val="24"/>
          <w:szCs w:val="24"/>
          <w:highlight w:val="none"/>
        </w:rPr>
      </w:pPr>
      <w:bookmarkStart w:id="45" w:name="_Toc1205"/>
      <w:r>
        <w:rPr>
          <w:rFonts w:hint="eastAsia" w:ascii="宋体" w:hAnsi="宋体" w:cs="宋体"/>
          <w:b/>
          <w:color w:val="auto"/>
          <w:sz w:val="32"/>
          <w:szCs w:val="32"/>
          <w:highlight w:val="none"/>
        </w:rPr>
        <w:t>一、说明</w:t>
      </w:r>
      <w:bookmarkEnd w:id="45"/>
    </w:p>
    <w:p w14:paraId="610E1E78">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1. 适用范围</w:t>
      </w:r>
    </w:p>
    <w:p w14:paraId="7BDEB3AE">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1.1本招标文件仅适用于投标邀请中所叙述项目的服务类政府采购。</w:t>
      </w:r>
    </w:p>
    <w:p w14:paraId="2B087AED">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2. 定义</w:t>
      </w:r>
    </w:p>
    <w:p w14:paraId="467270F4">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2.1 “采购人”系指本次采购项目的业主方。</w:t>
      </w:r>
    </w:p>
    <w:p w14:paraId="7FC44A94">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2.2 “招标采购单位”系指组织本次招标活动的采购人或招标代理机构。</w:t>
      </w:r>
    </w:p>
    <w:p w14:paraId="0B8797C5">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2.3 “招标代理机构”系指本次招标采购项目活动组织方。</w:t>
      </w:r>
    </w:p>
    <w:p w14:paraId="73DD4E1B">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2.4 “投标人”系指购买了本招标文件，且已经提交或者准备提交本次投标文件的服务商。</w:t>
      </w:r>
    </w:p>
    <w:p w14:paraId="0E28D246">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2.5 “服务”系指维护、管理、安装、调试、技术协助、校准、培训以及其他类似的义务。</w:t>
      </w:r>
    </w:p>
    <w:p w14:paraId="1A351D02">
      <w:pPr>
        <w:spacing w:line="360" w:lineRule="auto"/>
        <w:ind w:firstLine="480"/>
        <w:rPr>
          <w:rFonts w:ascii="宋体" w:hAnsi="宋体" w:cs="宋体"/>
          <w:color w:val="auto"/>
          <w:sz w:val="24"/>
          <w:szCs w:val="24"/>
          <w:highlight w:val="none"/>
        </w:rPr>
      </w:pPr>
      <w:r>
        <w:rPr>
          <w:rFonts w:hint="eastAsia" w:ascii="宋体" w:hAnsi="宋体" w:cs="宋体"/>
          <w:color w:val="auto"/>
          <w:sz w:val="24"/>
          <w:szCs w:val="24"/>
          <w:highlight w:val="none"/>
        </w:rPr>
        <w:t>2.6“项目”系以合同包为单位。</w:t>
      </w:r>
    </w:p>
    <w:p w14:paraId="7349EF4A">
      <w:pPr>
        <w:spacing w:line="360" w:lineRule="auto"/>
        <w:rPr>
          <w:rFonts w:ascii="宋体" w:hAnsi="宋体" w:cs="宋体"/>
          <w:b/>
          <w:color w:val="auto"/>
          <w:sz w:val="24"/>
          <w:szCs w:val="24"/>
          <w:highlight w:val="none"/>
        </w:rPr>
      </w:pPr>
      <w:r>
        <w:rPr>
          <w:rFonts w:hint="eastAsia" w:ascii="宋体" w:hAnsi="宋体" w:cs="宋体"/>
          <w:b/>
          <w:color w:val="auto"/>
          <w:sz w:val="24"/>
          <w:szCs w:val="24"/>
          <w:highlight w:val="none"/>
        </w:rPr>
        <w:t>3. 合格的投标人</w:t>
      </w:r>
    </w:p>
    <w:p w14:paraId="504E13BF">
      <w:pPr>
        <w:spacing w:line="360" w:lineRule="auto"/>
        <w:ind w:firstLine="482" w:firstLineChars="200"/>
        <w:rPr>
          <w:rFonts w:ascii="宋体" w:hAnsi="宋体" w:cs="宋体"/>
          <w:b/>
          <w:color w:val="auto"/>
          <w:sz w:val="24"/>
          <w:szCs w:val="24"/>
          <w:highlight w:val="none"/>
        </w:rPr>
      </w:pPr>
      <w:r>
        <w:rPr>
          <w:rFonts w:hint="eastAsia" w:ascii="宋体" w:hAnsi="宋体" w:cs="宋体"/>
          <w:b/>
          <w:color w:val="auto"/>
          <w:sz w:val="24"/>
          <w:szCs w:val="24"/>
          <w:highlight w:val="none"/>
        </w:rPr>
        <w:t>3.1凡有能力提供本招标文件所述服务的，具备《中华人民共和国政府采购法》第二十二条第一款规定的条件且符合本招标文件规定资格要求的境内服务商均可能成为合格的投标人。</w:t>
      </w:r>
    </w:p>
    <w:p w14:paraId="471CED9E">
      <w:pPr>
        <w:spacing w:line="360" w:lineRule="auto"/>
        <w:ind w:firstLine="482" w:firstLineChars="200"/>
        <w:rPr>
          <w:rFonts w:ascii="宋体" w:hAnsi="宋体" w:cs="宋体"/>
          <w:b/>
          <w:color w:val="auto"/>
          <w:sz w:val="24"/>
          <w:szCs w:val="24"/>
          <w:highlight w:val="none"/>
        </w:rPr>
      </w:pPr>
      <w:r>
        <w:rPr>
          <w:rFonts w:hint="eastAsia" w:ascii="宋体" w:hAnsi="宋体" w:cs="宋体"/>
          <w:b/>
          <w:color w:val="auto"/>
          <w:sz w:val="24"/>
          <w:szCs w:val="24"/>
          <w:highlight w:val="none"/>
        </w:rPr>
        <w:t>投标人具备《中华人民共和国政府采购法》第二十二条第一款规定的条件，应提供以下材料：</w:t>
      </w:r>
    </w:p>
    <w:p w14:paraId="7BBF5CB8">
      <w:pPr>
        <w:spacing w:line="360" w:lineRule="auto"/>
        <w:ind w:firstLine="480"/>
        <w:rPr>
          <w:rFonts w:ascii="宋体" w:hAnsi="宋体" w:cs="宋体"/>
          <w:b/>
          <w:color w:val="auto"/>
          <w:sz w:val="24"/>
          <w:szCs w:val="24"/>
          <w:highlight w:val="none"/>
        </w:rPr>
      </w:pPr>
      <w:r>
        <w:rPr>
          <w:rFonts w:hint="eastAsia" w:ascii="宋体" w:hAnsi="宋体" w:cs="宋体"/>
          <w:b/>
          <w:color w:val="auto"/>
          <w:sz w:val="24"/>
          <w:szCs w:val="24"/>
          <w:highlight w:val="none"/>
        </w:rPr>
        <w:t>（1）法人或者其他组织的营业执照等证明文件，自然人的身份证明；</w:t>
      </w:r>
    </w:p>
    <w:p w14:paraId="46FB8A56">
      <w:pPr>
        <w:spacing w:line="360" w:lineRule="auto"/>
        <w:ind w:firstLine="480"/>
        <w:rPr>
          <w:rFonts w:ascii="宋体" w:hAnsi="宋体" w:cs="宋体"/>
          <w:b/>
          <w:color w:val="auto"/>
          <w:sz w:val="24"/>
          <w:szCs w:val="24"/>
          <w:highlight w:val="none"/>
        </w:rPr>
      </w:pPr>
      <w:r>
        <w:rPr>
          <w:rFonts w:hint="eastAsia" w:ascii="宋体" w:hAnsi="宋体" w:cs="宋体"/>
          <w:b/>
          <w:color w:val="auto"/>
          <w:sz w:val="24"/>
          <w:szCs w:val="24"/>
          <w:highlight w:val="none"/>
        </w:rPr>
        <w:t>投标人是法人或者其他组织的应提供营业执照等证明文件，投标人是自然人的应提供有效的自然人身份证明。</w:t>
      </w:r>
    </w:p>
    <w:p w14:paraId="06DBD3C3">
      <w:pPr>
        <w:spacing w:line="360" w:lineRule="auto"/>
        <w:ind w:firstLine="480"/>
        <w:rPr>
          <w:rFonts w:ascii="宋体" w:hAnsi="宋体" w:cs="宋体"/>
          <w:b/>
          <w:color w:val="auto"/>
          <w:sz w:val="24"/>
          <w:szCs w:val="24"/>
          <w:highlight w:val="none"/>
        </w:rPr>
      </w:pPr>
      <w:r>
        <w:rPr>
          <w:rFonts w:hint="eastAsia" w:ascii="宋体" w:hAnsi="宋体" w:cs="宋体"/>
          <w:b/>
          <w:color w:val="auto"/>
          <w:sz w:val="24"/>
          <w:szCs w:val="24"/>
          <w:highlight w:val="none"/>
        </w:rPr>
        <w:t>（2）投标人已提供加载有统一社会信用代码营业执照的，视为已提供税务登记证和组织机构代码证。</w:t>
      </w:r>
    </w:p>
    <w:p w14:paraId="384529C6">
      <w:pPr>
        <w:spacing w:line="360" w:lineRule="auto"/>
        <w:ind w:firstLine="480"/>
        <w:rPr>
          <w:rFonts w:ascii="宋体" w:hAnsi="宋体" w:cs="宋体"/>
          <w:color w:val="auto"/>
          <w:sz w:val="24"/>
          <w:szCs w:val="24"/>
          <w:highlight w:val="none"/>
        </w:rPr>
      </w:pPr>
      <w:r>
        <w:rPr>
          <w:rFonts w:hint="eastAsia" w:ascii="宋体" w:hAnsi="宋体" w:cs="宋体"/>
          <w:b/>
          <w:color w:val="auto"/>
          <w:sz w:val="24"/>
          <w:szCs w:val="24"/>
          <w:highlight w:val="none"/>
        </w:rPr>
        <w:t>（3）按要求提供福建省政府采购供应商资格承诺函。</w:t>
      </w:r>
    </w:p>
    <w:p w14:paraId="7443B9C5">
      <w:pPr>
        <w:spacing w:line="360" w:lineRule="auto"/>
        <w:ind w:firstLine="482" w:firstLineChars="200"/>
        <w:rPr>
          <w:rFonts w:ascii="宋体" w:hAnsi="宋体" w:cs="宋体"/>
          <w:b/>
          <w:color w:val="auto"/>
          <w:sz w:val="24"/>
          <w:szCs w:val="24"/>
          <w:highlight w:val="none"/>
        </w:rPr>
      </w:pPr>
      <w:r>
        <w:rPr>
          <w:rFonts w:hint="eastAsia" w:ascii="宋体" w:hAnsi="宋体" w:cs="宋体"/>
          <w:b/>
          <w:color w:val="auto"/>
          <w:sz w:val="24"/>
          <w:szCs w:val="24"/>
          <w:highlight w:val="none"/>
        </w:rPr>
        <w:t>3.2投标人应遵守并符合中国的有关法律、法规和规章的规定，同时其投标服务也应符合中国的有关法律、法规和规章的规定。</w:t>
      </w:r>
    </w:p>
    <w:p w14:paraId="5AF683B5">
      <w:pPr>
        <w:spacing w:line="360" w:lineRule="auto"/>
        <w:ind w:firstLine="482" w:firstLineChars="200"/>
        <w:rPr>
          <w:rFonts w:ascii="宋体" w:hAnsi="宋体" w:cs="宋体"/>
          <w:b/>
          <w:color w:val="auto"/>
          <w:sz w:val="24"/>
          <w:szCs w:val="24"/>
          <w:highlight w:val="none"/>
        </w:rPr>
      </w:pPr>
      <w:r>
        <w:rPr>
          <w:rFonts w:hint="eastAsia" w:ascii="宋体" w:hAnsi="宋体" w:cs="宋体"/>
          <w:b/>
          <w:color w:val="auto"/>
          <w:sz w:val="24"/>
          <w:szCs w:val="24"/>
          <w:highlight w:val="none"/>
        </w:rPr>
        <w:t>3.3一个投标人只能提交一个投标文件。如果投标人之间存在下列互为关联关系的情形之一的，不得同时参加本项目同一合同包投标：</w:t>
      </w:r>
    </w:p>
    <w:p w14:paraId="0D4FCCDD">
      <w:pPr>
        <w:spacing w:line="360" w:lineRule="auto"/>
        <w:ind w:firstLine="482" w:firstLineChars="200"/>
        <w:rPr>
          <w:rFonts w:ascii="宋体" w:hAnsi="宋体" w:cs="宋体"/>
          <w:b/>
          <w:color w:val="auto"/>
          <w:sz w:val="24"/>
          <w:szCs w:val="24"/>
          <w:highlight w:val="none"/>
        </w:rPr>
      </w:pPr>
      <w:r>
        <w:rPr>
          <w:rFonts w:hint="eastAsia" w:ascii="宋体" w:hAnsi="宋体" w:cs="宋体"/>
          <w:b/>
          <w:color w:val="auto"/>
          <w:sz w:val="24"/>
          <w:szCs w:val="24"/>
          <w:highlight w:val="none"/>
        </w:rPr>
        <w:t>(1)法定代表人、单位负责人为同一人或夫妻关系的不同投标人；</w:t>
      </w:r>
    </w:p>
    <w:p w14:paraId="56F55338">
      <w:pPr>
        <w:spacing w:line="360" w:lineRule="auto"/>
        <w:ind w:firstLine="482" w:firstLineChars="200"/>
        <w:rPr>
          <w:rFonts w:ascii="宋体" w:hAnsi="宋体" w:cs="宋体"/>
          <w:b/>
          <w:color w:val="auto"/>
          <w:sz w:val="24"/>
          <w:szCs w:val="24"/>
          <w:highlight w:val="none"/>
        </w:rPr>
      </w:pPr>
      <w:r>
        <w:rPr>
          <w:rFonts w:hint="eastAsia" w:ascii="宋体" w:hAnsi="宋体" w:cs="宋体"/>
          <w:b/>
          <w:color w:val="auto"/>
          <w:sz w:val="24"/>
          <w:szCs w:val="24"/>
          <w:highlight w:val="none"/>
        </w:rPr>
        <w:t>(2)存在直接控股、管理关系的不同投标人；</w:t>
      </w:r>
    </w:p>
    <w:p w14:paraId="737085CE">
      <w:pPr>
        <w:spacing w:line="360" w:lineRule="auto"/>
        <w:ind w:firstLine="482" w:firstLineChars="200"/>
        <w:rPr>
          <w:rFonts w:ascii="宋体" w:hAnsi="宋体" w:cs="宋体"/>
          <w:b/>
          <w:color w:val="auto"/>
          <w:sz w:val="24"/>
          <w:szCs w:val="24"/>
          <w:highlight w:val="none"/>
        </w:rPr>
      </w:pPr>
      <w:r>
        <w:rPr>
          <w:rFonts w:hint="eastAsia" w:ascii="宋体" w:hAnsi="宋体" w:cs="宋体"/>
          <w:b/>
          <w:color w:val="auto"/>
          <w:sz w:val="24"/>
          <w:szCs w:val="24"/>
          <w:highlight w:val="none"/>
        </w:rPr>
        <w:t>(3)均为同一家母公司直接或间接持股50％及以上的被投资公司。</w:t>
      </w:r>
    </w:p>
    <w:p w14:paraId="1D6937A6">
      <w:pPr>
        <w:spacing w:line="360" w:lineRule="auto"/>
        <w:ind w:firstLine="482" w:firstLineChars="200"/>
        <w:rPr>
          <w:rFonts w:ascii="宋体" w:hAnsi="宋体" w:cs="宋体"/>
          <w:b/>
          <w:color w:val="auto"/>
          <w:sz w:val="24"/>
          <w:szCs w:val="24"/>
          <w:highlight w:val="none"/>
        </w:rPr>
      </w:pPr>
      <w:r>
        <w:rPr>
          <w:rFonts w:hint="eastAsia" w:ascii="宋体" w:hAnsi="宋体" w:cs="宋体"/>
          <w:b/>
          <w:color w:val="auto"/>
          <w:sz w:val="24"/>
          <w:szCs w:val="24"/>
          <w:highlight w:val="none"/>
        </w:rPr>
        <w:t>3.4投标人不得与本次招标项下设计、编制技术规格和其他文件的公司或提供咨询服务的公司包括其附属机构有关联关系，关联关系指：（1） 法定代表人、单位负责人为同一人或夫妻关系的不同公司；（2） 存在直接控股、管理关系的不同公司；（3） 均为同一家母公司直接或间接持股50％及以上的被投资公司。</w:t>
      </w:r>
    </w:p>
    <w:p w14:paraId="45C8B96F">
      <w:pPr>
        <w:spacing w:line="360" w:lineRule="auto"/>
        <w:ind w:firstLine="482" w:firstLineChars="200"/>
        <w:rPr>
          <w:rFonts w:ascii="宋体" w:hAnsi="宋体" w:cs="宋体"/>
          <w:b/>
          <w:color w:val="auto"/>
          <w:sz w:val="24"/>
          <w:szCs w:val="24"/>
          <w:highlight w:val="none"/>
        </w:rPr>
      </w:pPr>
      <w:r>
        <w:rPr>
          <w:rFonts w:hint="eastAsia" w:ascii="宋体" w:hAnsi="宋体" w:cs="宋体"/>
          <w:b/>
          <w:color w:val="auto"/>
          <w:sz w:val="24"/>
          <w:szCs w:val="24"/>
          <w:highlight w:val="none"/>
        </w:rPr>
        <w:t>3.5如本项目接受联合体投标，则两个或者两个以上投标人可以组成一个投标联合体，以一个投标人的身份投标。</w:t>
      </w:r>
    </w:p>
    <w:p w14:paraId="1AC32156">
      <w:pPr>
        <w:spacing w:line="360" w:lineRule="auto"/>
        <w:ind w:firstLine="482" w:firstLineChars="200"/>
        <w:rPr>
          <w:rFonts w:ascii="宋体" w:hAnsi="宋体" w:cs="宋体"/>
          <w:b/>
          <w:color w:val="auto"/>
          <w:sz w:val="24"/>
          <w:szCs w:val="24"/>
          <w:highlight w:val="none"/>
        </w:rPr>
      </w:pPr>
      <w:r>
        <w:rPr>
          <w:rFonts w:hint="eastAsia" w:ascii="宋体" w:hAnsi="宋体" w:cs="宋体"/>
          <w:b/>
          <w:color w:val="auto"/>
          <w:sz w:val="24"/>
          <w:szCs w:val="24"/>
          <w:highlight w:val="none"/>
        </w:rPr>
        <w:t>（1）以联合体形式参加投标的，联合体各方均应当符合合格的投标人相关规定。采购人根据采购项目的特殊要求规定投标人特定条件的，联合体各方中至少应当有一方符合采购人规定的特定条件，如联合体各方中没有一方符合特定条件的，该联合体投标无效。</w:t>
      </w:r>
    </w:p>
    <w:p w14:paraId="5A5A32D2">
      <w:pPr>
        <w:spacing w:line="360" w:lineRule="auto"/>
        <w:ind w:firstLine="482" w:firstLineChars="200"/>
        <w:rPr>
          <w:rFonts w:ascii="宋体" w:hAnsi="宋体" w:cs="宋体"/>
          <w:b/>
          <w:color w:val="auto"/>
          <w:sz w:val="24"/>
          <w:szCs w:val="24"/>
          <w:highlight w:val="none"/>
        </w:rPr>
      </w:pPr>
      <w:r>
        <w:rPr>
          <w:rFonts w:hint="eastAsia" w:ascii="宋体" w:hAnsi="宋体" w:cs="宋体"/>
          <w:b/>
          <w:color w:val="auto"/>
          <w:sz w:val="24"/>
          <w:szCs w:val="24"/>
          <w:highlight w:val="none"/>
        </w:rPr>
        <w:t>（2）联合体各方之间应当签订共同投标协议，明确约定联合体各方承担的工作和相应的责任，并将共同投标协议连同投标文件一并提交招标代理机构。联合体各方签订共同投标协议后，不得再以自己名义单独在同一项目中投标，也不得组成新的联合体参加同一项目投标。</w:t>
      </w:r>
    </w:p>
    <w:p w14:paraId="577CA1A0">
      <w:pPr>
        <w:spacing w:line="360" w:lineRule="auto"/>
        <w:ind w:firstLine="482" w:firstLineChars="200"/>
        <w:rPr>
          <w:rFonts w:ascii="宋体" w:hAnsi="宋体" w:cs="宋体"/>
          <w:b/>
          <w:color w:val="auto"/>
          <w:sz w:val="24"/>
          <w:szCs w:val="24"/>
          <w:highlight w:val="none"/>
        </w:rPr>
      </w:pPr>
      <w:r>
        <w:rPr>
          <w:rFonts w:hint="eastAsia" w:ascii="宋体" w:hAnsi="宋体" w:cs="宋体"/>
          <w:b/>
          <w:color w:val="auto"/>
          <w:sz w:val="24"/>
          <w:szCs w:val="24"/>
          <w:highlight w:val="none"/>
        </w:rPr>
        <w:t>（3）项目如涉及资质要求，该部分内容应由联合体中具有该资质要求的投标人承担。联合体协议及签订的采购合同应包含此项内容。</w:t>
      </w:r>
    </w:p>
    <w:p w14:paraId="5481A3D1">
      <w:pPr>
        <w:spacing w:line="360" w:lineRule="auto"/>
        <w:ind w:firstLine="361" w:firstLineChars="150"/>
        <w:rPr>
          <w:rFonts w:ascii="宋体" w:hAnsi="宋体" w:cs="宋体"/>
          <w:b/>
          <w:color w:val="auto"/>
          <w:sz w:val="24"/>
          <w:szCs w:val="24"/>
          <w:highlight w:val="none"/>
        </w:rPr>
      </w:pPr>
      <w:r>
        <w:rPr>
          <w:rFonts w:hint="eastAsia" w:ascii="宋体" w:hAnsi="宋体" w:cs="宋体"/>
          <w:b/>
          <w:color w:val="auto"/>
          <w:sz w:val="24"/>
          <w:szCs w:val="24"/>
          <w:highlight w:val="none"/>
        </w:rPr>
        <w:t>（4）联合体中有同类资质的投标人按照联合体分工承担相同工作的，应当按照资质等级较低的投标人确定资质等级。</w:t>
      </w:r>
    </w:p>
    <w:p w14:paraId="29787116">
      <w:pPr>
        <w:spacing w:line="360" w:lineRule="auto"/>
        <w:ind w:firstLine="482" w:firstLineChars="200"/>
        <w:rPr>
          <w:rFonts w:ascii="宋体" w:hAnsi="宋体" w:cs="宋体"/>
          <w:b/>
          <w:color w:val="auto"/>
          <w:sz w:val="24"/>
          <w:szCs w:val="24"/>
          <w:highlight w:val="none"/>
        </w:rPr>
      </w:pPr>
      <w:r>
        <w:rPr>
          <w:rFonts w:hint="eastAsia" w:ascii="宋体" w:hAnsi="宋体" w:cs="宋体"/>
          <w:b/>
          <w:color w:val="auto"/>
          <w:sz w:val="24"/>
          <w:szCs w:val="24"/>
          <w:highlight w:val="none"/>
        </w:rPr>
        <w:t>3.6属于联合体投标的，除招标文件其他章节或本须知其他条款另有规定或要求外，投标文件中仅加盖联合体一方公章的相关文件，对联合体各方均具有约束力。</w:t>
      </w:r>
    </w:p>
    <w:p w14:paraId="1AC20484">
      <w:pPr>
        <w:spacing w:line="360" w:lineRule="auto"/>
        <w:ind w:firstLine="482" w:firstLineChars="200"/>
        <w:rPr>
          <w:rFonts w:ascii="宋体" w:hAnsi="宋体" w:cs="宋体"/>
          <w:b/>
          <w:color w:val="auto"/>
          <w:sz w:val="24"/>
          <w:szCs w:val="24"/>
          <w:highlight w:val="none"/>
        </w:rPr>
      </w:pPr>
      <w:r>
        <w:rPr>
          <w:rFonts w:hint="eastAsia" w:ascii="宋体" w:hAnsi="宋体" w:cs="宋体"/>
          <w:b/>
          <w:color w:val="auto"/>
          <w:sz w:val="24"/>
          <w:szCs w:val="24"/>
          <w:highlight w:val="none"/>
        </w:rPr>
        <w:t>3.7投标代理人在同一个项目中只能接受一个投标人的委托参加投标。</w:t>
      </w:r>
    </w:p>
    <w:p w14:paraId="11A7BEDA">
      <w:pPr>
        <w:spacing w:line="360" w:lineRule="auto"/>
        <w:ind w:firstLine="482" w:firstLineChars="200"/>
        <w:rPr>
          <w:rFonts w:ascii="宋体" w:hAnsi="宋体" w:cs="宋体"/>
          <w:b/>
          <w:color w:val="auto"/>
          <w:sz w:val="24"/>
          <w:szCs w:val="24"/>
          <w:highlight w:val="none"/>
        </w:rPr>
      </w:pPr>
      <w:r>
        <w:rPr>
          <w:rFonts w:hint="eastAsia" w:ascii="宋体" w:hAnsi="宋体" w:cs="宋体"/>
          <w:b/>
          <w:color w:val="auto"/>
          <w:sz w:val="24"/>
          <w:szCs w:val="24"/>
          <w:highlight w:val="none"/>
        </w:rPr>
        <w:t>3.8投标人存在下列情形之一的，将被认定为串通投标行为并作无效投标处理：</w:t>
      </w:r>
    </w:p>
    <w:p w14:paraId="7F28B41C">
      <w:pPr>
        <w:spacing w:line="360" w:lineRule="auto"/>
        <w:ind w:firstLine="482" w:firstLineChars="200"/>
        <w:rPr>
          <w:rFonts w:ascii="宋体" w:hAnsi="宋体" w:cs="宋体"/>
          <w:b/>
          <w:color w:val="auto"/>
          <w:sz w:val="24"/>
          <w:szCs w:val="24"/>
          <w:highlight w:val="none"/>
        </w:rPr>
      </w:pPr>
      <w:r>
        <w:rPr>
          <w:rFonts w:hint="eastAsia" w:ascii="宋体" w:hAnsi="宋体" w:cs="宋体"/>
          <w:b/>
          <w:color w:val="auto"/>
          <w:sz w:val="24"/>
          <w:szCs w:val="24"/>
          <w:highlight w:val="none"/>
        </w:rPr>
        <w:t>（1）投标人之间协商投标报价等投标文件的实质性内容；</w:t>
      </w:r>
    </w:p>
    <w:p w14:paraId="36154C26">
      <w:pPr>
        <w:spacing w:line="360" w:lineRule="auto"/>
        <w:ind w:firstLine="482" w:firstLineChars="200"/>
        <w:rPr>
          <w:rFonts w:ascii="宋体" w:hAnsi="宋体" w:cs="宋体"/>
          <w:b/>
          <w:color w:val="auto"/>
          <w:sz w:val="24"/>
          <w:szCs w:val="24"/>
          <w:highlight w:val="none"/>
        </w:rPr>
      </w:pPr>
      <w:r>
        <w:rPr>
          <w:rFonts w:hint="eastAsia" w:ascii="宋体" w:hAnsi="宋体" w:cs="宋体"/>
          <w:b/>
          <w:color w:val="auto"/>
          <w:sz w:val="24"/>
          <w:szCs w:val="24"/>
          <w:highlight w:val="none"/>
        </w:rPr>
        <w:t>（2）投标人之间约定中标供应商；</w:t>
      </w:r>
    </w:p>
    <w:p w14:paraId="53D69DC1">
      <w:pPr>
        <w:spacing w:line="360" w:lineRule="auto"/>
        <w:ind w:firstLine="482" w:firstLineChars="200"/>
        <w:rPr>
          <w:rFonts w:ascii="宋体" w:hAnsi="宋体" w:cs="宋体"/>
          <w:b/>
          <w:color w:val="auto"/>
          <w:sz w:val="24"/>
          <w:szCs w:val="24"/>
          <w:highlight w:val="none"/>
        </w:rPr>
      </w:pPr>
      <w:r>
        <w:rPr>
          <w:rFonts w:hint="eastAsia" w:ascii="宋体" w:hAnsi="宋体" w:cs="宋体"/>
          <w:b/>
          <w:color w:val="auto"/>
          <w:sz w:val="24"/>
          <w:szCs w:val="24"/>
          <w:highlight w:val="none"/>
        </w:rPr>
        <w:t>（3）投标人之间约定部分投标人放弃投标或者中标；</w:t>
      </w:r>
    </w:p>
    <w:p w14:paraId="4F1F6FEF">
      <w:pPr>
        <w:spacing w:line="360" w:lineRule="auto"/>
        <w:ind w:firstLine="482" w:firstLineChars="200"/>
        <w:rPr>
          <w:rFonts w:ascii="宋体" w:hAnsi="宋体" w:cs="宋体"/>
          <w:b/>
          <w:color w:val="auto"/>
          <w:sz w:val="24"/>
          <w:szCs w:val="24"/>
          <w:highlight w:val="none"/>
        </w:rPr>
      </w:pPr>
      <w:r>
        <w:rPr>
          <w:rFonts w:hint="eastAsia" w:ascii="宋体" w:hAnsi="宋体" w:cs="宋体"/>
          <w:b/>
          <w:color w:val="auto"/>
          <w:sz w:val="24"/>
          <w:szCs w:val="24"/>
          <w:highlight w:val="none"/>
        </w:rPr>
        <w:t>（4）属于同一集团、协会、商会等组织成员的投标人按照该组织要求协同投标；</w:t>
      </w:r>
    </w:p>
    <w:p w14:paraId="39905045">
      <w:pPr>
        <w:spacing w:line="360" w:lineRule="auto"/>
        <w:ind w:firstLine="482" w:firstLineChars="200"/>
        <w:rPr>
          <w:rFonts w:ascii="宋体" w:hAnsi="宋体" w:cs="宋体"/>
          <w:b/>
          <w:color w:val="auto"/>
          <w:sz w:val="24"/>
          <w:szCs w:val="24"/>
          <w:highlight w:val="none"/>
        </w:rPr>
      </w:pPr>
      <w:r>
        <w:rPr>
          <w:rFonts w:hint="eastAsia" w:ascii="宋体" w:hAnsi="宋体" w:cs="宋体"/>
          <w:b/>
          <w:color w:val="auto"/>
          <w:sz w:val="24"/>
          <w:szCs w:val="24"/>
          <w:highlight w:val="none"/>
        </w:rPr>
        <w:t>（5）投标人之间为谋取中标或者排斥特定投标人而采取的其他联合行动；</w:t>
      </w:r>
    </w:p>
    <w:p w14:paraId="3D58D4CC">
      <w:pPr>
        <w:spacing w:line="360" w:lineRule="auto"/>
        <w:ind w:firstLine="482" w:firstLineChars="200"/>
        <w:rPr>
          <w:rFonts w:ascii="宋体" w:hAnsi="宋体" w:cs="宋体"/>
          <w:b/>
          <w:color w:val="auto"/>
          <w:sz w:val="24"/>
          <w:szCs w:val="24"/>
          <w:highlight w:val="none"/>
        </w:rPr>
      </w:pPr>
      <w:r>
        <w:rPr>
          <w:rFonts w:hint="eastAsia" w:ascii="宋体" w:hAnsi="宋体" w:cs="宋体"/>
          <w:b/>
          <w:color w:val="auto"/>
          <w:sz w:val="24"/>
          <w:szCs w:val="24"/>
          <w:highlight w:val="none"/>
        </w:rPr>
        <w:t>（6）不同投标人的投标文件由同一单位或者个人编制；</w:t>
      </w:r>
    </w:p>
    <w:p w14:paraId="77E70E66">
      <w:pPr>
        <w:spacing w:line="360" w:lineRule="auto"/>
        <w:ind w:firstLine="482" w:firstLineChars="200"/>
        <w:rPr>
          <w:rFonts w:ascii="宋体" w:hAnsi="宋体" w:cs="宋体"/>
          <w:b/>
          <w:color w:val="auto"/>
          <w:sz w:val="24"/>
          <w:szCs w:val="24"/>
          <w:highlight w:val="none"/>
        </w:rPr>
      </w:pPr>
      <w:r>
        <w:rPr>
          <w:rFonts w:hint="eastAsia" w:ascii="宋体" w:hAnsi="宋体" w:cs="宋体"/>
          <w:b/>
          <w:color w:val="auto"/>
          <w:sz w:val="24"/>
          <w:szCs w:val="24"/>
          <w:highlight w:val="none"/>
        </w:rPr>
        <w:t>（7）不同投标人委托同一单位或者个人办理投标事宜；</w:t>
      </w:r>
    </w:p>
    <w:p w14:paraId="39F36FDE">
      <w:pPr>
        <w:spacing w:line="360" w:lineRule="auto"/>
        <w:ind w:firstLine="482" w:firstLineChars="200"/>
        <w:rPr>
          <w:rFonts w:ascii="宋体" w:hAnsi="宋体" w:cs="宋体"/>
          <w:b/>
          <w:color w:val="auto"/>
          <w:sz w:val="24"/>
          <w:szCs w:val="24"/>
          <w:highlight w:val="none"/>
        </w:rPr>
      </w:pPr>
      <w:r>
        <w:rPr>
          <w:rFonts w:hint="eastAsia" w:ascii="宋体" w:hAnsi="宋体" w:cs="宋体"/>
          <w:b/>
          <w:color w:val="auto"/>
          <w:sz w:val="24"/>
          <w:szCs w:val="24"/>
          <w:highlight w:val="none"/>
        </w:rPr>
        <w:t>（8）不同投标人的投标文件载明的项目管理成员或者联系人员为同一人；</w:t>
      </w:r>
    </w:p>
    <w:p w14:paraId="6D1A7D42">
      <w:pPr>
        <w:spacing w:line="360" w:lineRule="auto"/>
        <w:ind w:firstLine="482" w:firstLineChars="200"/>
        <w:rPr>
          <w:rFonts w:ascii="宋体" w:hAnsi="宋体" w:cs="宋体"/>
          <w:b/>
          <w:color w:val="auto"/>
          <w:sz w:val="24"/>
          <w:szCs w:val="24"/>
          <w:highlight w:val="none"/>
        </w:rPr>
      </w:pPr>
      <w:r>
        <w:rPr>
          <w:rFonts w:hint="eastAsia" w:ascii="宋体" w:hAnsi="宋体" w:cs="宋体"/>
          <w:b/>
          <w:color w:val="auto"/>
          <w:sz w:val="24"/>
          <w:szCs w:val="24"/>
          <w:highlight w:val="none"/>
        </w:rPr>
        <w:t>（9）不同投标人的投标文件异常一致或者投标报价呈规律性差异；</w:t>
      </w:r>
    </w:p>
    <w:p w14:paraId="0CFA589D">
      <w:pPr>
        <w:spacing w:line="360" w:lineRule="auto"/>
        <w:ind w:firstLine="482" w:firstLineChars="200"/>
        <w:rPr>
          <w:rFonts w:ascii="宋体" w:hAnsi="宋体" w:cs="宋体"/>
          <w:b/>
          <w:color w:val="auto"/>
          <w:sz w:val="24"/>
          <w:szCs w:val="24"/>
          <w:highlight w:val="none"/>
        </w:rPr>
      </w:pPr>
      <w:r>
        <w:rPr>
          <w:rFonts w:hint="eastAsia" w:ascii="宋体" w:hAnsi="宋体" w:cs="宋体"/>
          <w:b/>
          <w:color w:val="auto"/>
          <w:sz w:val="24"/>
          <w:szCs w:val="24"/>
          <w:highlight w:val="none"/>
        </w:rPr>
        <w:t>（10）不同投标人的投标文件相互混装；</w:t>
      </w:r>
    </w:p>
    <w:p w14:paraId="78C1F063">
      <w:pPr>
        <w:spacing w:line="360" w:lineRule="auto"/>
        <w:ind w:firstLine="482" w:firstLineChars="200"/>
        <w:rPr>
          <w:rFonts w:ascii="宋体" w:hAnsi="宋体" w:cs="宋体"/>
          <w:b/>
          <w:color w:val="auto"/>
          <w:sz w:val="24"/>
          <w:szCs w:val="24"/>
          <w:highlight w:val="none"/>
        </w:rPr>
      </w:pPr>
      <w:r>
        <w:rPr>
          <w:rFonts w:hint="eastAsia" w:ascii="宋体" w:hAnsi="宋体" w:cs="宋体"/>
          <w:b/>
          <w:color w:val="auto"/>
          <w:sz w:val="24"/>
          <w:szCs w:val="24"/>
          <w:highlight w:val="none"/>
        </w:rPr>
        <w:t>（11）不同投标人的投标保证金从同一单位或者个人的账户转出。</w:t>
      </w:r>
    </w:p>
    <w:p w14:paraId="2FB1D61C">
      <w:pPr>
        <w:spacing w:line="360" w:lineRule="auto"/>
        <w:ind w:firstLine="482" w:firstLineChars="200"/>
        <w:rPr>
          <w:rFonts w:ascii="宋体" w:hAnsi="宋体" w:cs="宋体"/>
          <w:b/>
          <w:color w:val="auto"/>
          <w:sz w:val="24"/>
          <w:szCs w:val="24"/>
          <w:highlight w:val="none"/>
        </w:rPr>
      </w:pPr>
      <w:r>
        <w:rPr>
          <w:rFonts w:hint="eastAsia" w:ascii="宋体" w:hAnsi="宋体" w:cs="宋体"/>
          <w:b/>
          <w:color w:val="auto"/>
          <w:sz w:val="24"/>
          <w:szCs w:val="24"/>
          <w:highlight w:val="none"/>
        </w:rPr>
        <w:t>（12）不同投标人的投标文件错、漏之处一致或雷同，且不能合理解释的；</w:t>
      </w:r>
    </w:p>
    <w:p w14:paraId="36FCDC1E">
      <w:pPr>
        <w:spacing w:line="360" w:lineRule="auto"/>
        <w:ind w:firstLine="482" w:firstLineChars="200"/>
        <w:rPr>
          <w:rFonts w:ascii="宋体" w:hAnsi="宋体" w:cs="宋体"/>
          <w:b/>
          <w:color w:val="auto"/>
          <w:sz w:val="24"/>
          <w:szCs w:val="24"/>
          <w:highlight w:val="none"/>
        </w:rPr>
      </w:pPr>
      <w:r>
        <w:rPr>
          <w:rFonts w:hint="eastAsia" w:ascii="宋体" w:hAnsi="宋体" w:cs="宋体"/>
          <w:b/>
          <w:color w:val="auto"/>
          <w:sz w:val="24"/>
          <w:szCs w:val="24"/>
          <w:highlight w:val="none"/>
        </w:rPr>
        <w:t>（13）不同的投标人的法定代表人、委托代理人等由同一个单位缴纳社会保险的；</w:t>
      </w:r>
    </w:p>
    <w:p w14:paraId="71FFBF85">
      <w:pPr>
        <w:spacing w:line="360" w:lineRule="auto"/>
        <w:ind w:firstLine="482" w:firstLineChars="200"/>
        <w:rPr>
          <w:rFonts w:ascii="宋体" w:hAnsi="宋体" w:cs="宋体"/>
          <w:b/>
          <w:color w:val="auto"/>
          <w:sz w:val="24"/>
          <w:szCs w:val="24"/>
          <w:highlight w:val="none"/>
        </w:rPr>
      </w:pPr>
      <w:r>
        <w:rPr>
          <w:rFonts w:hint="eastAsia" w:ascii="宋体" w:hAnsi="宋体" w:cs="宋体"/>
          <w:b/>
          <w:color w:val="auto"/>
          <w:sz w:val="24"/>
          <w:szCs w:val="24"/>
          <w:highlight w:val="none"/>
        </w:rPr>
        <w:t>（14）由同一人或分别由几个有利害关系的人携带两个以上（含两个）投标人的企业资料参与资格审查、领取招标资料，或代表两个以上（含两个）投标人参加招标答疑会、缴纳或退还投标保证金、开标的；</w:t>
      </w:r>
    </w:p>
    <w:p w14:paraId="7CAABB0A">
      <w:pPr>
        <w:spacing w:line="360" w:lineRule="auto"/>
        <w:ind w:firstLine="482" w:firstLineChars="200"/>
        <w:rPr>
          <w:rFonts w:ascii="宋体" w:hAnsi="宋体" w:cs="宋体"/>
          <w:b/>
          <w:color w:val="auto"/>
          <w:sz w:val="24"/>
          <w:szCs w:val="24"/>
          <w:highlight w:val="none"/>
        </w:rPr>
      </w:pPr>
      <w:r>
        <w:rPr>
          <w:rFonts w:hint="eastAsia" w:ascii="宋体" w:hAnsi="宋体" w:cs="宋体"/>
          <w:b/>
          <w:color w:val="auto"/>
          <w:sz w:val="24"/>
          <w:szCs w:val="24"/>
          <w:highlight w:val="none"/>
        </w:rPr>
        <w:t>（15）有关法律、法规或规章规定的其他串通投标行为。</w:t>
      </w:r>
    </w:p>
    <w:p w14:paraId="5451D290">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4. 投标费用</w:t>
      </w:r>
    </w:p>
    <w:p w14:paraId="5E369247">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4.1 投标人自行承担其参加投标所涉及的一切费用。</w:t>
      </w:r>
    </w:p>
    <w:p w14:paraId="1606E6F5">
      <w:pPr>
        <w:spacing w:line="360" w:lineRule="auto"/>
        <w:rPr>
          <w:rFonts w:ascii="宋体" w:hAnsi="宋体" w:cs="宋体"/>
          <w:color w:val="auto"/>
          <w:sz w:val="24"/>
          <w:szCs w:val="24"/>
          <w:highlight w:val="none"/>
        </w:rPr>
      </w:pPr>
    </w:p>
    <w:p w14:paraId="565C412A">
      <w:pPr>
        <w:spacing w:line="360" w:lineRule="auto"/>
        <w:jc w:val="center"/>
        <w:outlineLvl w:val="1"/>
        <w:rPr>
          <w:rFonts w:ascii="宋体" w:hAnsi="宋体" w:cs="宋体"/>
          <w:b/>
          <w:color w:val="auto"/>
          <w:sz w:val="24"/>
          <w:szCs w:val="24"/>
          <w:highlight w:val="none"/>
        </w:rPr>
      </w:pPr>
      <w:bookmarkStart w:id="46" w:name="_Toc31340"/>
      <w:r>
        <w:rPr>
          <w:rFonts w:hint="eastAsia" w:ascii="宋体" w:hAnsi="宋体" w:cs="宋体"/>
          <w:b/>
          <w:color w:val="auto"/>
          <w:sz w:val="32"/>
          <w:szCs w:val="32"/>
          <w:highlight w:val="none"/>
        </w:rPr>
        <w:t>二、招标文件</w:t>
      </w:r>
      <w:bookmarkEnd w:id="46"/>
    </w:p>
    <w:p w14:paraId="62A167E0">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5. 招标文件的组成</w:t>
      </w:r>
    </w:p>
    <w:p w14:paraId="5F61601C">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5.1招标文件用以阐明所需服务招标程序、内容和合同主要条款。招标文件由下述部分组成：</w:t>
      </w:r>
    </w:p>
    <w:p w14:paraId="796F6F98">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（1）投标邀请函</w:t>
      </w:r>
    </w:p>
    <w:p w14:paraId="5CAD9B74">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 xml:space="preserve">（2）投标人须知 </w:t>
      </w:r>
    </w:p>
    <w:p w14:paraId="1F0677C1">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（3）招标内容及要求</w:t>
      </w:r>
    </w:p>
    <w:p w14:paraId="252E5A33">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（4）合同主要条款</w:t>
      </w:r>
    </w:p>
    <w:p w14:paraId="0926BA3E">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（5）投标文件格式</w:t>
      </w:r>
    </w:p>
    <w:p w14:paraId="0E330C6C">
      <w:pPr>
        <w:spacing w:line="360" w:lineRule="auto"/>
        <w:rPr>
          <w:rFonts w:ascii="宋体" w:hAnsi="宋体" w:cs="宋体"/>
          <w:color w:val="auto"/>
          <w:sz w:val="24"/>
          <w:szCs w:val="24"/>
          <w:highlight w:val="none"/>
        </w:rPr>
      </w:pPr>
      <w:bookmarkStart w:id="47" w:name="_Toc430488851"/>
      <w:bookmarkStart w:id="48" w:name="_Toc430488644"/>
      <w:bookmarkStart w:id="49" w:name="_Toc430422413"/>
      <w:bookmarkStart w:id="50" w:name="_Toc430490612"/>
      <w:bookmarkStart w:id="51" w:name="_Toc415567497"/>
      <w:bookmarkStart w:id="52" w:name="_Toc430492126"/>
      <w:bookmarkStart w:id="53" w:name="_Toc430489119"/>
      <w:r>
        <w:rPr>
          <w:rFonts w:hint="eastAsia" w:ascii="宋体" w:hAnsi="宋体" w:cs="宋体"/>
          <w:color w:val="auto"/>
          <w:sz w:val="24"/>
          <w:szCs w:val="24"/>
          <w:highlight w:val="none"/>
        </w:rPr>
        <w:t>6.</w:t>
      </w:r>
      <w:bookmarkEnd w:id="47"/>
      <w:bookmarkEnd w:id="48"/>
      <w:bookmarkEnd w:id="49"/>
      <w:bookmarkEnd w:id="50"/>
      <w:bookmarkEnd w:id="51"/>
      <w:bookmarkEnd w:id="52"/>
      <w:bookmarkEnd w:id="53"/>
      <w:r>
        <w:rPr>
          <w:rFonts w:hint="eastAsia" w:ascii="宋体" w:hAnsi="宋体" w:cs="宋体"/>
          <w:color w:val="auto"/>
          <w:sz w:val="24"/>
          <w:szCs w:val="24"/>
          <w:highlight w:val="none"/>
        </w:rPr>
        <w:t xml:space="preserve"> 招标文件的澄清及</w:t>
      </w:r>
      <w:r>
        <w:rPr>
          <w:rFonts w:hint="eastAsia" w:ascii="宋体" w:hAnsi="宋体" w:cs="宋体"/>
          <w:bCs/>
          <w:color w:val="auto"/>
          <w:sz w:val="24"/>
          <w:szCs w:val="24"/>
          <w:highlight w:val="none"/>
        </w:rPr>
        <w:t>修改</w:t>
      </w:r>
    </w:p>
    <w:p w14:paraId="1F4E6451">
      <w:pPr>
        <w:spacing w:line="360" w:lineRule="auto"/>
        <w:ind w:firstLine="480" w:firstLineChars="200"/>
        <w:rPr>
          <w:rFonts w:ascii="宋体" w:hAnsi="宋体" w:cs="宋体"/>
          <w:bCs/>
          <w:color w:val="auto"/>
          <w:sz w:val="24"/>
          <w:szCs w:val="24"/>
          <w:highlight w:val="none"/>
        </w:rPr>
      </w:pPr>
      <w:bookmarkStart w:id="54" w:name="_Toc1102"/>
      <w:bookmarkStart w:id="55" w:name="_Toc2527"/>
      <w:bookmarkStart w:id="56" w:name="_Toc16853"/>
      <w:bookmarkStart w:id="57" w:name="_Toc14186"/>
      <w:bookmarkStart w:id="58" w:name="_Toc23342"/>
      <w:bookmarkStart w:id="59" w:name="_Toc1767"/>
      <w:bookmarkStart w:id="60" w:name="_Toc1104"/>
      <w:bookmarkStart w:id="61" w:name="_Toc7334"/>
      <w:bookmarkStart w:id="62" w:name="_Toc14673"/>
      <w:r>
        <w:rPr>
          <w:rFonts w:hint="eastAsia" w:ascii="宋体" w:hAnsi="宋体" w:cs="宋体"/>
          <w:bCs/>
          <w:color w:val="auto"/>
          <w:sz w:val="24"/>
          <w:szCs w:val="24"/>
          <w:highlight w:val="none"/>
        </w:rPr>
        <w:t>6.1 投标人对招标文件如有疑点，可要求澄清。要求澄清应按投标邀请中载明的地址以书面形式（包括信函、传真、电子邮件，下同）通知招标代理机构。招标代理机构将视情况在投标截止时间15个日历日（如至原定截止时间不足15个日历日，则需延长开标时间）前将书面答复发给所有投标人，并在原采购信息发布媒体上发布更正公告。该澄清内容为招标文件的组成部分。</w:t>
      </w:r>
      <w:bookmarkEnd w:id="54"/>
      <w:bookmarkEnd w:id="55"/>
      <w:bookmarkEnd w:id="56"/>
      <w:bookmarkEnd w:id="57"/>
      <w:bookmarkEnd w:id="58"/>
      <w:bookmarkEnd w:id="59"/>
      <w:bookmarkEnd w:id="60"/>
      <w:bookmarkEnd w:id="61"/>
      <w:bookmarkEnd w:id="62"/>
    </w:p>
    <w:p w14:paraId="1E23B086">
      <w:pPr>
        <w:spacing w:line="360" w:lineRule="auto"/>
        <w:ind w:firstLine="480" w:firstLineChars="200"/>
        <w:rPr>
          <w:rFonts w:ascii="宋体" w:hAnsi="宋体" w:cs="宋体"/>
          <w:bCs/>
          <w:color w:val="auto"/>
          <w:sz w:val="24"/>
          <w:szCs w:val="24"/>
          <w:highlight w:val="none"/>
        </w:rPr>
      </w:pPr>
      <w:bookmarkStart w:id="63" w:name="_Toc27561"/>
      <w:bookmarkStart w:id="64" w:name="_Toc22329"/>
      <w:bookmarkStart w:id="65" w:name="_Toc32084"/>
      <w:bookmarkStart w:id="66" w:name="_Toc4269"/>
      <w:bookmarkStart w:id="67" w:name="_Toc26473"/>
      <w:bookmarkStart w:id="68" w:name="_Toc5804"/>
      <w:bookmarkStart w:id="69" w:name="_Toc6231"/>
      <w:bookmarkStart w:id="70" w:name="_Toc20606"/>
      <w:bookmarkStart w:id="71" w:name="_Toc4192"/>
      <w:r>
        <w:rPr>
          <w:rFonts w:hint="eastAsia" w:ascii="宋体" w:hAnsi="宋体" w:cs="宋体"/>
          <w:bCs/>
          <w:color w:val="auto"/>
          <w:sz w:val="24"/>
          <w:szCs w:val="24"/>
          <w:highlight w:val="none"/>
        </w:rPr>
        <w:t>6.2至投标截止时间15日（如至原定截止时间不足15个日历日，则需延长开标时间）前，招标代理机构可主动或依投标人要求澄清的问题修改招标文件，但应当在原信息发布媒体上发布更正公告，并以书面形式通知所有招标文件收受人，投标人在收到该通知后应当立即以传真形式予以确认。该修改内容为招标文件的组成部分，对投标人具有约束力。但本招标文件第6.3条规定的推迟投标截止时间和开标时间情形不受本条约束。</w:t>
      </w:r>
      <w:bookmarkEnd w:id="63"/>
      <w:bookmarkEnd w:id="64"/>
      <w:bookmarkEnd w:id="65"/>
      <w:bookmarkEnd w:id="66"/>
      <w:bookmarkEnd w:id="67"/>
      <w:bookmarkEnd w:id="68"/>
      <w:bookmarkEnd w:id="69"/>
      <w:bookmarkEnd w:id="70"/>
      <w:bookmarkEnd w:id="71"/>
    </w:p>
    <w:p w14:paraId="2CE25A6F">
      <w:pPr>
        <w:spacing w:line="360" w:lineRule="auto"/>
        <w:ind w:firstLine="480" w:firstLineChars="200"/>
        <w:rPr>
          <w:rFonts w:ascii="宋体" w:hAnsi="宋体" w:cs="宋体"/>
          <w:bCs/>
          <w:color w:val="auto"/>
          <w:sz w:val="24"/>
          <w:szCs w:val="24"/>
          <w:highlight w:val="none"/>
        </w:rPr>
      </w:pPr>
      <w:r>
        <w:rPr>
          <w:rFonts w:hint="eastAsia" w:ascii="宋体" w:hAnsi="宋体" w:cs="宋体"/>
          <w:bCs/>
          <w:color w:val="auto"/>
          <w:sz w:val="24"/>
          <w:szCs w:val="24"/>
          <w:highlight w:val="none"/>
        </w:rPr>
        <w:t>6.3</w:t>
      </w:r>
      <w:r>
        <w:rPr>
          <w:rFonts w:hint="eastAsia" w:ascii="宋体" w:hAnsi="宋体" w:cs="宋体"/>
          <w:color w:val="auto"/>
          <w:sz w:val="24"/>
          <w:szCs w:val="24"/>
          <w:highlight w:val="none"/>
        </w:rPr>
        <w:t>为使投标人在准备投标文件时有合理的时间考虑投标文件的修改，招标</w:t>
      </w:r>
      <w:r>
        <w:rPr>
          <w:rFonts w:hint="eastAsia" w:ascii="宋体" w:hAnsi="宋体" w:cs="宋体"/>
          <w:bCs/>
          <w:color w:val="auto"/>
          <w:sz w:val="24"/>
          <w:szCs w:val="24"/>
          <w:highlight w:val="none"/>
        </w:rPr>
        <w:t>代理机构可酌情推迟投标截止时间和开标时间，但应当至少在投标截止时间3个日历日前将变更时间以书面形式通知所有招标文件收受人</w:t>
      </w:r>
      <w:r>
        <w:rPr>
          <w:rFonts w:hint="eastAsia" w:ascii="宋体" w:hAnsi="宋体" w:cs="宋体"/>
          <w:color w:val="auto"/>
          <w:sz w:val="24"/>
          <w:szCs w:val="24"/>
          <w:highlight w:val="none"/>
        </w:rPr>
        <w:t>，并在原采购信息发布媒体上发布更正公告。在此情况下，采购人和投标人受投标截止期制约的所有权利和义务均应延长至新的截止日期。</w:t>
      </w:r>
    </w:p>
    <w:p w14:paraId="6195A112">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7.项目暂停</w:t>
      </w:r>
    </w:p>
    <w:p w14:paraId="6755CCF6">
      <w:pPr>
        <w:spacing w:line="360" w:lineRule="auto"/>
        <w:ind w:firstLine="480" w:firstLineChars="200"/>
        <w:rPr>
          <w:rFonts w:ascii="宋体" w:hAnsi="宋体" w:cs="宋体"/>
          <w:bCs/>
          <w:color w:val="auto"/>
          <w:sz w:val="24"/>
          <w:szCs w:val="24"/>
          <w:highlight w:val="none"/>
        </w:rPr>
      </w:pPr>
      <w:bookmarkStart w:id="72" w:name="_Toc6991"/>
      <w:bookmarkStart w:id="73" w:name="_Toc17185"/>
      <w:bookmarkStart w:id="74" w:name="_Toc8849"/>
      <w:bookmarkStart w:id="75" w:name="_Toc29387"/>
      <w:bookmarkStart w:id="76" w:name="_Toc4423"/>
      <w:bookmarkStart w:id="77" w:name="_Toc4671"/>
      <w:bookmarkStart w:id="78" w:name="_Toc15076"/>
      <w:bookmarkStart w:id="79" w:name="_Toc15372"/>
      <w:bookmarkStart w:id="80" w:name="_Toc26780"/>
      <w:r>
        <w:rPr>
          <w:rFonts w:hint="eastAsia" w:ascii="宋体" w:hAnsi="宋体" w:cs="宋体"/>
          <w:bCs/>
          <w:color w:val="auto"/>
          <w:sz w:val="24"/>
          <w:szCs w:val="24"/>
          <w:highlight w:val="none"/>
        </w:rPr>
        <w:t>7.1招标代理机构可以视采购具体情况，在投标截止时间前宣布项目暂停；并根据项目实际进度，另行通知项目重新启动。涉及招标文件修改的，应当在新确定的投标截止时间15个日历日前在原采购信息发布媒体上发布更正公告；仅涉及投标截止时间和开标时间更改的，应当至少在新确定的投标截止时间3个日历日前将变更时间在原采购信息发布媒体上发布变更公告。</w:t>
      </w:r>
      <w:bookmarkEnd w:id="72"/>
      <w:bookmarkEnd w:id="73"/>
      <w:bookmarkEnd w:id="74"/>
      <w:bookmarkEnd w:id="75"/>
      <w:bookmarkEnd w:id="76"/>
      <w:bookmarkEnd w:id="77"/>
      <w:bookmarkEnd w:id="78"/>
      <w:bookmarkEnd w:id="79"/>
      <w:bookmarkEnd w:id="80"/>
    </w:p>
    <w:p w14:paraId="2C38BEFF">
      <w:pPr>
        <w:spacing w:line="360" w:lineRule="auto"/>
        <w:ind w:firstLine="480" w:firstLineChars="200"/>
        <w:rPr>
          <w:rFonts w:ascii="宋体" w:hAnsi="宋体" w:cs="宋体"/>
          <w:color w:val="auto"/>
          <w:sz w:val="24"/>
          <w:szCs w:val="24"/>
          <w:highlight w:val="none"/>
        </w:rPr>
      </w:pPr>
    </w:p>
    <w:p w14:paraId="249508BD">
      <w:pPr>
        <w:spacing w:line="360" w:lineRule="auto"/>
        <w:ind w:firstLine="480" w:firstLineChars="200"/>
        <w:rPr>
          <w:rFonts w:ascii="宋体" w:hAnsi="宋体" w:cs="宋体"/>
          <w:color w:val="auto"/>
          <w:sz w:val="24"/>
          <w:szCs w:val="24"/>
          <w:highlight w:val="none"/>
        </w:rPr>
      </w:pPr>
    </w:p>
    <w:p w14:paraId="47522258">
      <w:pPr>
        <w:spacing w:line="360" w:lineRule="auto"/>
        <w:jc w:val="center"/>
        <w:outlineLvl w:val="1"/>
        <w:rPr>
          <w:rFonts w:ascii="宋体" w:hAnsi="宋体" w:cs="宋体"/>
          <w:b/>
          <w:color w:val="auto"/>
          <w:sz w:val="24"/>
          <w:szCs w:val="24"/>
          <w:highlight w:val="none"/>
        </w:rPr>
      </w:pPr>
      <w:bookmarkStart w:id="81" w:name="_Toc10496"/>
      <w:r>
        <w:rPr>
          <w:rFonts w:hint="eastAsia" w:ascii="宋体" w:hAnsi="宋体" w:cs="宋体"/>
          <w:b/>
          <w:color w:val="auto"/>
          <w:sz w:val="32"/>
          <w:szCs w:val="32"/>
          <w:highlight w:val="none"/>
        </w:rPr>
        <w:t>三、投标文件的编写</w:t>
      </w:r>
      <w:bookmarkEnd w:id="81"/>
    </w:p>
    <w:p w14:paraId="3E25F018">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8. 要求</w:t>
      </w:r>
    </w:p>
    <w:p w14:paraId="6678E905">
      <w:pPr>
        <w:spacing w:line="360" w:lineRule="auto"/>
        <w:ind w:firstLine="482" w:firstLineChars="200"/>
        <w:rPr>
          <w:rFonts w:ascii="宋体" w:hAnsi="宋体" w:cs="宋体"/>
          <w:b/>
          <w:color w:val="auto"/>
          <w:sz w:val="24"/>
          <w:szCs w:val="24"/>
          <w:highlight w:val="none"/>
        </w:rPr>
      </w:pPr>
      <w:r>
        <w:rPr>
          <w:rFonts w:hint="eastAsia" w:ascii="宋体" w:hAnsi="宋体" w:cs="宋体"/>
          <w:b/>
          <w:color w:val="auto"/>
          <w:sz w:val="24"/>
          <w:szCs w:val="24"/>
          <w:highlight w:val="none"/>
        </w:rPr>
        <w:t>8.1投标人应仔细阅读招标文件的所有内容，按照招标文件的要求提交投标文件。投标文件应对招标文件的要求作出实质性响应，并保证所提供的全部资料的真实性，否则其投标将被拒绝。</w:t>
      </w:r>
    </w:p>
    <w:p w14:paraId="47FA74E3">
      <w:pPr>
        <w:spacing w:line="360" w:lineRule="auto"/>
        <w:ind w:firstLine="482" w:firstLineChars="200"/>
        <w:rPr>
          <w:rFonts w:ascii="宋体" w:hAnsi="宋体" w:cs="宋体"/>
          <w:b/>
          <w:color w:val="auto"/>
          <w:sz w:val="24"/>
          <w:szCs w:val="24"/>
          <w:highlight w:val="none"/>
        </w:rPr>
      </w:pPr>
      <w:r>
        <w:rPr>
          <w:rFonts w:hint="eastAsia" w:ascii="宋体" w:hAnsi="宋体" w:cs="宋体"/>
          <w:b/>
          <w:color w:val="auto"/>
          <w:sz w:val="24"/>
          <w:szCs w:val="24"/>
          <w:highlight w:val="none"/>
        </w:rPr>
        <w:t>8.2除非有另外的规定，投标人可对招标服务一览表所列的全部合同包或部分合同包进行投标。招标采购单位不接受有任何可选择性的报价，每一种服务只能有一个报价，否则其投标将被拒绝。</w:t>
      </w:r>
    </w:p>
    <w:p w14:paraId="5DFFBA5D">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9. 投标文件语言</w:t>
      </w:r>
    </w:p>
    <w:p w14:paraId="6BF4EF52">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9.1投标文件应用中文书写。投标文件中所附或所引用的文件不是中文时，应附中文译本。各种计量单位及符号应采用国际上统一使用的公制计量单位和符号。</w:t>
      </w:r>
    </w:p>
    <w:p w14:paraId="08340F12">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10. 投标文件的组成</w:t>
      </w:r>
    </w:p>
    <w:p w14:paraId="0B1EE0AF">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10.1投标文件应包括下列部分：</w:t>
      </w:r>
    </w:p>
    <w:p w14:paraId="24D832B4">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 投标书</w:t>
      </w:r>
    </w:p>
    <w:p w14:paraId="7DDE8848">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 开标一览表</w:t>
      </w:r>
    </w:p>
    <w:p w14:paraId="495394D0">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 投标分项报价表</w:t>
      </w:r>
    </w:p>
    <w:p w14:paraId="0933A765">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(4) 项目说明一览表</w:t>
      </w:r>
    </w:p>
    <w:p w14:paraId="1A04DFBC">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(5) 服务团队人员一览表</w:t>
      </w:r>
    </w:p>
    <w:p w14:paraId="0A271A84">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(6) 技术规格和商务偏离表</w:t>
      </w:r>
    </w:p>
    <w:p w14:paraId="029768E4">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(7) 投标人资格证明文件</w:t>
      </w:r>
    </w:p>
    <w:p w14:paraId="19DB7BFA">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(8) 投标人提交的其他资料</w:t>
      </w:r>
    </w:p>
    <w:p w14:paraId="4A935354">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(9) 代理服务费承诺书</w:t>
      </w:r>
    </w:p>
    <w:p w14:paraId="1DCB644C">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(10) 投标保证金</w:t>
      </w:r>
    </w:p>
    <w:p w14:paraId="36364954">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11. 投标有效期</w:t>
      </w:r>
    </w:p>
    <w:p w14:paraId="44B5D671">
      <w:pPr>
        <w:spacing w:line="360" w:lineRule="auto"/>
        <w:ind w:firstLine="482" w:firstLineChars="200"/>
        <w:rPr>
          <w:rFonts w:ascii="宋体" w:hAnsi="宋体" w:cs="宋体"/>
          <w:b/>
          <w:color w:val="auto"/>
          <w:sz w:val="24"/>
          <w:szCs w:val="24"/>
          <w:highlight w:val="none"/>
        </w:rPr>
      </w:pPr>
      <w:r>
        <w:rPr>
          <w:rFonts w:hint="eastAsia" w:ascii="宋体" w:hAnsi="宋体" w:cs="宋体"/>
          <w:b/>
          <w:color w:val="auto"/>
          <w:sz w:val="24"/>
          <w:szCs w:val="24"/>
          <w:highlight w:val="none"/>
        </w:rPr>
        <w:t>11.1投标文件从投标截止之日开始生效，在</w:t>
      </w:r>
      <w:r>
        <w:rPr>
          <w:rFonts w:hint="eastAsia" w:ascii="宋体" w:hAnsi="宋体" w:cs="宋体"/>
          <w:b/>
          <w:bCs/>
          <w:color w:val="auto"/>
          <w:sz w:val="24"/>
          <w:szCs w:val="24"/>
          <w:highlight w:val="none"/>
        </w:rPr>
        <w:t>投标人须知前附表1</w:t>
      </w:r>
      <w:r>
        <w:rPr>
          <w:rFonts w:hint="eastAsia" w:ascii="宋体" w:hAnsi="宋体" w:cs="宋体"/>
          <w:b/>
          <w:color w:val="auto"/>
          <w:sz w:val="24"/>
          <w:szCs w:val="24"/>
          <w:highlight w:val="none"/>
        </w:rPr>
        <w:t>第3项所规定的期限内保持有效。有效期不足将导致其投标文件被拒绝。</w:t>
      </w:r>
    </w:p>
    <w:p w14:paraId="47D64822">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11.2特殊情况下招标代理机构可于投标有效期满之前书面要求投标人同意延长有效期，投标人应在招标代理机构规定的期限内以书面形式予以答复。投标人可以拒绝上述要求而其投标保证金可按规定予以退还。投标人答复不明确或者逾期未答复的，均视为拒绝上述要求。对于接受该要求的投标人，既不要求也不允许其修改投标文件，但将要求其相应延长投标保证金有效期，有关退还和不予退还投标保证金的规定在投标有效期延长期内继续有效。</w:t>
      </w:r>
    </w:p>
    <w:p w14:paraId="79504FB9">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12. 投标保证金</w:t>
      </w:r>
    </w:p>
    <w:p w14:paraId="465EC81D">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12.1 投标保证金为投标文件的组成部分之一。</w:t>
      </w:r>
    </w:p>
    <w:p w14:paraId="0D1390AD">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12.2 投标人应在提交投标文件之前向招标代理机构</w:t>
      </w:r>
      <w:r>
        <w:rPr>
          <w:rFonts w:hint="eastAsia" w:ascii="宋体" w:hAnsi="宋体" w:cs="宋体"/>
          <w:color w:val="auto"/>
          <w:sz w:val="24"/>
          <w:szCs w:val="24"/>
          <w:highlight w:val="none"/>
          <w:u w:val="single"/>
        </w:rPr>
        <w:t>指定的政府采购保证金专户</w:t>
      </w:r>
      <w:r>
        <w:rPr>
          <w:rFonts w:hint="eastAsia" w:ascii="宋体" w:hAnsi="宋体" w:cs="宋体"/>
          <w:color w:val="auto"/>
          <w:sz w:val="24"/>
          <w:szCs w:val="24"/>
          <w:highlight w:val="none"/>
        </w:rPr>
        <w:t>缴交投标保证金。联合体投标的，可以由联合体中的一方或者共同提交投标保证金，以一方名义提交投标保证金的，对联合体各方均具有约束力。</w:t>
      </w:r>
    </w:p>
    <w:p w14:paraId="2FFB2B78">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12.3 投标保证金用于保护本次招标活动免受投标人的行为而引起的风险。</w:t>
      </w:r>
    </w:p>
    <w:p w14:paraId="7E7D45D7">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12.4投标保证金以转账、电汇两种形式提交（不收取现金、现金支票，不能用个人卡在银联支付系统转账，否则作未提交保证金处理），投标保证金应在投标截止时间前到账。</w:t>
      </w:r>
    </w:p>
    <w:p w14:paraId="72786D13">
      <w:pPr>
        <w:spacing w:line="360" w:lineRule="auto"/>
        <w:ind w:firstLine="482" w:firstLineChars="200"/>
        <w:rPr>
          <w:rFonts w:ascii="宋体" w:hAnsi="宋体" w:cs="宋体"/>
          <w:b/>
          <w:color w:val="auto"/>
          <w:sz w:val="24"/>
          <w:szCs w:val="24"/>
          <w:highlight w:val="none"/>
        </w:rPr>
      </w:pPr>
      <w:r>
        <w:rPr>
          <w:rFonts w:hint="eastAsia" w:ascii="宋体" w:hAnsi="宋体" w:cs="宋体"/>
          <w:b/>
          <w:color w:val="auto"/>
          <w:sz w:val="24"/>
          <w:szCs w:val="24"/>
          <w:highlight w:val="none"/>
        </w:rPr>
        <w:t>12.5未按要求缴交投标保证金的投标，将被视为无效投标。</w:t>
      </w:r>
    </w:p>
    <w:p w14:paraId="2A425ADD">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12.6招标代理机构将在中标通知书发出之日起5个工作日内予以原额无息退还未中标供应商的投标保证金。</w:t>
      </w:r>
    </w:p>
    <w:p w14:paraId="70165245">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12.7在中标供应商支付所有代理服务费并签订合同后5个工作日内，招标代理机构对中标供应商的投标保证金予以原额无息退还。</w:t>
      </w:r>
    </w:p>
    <w:p w14:paraId="65720FEC">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12.8投标保证金有效期应当与投标有效期一致。投标保证金产生的银行利息统一上缴市财政。</w:t>
      </w:r>
    </w:p>
    <w:p w14:paraId="169E7CC5">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12.9 发生以下情形之一的，投标保证金将不予退还，</w:t>
      </w:r>
      <w:r>
        <w:rPr>
          <w:rFonts w:hint="eastAsia" w:ascii="宋体" w:hAnsi="宋体" w:cs="宋体"/>
          <w:color w:val="auto"/>
          <w:sz w:val="24"/>
          <w:szCs w:val="24"/>
          <w:highlight w:val="none"/>
          <w:u w:val="single"/>
        </w:rPr>
        <w:t>由招标代理机构上缴财政部门</w:t>
      </w:r>
      <w:r>
        <w:rPr>
          <w:rFonts w:hint="eastAsia" w:ascii="宋体" w:hAnsi="宋体" w:cs="宋体"/>
          <w:color w:val="auto"/>
          <w:sz w:val="24"/>
          <w:szCs w:val="24"/>
          <w:highlight w:val="none"/>
        </w:rPr>
        <w:t>：</w:t>
      </w:r>
    </w:p>
    <w:p w14:paraId="6D303CE3">
      <w:pPr>
        <w:pStyle w:val="4"/>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 投标人在投标截止时间后，投标有效期内撤回投标；</w:t>
      </w:r>
    </w:p>
    <w:p w14:paraId="7A438EB5">
      <w:pPr>
        <w:spacing w:line="360" w:lineRule="auto"/>
        <w:ind w:left="239" w:leftChars="114" w:firstLine="240" w:firstLineChars="100"/>
        <w:rPr>
          <w:rFonts w:ascii="宋体" w:hAnsi="宋体" w:cs="宋体"/>
          <w:color w:val="auto"/>
          <w:sz w:val="24"/>
          <w:szCs w:val="24"/>
          <w:highlight w:val="none"/>
        </w:rPr>
      </w:pPr>
      <w:r>
        <w:rPr>
          <w:rFonts w:hint="eastAsia" w:ascii="宋体" w:hAnsi="宋体" w:cs="宋体"/>
          <w:color w:val="auto"/>
          <w:sz w:val="24"/>
          <w:szCs w:val="24"/>
          <w:highlight w:val="none"/>
        </w:rPr>
        <w:t>（2）除因不可抗力或招标文件认可的情形外，中标供应商未能按本须知第22条规定签订合同的；</w:t>
      </w:r>
    </w:p>
    <w:p w14:paraId="2DE9E0ED">
      <w:pPr>
        <w:spacing w:line="360" w:lineRule="auto"/>
        <w:ind w:left="707" w:leftChars="228" w:hanging="228" w:hangingChars="95"/>
        <w:rPr>
          <w:rFonts w:ascii="宋体" w:hAnsi="宋体" w:cs="宋体"/>
          <w:color w:val="auto"/>
          <w:sz w:val="24"/>
          <w:szCs w:val="24"/>
          <w:highlight w:val="none"/>
        </w:rPr>
      </w:pPr>
      <w:r>
        <w:rPr>
          <w:rFonts w:hint="eastAsia" w:ascii="宋体" w:hAnsi="宋体" w:cs="宋体"/>
          <w:color w:val="auto"/>
          <w:sz w:val="24"/>
          <w:szCs w:val="24"/>
          <w:highlight w:val="none"/>
        </w:rPr>
        <w:t>（3）中标供应商未按投标人须知前附表1规定缴纳代理服务费；</w:t>
      </w:r>
    </w:p>
    <w:p w14:paraId="619E9679">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（4）以他人名义投标或者以其他方式弄虚作假，骗取中标的；</w:t>
      </w:r>
    </w:p>
    <w:p w14:paraId="29C79F51">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（5）投标人在响应文件中提供虚假材料的；</w:t>
      </w:r>
    </w:p>
    <w:p w14:paraId="07847C65">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（6）在禁止参加政府采购活动的处罚有效期内，仍参加政府采购活动的；</w:t>
      </w:r>
    </w:p>
    <w:p w14:paraId="29C0E544">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（7）以不正当手段诋毁、排挤其他投标人的；</w:t>
      </w:r>
    </w:p>
    <w:p w14:paraId="5FFF2F48">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（8）因本项目政府采购过程中的违法行为，受到行政处罚的；</w:t>
      </w:r>
    </w:p>
    <w:p w14:paraId="186288E0">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（9）与采购人、其他投标人或者采购代理机构恶意串通的；</w:t>
      </w:r>
    </w:p>
    <w:p w14:paraId="1969BBBD">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（10）法律、法规、规章及本招标文件中规定的其他没收投标保证金的情形。</w:t>
      </w:r>
    </w:p>
    <w:p w14:paraId="01B4046D">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上述不予退还投标保证金的情形给招标采购单位造成损失的，相关责任人还应当承担赔偿责任。</w:t>
      </w:r>
    </w:p>
    <w:p w14:paraId="3A9BDFF6">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13. 投标文件的格式</w:t>
      </w:r>
    </w:p>
    <w:p w14:paraId="3F802985">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13.1投标人须编制由本须知第10条规定文件组成的投标文件</w:t>
      </w:r>
      <w:r>
        <w:rPr>
          <w:rFonts w:hint="eastAsia" w:ascii="宋体" w:hAnsi="宋体" w:cs="宋体"/>
          <w:b/>
          <w:bCs/>
          <w:color w:val="auto"/>
          <w:sz w:val="24"/>
          <w:szCs w:val="24"/>
          <w:highlight w:val="none"/>
        </w:rPr>
        <w:t>正本一份，副本</w:t>
      </w:r>
      <w:r>
        <w:rPr>
          <w:rFonts w:hint="eastAsia" w:ascii="宋体" w:hAnsi="宋体" w:cs="宋体"/>
          <w:b/>
          <w:bCs/>
          <w:color w:val="auto"/>
          <w:sz w:val="24"/>
          <w:szCs w:val="24"/>
          <w:highlight w:val="none"/>
          <w:u w:val="single"/>
        </w:rPr>
        <w:t>四</w:t>
      </w:r>
      <w:r>
        <w:rPr>
          <w:rFonts w:hint="eastAsia" w:ascii="宋体" w:hAnsi="宋体" w:cs="宋体"/>
          <w:b/>
          <w:bCs/>
          <w:color w:val="auto"/>
          <w:sz w:val="24"/>
          <w:szCs w:val="24"/>
          <w:highlight w:val="none"/>
        </w:rPr>
        <w:t>份</w:t>
      </w:r>
      <w:r>
        <w:rPr>
          <w:rFonts w:hint="eastAsia" w:ascii="宋体" w:hAnsi="宋体" w:cs="宋体"/>
          <w:color w:val="auto"/>
          <w:sz w:val="24"/>
          <w:szCs w:val="24"/>
          <w:highlight w:val="none"/>
        </w:rPr>
        <w:t>，正本用A4幅面纸张打印装订，副本可以用正本的完整复印件，并在封面标明“正本”、“副本”字样。正本与副本如有不一致，则以正本为准。</w:t>
      </w:r>
      <w:r>
        <w:rPr>
          <w:rFonts w:hint="eastAsia" w:ascii="宋体" w:hAnsi="宋体" w:cs="宋体"/>
          <w:b/>
          <w:bCs/>
          <w:color w:val="auto"/>
          <w:sz w:val="24"/>
          <w:szCs w:val="24"/>
          <w:highlight w:val="none"/>
        </w:rPr>
        <w:t>投标人须提供最终盖章签字投标文件扫描件刻录u盘（或光盘）2份。</w:t>
      </w:r>
    </w:p>
    <w:p w14:paraId="0EFD4CE5">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 xml:space="preserve">13.2投标文件应由投标人的法定代表人或者其授权代表签字并加盖公章，如由后者签字，应提供“单位授权委托书”。 </w:t>
      </w:r>
    </w:p>
    <w:p w14:paraId="3E0DD464">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13.3除非有另外的规定或许可，投标使用货币为人民币。</w:t>
      </w:r>
    </w:p>
    <w:p w14:paraId="1422F2C9">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13.4投标人应提交证明其拟提供服务符合招标文件要求的技术响应文件，该文件可以是文字资料、图纸和数据，并须提供服务主要技术性能的详细描述。</w:t>
      </w:r>
    </w:p>
    <w:p w14:paraId="67AC0974">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13.5 投标文件的正本和全部副本均应使用不能擦去的墨料或墨水打印、书写或复印，并由法定代表人或其授权代表签署，盖投标人公章。</w:t>
      </w:r>
    </w:p>
    <w:p w14:paraId="5E9B804A">
      <w:pPr>
        <w:spacing w:line="360" w:lineRule="auto"/>
        <w:ind w:firstLine="480"/>
        <w:rPr>
          <w:rFonts w:ascii="宋体" w:hAnsi="宋体" w:cs="宋体"/>
          <w:color w:val="auto"/>
          <w:sz w:val="24"/>
          <w:szCs w:val="24"/>
          <w:highlight w:val="none"/>
        </w:rPr>
      </w:pPr>
      <w:r>
        <w:rPr>
          <w:rFonts w:hint="eastAsia" w:ascii="宋体" w:hAnsi="宋体" w:cs="宋体"/>
          <w:color w:val="auto"/>
          <w:sz w:val="24"/>
          <w:szCs w:val="24"/>
          <w:highlight w:val="none"/>
        </w:rPr>
        <w:t xml:space="preserve">13.6全套投标文件应无涂改和行间插字，除非这些改动是根据招标代理机构的指示进行的，或者是为改正投标人造成的必须修改的错误而进行的。有改动时，修改处应当由法定代表人或授权代表签字证明或加盖投标人公章。 </w:t>
      </w:r>
    </w:p>
    <w:p w14:paraId="040B407C">
      <w:pPr>
        <w:spacing w:line="360" w:lineRule="auto"/>
        <w:ind w:firstLine="480"/>
        <w:rPr>
          <w:rFonts w:ascii="宋体" w:hAnsi="宋体" w:cs="宋体"/>
          <w:b/>
          <w:color w:val="auto"/>
          <w:sz w:val="24"/>
          <w:szCs w:val="24"/>
          <w:highlight w:val="none"/>
        </w:rPr>
      </w:pPr>
      <w:r>
        <w:rPr>
          <w:rFonts w:hint="eastAsia" w:ascii="宋体" w:hAnsi="宋体" w:cs="宋体"/>
          <w:b/>
          <w:color w:val="auto"/>
          <w:sz w:val="24"/>
          <w:szCs w:val="24"/>
          <w:highlight w:val="none"/>
        </w:rPr>
        <w:t>13.7未按本须知规定的格式填写投标文件、投标文件字迹模糊不清的，其投标将被拒绝。</w:t>
      </w:r>
    </w:p>
    <w:p w14:paraId="4C4FAD63">
      <w:pPr>
        <w:spacing w:line="360" w:lineRule="auto"/>
        <w:ind w:firstLine="480"/>
        <w:rPr>
          <w:rFonts w:ascii="宋体" w:hAnsi="宋体" w:cs="宋体"/>
          <w:color w:val="auto"/>
          <w:sz w:val="24"/>
          <w:szCs w:val="24"/>
          <w:highlight w:val="none"/>
        </w:rPr>
      </w:pPr>
      <w:r>
        <w:rPr>
          <w:rFonts w:hint="eastAsia" w:ascii="宋体" w:hAnsi="宋体" w:cs="宋体"/>
          <w:color w:val="auto"/>
          <w:sz w:val="24"/>
          <w:szCs w:val="24"/>
          <w:highlight w:val="none"/>
        </w:rPr>
        <w:t>13.8所有资格证明文件复印件须加盖投标人公章。</w:t>
      </w:r>
    </w:p>
    <w:p w14:paraId="0F597C48">
      <w:pPr>
        <w:spacing w:line="360" w:lineRule="auto"/>
        <w:ind w:firstLine="482" w:firstLineChars="200"/>
        <w:rPr>
          <w:rFonts w:ascii="宋体" w:hAnsi="宋体" w:cs="宋体"/>
          <w:b/>
          <w:color w:val="auto"/>
          <w:sz w:val="24"/>
          <w:szCs w:val="24"/>
          <w:highlight w:val="none"/>
        </w:rPr>
      </w:pPr>
      <w:r>
        <w:rPr>
          <w:rFonts w:hint="eastAsia" w:ascii="宋体" w:hAnsi="宋体" w:cs="宋体"/>
          <w:b/>
          <w:color w:val="auto"/>
          <w:sz w:val="24"/>
          <w:szCs w:val="24"/>
          <w:highlight w:val="none"/>
        </w:rPr>
        <w:t>13.9 投标人应将上述文件按顺序装订成册、打印页码，并编列投标文件目录、资料清单，由于装订不规范或编排顺序混乱而导致投标文件被误读或漏读，该投标可能被视为无效投标或承担不利的评标结果。</w:t>
      </w:r>
    </w:p>
    <w:p w14:paraId="1ABB61A8">
      <w:pPr>
        <w:spacing w:line="360" w:lineRule="auto"/>
        <w:rPr>
          <w:rFonts w:ascii="宋体" w:hAnsi="宋体" w:cs="宋体"/>
          <w:color w:val="auto"/>
          <w:sz w:val="24"/>
          <w:szCs w:val="24"/>
          <w:highlight w:val="none"/>
        </w:rPr>
      </w:pPr>
    </w:p>
    <w:p w14:paraId="021A2861">
      <w:pPr>
        <w:spacing w:line="360" w:lineRule="auto"/>
        <w:jc w:val="center"/>
        <w:outlineLvl w:val="1"/>
        <w:rPr>
          <w:rFonts w:ascii="宋体" w:hAnsi="宋体" w:cs="宋体"/>
          <w:b/>
          <w:color w:val="auto"/>
          <w:sz w:val="24"/>
          <w:szCs w:val="24"/>
          <w:highlight w:val="none"/>
        </w:rPr>
      </w:pPr>
      <w:bookmarkStart w:id="82" w:name="_Toc3277"/>
      <w:r>
        <w:rPr>
          <w:rFonts w:hint="eastAsia" w:ascii="宋体" w:hAnsi="宋体" w:cs="宋体"/>
          <w:b/>
          <w:color w:val="auto"/>
          <w:sz w:val="32"/>
          <w:szCs w:val="32"/>
          <w:highlight w:val="none"/>
        </w:rPr>
        <w:t>四、投标文件的提交</w:t>
      </w:r>
      <w:bookmarkEnd w:id="82"/>
    </w:p>
    <w:p w14:paraId="365C6413">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14. 投标文件的密封、标记和递交</w:t>
      </w:r>
    </w:p>
    <w:p w14:paraId="69A8CDA2">
      <w:pPr>
        <w:spacing w:line="360" w:lineRule="auto"/>
        <w:rPr>
          <w:rFonts w:ascii="宋体" w:hAnsi="宋体" w:cs="宋体"/>
          <w:b/>
          <w:color w:val="auto"/>
          <w:sz w:val="24"/>
          <w:szCs w:val="24"/>
          <w:highlight w:val="none"/>
        </w:rPr>
      </w:pPr>
      <w:r>
        <w:rPr>
          <w:rFonts w:hint="eastAsia" w:ascii="宋体" w:hAnsi="宋体" w:cs="宋体"/>
          <w:color w:val="auto"/>
          <w:sz w:val="24"/>
          <w:szCs w:val="24"/>
          <w:highlight w:val="none"/>
        </w:rPr>
        <w:t xml:space="preserve">    14.1 投标人应将投标文件正本和全部副本分别用信封密封，并标明招标编号、投标人名称、投标服务名称及“正本”或“副本”字样。</w:t>
      </w:r>
      <w:r>
        <w:rPr>
          <w:rFonts w:hint="eastAsia" w:ascii="宋体" w:hAnsi="宋体" w:cs="宋体"/>
          <w:b/>
          <w:color w:val="auto"/>
          <w:sz w:val="24"/>
          <w:szCs w:val="24"/>
          <w:highlight w:val="none"/>
        </w:rPr>
        <w:t>投标文件未密封将导致其投标被拒绝。</w:t>
      </w:r>
    </w:p>
    <w:p w14:paraId="7DE185F7">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 xml:space="preserve">14.2 每一信封密封处应注明“于 </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之前（指招标邀请中规定的开标日期及时间）不准启封”的字样，并加盖投标人公章或由投标代表签字。</w:t>
      </w:r>
    </w:p>
    <w:p w14:paraId="468E0BB2">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 xml:space="preserve">    14.3如果投标文件由邮局或专人送交，投标人应将投标文件按照本须知第14.1条至第14.2条的规定进行密封和标记后，按投标人须知前附表1注明的地址送至接收人。</w:t>
      </w:r>
    </w:p>
    <w:p w14:paraId="5B152729">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 xml:space="preserve">    14.4如果未按上述规定进行密封和标记，招标代理机构将不承担由此造成的对投标文件的误投或提前拆封的责任。</w:t>
      </w:r>
    </w:p>
    <w:p w14:paraId="318FDF8C">
      <w:pPr>
        <w:spacing w:line="360" w:lineRule="auto"/>
        <w:rPr>
          <w:rFonts w:ascii="宋体" w:hAnsi="宋体" w:cs="宋体"/>
          <w:b/>
          <w:color w:val="auto"/>
          <w:sz w:val="24"/>
          <w:szCs w:val="24"/>
          <w:highlight w:val="none"/>
        </w:rPr>
      </w:pPr>
      <w:r>
        <w:rPr>
          <w:rFonts w:hint="eastAsia" w:ascii="宋体" w:hAnsi="宋体" w:cs="宋体"/>
          <w:color w:val="auto"/>
          <w:sz w:val="24"/>
          <w:szCs w:val="24"/>
          <w:highlight w:val="none"/>
        </w:rPr>
        <w:t xml:space="preserve">   </w:t>
      </w:r>
      <w:r>
        <w:rPr>
          <w:rFonts w:hint="eastAsia" w:ascii="宋体" w:hAnsi="宋体" w:cs="宋体"/>
          <w:b/>
          <w:color w:val="auto"/>
          <w:sz w:val="24"/>
          <w:szCs w:val="24"/>
          <w:highlight w:val="none"/>
        </w:rPr>
        <w:t xml:space="preserve"> 14.5投标文件应在投标邀请中规定的截止时间前送达，迟到的投标文件为无效投标文件， 将被拒收。</w:t>
      </w:r>
    </w:p>
    <w:p w14:paraId="2561FE4D">
      <w:pPr>
        <w:spacing w:line="360" w:lineRule="auto"/>
        <w:ind w:firstLine="480"/>
        <w:rPr>
          <w:rFonts w:ascii="宋体" w:hAnsi="宋体" w:cs="宋体"/>
          <w:color w:val="auto"/>
          <w:sz w:val="24"/>
          <w:szCs w:val="24"/>
          <w:highlight w:val="none"/>
        </w:rPr>
      </w:pPr>
      <w:r>
        <w:rPr>
          <w:rFonts w:hint="eastAsia" w:ascii="宋体" w:hAnsi="宋体" w:cs="宋体"/>
          <w:color w:val="auto"/>
          <w:sz w:val="24"/>
          <w:szCs w:val="24"/>
          <w:highlight w:val="none"/>
        </w:rPr>
        <w:t>14.6投标人在投标截止时间前，可以对所提交的投标文件进行修改或者撤回，并书面通知招标代理机构。修改的内容和撤回通知应当按本须知要求签署、盖章、密封，并作为投标文件的组成部分。</w:t>
      </w:r>
    </w:p>
    <w:p w14:paraId="29E59874">
      <w:pPr>
        <w:spacing w:line="360" w:lineRule="auto"/>
        <w:ind w:firstLine="480"/>
        <w:rPr>
          <w:rFonts w:ascii="宋体" w:hAnsi="宋体" w:cs="宋体"/>
          <w:b/>
          <w:color w:val="auto"/>
          <w:sz w:val="24"/>
          <w:szCs w:val="24"/>
          <w:highlight w:val="none"/>
        </w:rPr>
      </w:pPr>
      <w:r>
        <w:rPr>
          <w:rFonts w:hint="eastAsia" w:ascii="宋体" w:hAnsi="宋体" w:cs="宋体"/>
          <w:b/>
          <w:color w:val="auto"/>
          <w:sz w:val="24"/>
          <w:szCs w:val="24"/>
          <w:highlight w:val="none"/>
        </w:rPr>
        <w:t>14.7投标人在投标截止时间后不得修改、撤回投标文件。投标人在投标截止时间后修改投标文件的，其投标将被拒绝。</w:t>
      </w:r>
    </w:p>
    <w:p w14:paraId="6126CBF3">
      <w:pPr>
        <w:spacing w:line="360" w:lineRule="auto"/>
        <w:ind w:firstLine="360" w:firstLineChars="150"/>
        <w:rPr>
          <w:rFonts w:ascii="宋体" w:hAnsi="宋体" w:cs="宋体"/>
          <w:color w:val="auto"/>
          <w:sz w:val="24"/>
          <w:szCs w:val="24"/>
          <w:highlight w:val="none"/>
        </w:rPr>
      </w:pPr>
      <w:r>
        <w:rPr>
          <w:rFonts w:hint="eastAsia" w:ascii="宋体" w:hAnsi="宋体" w:cs="宋体"/>
          <w:color w:val="auto"/>
          <w:sz w:val="24"/>
          <w:szCs w:val="24"/>
          <w:highlight w:val="none"/>
        </w:rPr>
        <w:t>14.8投标截止时间结束后参加投标的投标人不足3家的，本次招标程序终止，除采购任务取消情形外，招标采购单位将依法重新组织招标或者采取其他方式采购。</w:t>
      </w:r>
    </w:p>
    <w:p w14:paraId="0E772FDF">
      <w:pPr>
        <w:spacing w:line="360" w:lineRule="auto"/>
        <w:ind w:firstLine="480" w:firstLineChars="200"/>
        <w:rPr>
          <w:rFonts w:ascii="宋体" w:hAnsi="宋体" w:cs="宋体"/>
          <w:color w:val="auto"/>
          <w:sz w:val="24"/>
          <w:szCs w:val="24"/>
          <w:highlight w:val="none"/>
        </w:rPr>
      </w:pPr>
    </w:p>
    <w:p w14:paraId="1E29A55B">
      <w:pPr>
        <w:spacing w:line="360" w:lineRule="auto"/>
        <w:jc w:val="center"/>
        <w:outlineLvl w:val="1"/>
        <w:rPr>
          <w:rFonts w:ascii="宋体" w:hAnsi="宋体" w:cs="宋体"/>
          <w:b/>
          <w:color w:val="auto"/>
          <w:sz w:val="24"/>
          <w:szCs w:val="24"/>
          <w:highlight w:val="none"/>
        </w:rPr>
      </w:pPr>
      <w:bookmarkStart w:id="83" w:name="_Toc30395"/>
      <w:r>
        <w:rPr>
          <w:rFonts w:hint="eastAsia" w:ascii="宋体" w:hAnsi="宋体" w:cs="宋体"/>
          <w:b/>
          <w:color w:val="auto"/>
          <w:sz w:val="32"/>
          <w:szCs w:val="32"/>
          <w:highlight w:val="none"/>
        </w:rPr>
        <w:t>五、投标文件的评估和比较</w:t>
      </w:r>
      <w:bookmarkEnd w:id="83"/>
    </w:p>
    <w:p w14:paraId="042C1447">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15．开标、评标时间</w:t>
      </w:r>
    </w:p>
    <w:p w14:paraId="3CD5B76E">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15.1 在投标人须知前附表1中所规定的时间、地点开标（如有推迟情形，以推迟后的时间、地点为准）。</w:t>
      </w:r>
    </w:p>
    <w:p w14:paraId="3EC50C34">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15.2开标由招标代理机构主持，邀请采购人、投标人和有关方面代表参加。投标人一般应派授权代表参加开标会，并办理签到手续。</w:t>
      </w:r>
    </w:p>
    <w:p w14:paraId="11601273">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15.3 开标时，由监标人或者投标人共同推举的代表检查投标文件的密封情况。采购代理机构对符合密封要求的投标文件按照提交投标文件时间的先后顺序（或者逆顺序）当场逐一拆封，由开标会主持人按规定宣唱“开标一览表”等规定内容。招标代理机构对唱标内容作开标记录，由投标人代表及相关人员签字确认。</w:t>
      </w:r>
    </w:p>
    <w:p w14:paraId="5EF4388E">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16．评标委员会</w:t>
      </w:r>
    </w:p>
    <w:p w14:paraId="5B0FCB74">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16.1招标代理机构根据招标服务的特点依法组建评标委员会。评标委员会由技术、经济、法律方面的专家和采购人代表组成。成员为5人以上单数组成，专家人数不能少于2/3。在开标后的适当时间里由评标委员会对投标文件进行审查、质疑、评估和比较，并做出授予合同的建议。</w:t>
      </w:r>
    </w:p>
    <w:p w14:paraId="03C94D49">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17. 投标文件的初审</w:t>
      </w:r>
    </w:p>
    <w:p w14:paraId="4EAB18B2">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对所有投标人的评估，都采用相同的程序和标准。评议过程将严格按照招标文件的要求和条件进行。对不同文字文本投标文件的解释发生异议的，以中文文本为准。</w:t>
      </w:r>
    </w:p>
    <w:p w14:paraId="3BFEDDC1">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有关投标文件的审查、澄清、评估和比较以及推荐中标候选人的一切情况都不得透露给任一投标人或与上述评标工作无关的人员。</w:t>
      </w:r>
    </w:p>
    <w:p w14:paraId="79271B9D">
      <w:pPr>
        <w:spacing w:line="360" w:lineRule="auto"/>
        <w:ind w:firstLine="482" w:firstLineChars="200"/>
        <w:rPr>
          <w:rFonts w:ascii="宋体" w:hAnsi="宋体" w:cs="宋体"/>
          <w:b/>
          <w:color w:val="auto"/>
          <w:sz w:val="24"/>
          <w:szCs w:val="24"/>
          <w:highlight w:val="none"/>
        </w:rPr>
      </w:pPr>
      <w:r>
        <w:rPr>
          <w:rFonts w:hint="eastAsia" w:ascii="宋体" w:hAnsi="宋体" w:cs="宋体"/>
          <w:b/>
          <w:color w:val="auto"/>
          <w:sz w:val="24"/>
          <w:szCs w:val="24"/>
          <w:highlight w:val="none"/>
        </w:rPr>
        <w:t>投标人任何试图影响评委会对投标文件的评估、比较或者推荐候选人的行为，都将导致其投标按照无效投标处理，并被没收投标保证金。</w:t>
      </w:r>
    </w:p>
    <w:p w14:paraId="77607962">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17.1招标采购单位依法对各投标文件进行资格性检查</w:t>
      </w:r>
    </w:p>
    <w:p w14:paraId="32629C3A">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资格性检查。依据法律法规和招标文件的规定，在对投标文件详细评估之前，招标采购单位将依据投标人提交的投标文件按投标人须知前附表2所述的资格性要求对投标人进行资格审查， 以确定其是否具备投标资格。如果投标人不具备投标资格，不满足招标文件所规定的资格标准或提供资格证明文件不全的， 其投标将按照无效投标处理。合格投标人不足3家的，不得评标。</w:t>
      </w:r>
    </w:p>
    <w:p w14:paraId="48E7D1F2">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17.2 算术错误将按以下方法更正：</w:t>
      </w:r>
    </w:p>
    <w:p w14:paraId="11B7D8A0">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（1）投标文件中开标一览表（报价表）内容与投标文件中相应内容不一致的，以开标一览表（报价表）为准；</w:t>
      </w:r>
    </w:p>
    <w:p w14:paraId="1E2FA534">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（2）大写金额和小写金额不一致的，以大写金额为准；</w:t>
      </w:r>
    </w:p>
    <w:p w14:paraId="07A99BE3">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（3）单价金额小数点或者百分比有明显错位的，以开标一览表的总价为准，并修改单价；</w:t>
      </w:r>
    </w:p>
    <w:p w14:paraId="12E9CE32">
      <w:pPr>
        <w:spacing w:line="360" w:lineRule="auto"/>
        <w:ind w:firstLine="360" w:firstLineChars="150"/>
        <w:rPr>
          <w:rFonts w:ascii="宋体" w:hAnsi="宋体" w:cs="宋体"/>
          <w:color w:val="auto"/>
          <w:sz w:val="24"/>
          <w:szCs w:val="24"/>
          <w:highlight w:val="none"/>
        </w:rPr>
      </w:pPr>
      <w:r>
        <w:rPr>
          <w:rFonts w:hint="eastAsia" w:ascii="宋体" w:hAnsi="宋体" w:cs="宋体"/>
          <w:color w:val="auto"/>
          <w:sz w:val="24"/>
          <w:szCs w:val="24"/>
          <w:highlight w:val="none"/>
        </w:rPr>
        <w:t>（4）总价金额与按单价汇总金额不一致的，以单价金额计算结果为准。</w:t>
      </w:r>
    </w:p>
    <w:p w14:paraId="50A8859F">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同时出现两种以上不一致的，按照前款规定的顺序修正。对于投标文件中计算错误的内容，评标委员会应当以书面形式要求投标人作出必要的澄清、说明或者补正。</w:t>
      </w:r>
    </w:p>
    <w:p w14:paraId="454AD961">
      <w:pPr>
        <w:spacing w:line="360" w:lineRule="auto"/>
        <w:ind w:firstLine="482" w:firstLineChars="200"/>
        <w:rPr>
          <w:rFonts w:ascii="宋体" w:hAnsi="宋体" w:cs="宋体"/>
          <w:b/>
          <w:color w:val="auto"/>
          <w:sz w:val="24"/>
          <w:szCs w:val="24"/>
          <w:highlight w:val="none"/>
        </w:rPr>
      </w:pPr>
      <w:r>
        <w:rPr>
          <w:rFonts w:hint="eastAsia" w:ascii="宋体" w:hAnsi="宋体" w:cs="宋体"/>
          <w:b/>
          <w:color w:val="auto"/>
          <w:sz w:val="24"/>
          <w:szCs w:val="24"/>
          <w:highlight w:val="none"/>
        </w:rPr>
        <w:t>如果投标人不接受按上述方法对投标文件中的算术错误进行更正，其投标将按照无效投标处理并被没收投标保证金。</w:t>
      </w:r>
    </w:p>
    <w:p w14:paraId="5B3CC080">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 xml:space="preserve">17.3符合性检查 </w:t>
      </w:r>
    </w:p>
    <w:p w14:paraId="2FEE2339">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17.3.1评委会将对投标文件进行审查，以确定投标文件是否完整、有无计算上的错误、是否提交了投标保证金。</w:t>
      </w:r>
    </w:p>
    <w:p w14:paraId="74486D40">
      <w:pPr>
        <w:spacing w:line="360" w:lineRule="auto"/>
        <w:ind w:firstLine="482" w:firstLineChars="200"/>
        <w:rPr>
          <w:rFonts w:ascii="宋体" w:hAnsi="宋体" w:cs="宋体"/>
          <w:b/>
          <w:color w:val="auto"/>
          <w:sz w:val="24"/>
          <w:szCs w:val="24"/>
          <w:highlight w:val="none"/>
        </w:rPr>
      </w:pPr>
      <w:r>
        <w:rPr>
          <w:rFonts w:hint="eastAsia" w:ascii="宋体" w:hAnsi="宋体" w:cs="宋体"/>
          <w:b/>
          <w:color w:val="auto"/>
          <w:sz w:val="24"/>
          <w:szCs w:val="24"/>
          <w:highlight w:val="none"/>
        </w:rPr>
        <w:t>17.3.2依据招标文件的规定，评标委员会还将从投标文件的有效性、完整性和对招标文件的响应程度等方面进行审查，以确定其是否符合对招标文件的实质性要求作出响应。（采购人可根据具体项目的情况对实质性要求作特别的规定。）实质性偏离是指：（1）实质性影响合同的范围、质量和履行；（2）实质性违背招标文件，限制了采购人的权利和中标供应商合同项下的义务；（3）不公正地影响了</w:t>
      </w:r>
      <w:r>
        <w:rPr>
          <w:rFonts w:hint="eastAsia" w:ascii="宋体" w:hAnsi="宋体" w:cs="宋体"/>
          <w:b/>
          <w:color w:val="auto"/>
          <w:sz w:val="24"/>
          <w:szCs w:val="24"/>
          <w:highlight w:val="none"/>
          <w:lang w:eastAsia="zh-CN"/>
        </w:rPr>
        <w:t>其他</w:t>
      </w:r>
      <w:r>
        <w:rPr>
          <w:rFonts w:hint="eastAsia" w:ascii="宋体" w:hAnsi="宋体" w:cs="宋体"/>
          <w:b/>
          <w:color w:val="auto"/>
          <w:sz w:val="24"/>
          <w:szCs w:val="24"/>
          <w:highlight w:val="none"/>
        </w:rPr>
        <w:t>作出实质性响应的投标人的竞争地位。对没有实质性响应的投标文件将不进行评估，其投标将按照无效投标处理。凡有下列情况之一者，投标文件也将被视为未实质性响应招标文件要求：</w:t>
      </w:r>
    </w:p>
    <w:p w14:paraId="41A91878">
      <w:pPr>
        <w:spacing w:line="360" w:lineRule="auto"/>
        <w:ind w:firstLine="482" w:firstLineChars="200"/>
        <w:rPr>
          <w:rFonts w:ascii="宋体" w:hAnsi="宋体" w:cs="宋体"/>
          <w:b/>
          <w:color w:val="auto"/>
          <w:sz w:val="24"/>
          <w:szCs w:val="24"/>
          <w:highlight w:val="none"/>
        </w:rPr>
      </w:pPr>
      <w:r>
        <w:rPr>
          <w:rFonts w:hint="eastAsia" w:ascii="宋体" w:hAnsi="宋体" w:cs="宋体"/>
          <w:b/>
          <w:color w:val="auto"/>
          <w:sz w:val="24"/>
          <w:szCs w:val="24"/>
          <w:highlight w:val="none"/>
        </w:rPr>
        <w:t xml:space="preserve"> (1) 未按规定提交投标保证金的；</w:t>
      </w:r>
    </w:p>
    <w:p w14:paraId="66E1B228">
      <w:pPr>
        <w:spacing w:line="360" w:lineRule="auto"/>
        <w:ind w:firstLine="482" w:firstLineChars="200"/>
        <w:rPr>
          <w:rFonts w:ascii="宋体" w:hAnsi="宋体" w:cs="宋体"/>
          <w:b/>
          <w:color w:val="auto"/>
          <w:sz w:val="24"/>
          <w:szCs w:val="24"/>
          <w:highlight w:val="none"/>
        </w:rPr>
      </w:pPr>
      <w:r>
        <w:rPr>
          <w:rFonts w:hint="eastAsia" w:ascii="宋体" w:hAnsi="宋体" w:cs="宋体"/>
          <w:b/>
          <w:color w:val="auto"/>
          <w:sz w:val="24"/>
          <w:szCs w:val="24"/>
          <w:highlight w:val="none"/>
        </w:rPr>
        <w:t>(2)投标有效期不满足招标文件要求的；</w:t>
      </w:r>
    </w:p>
    <w:p w14:paraId="329E1774">
      <w:pPr>
        <w:spacing w:line="360" w:lineRule="auto"/>
        <w:ind w:firstLine="482" w:firstLineChars="200"/>
        <w:rPr>
          <w:rFonts w:ascii="宋体" w:hAnsi="宋体" w:cs="宋体"/>
          <w:b/>
          <w:color w:val="auto"/>
          <w:sz w:val="24"/>
          <w:szCs w:val="24"/>
          <w:highlight w:val="none"/>
        </w:rPr>
      </w:pPr>
      <w:r>
        <w:rPr>
          <w:rFonts w:hint="eastAsia" w:ascii="宋体" w:hAnsi="宋体" w:cs="宋体"/>
          <w:b/>
          <w:color w:val="auto"/>
          <w:sz w:val="24"/>
          <w:szCs w:val="24"/>
          <w:highlight w:val="none"/>
        </w:rPr>
        <w:t>(3)投标内容与招标内容及要求有重大偏离或保留的；</w:t>
      </w:r>
    </w:p>
    <w:p w14:paraId="39695713">
      <w:pPr>
        <w:spacing w:line="360" w:lineRule="auto"/>
        <w:ind w:firstLine="482" w:firstLineChars="200"/>
        <w:rPr>
          <w:rFonts w:ascii="宋体" w:hAnsi="宋体" w:cs="宋体"/>
          <w:b/>
          <w:color w:val="auto"/>
          <w:sz w:val="24"/>
          <w:szCs w:val="24"/>
          <w:highlight w:val="none"/>
        </w:rPr>
      </w:pPr>
      <w:r>
        <w:rPr>
          <w:rFonts w:hint="eastAsia" w:ascii="宋体" w:hAnsi="宋体" w:cs="宋体"/>
          <w:b/>
          <w:color w:val="auto"/>
          <w:sz w:val="24"/>
          <w:szCs w:val="24"/>
          <w:highlight w:val="none"/>
        </w:rPr>
        <w:t>(4)投标人提交的是可选择的报价；</w:t>
      </w:r>
    </w:p>
    <w:p w14:paraId="2A9090F0">
      <w:pPr>
        <w:spacing w:line="360" w:lineRule="auto"/>
        <w:ind w:firstLine="482" w:firstLineChars="200"/>
        <w:rPr>
          <w:rFonts w:ascii="宋体" w:hAnsi="宋体" w:cs="宋体"/>
          <w:b/>
          <w:color w:val="auto"/>
          <w:sz w:val="24"/>
          <w:szCs w:val="24"/>
          <w:highlight w:val="none"/>
        </w:rPr>
      </w:pPr>
      <w:r>
        <w:rPr>
          <w:rFonts w:hint="eastAsia" w:ascii="宋体" w:hAnsi="宋体" w:cs="宋体"/>
          <w:b/>
          <w:color w:val="auto"/>
          <w:sz w:val="24"/>
          <w:szCs w:val="24"/>
          <w:highlight w:val="none"/>
        </w:rPr>
        <w:t>(5)投标人未按招标文件要求对投标进行分项报价；</w:t>
      </w:r>
    </w:p>
    <w:p w14:paraId="04125FD2">
      <w:pPr>
        <w:spacing w:line="360" w:lineRule="auto"/>
        <w:ind w:firstLine="482" w:firstLineChars="200"/>
        <w:rPr>
          <w:rFonts w:ascii="宋体" w:hAnsi="宋体" w:cs="宋体"/>
          <w:b/>
          <w:color w:val="auto"/>
          <w:sz w:val="24"/>
          <w:szCs w:val="24"/>
          <w:highlight w:val="none"/>
        </w:rPr>
      </w:pPr>
      <w:r>
        <w:rPr>
          <w:rFonts w:hint="eastAsia" w:ascii="宋体" w:hAnsi="宋体" w:cs="宋体"/>
          <w:b/>
          <w:color w:val="auto"/>
          <w:sz w:val="24"/>
          <w:szCs w:val="24"/>
          <w:highlight w:val="none"/>
        </w:rPr>
        <w:t>(6)投标文件中提供虚假或失实资料的；</w:t>
      </w:r>
    </w:p>
    <w:p w14:paraId="2A1781DC">
      <w:pPr>
        <w:spacing w:line="360" w:lineRule="auto"/>
        <w:ind w:firstLine="482" w:firstLineChars="200"/>
        <w:rPr>
          <w:rFonts w:ascii="宋体" w:hAnsi="宋体" w:cs="宋体"/>
          <w:b/>
          <w:color w:val="auto"/>
          <w:sz w:val="24"/>
          <w:szCs w:val="24"/>
          <w:highlight w:val="none"/>
        </w:rPr>
      </w:pPr>
      <w:r>
        <w:rPr>
          <w:rFonts w:hint="eastAsia" w:ascii="宋体" w:hAnsi="宋体" w:cs="宋体"/>
          <w:b/>
          <w:color w:val="auto"/>
          <w:sz w:val="24"/>
          <w:szCs w:val="24"/>
          <w:highlight w:val="none"/>
        </w:rPr>
        <w:t>(7)不符合招标文件中规定的</w:t>
      </w:r>
      <w:r>
        <w:rPr>
          <w:rFonts w:hint="eastAsia" w:ascii="宋体" w:hAnsi="宋体" w:cs="宋体"/>
          <w:b/>
          <w:color w:val="auto"/>
          <w:sz w:val="24"/>
          <w:szCs w:val="24"/>
          <w:highlight w:val="none"/>
          <w:lang w:eastAsia="zh-CN"/>
        </w:rPr>
        <w:t>其他</w:t>
      </w:r>
      <w:r>
        <w:rPr>
          <w:rFonts w:hint="eastAsia" w:ascii="宋体" w:hAnsi="宋体" w:cs="宋体"/>
          <w:b/>
          <w:color w:val="auto"/>
          <w:sz w:val="24"/>
          <w:szCs w:val="24"/>
          <w:highlight w:val="none"/>
        </w:rPr>
        <w:t>实质性条款。</w:t>
      </w:r>
    </w:p>
    <w:p w14:paraId="7DC50F47">
      <w:pPr>
        <w:spacing w:line="360" w:lineRule="auto"/>
        <w:ind w:firstLine="482" w:firstLineChars="200"/>
        <w:rPr>
          <w:rFonts w:ascii="宋体" w:hAnsi="宋体" w:cs="宋体"/>
          <w:b/>
          <w:color w:val="auto"/>
          <w:sz w:val="24"/>
          <w:szCs w:val="24"/>
          <w:highlight w:val="none"/>
        </w:rPr>
      </w:pPr>
      <w:r>
        <w:rPr>
          <w:rFonts w:hint="eastAsia" w:ascii="宋体" w:hAnsi="宋体" w:cs="宋体"/>
          <w:b/>
          <w:color w:val="auto"/>
          <w:sz w:val="24"/>
          <w:szCs w:val="24"/>
          <w:highlight w:val="none"/>
        </w:rPr>
        <w:t>评标委员会决定投标的响应性只根据投标文件本身的内容，而不寻求其他的外部证据。</w:t>
      </w:r>
    </w:p>
    <w:p w14:paraId="46CDB929">
      <w:pPr>
        <w:spacing w:line="360" w:lineRule="auto"/>
        <w:ind w:firstLine="482" w:firstLineChars="200"/>
        <w:rPr>
          <w:rFonts w:ascii="宋体" w:hAnsi="宋体" w:cs="宋体"/>
          <w:b/>
          <w:color w:val="auto"/>
          <w:sz w:val="24"/>
          <w:szCs w:val="24"/>
          <w:highlight w:val="none"/>
        </w:rPr>
      </w:pPr>
      <w:r>
        <w:rPr>
          <w:rFonts w:hint="eastAsia" w:ascii="宋体" w:hAnsi="宋体" w:cs="宋体"/>
          <w:b/>
          <w:color w:val="auto"/>
          <w:sz w:val="24"/>
          <w:szCs w:val="24"/>
          <w:highlight w:val="none"/>
        </w:rPr>
        <w:t>17.3.3投标服务必须满足中华人民共和国相关法律法规及行业的强制性要求，否则该投标人的投标将按照无效投标处理。</w:t>
      </w:r>
    </w:p>
    <w:p w14:paraId="0F6A07B3">
      <w:pPr>
        <w:spacing w:line="360" w:lineRule="auto"/>
        <w:ind w:firstLine="482" w:firstLineChars="200"/>
        <w:rPr>
          <w:rFonts w:ascii="宋体" w:hAnsi="宋体" w:cs="宋体"/>
          <w:b/>
          <w:color w:val="auto"/>
          <w:sz w:val="24"/>
          <w:szCs w:val="24"/>
          <w:highlight w:val="none"/>
        </w:rPr>
      </w:pPr>
      <w:r>
        <w:rPr>
          <w:rFonts w:hint="eastAsia" w:ascii="宋体" w:hAnsi="宋体" w:cs="宋体"/>
          <w:b/>
          <w:color w:val="auto"/>
          <w:sz w:val="24"/>
          <w:szCs w:val="24"/>
          <w:highlight w:val="none"/>
        </w:rPr>
        <w:t>17.3.4采购人、招标代理机构有下列情形之一的，将被认定为采购人、招标代理机构与投标人有串通投标行为，该投标人投标作无效投标处理：</w:t>
      </w:r>
    </w:p>
    <w:p w14:paraId="77912AC4">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（1）在开标前开启投标文件并将有关信息泄露给其他投标人；</w:t>
      </w:r>
    </w:p>
    <w:p w14:paraId="0D57FF7B">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（2）评审结果公告前，直接或者间接向投标人泄露评标委员会成员等信息；</w:t>
      </w:r>
    </w:p>
    <w:p w14:paraId="02623ABC">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（3）明示或者暗示投标人压低或者抬高投标报价；</w:t>
      </w:r>
    </w:p>
    <w:p w14:paraId="45F738BE">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（4）授意投标人撤换、修改投标文件（按18条进行的澄清除外）；</w:t>
      </w:r>
    </w:p>
    <w:p w14:paraId="031FFB54">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（5）明示或者暗示投标人为特定投标人中标提供方便；</w:t>
      </w:r>
    </w:p>
    <w:p w14:paraId="5EBD7010">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（6）为谋求特定投标人中标而采取的其他串通行为。</w:t>
      </w:r>
    </w:p>
    <w:p w14:paraId="40F74374">
      <w:pPr>
        <w:spacing w:line="360" w:lineRule="auto"/>
        <w:ind w:firstLine="482" w:firstLineChars="200"/>
        <w:rPr>
          <w:rFonts w:ascii="宋体" w:hAnsi="宋体" w:cs="宋体"/>
          <w:b/>
          <w:color w:val="auto"/>
          <w:sz w:val="24"/>
          <w:szCs w:val="24"/>
          <w:highlight w:val="none"/>
        </w:rPr>
      </w:pPr>
      <w:r>
        <w:rPr>
          <w:rFonts w:hint="eastAsia" w:ascii="宋体" w:hAnsi="宋体" w:cs="宋体"/>
          <w:b/>
          <w:color w:val="auto"/>
          <w:kern w:val="0"/>
          <w:sz w:val="24"/>
          <w:szCs w:val="24"/>
          <w:highlight w:val="none"/>
        </w:rPr>
        <w:t>17.3.5出现17.3.4情形之一的，作无效投标处理的</w:t>
      </w:r>
      <w:r>
        <w:rPr>
          <w:rFonts w:hint="eastAsia" w:ascii="宋体" w:hAnsi="宋体" w:cs="宋体"/>
          <w:b/>
          <w:color w:val="auto"/>
          <w:sz w:val="24"/>
          <w:szCs w:val="24"/>
          <w:highlight w:val="none"/>
        </w:rPr>
        <w:t>投标人的投标保证金将予以没收，招标代理机构有权上报财政部门取消其采购供应商资格、并按有关规定予以处罚。</w:t>
      </w:r>
    </w:p>
    <w:p w14:paraId="1AD7ACB2">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18.投标文件的澄清</w:t>
      </w:r>
    </w:p>
    <w:p w14:paraId="799D8DDD">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18.1对投标文件中含义不明确、同类问题表述不一致或者有明显文字和计算错误的内容，评标委员会可以书面形式要求投标人作出必要的澄清、说明或者纠正。投标人的澄清、说明或者补正应当在评标委员会规定的时间内以书面形式作出，由其法定代表人或者授权代表签字，并不得超出投标文件的范围或者改变投标文件的实质性内容。</w:t>
      </w:r>
    </w:p>
    <w:p w14:paraId="60C65B3D">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19. 比较与评价</w:t>
      </w:r>
    </w:p>
    <w:p w14:paraId="538381C5">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19.1评标委员会将按投标人须知前附表3所述评标方法与标准，对资格性检查和符合性检查合格的投标文件进行商务和技术评估，综合比较与评价。</w:t>
      </w:r>
    </w:p>
    <w:p w14:paraId="13A07062">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19.2对漏（缺）报项的处理：招标文件中要求列入报价的费用（含配置、功能），漏（缺）报的视同已含在投标总价中。但在评标时取有效投标人该项最高报价加入漏（缺）报人的评标价进行评标。对多报项及赠送项的价格评标时不予核减也不予加分，全部进入评标价评议。</w:t>
      </w:r>
    </w:p>
    <w:p w14:paraId="02905514">
      <w:pPr>
        <w:spacing w:line="360" w:lineRule="auto"/>
        <w:ind w:firstLine="482" w:firstLineChars="200"/>
        <w:rPr>
          <w:rFonts w:ascii="宋体" w:hAnsi="宋体" w:cs="宋体"/>
          <w:b/>
          <w:color w:val="auto"/>
          <w:sz w:val="24"/>
          <w:szCs w:val="24"/>
          <w:highlight w:val="none"/>
        </w:rPr>
      </w:pPr>
      <w:r>
        <w:rPr>
          <w:rFonts w:hint="eastAsia" w:ascii="宋体" w:hAnsi="宋体" w:cs="宋体"/>
          <w:b/>
          <w:color w:val="auto"/>
          <w:sz w:val="24"/>
          <w:szCs w:val="24"/>
          <w:highlight w:val="none"/>
        </w:rPr>
        <w:t>19.3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34C98DC1">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19.4评标委员会将按比较与评价最优在先原则， 排列评价顺序， 根据在投标人须知前附表3确定的中标候选人数量推荐出中标候选人。</w:t>
      </w:r>
    </w:p>
    <w:p w14:paraId="1172810A">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19.5 在评标期间，若出现符合本须知规定的所有投标条件的投标人不足三家情形的，本次招标程序终止，除采购任务取消情形外，招标采购单位将依法重新组织招标或者采取其他方式采购。</w:t>
      </w:r>
    </w:p>
    <w:p w14:paraId="61B7A437">
      <w:pPr>
        <w:spacing w:line="360" w:lineRule="auto"/>
        <w:ind w:firstLine="480" w:firstLineChars="200"/>
        <w:rPr>
          <w:rFonts w:ascii="宋体" w:hAnsi="宋体" w:cs="宋体"/>
          <w:color w:val="auto"/>
          <w:sz w:val="24"/>
          <w:szCs w:val="24"/>
          <w:highlight w:val="none"/>
        </w:rPr>
      </w:pPr>
    </w:p>
    <w:p w14:paraId="57CCEBB4">
      <w:pPr>
        <w:spacing w:line="360" w:lineRule="auto"/>
        <w:jc w:val="center"/>
        <w:outlineLvl w:val="1"/>
        <w:rPr>
          <w:rFonts w:ascii="宋体" w:hAnsi="宋体" w:cs="宋体"/>
          <w:b/>
          <w:color w:val="auto"/>
          <w:sz w:val="24"/>
          <w:szCs w:val="24"/>
          <w:highlight w:val="none"/>
        </w:rPr>
      </w:pPr>
      <w:bookmarkStart w:id="84" w:name="_Toc3357"/>
      <w:r>
        <w:rPr>
          <w:rFonts w:hint="eastAsia" w:ascii="宋体" w:hAnsi="宋体" w:cs="宋体"/>
          <w:b/>
          <w:color w:val="auto"/>
          <w:sz w:val="32"/>
          <w:szCs w:val="32"/>
          <w:highlight w:val="none"/>
        </w:rPr>
        <w:t>六、定标与签订合同</w:t>
      </w:r>
      <w:bookmarkEnd w:id="84"/>
    </w:p>
    <w:p w14:paraId="7B8CABFC">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20.定标准则</w:t>
      </w:r>
    </w:p>
    <w:p w14:paraId="00343A0C">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20.1最低投标价不作为中标的保证。</w:t>
      </w:r>
    </w:p>
    <w:p w14:paraId="4A91E972">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20.2投标人的投标文件符合招标文件要求，按招标文件确定评标方法、标准，经评委评审并推荐中标候选人。</w:t>
      </w:r>
    </w:p>
    <w:p w14:paraId="350DE4A0">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21. 中标通知</w:t>
      </w:r>
    </w:p>
    <w:p w14:paraId="5713EF5A">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 xml:space="preserve">21.1评标结束后，评标结果经采购人确认后，招标代理机构应自中标供应商确定之日起2个工作日内在《厦门招投标网》上对中标结果进行公告，同时招标代理机构向中标供应商发出中标通知书。中标通知书对采购人和中标供应商具有同等法律效力。中标通知书发出后，采购人改变中标结果，或者中标供应商放弃中标，应当承担相应的法律责任。 </w:t>
      </w:r>
    </w:p>
    <w:p w14:paraId="3571D6BD">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投标人对中标公告有异议的，应当在中标公告发布之日起7个工作日内，以书面形式向招标代理机构提出质疑，并附送有关证明材料。采购人、招标代理机构应当在收到投标人书面质疑后7个工作日内，对质疑内容作出答复。提出质疑的投标人对采购人、招标代理机构的答复不满意或者采购人、招标代理机构未在规定时间内答复的，可以在答复期满后15个工作日内书面向财政部门提出投诉。</w:t>
      </w:r>
    </w:p>
    <w:p w14:paraId="09ECE426">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在质疑处理过程中，招标代理机构和采购人有权要求被质疑人在规定时间内就质疑事项进行说明并提交相关材料（包括被质疑人投标文件中相关复印件的原件以及其他与质疑事项有关的文件等），被质疑人应当予以配合，否则将可能承担不利的处理后果。</w:t>
      </w:r>
    </w:p>
    <w:p w14:paraId="36A11021">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质疑人对中标结果的质疑应本着诚实信用、谁质疑谁举证的原则，对质疑所提供材料的真实性、合法性负责，若质疑人存在下列情形之一的，属于虚假、恶意质疑，招标代理机构有权依法驳回质疑，并有权同时将质疑人虚假、恶意质疑之事在厦门招投标网上进行通报、上报上级主管部门：（1）一年内三次以上质疑均查无实据的；（2）捏造事实或者提供虚假质疑材料的。</w:t>
      </w:r>
    </w:p>
    <w:p w14:paraId="48925168">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21.2招标代理机构应当在《中标通知书》发出的同时将落标通知书发送给未中标的其他投标人。</w:t>
      </w:r>
    </w:p>
    <w:p w14:paraId="67096AA2">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21.3《中标通知书》将作为签订《政府采购合同》的依据。《政府采购合同》签订后，《中标通知书》成为合同的一部分。</w:t>
      </w:r>
    </w:p>
    <w:p w14:paraId="21BB9B21">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21.4 招标代理机构应当在中标通知书发出后5个工作日内退还未中标供应商的投标保证金（含保函），在采购人与中标供应商签订合同后5个工作日内，退还中标供应商的投标保证金。</w:t>
      </w:r>
    </w:p>
    <w:p w14:paraId="31272C90">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22.签订合同</w:t>
      </w:r>
    </w:p>
    <w:p w14:paraId="4DEECCCD">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22.1中标供应商必须凭中标通知书原件按招标文件的规定签订合同，并最迟应于合同签订前缴交代理服务费，否则，招标代理机构有权在厦门招投标网上对中标供应商“不按规定缴交代理服务费的行为”进行公示。若自公示之日起3个工作日内，中标供应商仍未缴交代理服务费的，招标代理机构有权按每日1%计取违约金。</w:t>
      </w:r>
    </w:p>
    <w:p w14:paraId="148E010D">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22.2采购人、中标供应商应当在《中标通知书》发出之日起30日内，根据招标文件确定的事项和中标供应商投标文件，参照本招标文件第四章《政府采购合同》文本签订合同。双方所签订的合同不得对招标文件和中标供应商投标文件作实质性修改。中标供应商无正当理由不与采购人签订合同的，其投标保证金和代理服务费将不予退还；情节严重的（如一年内累计两次及以上出现此类情形等），招标代理机构有权上报财政部门，并建议财政部门将其列入不良行为记录名单，在一至三年内禁止其参加政府采购活动并予以通报。采购人逾期不与中标供应商签订合同的，按政府采购的有关规定处理。</w:t>
      </w:r>
    </w:p>
    <w:p w14:paraId="22D3EF8B">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在合同签订前，为保证合同顺利履行，采购人有权要求中标供应商提供相关材料以便合同签订，中标供应商应当予以配合。</w:t>
      </w:r>
    </w:p>
    <w:p w14:paraId="06B47E60">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22.3招标文件、招标文件的修改文件、中标供应商的投标文件、补充或修改的文件及澄清或承诺文件等，均为双方签订《政府采购合同》的组成部分，并与合同一并作为本招标文件所列采购项目的互补性法律文件，与合同具有同等法律效力。</w:t>
      </w:r>
    </w:p>
    <w:p w14:paraId="0FCF4322">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 xml:space="preserve">22.4采购人在合同履行中，需追加与合同标的相同的服务的，在不改变合同其他条款的前提下，可与中标供应商协商签订补充合同，但所有补充合同的采购金额不得超过原合同采购金额的10%。 </w:t>
      </w:r>
    </w:p>
    <w:p w14:paraId="5E932FC3">
      <w:pPr>
        <w:pStyle w:val="4"/>
        <w:spacing w:line="360" w:lineRule="auto"/>
        <w:rPr>
          <w:rFonts w:ascii="宋体" w:hAnsi="宋体" w:cs="宋体"/>
          <w:b/>
          <w:color w:val="auto"/>
          <w:sz w:val="24"/>
          <w:szCs w:val="24"/>
          <w:highlight w:val="none"/>
        </w:rPr>
      </w:pPr>
      <w:r>
        <w:rPr>
          <w:rFonts w:hint="eastAsia" w:ascii="宋体" w:hAnsi="宋体" w:cs="宋体"/>
          <w:color w:val="auto"/>
          <w:sz w:val="24"/>
          <w:szCs w:val="24"/>
          <w:highlight w:val="none"/>
        </w:rPr>
        <w:t>22.5中标供应商因自身原因放弃中标项目、或不按照招标文件规定与采购人签订合同的、或因不可抗力或者自身原因不按合同履行的，采购人可以与排位在中标供应商之后第一位的中标候选供应商签订《政府采购合同》，以此类推。排位在中标供应商之后第一位的中标候选供应商应同意与采购人按不高于其投标报价签订《政府采购合同》。</w:t>
      </w:r>
    </w:p>
    <w:p w14:paraId="76B0B3FD">
      <w:pPr>
        <w:pStyle w:val="9"/>
        <w:pageBreakBefore/>
        <w:spacing w:line="360" w:lineRule="auto"/>
        <w:jc w:val="center"/>
        <w:outlineLvl w:val="0"/>
        <w:rPr>
          <w:rFonts w:hAnsi="宋体"/>
          <w:b/>
          <w:bCs/>
          <w:color w:val="auto"/>
          <w:sz w:val="32"/>
          <w:highlight w:val="none"/>
        </w:rPr>
      </w:pPr>
      <w:bookmarkStart w:id="85" w:name="_Toc24608"/>
      <w:bookmarkStart w:id="86" w:name="_Toc20713"/>
      <w:bookmarkStart w:id="87" w:name="_Toc522522863"/>
      <w:r>
        <w:rPr>
          <w:rFonts w:hint="eastAsia" w:hAnsi="宋体"/>
          <w:b/>
          <w:bCs/>
          <w:color w:val="auto"/>
          <w:sz w:val="32"/>
          <w:highlight w:val="none"/>
        </w:rPr>
        <w:t>第三章  招标内容及要求</w:t>
      </w:r>
      <w:bookmarkEnd w:id="85"/>
      <w:bookmarkEnd w:id="86"/>
      <w:bookmarkEnd w:id="87"/>
    </w:p>
    <w:p w14:paraId="742D5477">
      <w:pPr>
        <w:pStyle w:val="11"/>
        <w:spacing w:after="0" w:line="360" w:lineRule="auto"/>
        <w:ind w:left="181" w:leftChars="86" w:right="-334" w:rightChars="-159"/>
        <w:rPr>
          <w:rFonts w:ascii="宋体" w:hAnsi="宋体" w:cs="宋体"/>
          <w:b/>
          <w:bCs/>
          <w:color w:val="auto"/>
          <w:sz w:val="24"/>
          <w:szCs w:val="24"/>
          <w:highlight w:val="none"/>
        </w:rPr>
      </w:pPr>
    </w:p>
    <w:p w14:paraId="7670290C">
      <w:pPr>
        <w:pStyle w:val="11"/>
        <w:spacing w:after="0" w:line="360" w:lineRule="auto"/>
        <w:ind w:left="181" w:leftChars="86" w:right="-334" w:rightChars="-159"/>
        <w:rPr>
          <w:rFonts w:ascii="宋体" w:hAnsi="宋体" w:cs="宋体"/>
          <w:b/>
          <w:bCs/>
          <w:color w:val="auto"/>
          <w:sz w:val="24"/>
          <w:szCs w:val="24"/>
          <w:highlight w:val="none"/>
        </w:rPr>
      </w:pPr>
      <w:r>
        <w:rPr>
          <w:rFonts w:hint="eastAsia" w:ascii="宋体" w:hAnsi="宋体" w:cs="宋体"/>
          <w:b/>
          <w:bCs/>
          <w:color w:val="auto"/>
          <w:sz w:val="24"/>
          <w:szCs w:val="24"/>
          <w:highlight w:val="none"/>
        </w:rPr>
        <w:t>提示说明：</w:t>
      </w:r>
    </w:p>
    <w:p w14:paraId="14F59FE4">
      <w:pPr>
        <w:pStyle w:val="11"/>
        <w:spacing w:after="0" w:line="360" w:lineRule="auto"/>
        <w:ind w:left="0"/>
        <w:rPr>
          <w:rFonts w:ascii="宋体" w:hAnsi="宋体" w:cs="宋体"/>
          <w:b/>
          <w:bCs/>
          <w:color w:val="auto"/>
          <w:sz w:val="24"/>
          <w:szCs w:val="24"/>
          <w:highlight w:val="none"/>
        </w:rPr>
      </w:pPr>
      <w:r>
        <w:rPr>
          <w:rFonts w:hint="eastAsia" w:ascii="宋体" w:hAnsi="宋体" w:cs="宋体"/>
          <w:b/>
          <w:bCs/>
          <w:color w:val="auto"/>
          <w:sz w:val="24"/>
          <w:szCs w:val="24"/>
          <w:highlight w:val="none"/>
        </w:rPr>
        <w:t>（1）全文中带有“</w:t>
      </w:r>
      <w:r>
        <w:rPr>
          <w:rFonts w:hint="eastAsia" w:ascii="宋体" w:hAnsi="宋体" w:cs="宋体"/>
          <w:iCs/>
          <w:color w:val="auto"/>
          <w:sz w:val="24"/>
          <w:szCs w:val="24"/>
          <w:highlight w:val="none"/>
        </w:rPr>
        <w:t>★</w:t>
      </w:r>
      <w:r>
        <w:rPr>
          <w:rFonts w:hint="eastAsia" w:ascii="宋体" w:hAnsi="宋体" w:cs="宋体"/>
          <w:b/>
          <w:bCs/>
          <w:color w:val="auto"/>
          <w:sz w:val="24"/>
          <w:szCs w:val="24"/>
          <w:highlight w:val="none"/>
        </w:rPr>
        <w:t>”的条款为关键性条款，对这些关键性条款的任何负偏离或不满足将导致该投标作无效投标处理。</w:t>
      </w:r>
      <w:r>
        <w:rPr>
          <w:rFonts w:hint="eastAsia" w:ascii="宋体" w:hAnsi="宋体" w:cs="宋体"/>
          <w:b/>
          <w:color w:val="auto"/>
          <w:sz w:val="24"/>
          <w:szCs w:val="24"/>
          <w:highlight w:val="none"/>
        </w:rPr>
        <w:t>投标人应对招标文件中的“</w:t>
      </w:r>
      <w:r>
        <w:rPr>
          <w:rFonts w:hint="eastAsia" w:ascii="宋体" w:hAnsi="宋体" w:cs="宋体"/>
          <w:iCs/>
          <w:color w:val="auto"/>
          <w:sz w:val="24"/>
          <w:szCs w:val="24"/>
          <w:highlight w:val="none"/>
        </w:rPr>
        <w:t>★</w:t>
      </w:r>
      <w:r>
        <w:rPr>
          <w:rFonts w:hint="eastAsia" w:ascii="宋体" w:hAnsi="宋体" w:cs="宋体"/>
          <w:b/>
          <w:color w:val="auto"/>
          <w:sz w:val="24"/>
          <w:szCs w:val="24"/>
          <w:highlight w:val="none"/>
        </w:rPr>
        <w:t>”号条款进行逐条响应，否则评标委员会对其投标做出不利评审，投标人必须自行承担责任。</w:t>
      </w:r>
    </w:p>
    <w:p w14:paraId="0AB6437C">
      <w:pPr>
        <w:pStyle w:val="11"/>
        <w:spacing w:after="0" w:line="360" w:lineRule="auto"/>
        <w:ind w:left="0"/>
        <w:rPr>
          <w:rFonts w:ascii="宋体" w:hAnsi="宋体" w:cs="宋体"/>
          <w:b/>
          <w:bCs/>
          <w:color w:val="auto"/>
          <w:sz w:val="24"/>
          <w:szCs w:val="24"/>
          <w:highlight w:val="none"/>
        </w:rPr>
      </w:pPr>
      <w:r>
        <w:rPr>
          <w:rFonts w:hint="eastAsia" w:ascii="宋体" w:hAnsi="宋体" w:cs="宋体"/>
          <w:b/>
          <w:bCs/>
          <w:color w:val="auto"/>
          <w:sz w:val="24"/>
          <w:szCs w:val="24"/>
          <w:highlight w:val="none"/>
        </w:rPr>
        <w:t>（2）本项目以合同包为单位，对于每个合同包，投标人必须完整地提供合同包要求的所有服务，否则该投标人针对该合同包的投标将按照无效投标处理。</w:t>
      </w:r>
    </w:p>
    <w:p w14:paraId="20F022BB">
      <w:pPr>
        <w:pStyle w:val="11"/>
        <w:spacing w:after="0" w:line="360" w:lineRule="auto"/>
        <w:ind w:left="0" w:right="-334" w:rightChars="-159"/>
        <w:rPr>
          <w:rFonts w:ascii="宋体" w:hAnsi="宋体" w:cs="宋体"/>
          <w:b/>
          <w:bCs/>
          <w:color w:val="auto"/>
          <w:sz w:val="24"/>
          <w:szCs w:val="24"/>
          <w:highlight w:val="none"/>
        </w:rPr>
      </w:pPr>
      <w:r>
        <w:rPr>
          <w:rFonts w:hint="eastAsia" w:ascii="宋体" w:hAnsi="宋体" w:cs="宋体"/>
          <w:b/>
          <w:bCs/>
          <w:color w:val="auto"/>
          <w:sz w:val="24"/>
          <w:szCs w:val="24"/>
          <w:highlight w:val="none"/>
        </w:rPr>
        <w:t>（3）若招标文件第三章所述内容与</w:t>
      </w:r>
      <w:r>
        <w:rPr>
          <w:rFonts w:hint="eastAsia" w:ascii="宋体" w:hAnsi="宋体" w:cs="宋体"/>
          <w:b/>
          <w:bCs/>
          <w:color w:val="auto"/>
          <w:sz w:val="24"/>
          <w:szCs w:val="24"/>
          <w:highlight w:val="none"/>
          <w:lang w:eastAsia="zh-CN"/>
        </w:rPr>
        <w:t>其他</w:t>
      </w:r>
      <w:r>
        <w:rPr>
          <w:rFonts w:hint="eastAsia" w:ascii="宋体" w:hAnsi="宋体" w:cs="宋体"/>
          <w:b/>
          <w:bCs/>
          <w:color w:val="auto"/>
          <w:sz w:val="24"/>
          <w:szCs w:val="24"/>
          <w:highlight w:val="none"/>
        </w:rPr>
        <w:t>部分的条款发生理解冲突，则以第三章所述内容为准；如招标文件发生变更，则相关条款的解释以更改通知为准。</w:t>
      </w:r>
    </w:p>
    <w:p w14:paraId="7B2037FB">
      <w:pPr>
        <w:pStyle w:val="11"/>
        <w:spacing w:after="0" w:line="360" w:lineRule="auto"/>
        <w:ind w:left="0"/>
        <w:rPr>
          <w:rFonts w:ascii="宋体" w:hAnsi="宋体" w:cs="宋体"/>
          <w:b/>
          <w:bCs/>
          <w:color w:val="auto"/>
          <w:sz w:val="24"/>
          <w:szCs w:val="24"/>
          <w:highlight w:val="none"/>
        </w:rPr>
      </w:pPr>
      <w:r>
        <w:rPr>
          <w:rFonts w:hint="eastAsia" w:ascii="宋体" w:hAnsi="宋体" w:cs="宋体"/>
          <w:b/>
          <w:bCs/>
          <w:color w:val="auto"/>
          <w:sz w:val="24"/>
          <w:szCs w:val="24"/>
          <w:highlight w:val="none"/>
        </w:rPr>
        <w:t>（4）经评标委员会认定要求澄清的证明文件必须在规定的时间内提供，否则其将不具有中标供应商的资格。</w:t>
      </w:r>
    </w:p>
    <w:p w14:paraId="64075755">
      <w:pPr>
        <w:spacing w:line="360" w:lineRule="auto"/>
        <w:rPr>
          <w:rFonts w:ascii="宋体" w:hAnsi="宋体" w:cs="宋体"/>
          <w:b/>
          <w:color w:val="auto"/>
          <w:sz w:val="24"/>
          <w:szCs w:val="24"/>
          <w:highlight w:val="none"/>
        </w:rPr>
      </w:pPr>
      <w:r>
        <w:rPr>
          <w:rFonts w:hint="eastAsia" w:ascii="宋体" w:hAnsi="宋体" w:cs="宋体"/>
          <w:b/>
          <w:bCs/>
          <w:color w:val="auto"/>
          <w:sz w:val="24"/>
          <w:szCs w:val="24"/>
          <w:highlight w:val="none"/>
        </w:rPr>
        <w:t>（5）本项目实行网下购买招标文件，投标人必须按招标文件要求递交纸质投标文件。</w:t>
      </w:r>
    </w:p>
    <w:p w14:paraId="606C5825">
      <w:pPr>
        <w:spacing w:line="360" w:lineRule="auto"/>
        <w:rPr>
          <w:rFonts w:ascii="宋体" w:hAnsi="宋体" w:cs="宋体"/>
          <w:b/>
          <w:bCs/>
          <w:color w:val="auto"/>
          <w:sz w:val="24"/>
          <w:szCs w:val="24"/>
          <w:highlight w:val="none"/>
        </w:rPr>
      </w:pPr>
      <w:r>
        <w:rPr>
          <w:rFonts w:hint="eastAsia" w:ascii="宋体" w:hAnsi="宋体" w:cs="宋体"/>
          <w:b/>
          <w:bCs/>
          <w:color w:val="auto"/>
          <w:sz w:val="24"/>
          <w:szCs w:val="24"/>
          <w:highlight w:val="none"/>
        </w:rPr>
        <w:t>（6）资格性证明文件请单独成册。</w:t>
      </w:r>
    </w:p>
    <w:p w14:paraId="7ADE306E">
      <w:pPr>
        <w:pStyle w:val="11"/>
        <w:spacing w:after="0" w:line="360" w:lineRule="auto"/>
        <w:ind w:left="0"/>
        <w:rPr>
          <w:rFonts w:ascii="宋体" w:hAnsi="宋体" w:cs="宋体"/>
          <w:b/>
          <w:bCs/>
          <w:color w:val="auto"/>
          <w:sz w:val="24"/>
          <w:szCs w:val="24"/>
          <w:highlight w:val="none"/>
        </w:rPr>
      </w:pPr>
    </w:p>
    <w:p w14:paraId="13917527">
      <w:pPr>
        <w:tabs>
          <w:tab w:val="left" w:pos="5130"/>
        </w:tabs>
        <w:spacing w:line="360" w:lineRule="auto"/>
        <w:ind w:firstLine="480" w:firstLineChars="200"/>
        <w:rPr>
          <w:rFonts w:ascii="宋体" w:hAnsi="宋体" w:cs="宋体"/>
          <w:color w:val="auto"/>
          <w:sz w:val="24"/>
          <w:szCs w:val="24"/>
          <w:highlight w:val="none"/>
        </w:rPr>
      </w:pPr>
    </w:p>
    <w:p w14:paraId="64F36CE9">
      <w:pPr>
        <w:tabs>
          <w:tab w:val="left" w:pos="5130"/>
        </w:tabs>
        <w:spacing w:line="360" w:lineRule="auto"/>
        <w:ind w:firstLine="480" w:firstLineChars="200"/>
        <w:rPr>
          <w:rFonts w:ascii="宋体" w:hAnsi="宋体" w:cs="宋体"/>
          <w:color w:val="auto"/>
          <w:sz w:val="24"/>
          <w:szCs w:val="24"/>
          <w:highlight w:val="none"/>
        </w:rPr>
      </w:pPr>
    </w:p>
    <w:p w14:paraId="2604E80F">
      <w:pPr>
        <w:tabs>
          <w:tab w:val="left" w:pos="5130"/>
        </w:tabs>
        <w:spacing w:line="360" w:lineRule="auto"/>
        <w:ind w:firstLine="480" w:firstLineChars="200"/>
        <w:rPr>
          <w:rFonts w:ascii="宋体" w:hAnsi="宋体" w:cs="宋体"/>
          <w:color w:val="auto"/>
          <w:sz w:val="24"/>
          <w:szCs w:val="24"/>
          <w:highlight w:val="none"/>
        </w:rPr>
      </w:pPr>
    </w:p>
    <w:p w14:paraId="791C49FE">
      <w:pPr>
        <w:tabs>
          <w:tab w:val="left" w:pos="5130"/>
        </w:tabs>
        <w:spacing w:line="360" w:lineRule="auto"/>
        <w:ind w:firstLine="480" w:firstLineChars="200"/>
        <w:rPr>
          <w:rFonts w:ascii="宋体" w:hAnsi="宋体" w:cs="宋体"/>
          <w:color w:val="auto"/>
          <w:sz w:val="24"/>
          <w:szCs w:val="24"/>
          <w:highlight w:val="none"/>
        </w:rPr>
      </w:pPr>
    </w:p>
    <w:p w14:paraId="481AE85D">
      <w:pPr>
        <w:tabs>
          <w:tab w:val="left" w:pos="5130"/>
        </w:tabs>
        <w:spacing w:line="360" w:lineRule="auto"/>
        <w:ind w:firstLine="480" w:firstLineChars="200"/>
        <w:rPr>
          <w:rFonts w:ascii="宋体" w:hAnsi="宋体" w:cs="宋体"/>
          <w:color w:val="auto"/>
          <w:sz w:val="24"/>
          <w:szCs w:val="24"/>
          <w:highlight w:val="none"/>
        </w:rPr>
      </w:pPr>
    </w:p>
    <w:p w14:paraId="5B07481A">
      <w:pPr>
        <w:tabs>
          <w:tab w:val="left" w:pos="5130"/>
        </w:tabs>
        <w:spacing w:line="360" w:lineRule="auto"/>
        <w:ind w:firstLine="480" w:firstLineChars="200"/>
        <w:rPr>
          <w:rFonts w:ascii="宋体" w:hAnsi="宋体" w:cs="宋体"/>
          <w:color w:val="auto"/>
          <w:sz w:val="24"/>
          <w:szCs w:val="24"/>
          <w:highlight w:val="none"/>
        </w:rPr>
      </w:pPr>
    </w:p>
    <w:p w14:paraId="571F9F5C">
      <w:pPr>
        <w:tabs>
          <w:tab w:val="left" w:pos="5130"/>
        </w:tabs>
        <w:spacing w:line="360" w:lineRule="auto"/>
        <w:ind w:firstLine="240" w:firstLineChars="100"/>
        <w:rPr>
          <w:rFonts w:ascii="宋体" w:hAnsi="宋体" w:cs="宋体"/>
          <w:color w:val="auto"/>
          <w:sz w:val="24"/>
          <w:szCs w:val="24"/>
          <w:highlight w:val="none"/>
        </w:rPr>
      </w:pPr>
    </w:p>
    <w:p w14:paraId="5AE00030">
      <w:pPr>
        <w:tabs>
          <w:tab w:val="left" w:pos="5130"/>
        </w:tabs>
        <w:spacing w:line="360" w:lineRule="auto"/>
        <w:ind w:firstLine="480" w:firstLineChars="200"/>
        <w:rPr>
          <w:rFonts w:ascii="宋体" w:hAnsi="宋体" w:cs="宋体"/>
          <w:color w:val="auto"/>
          <w:sz w:val="24"/>
          <w:szCs w:val="24"/>
          <w:highlight w:val="none"/>
        </w:rPr>
      </w:pPr>
    </w:p>
    <w:p w14:paraId="261C3D71">
      <w:pPr>
        <w:tabs>
          <w:tab w:val="left" w:pos="5130"/>
        </w:tabs>
        <w:spacing w:line="360" w:lineRule="auto"/>
        <w:rPr>
          <w:rFonts w:ascii="宋体" w:hAnsi="宋体" w:cs="宋体"/>
          <w:color w:val="auto"/>
          <w:sz w:val="24"/>
          <w:szCs w:val="24"/>
          <w:highlight w:val="none"/>
        </w:rPr>
      </w:pPr>
    </w:p>
    <w:p w14:paraId="6213EB11">
      <w:pPr>
        <w:tabs>
          <w:tab w:val="left" w:pos="5130"/>
        </w:tabs>
        <w:spacing w:line="360" w:lineRule="auto"/>
        <w:rPr>
          <w:rFonts w:ascii="宋体" w:hAnsi="宋体" w:cs="宋体"/>
          <w:color w:val="auto"/>
          <w:sz w:val="24"/>
          <w:szCs w:val="24"/>
          <w:highlight w:val="none"/>
        </w:rPr>
      </w:pPr>
    </w:p>
    <w:p w14:paraId="517C2ED8">
      <w:pPr>
        <w:tabs>
          <w:tab w:val="left" w:pos="5130"/>
        </w:tabs>
        <w:spacing w:line="360" w:lineRule="auto"/>
        <w:rPr>
          <w:rFonts w:ascii="宋体" w:hAnsi="宋体" w:cs="宋体"/>
          <w:color w:val="auto"/>
          <w:sz w:val="24"/>
          <w:szCs w:val="24"/>
          <w:highlight w:val="none"/>
        </w:rPr>
      </w:pPr>
    </w:p>
    <w:p w14:paraId="32DA2849">
      <w:pPr>
        <w:tabs>
          <w:tab w:val="left" w:pos="5130"/>
        </w:tabs>
        <w:spacing w:line="360" w:lineRule="auto"/>
        <w:rPr>
          <w:rFonts w:ascii="宋体" w:hAnsi="宋体" w:cs="宋体"/>
          <w:color w:val="auto"/>
          <w:sz w:val="24"/>
          <w:szCs w:val="24"/>
          <w:highlight w:val="none"/>
        </w:rPr>
      </w:pPr>
    </w:p>
    <w:p w14:paraId="4E35D265">
      <w:pPr>
        <w:tabs>
          <w:tab w:val="left" w:pos="5130"/>
        </w:tabs>
        <w:spacing w:line="360" w:lineRule="auto"/>
        <w:rPr>
          <w:rFonts w:ascii="宋体" w:hAnsi="宋体" w:cs="宋体"/>
          <w:color w:val="auto"/>
          <w:sz w:val="24"/>
          <w:szCs w:val="24"/>
          <w:highlight w:val="none"/>
        </w:rPr>
      </w:pPr>
    </w:p>
    <w:p w14:paraId="76B1B752">
      <w:pPr>
        <w:spacing w:line="360" w:lineRule="auto"/>
        <w:outlineLvl w:val="1"/>
        <w:rPr>
          <w:rFonts w:ascii="宋体" w:hAnsi="宋体" w:cs="宋体"/>
          <w:b/>
          <w:color w:val="auto"/>
          <w:sz w:val="24"/>
          <w:szCs w:val="24"/>
          <w:highlight w:val="none"/>
        </w:rPr>
      </w:pPr>
      <w:bookmarkStart w:id="88" w:name="_Toc9823"/>
      <w:r>
        <w:rPr>
          <w:rFonts w:hint="eastAsia" w:ascii="宋体" w:hAnsi="宋体" w:cs="宋体"/>
          <w:b/>
          <w:color w:val="auto"/>
          <w:sz w:val="24"/>
          <w:szCs w:val="24"/>
          <w:highlight w:val="none"/>
        </w:rPr>
        <w:t>一、项目概况</w:t>
      </w:r>
      <w:bookmarkEnd w:id="88"/>
    </w:p>
    <w:p w14:paraId="2AA06638">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1.项目背景</w:t>
      </w:r>
    </w:p>
    <w:p w14:paraId="456132D0">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本项目为食堂服务外包采购，共分为2个区域，分别为思明区展鸿路1</w:t>
      </w:r>
      <w:r>
        <w:rPr>
          <w:rFonts w:ascii="宋体" w:hAnsi="宋体"/>
          <w:color w:val="auto"/>
          <w:sz w:val="24"/>
          <w:szCs w:val="24"/>
          <w:highlight w:val="none"/>
        </w:rPr>
        <w:t>00</w:t>
      </w:r>
      <w:r>
        <w:rPr>
          <w:rFonts w:hint="eastAsia" w:ascii="宋体" w:hAnsi="宋体"/>
          <w:color w:val="auto"/>
          <w:sz w:val="24"/>
          <w:szCs w:val="24"/>
          <w:highlight w:val="none"/>
        </w:rPr>
        <w:t>号和翔安区黎林路</w:t>
      </w:r>
      <w:r>
        <w:rPr>
          <w:rFonts w:ascii="宋体" w:hAnsi="宋体"/>
          <w:color w:val="auto"/>
          <w:sz w:val="24"/>
          <w:szCs w:val="24"/>
          <w:highlight w:val="none"/>
        </w:rPr>
        <w:t>1699号</w:t>
      </w:r>
      <w:r>
        <w:rPr>
          <w:rFonts w:hint="eastAsia" w:ascii="宋体" w:hAnsi="宋体"/>
          <w:color w:val="auto"/>
          <w:sz w:val="24"/>
          <w:szCs w:val="24"/>
          <w:highlight w:val="none"/>
        </w:rPr>
        <w:t>。其中厦门市思明区展鸿路100号食堂含</w:t>
      </w:r>
      <w:r>
        <w:rPr>
          <w:rFonts w:ascii="宋体" w:hAnsi="宋体"/>
          <w:color w:val="auto"/>
          <w:sz w:val="24"/>
          <w:szCs w:val="24"/>
          <w:highlight w:val="none"/>
        </w:rPr>
        <w:t>5个工作区域，分别为仓库、厨房、餐厅</w:t>
      </w:r>
      <w:r>
        <w:rPr>
          <w:rFonts w:hint="eastAsia" w:ascii="宋体" w:hAnsi="宋体"/>
          <w:color w:val="auto"/>
          <w:sz w:val="24"/>
          <w:szCs w:val="24"/>
          <w:highlight w:val="none"/>
        </w:rPr>
        <w:t>、</w:t>
      </w:r>
      <w:r>
        <w:rPr>
          <w:rFonts w:ascii="宋体" w:hAnsi="宋体"/>
          <w:color w:val="auto"/>
          <w:sz w:val="24"/>
          <w:szCs w:val="24"/>
          <w:highlight w:val="none"/>
        </w:rPr>
        <w:t>售卖区</w:t>
      </w:r>
      <w:r>
        <w:rPr>
          <w:rFonts w:hint="eastAsia" w:ascii="宋体" w:hAnsi="宋体"/>
          <w:color w:val="auto"/>
          <w:sz w:val="24"/>
          <w:szCs w:val="24"/>
          <w:highlight w:val="none"/>
        </w:rPr>
        <w:t>和吧台</w:t>
      </w:r>
      <w:r>
        <w:rPr>
          <w:rFonts w:ascii="宋体" w:hAnsi="宋体"/>
          <w:color w:val="auto"/>
          <w:sz w:val="24"/>
          <w:szCs w:val="24"/>
          <w:highlight w:val="none"/>
        </w:rPr>
        <w:t>。厨房配备成套设备，使用管道天然气，有成套的排油烟系统。服务地点为中国人民银行厦门市</w:t>
      </w:r>
      <w:r>
        <w:rPr>
          <w:rFonts w:hint="eastAsia" w:ascii="宋体" w:hAnsi="宋体"/>
          <w:color w:val="auto"/>
          <w:sz w:val="24"/>
          <w:szCs w:val="24"/>
          <w:highlight w:val="none"/>
        </w:rPr>
        <w:t>分</w:t>
      </w:r>
      <w:r>
        <w:rPr>
          <w:rFonts w:ascii="宋体" w:hAnsi="宋体"/>
          <w:color w:val="auto"/>
          <w:sz w:val="24"/>
          <w:szCs w:val="24"/>
          <w:highlight w:val="none"/>
        </w:rPr>
        <w:t>行内。食堂人员配置总人数不得少于14名，至少包括项目经理、厨师长、锅台师傅、面点师等</w:t>
      </w:r>
      <w:r>
        <w:rPr>
          <w:rFonts w:hint="eastAsia" w:ascii="宋体" w:hAnsi="宋体"/>
          <w:color w:val="auto"/>
          <w:sz w:val="24"/>
          <w:szCs w:val="24"/>
          <w:highlight w:val="none"/>
        </w:rPr>
        <w:t>；翔安区黎林路</w:t>
      </w:r>
      <w:r>
        <w:rPr>
          <w:rFonts w:ascii="宋体" w:hAnsi="宋体"/>
          <w:color w:val="auto"/>
          <w:sz w:val="24"/>
          <w:szCs w:val="24"/>
          <w:highlight w:val="none"/>
        </w:rPr>
        <w:t>1699号</w:t>
      </w:r>
      <w:r>
        <w:rPr>
          <w:rFonts w:hint="eastAsia" w:ascii="宋体" w:hAnsi="宋体"/>
          <w:color w:val="auto"/>
          <w:sz w:val="24"/>
          <w:szCs w:val="24"/>
          <w:highlight w:val="none"/>
        </w:rPr>
        <w:t>食堂目前服务区域包含食品储存区、食品加工区、食品售卖区（含面档）、就餐区等。厨房配备成套设备，使用管道天然气，有成套的排油烟系统。食堂服务人员配置总人数不得少于5名，至少包含项目经理（兼仓管员）1名、厨师长1名、锅台师傅1名、厨工2名。</w:t>
      </w:r>
    </w:p>
    <w:p w14:paraId="27324C08">
      <w:pPr>
        <w:spacing w:line="360" w:lineRule="auto"/>
        <w:ind w:firstLine="480" w:firstLineChars="200"/>
        <w:rPr>
          <w:rFonts w:ascii="宋体" w:hAnsi="宋体"/>
          <w:color w:val="auto"/>
          <w:sz w:val="24"/>
          <w:szCs w:val="24"/>
          <w:highlight w:val="none"/>
          <w:lang w:val="zh-CN"/>
        </w:rPr>
      </w:pPr>
      <w:r>
        <w:rPr>
          <w:rFonts w:hint="eastAsia" w:ascii="宋体" w:hAnsi="宋体"/>
          <w:color w:val="auto"/>
          <w:sz w:val="24"/>
          <w:szCs w:val="24"/>
          <w:highlight w:val="none"/>
          <w:lang w:val="zh-CN"/>
        </w:rPr>
        <w:t>2.</w:t>
      </w:r>
      <w:r>
        <w:rPr>
          <w:rFonts w:hint="eastAsia" w:ascii="宋体" w:hAnsi="宋体"/>
          <w:color w:val="auto"/>
          <w:sz w:val="24"/>
          <w:szCs w:val="24"/>
          <w:highlight w:val="none"/>
        </w:rPr>
        <w:t>项目目标：</w:t>
      </w:r>
      <w:r>
        <w:rPr>
          <w:rFonts w:hint="eastAsia" w:ascii="宋体" w:hAnsi="宋体"/>
          <w:color w:val="auto"/>
          <w:sz w:val="24"/>
          <w:szCs w:val="24"/>
          <w:highlight w:val="none"/>
          <w:lang w:val="zh-CN"/>
        </w:rPr>
        <w:t>保障工作日职工餐饮三餐正点供应等服务。</w:t>
      </w:r>
    </w:p>
    <w:p w14:paraId="2E0E5570">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3.项目范围：食堂服务外包采购，共分为2个区域，分别为思明区展鸿路100号和翔安区黎林路1699号。</w:t>
      </w:r>
    </w:p>
    <w:p w14:paraId="21BBC082">
      <w:pPr>
        <w:spacing w:line="560" w:lineRule="exact"/>
        <w:jc w:val="left"/>
        <w:outlineLvl w:val="1"/>
        <w:rPr>
          <w:rFonts w:ascii="宋体" w:hAnsi="宋体" w:cs="宋体"/>
          <w:color w:val="auto"/>
          <w:sz w:val="24"/>
          <w:szCs w:val="24"/>
          <w:highlight w:val="none"/>
        </w:rPr>
      </w:pPr>
      <w:bookmarkStart w:id="89" w:name="_Toc25179"/>
      <w:r>
        <w:rPr>
          <w:rFonts w:hint="eastAsia" w:ascii="宋体" w:hAnsi="宋体" w:cs="宋体"/>
          <w:b/>
          <w:bCs/>
          <w:color w:val="auto"/>
          <w:sz w:val="24"/>
          <w:szCs w:val="24"/>
          <w:highlight w:val="none"/>
        </w:rPr>
        <w:t>二、技术商务要求</w:t>
      </w:r>
      <w:bookmarkEnd w:id="89"/>
    </w:p>
    <w:p w14:paraId="66C51E82">
      <w:pPr>
        <w:spacing w:line="360" w:lineRule="auto"/>
        <w:ind w:firstLine="482" w:firstLineChars="200"/>
        <w:jc w:val="left"/>
        <w:outlineLvl w:val="2"/>
        <w:rPr>
          <w:rFonts w:ascii="宋体" w:hAnsi="宋体" w:cs="宋体"/>
          <w:b/>
          <w:bCs/>
          <w:color w:val="auto"/>
          <w:sz w:val="24"/>
          <w:szCs w:val="24"/>
          <w:highlight w:val="none"/>
        </w:rPr>
      </w:pPr>
      <w:bookmarkStart w:id="90" w:name="_Toc23676"/>
      <w:r>
        <w:rPr>
          <w:rFonts w:hint="eastAsia" w:ascii="宋体" w:hAnsi="宋体" w:cs="宋体"/>
          <w:b/>
          <w:bCs/>
          <w:color w:val="auto"/>
          <w:sz w:val="24"/>
          <w:szCs w:val="24"/>
          <w:highlight w:val="none"/>
        </w:rPr>
        <w:t>1.技术要求</w:t>
      </w:r>
      <w:bookmarkEnd w:id="90"/>
    </w:p>
    <w:p w14:paraId="3EBF6031">
      <w:pPr>
        <w:keepNext/>
        <w:keepLines/>
        <w:tabs>
          <w:tab w:val="left" w:pos="308"/>
        </w:tabs>
        <w:spacing w:line="360" w:lineRule="auto"/>
        <w:ind w:firstLine="482" w:firstLineChars="200"/>
        <w:outlineLvl w:val="3"/>
        <w:rPr>
          <w:rFonts w:ascii="宋体" w:hAnsi="宋体" w:cs="宋体"/>
          <w:b/>
          <w:bCs/>
          <w:color w:val="auto"/>
          <w:sz w:val="24"/>
          <w:szCs w:val="24"/>
          <w:highlight w:val="none"/>
        </w:rPr>
      </w:pPr>
      <w:bookmarkStart w:id="91" w:name="_Toc24376846"/>
      <w:bookmarkStart w:id="92" w:name="_Toc532132987"/>
      <w:r>
        <w:rPr>
          <w:rFonts w:hint="eastAsia" w:ascii="宋体" w:hAnsi="宋体" w:cs="宋体"/>
          <w:b/>
          <w:bCs/>
          <w:color w:val="auto"/>
          <w:sz w:val="24"/>
          <w:szCs w:val="24"/>
          <w:highlight w:val="none"/>
        </w:rPr>
        <w:t>（1）食堂运营服务管理模式</w:t>
      </w:r>
      <w:bookmarkEnd w:id="91"/>
      <w:bookmarkEnd w:id="92"/>
    </w:p>
    <w:p w14:paraId="1B4D5434">
      <w:pPr>
        <w:tabs>
          <w:tab w:val="left" w:pos="0"/>
          <w:tab w:val="left" w:pos="851"/>
          <w:tab w:val="left" w:pos="938"/>
        </w:tabs>
        <w:spacing w:line="360" w:lineRule="auto"/>
        <w:ind w:firstLine="480" w:firstLineChars="200"/>
        <w:rPr>
          <w:rFonts w:ascii="宋体" w:hAnsi="宋体" w:cs="宋体"/>
          <w:color w:val="auto"/>
          <w:sz w:val="24"/>
          <w:szCs w:val="24"/>
          <w:highlight w:val="none"/>
          <w:lang w:val="zh-CN"/>
        </w:rPr>
      </w:pPr>
      <w:r>
        <w:rPr>
          <w:rFonts w:hint="eastAsia" w:ascii="宋体" w:hAnsi="宋体" w:cs="宋体"/>
          <w:color w:val="auto"/>
          <w:sz w:val="24"/>
          <w:szCs w:val="24"/>
          <w:highlight w:val="none"/>
        </w:rPr>
        <w:t>1.1</w:t>
      </w:r>
      <w:r>
        <w:rPr>
          <w:rFonts w:hint="eastAsia" w:ascii="宋体" w:hAnsi="宋体" w:cs="宋体"/>
          <w:color w:val="auto"/>
          <w:sz w:val="24"/>
          <w:szCs w:val="24"/>
          <w:highlight w:val="none"/>
          <w:lang w:val="zh-CN"/>
        </w:rPr>
        <w:t>食堂运营服务管理采取由采购人自管，餐饮企业服务输出方式运营，具体包括食堂餐饮管理、食堂卫生清洁等内容。</w:t>
      </w:r>
    </w:p>
    <w:p w14:paraId="06500150">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1.2</w:t>
      </w:r>
      <w:r>
        <w:rPr>
          <w:rFonts w:hint="eastAsia" w:ascii="宋体" w:hAnsi="宋体" w:cs="宋体"/>
          <w:color w:val="auto"/>
          <w:sz w:val="24"/>
          <w:szCs w:val="24"/>
          <w:highlight w:val="none"/>
          <w:lang w:val="zh-CN"/>
        </w:rPr>
        <w:t>食堂运营服务期限</w:t>
      </w:r>
      <w:r>
        <w:rPr>
          <w:rFonts w:hint="eastAsia" w:ascii="宋体" w:hAnsi="宋体" w:cs="宋体"/>
          <w:color w:val="auto"/>
          <w:sz w:val="24"/>
          <w:szCs w:val="24"/>
          <w:highlight w:val="none"/>
        </w:rPr>
        <w:t>为一年，预计服务时间为2026年7月1日至2027年6月30日</w:t>
      </w:r>
      <w:r>
        <w:rPr>
          <w:rFonts w:ascii="宋体" w:hAnsi="宋体" w:cs="宋体"/>
          <w:color w:val="auto"/>
          <w:sz w:val="24"/>
          <w:szCs w:val="24"/>
          <w:highlight w:val="none"/>
        </w:rPr>
        <w:t>。</w:t>
      </w:r>
    </w:p>
    <w:p w14:paraId="4C500817">
      <w:pPr>
        <w:numPr>
          <w:ilvl w:val="255"/>
          <w:numId w:val="0"/>
        </w:numPr>
        <w:spacing w:line="360" w:lineRule="auto"/>
        <w:ind w:firstLine="480" w:firstLineChars="200"/>
        <w:rPr>
          <w:rFonts w:ascii="宋体" w:hAnsi="宋体" w:cs="宋体"/>
          <w:color w:val="auto"/>
          <w:sz w:val="24"/>
          <w:szCs w:val="24"/>
          <w:highlight w:val="none"/>
          <w:lang w:val="zh-CN"/>
        </w:rPr>
      </w:pPr>
      <w:r>
        <w:rPr>
          <w:rFonts w:hint="eastAsia" w:ascii="宋体" w:hAnsi="宋体" w:cs="宋体"/>
          <w:color w:val="auto"/>
          <w:sz w:val="24"/>
          <w:szCs w:val="24"/>
          <w:highlight w:val="none"/>
        </w:rPr>
        <w:t>一年服务期满后，在预算资金有保障、服务价格不提高的前提下，采购人对中标人进行年度考核，考核得分在80分（含）以上的，合同续签；考核得分在60分（含）-80分之间的，由中标人书面承诺新年度的整改办法，并经采购人审核同意后方可续签下一年度服务外包合同。最多续签2次。考核得分在60分以下（不含60分），则采购人有权提前解除合同并相应扣除履约保证金。</w:t>
      </w:r>
    </w:p>
    <w:p w14:paraId="4BA5C34C">
      <w:pPr>
        <w:tabs>
          <w:tab w:val="left" w:pos="0"/>
          <w:tab w:val="left" w:pos="851"/>
          <w:tab w:val="left" w:pos="938"/>
        </w:tabs>
        <w:spacing w:line="360" w:lineRule="auto"/>
        <w:ind w:firstLine="480" w:firstLineChars="200"/>
        <w:rPr>
          <w:rFonts w:ascii="宋体" w:hAnsi="宋体" w:cs="宋体"/>
          <w:color w:val="auto"/>
          <w:sz w:val="24"/>
          <w:szCs w:val="24"/>
          <w:highlight w:val="none"/>
          <w:lang w:val="zh-CN"/>
        </w:rPr>
      </w:pPr>
      <w:r>
        <w:rPr>
          <w:rFonts w:hint="eastAsia" w:ascii="宋体" w:hAnsi="宋体" w:cs="宋体"/>
          <w:color w:val="auto"/>
          <w:sz w:val="24"/>
          <w:szCs w:val="24"/>
          <w:highlight w:val="none"/>
        </w:rPr>
        <w:t>1.3</w:t>
      </w:r>
      <w:r>
        <w:rPr>
          <w:rFonts w:hint="eastAsia" w:ascii="宋体" w:hAnsi="宋体" w:cs="宋体"/>
          <w:color w:val="auto"/>
          <w:sz w:val="24"/>
          <w:szCs w:val="24"/>
          <w:highlight w:val="none"/>
          <w:lang w:val="zh-CN"/>
        </w:rPr>
        <w:t>机关职工在食堂的消费方式：刷卡支付；用餐方式：半自助。未经许可，中标人不得收取现金。每周均需提前制定菜谱交由采购人确认后，方可予以公布。</w:t>
      </w:r>
    </w:p>
    <w:p w14:paraId="3D7A9201">
      <w:pPr>
        <w:tabs>
          <w:tab w:val="left" w:pos="0"/>
          <w:tab w:val="left" w:pos="851"/>
          <w:tab w:val="left" w:pos="938"/>
        </w:tabs>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1.4中标人中标后应积极配合采购人开展前期对接工作，确保履约流程顺畅及业务衔接有序，并按照投标文件中响应的人员配置要求，足额配备相关人员并开始提供服务。</w:t>
      </w:r>
    </w:p>
    <w:p w14:paraId="22A39DBA">
      <w:pPr>
        <w:keepNext/>
        <w:keepLines/>
        <w:tabs>
          <w:tab w:val="left" w:pos="308"/>
        </w:tabs>
        <w:spacing w:line="360" w:lineRule="auto"/>
        <w:ind w:firstLine="482" w:firstLineChars="200"/>
        <w:outlineLvl w:val="3"/>
        <w:rPr>
          <w:rFonts w:ascii="宋体" w:hAnsi="宋体" w:cs="宋体"/>
          <w:b/>
          <w:bCs/>
          <w:color w:val="auto"/>
          <w:sz w:val="24"/>
          <w:szCs w:val="24"/>
          <w:highlight w:val="none"/>
        </w:rPr>
      </w:pPr>
      <w:bookmarkStart w:id="93" w:name="_Toc24376847"/>
      <w:bookmarkStart w:id="94" w:name="_Toc497725387"/>
      <w:bookmarkStart w:id="95" w:name="_Toc532132988"/>
      <w:r>
        <w:rPr>
          <w:rFonts w:hint="eastAsia" w:ascii="宋体" w:hAnsi="宋体" w:cs="宋体"/>
          <w:b/>
          <w:bCs/>
          <w:color w:val="auto"/>
          <w:sz w:val="24"/>
          <w:szCs w:val="24"/>
          <w:highlight w:val="none"/>
        </w:rPr>
        <w:t>（2）用餐服务要求</w:t>
      </w:r>
      <w:bookmarkEnd w:id="93"/>
      <w:bookmarkEnd w:id="94"/>
      <w:bookmarkEnd w:id="95"/>
    </w:p>
    <w:p w14:paraId="0C79721F">
      <w:pPr>
        <w:tabs>
          <w:tab w:val="left" w:pos="0"/>
          <w:tab w:val="left" w:pos="851"/>
          <w:tab w:val="left" w:pos="938"/>
        </w:tabs>
        <w:spacing w:line="360" w:lineRule="auto"/>
        <w:ind w:firstLine="480" w:firstLineChars="200"/>
        <w:rPr>
          <w:rFonts w:ascii="宋体" w:hAnsi="宋体" w:cs="宋体"/>
          <w:color w:val="auto"/>
          <w:sz w:val="24"/>
          <w:szCs w:val="24"/>
          <w:highlight w:val="none"/>
          <w:lang w:val="zh-CN"/>
        </w:rPr>
      </w:pPr>
      <w:bookmarkStart w:id="96" w:name="_Toc423648786"/>
      <w:r>
        <w:rPr>
          <w:rFonts w:hint="eastAsia" w:ascii="宋体" w:hAnsi="宋体" w:cs="宋体"/>
          <w:color w:val="auto"/>
          <w:sz w:val="24"/>
          <w:szCs w:val="24"/>
          <w:highlight w:val="none"/>
        </w:rPr>
        <w:t>2.1</w:t>
      </w:r>
      <w:r>
        <w:rPr>
          <w:rFonts w:hint="eastAsia" w:ascii="宋体" w:hAnsi="宋体" w:cs="宋体"/>
          <w:color w:val="auto"/>
          <w:sz w:val="24"/>
          <w:szCs w:val="24"/>
          <w:highlight w:val="none"/>
          <w:lang w:val="zh-CN"/>
        </w:rPr>
        <w:t>服务时间：保障工作日职工餐饮三餐正点供应，早餐：7:00－8:30；中餐：11:45－13:00；晚餐：16:</w:t>
      </w:r>
      <w:r>
        <w:rPr>
          <w:rFonts w:hint="eastAsia" w:ascii="宋体" w:hAnsi="宋体" w:cs="宋体"/>
          <w:color w:val="auto"/>
          <w:sz w:val="24"/>
          <w:szCs w:val="24"/>
          <w:highlight w:val="none"/>
        </w:rPr>
        <w:t>45</w:t>
      </w:r>
      <w:r>
        <w:rPr>
          <w:rFonts w:hint="eastAsia" w:ascii="宋体" w:hAnsi="宋体" w:cs="宋体"/>
          <w:color w:val="auto"/>
          <w:sz w:val="24"/>
          <w:szCs w:val="24"/>
          <w:highlight w:val="none"/>
          <w:lang w:val="zh-CN"/>
        </w:rPr>
        <w:t>-18:30。</w:t>
      </w:r>
    </w:p>
    <w:p w14:paraId="735BC171">
      <w:pPr>
        <w:tabs>
          <w:tab w:val="left" w:pos="0"/>
          <w:tab w:val="left" w:pos="851"/>
          <w:tab w:val="left" w:pos="938"/>
        </w:tabs>
        <w:spacing w:line="360" w:lineRule="auto"/>
        <w:ind w:firstLine="480" w:firstLineChars="200"/>
        <w:rPr>
          <w:rFonts w:ascii="宋体" w:hAnsi="宋体" w:cs="宋体"/>
          <w:color w:val="auto"/>
          <w:sz w:val="24"/>
          <w:szCs w:val="24"/>
          <w:highlight w:val="none"/>
          <w:lang w:val="zh-CN"/>
        </w:rPr>
      </w:pPr>
      <w:r>
        <w:rPr>
          <w:rFonts w:hint="eastAsia" w:ascii="宋体" w:hAnsi="宋体" w:cs="宋体"/>
          <w:color w:val="auto"/>
          <w:sz w:val="24"/>
          <w:szCs w:val="24"/>
          <w:highlight w:val="none"/>
        </w:rPr>
        <w:t>2.2</w:t>
      </w:r>
      <w:r>
        <w:rPr>
          <w:rFonts w:hint="eastAsia" w:ascii="宋体" w:hAnsi="宋体" w:cs="宋体"/>
          <w:color w:val="auto"/>
          <w:sz w:val="24"/>
          <w:szCs w:val="24"/>
          <w:highlight w:val="none"/>
          <w:lang w:val="zh-CN"/>
        </w:rPr>
        <w:t>服务要求：在满足安全合规管理的要求下，应做到以下要求：</w:t>
      </w:r>
    </w:p>
    <w:p w14:paraId="32527892">
      <w:pPr>
        <w:tabs>
          <w:tab w:val="left" w:pos="0"/>
          <w:tab w:val="left" w:pos="851"/>
          <w:tab w:val="left" w:pos="938"/>
        </w:tabs>
        <w:spacing w:line="360" w:lineRule="auto"/>
        <w:ind w:firstLine="480" w:firstLineChars="200"/>
        <w:rPr>
          <w:rFonts w:ascii="宋体" w:hAnsi="宋体" w:cs="宋体"/>
          <w:color w:val="auto"/>
          <w:sz w:val="24"/>
          <w:szCs w:val="24"/>
          <w:highlight w:val="none"/>
          <w:lang w:val="zh-CN"/>
        </w:rPr>
      </w:pPr>
      <w:r>
        <w:rPr>
          <w:rFonts w:hint="eastAsia" w:ascii="宋体" w:hAnsi="宋体" w:cs="宋体"/>
          <w:color w:val="auto"/>
          <w:sz w:val="24"/>
          <w:szCs w:val="24"/>
          <w:highlight w:val="none"/>
        </w:rPr>
        <w:t>2.2.1</w:t>
      </w:r>
      <w:r>
        <w:rPr>
          <w:rFonts w:hint="eastAsia" w:ascii="宋体" w:hAnsi="宋体" w:cs="宋体"/>
          <w:color w:val="auto"/>
          <w:sz w:val="24"/>
          <w:szCs w:val="24"/>
          <w:highlight w:val="none"/>
          <w:lang w:val="zh-CN"/>
        </w:rPr>
        <w:t>食堂服务由中标人负责管理，不得转包，不得利用业主资产进行经营活动。</w:t>
      </w:r>
    </w:p>
    <w:p w14:paraId="79106370">
      <w:pPr>
        <w:tabs>
          <w:tab w:val="left" w:pos="0"/>
          <w:tab w:val="left" w:pos="851"/>
          <w:tab w:val="left" w:pos="938"/>
          <w:tab w:val="left" w:pos="1843"/>
        </w:tabs>
        <w:spacing w:line="360" w:lineRule="auto"/>
        <w:ind w:firstLine="480" w:firstLineChars="200"/>
        <w:rPr>
          <w:rFonts w:ascii="宋体" w:hAnsi="宋体" w:cs="宋体"/>
          <w:color w:val="auto"/>
          <w:sz w:val="24"/>
          <w:szCs w:val="24"/>
          <w:highlight w:val="none"/>
          <w:lang w:val="zh-CN"/>
        </w:rPr>
      </w:pPr>
      <w:r>
        <w:rPr>
          <w:rFonts w:hint="eastAsia" w:ascii="宋体" w:hAnsi="宋体" w:cs="宋体"/>
          <w:color w:val="auto"/>
          <w:sz w:val="24"/>
          <w:szCs w:val="24"/>
          <w:highlight w:val="none"/>
        </w:rPr>
        <w:t>2.2.2</w:t>
      </w:r>
      <w:r>
        <w:rPr>
          <w:rFonts w:hint="eastAsia" w:ascii="宋体" w:hAnsi="宋体" w:cs="宋体"/>
          <w:color w:val="auto"/>
          <w:sz w:val="24"/>
          <w:szCs w:val="24"/>
          <w:highlight w:val="none"/>
          <w:lang w:val="zh-CN"/>
        </w:rPr>
        <w:t>食堂工作人员由中标人自行安排，但均必须持有健康证，并保持相对稳定，若更换工作人员等情况须满足</w:t>
      </w:r>
      <w:r>
        <w:rPr>
          <w:rFonts w:hint="eastAsia" w:ascii="宋体" w:hAnsi="宋体" w:cs="宋体"/>
          <w:color w:val="auto"/>
          <w:sz w:val="24"/>
          <w:szCs w:val="24"/>
          <w:highlight w:val="none"/>
        </w:rPr>
        <w:t>6.1、6.2要求，且</w:t>
      </w:r>
      <w:r>
        <w:rPr>
          <w:rFonts w:hint="eastAsia" w:ascii="宋体" w:hAnsi="宋体" w:cs="宋体"/>
          <w:color w:val="auto"/>
          <w:sz w:val="24"/>
          <w:szCs w:val="24"/>
          <w:highlight w:val="none"/>
          <w:lang w:val="zh-CN"/>
        </w:rPr>
        <w:t>经采购人确认后方可更换，更换的工作人员在更换前须提供健康证、行政主管部门出具的无犯罪记录证明；卫生检疫、工作人员体检、伤残疾病等费用均由中标人自理。</w:t>
      </w:r>
    </w:p>
    <w:p w14:paraId="132E624B">
      <w:pPr>
        <w:tabs>
          <w:tab w:val="left" w:pos="0"/>
          <w:tab w:val="left" w:pos="851"/>
          <w:tab w:val="left" w:pos="938"/>
          <w:tab w:val="left" w:pos="1843"/>
        </w:tabs>
        <w:spacing w:line="360" w:lineRule="auto"/>
        <w:ind w:firstLine="480" w:firstLineChars="200"/>
        <w:rPr>
          <w:rFonts w:ascii="宋体" w:hAnsi="宋体" w:cs="宋体"/>
          <w:color w:val="auto"/>
          <w:sz w:val="24"/>
          <w:szCs w:val="24"/>
          <w:highlight w:val="none"/>
          <w:lang w:val="zh-CN"/>
        </w:rPr>
      </w:pPr>
      <w:r>
        <w:rPr>
          <w:rFonts w:hint="eastAsia" w:ascii="宋体" w:hAnsi="宋体" w:cs="宋体"/>
          <w:color w:val="auto"/>
          <w:sz w:val="24"/>
          <w:szCs w:val="24"/>
          <w:highlight w:val="none"/>
        </w:rPr>
        <w:t>2.2.3</w:t>
      </w:r>
      <w:r>
        <w:rPr>
          <w:rFonts w:hint="eastAsia" w:ascii="宋体" w:hAnsi="宋体" w:cs="宋体"/>
          <w:color w:val="auto"/>
          <w:sz w:val="24"/>
          <w:szCs w:val="24"/>
          <w:highlight w:val="none"/>
          <w:lang w:val="zh-CN"/>
        </w:rPr>
        <w:t>按不同季节，分早中晚安排适度的主、副食品种，花色品种应经常变化，根据每个季节的不同需求提供适合当季的菜品满足干部职工就餐需求。</w:t>
      </w:r>
    </w:p>
    <w:p w14:paraId="1E91BFB3">
      <w:pPr>
        <w:tabs>
          <w:tab w:val="left" w:pos="0"/>
          <w:tab w:val="left" w:pos="851"/>
          <w:tab w:val="left" w:pos="938"/>
          <w:tab w:val="left" w:pos="1843"/>
        </w:tabs>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2.2.4根据</w:t>
      </w:r>
      <w:r>
        <w:rPr>
          <w:rFonts w:hint="eastAsia" w:ascii="宋体" w:hAnsi="宋体" w:cs="宋体"/>
          <w:color w:val="auto"/>
          <w:sz w:val="24"/>
          <w:szCs w:val="24"/>
          <w:highlight w:val="none"/>
          <w:lang w:val="zh-CN"/>
        </w:rPr>
        <w:t>采购人</w:t>
      </w:r>
      <w:r>
        <w:rPr>
          <w:rFonts w:hint="eastAsia" w:ascii="宋体" w:hAnsi="宋体" w:cs="宋体"/>
          <w:color w:val="auto"/>
          <w:sz w:val="24"/>
          <w:szCs w:val="24"/>
          <w:highlight w:val="none"/>
        </w:rPr>
        <w:t>的要求在夏季期间，为职工免费提供凉茶。</w:t>
      </w:r>
    </w:p>
    <w:p w14:paraId="47E49F63">
      <w:pPr>
        <w:tabs>
          <w:tab w:val="left" w:pos="0"/>
          <w:tab w:val="left" w:pos="851"/>
          <w:tab w:val="left" w:pos="938"/>
          <w:tab w:val="left" w:pos="1843"/>
        </w:tabs>
        <w:spacing w:line="360" w:lineRule="auto"/>
        <w:ind w:firstLine="480" w:firstLineChars="200"/>
        <w:rPr>
          <w:rFonts w:ascii="宋体" w:hAnsi="宋体" w:cs="宋体"/>
          <w:color w:val="auto"/>
          <w:sz w:val="24"/>
          <w:szCs w:val="24"/>
          <w:highlight w:val="none"/>
          <w:lang w:val="zh-CN"/>
        </w:rPr>
      </w:pPr>
      <w:r>
        <w:rPr>
          <w:rFonts w:hint="eastAsia" w:ascii="宋体" w:hAnsi="宋体" w:cs="宋体"/>
          <w:color w:val="auto"/>
          <w:sz w:val="24"/>
          <w:szCs w:val="24"/>
          <w:highlight w:val="none"/>
        </w:rPr>
        <w:t>2.3</w:t>
      </w:r>
      <w:r>
        <w:rPr>
          <w:rFonts w:hint="eastAsia" w:ascii="宋体" w:hAnsi="宋体" w:cs="宋体"/>
          <w:color w:val="auto"/>
          <w:sz w:val="24"/>
          <w:szCs w:val="24"/>
          <w:highlight w:val="none"/>
          <w:lang w:val="zh-CN"/>
        </w:rPr>
        <w:t>特殊情况服务要求：</w:t>
      </w:r>
    </w:p>
    <w:p w14:paraId="1CE96BC8">
      <w:pPr>
        <w:tabs>
          <w:tab w:val="left" w:pos="0"/>
          <w:tab w:val="left" w:pos="851"/>
          <w:tab w:val="left" w:pos="938"/>
          <w:tab w:val="left" w:pos="1843"/>
        </w:tabs>
        <w:spacing w:line="360" w:lineRule="auto"/>
        <w:ind w:firstLine="480" w:firstLineChars="200"/>
        <w:rPr>
          <w:rFonts w:ascii="宋体" w:hAnsi="宋体" w:cs="宋体"/>
          <w:color w:val="auto"/>
          <w:sz w:val="24"/>
          <w:szCs w:val="24"/>
          <w:highlight w:val="none"/>
          <w:lang w:val="zh-CN"/>
        </w:rPr>
      </w:pPr>
      <w:r>
        <w:rPr>
          <w:rFonts w:hint="eastAsia" w:ascii="宋体" w:hAnsi="宋体" w:cs="宋体"/>
          <w:color w:val="auto"/>
          <w:sz w:val="24"/>
          <w:szCs w:val="24"/>
          <w:highlight w:val="none"/>
        </w:rPr>
        <w:t>2.3.1</w:t>
      </w:r>
      <w:r>
        <w:rPr>
          <w:rFonts w:hint="eastAsia" w:ascii="宋体" w:hAnsi="宋体" w:cs="宋体"/>
          <w:color w:val="auto"/>
          <w:sz w:val="24"/>
          <w:szCs w:val="24"/>
          <w:highlight w:val="none"/>
          <w:lang w:val="zh-CN"/>
        </w:rPr>
        <w:t>节假日工作用餐及各类工作用餐，中标人应根据采购人的要求提供服务，接受采购人的监督与指导。</w:t>
      </w:r>
    </w:p>
    <w:p w14:paraId="211D51AA">
      <w:pPr>
        <w:tabs>
          <w:tab w:val="left" w:pos="0"/>
          <w:tab w:val="left" w:pos="851"/>
          <w:tab w:val="left" w:pos="938"/>
          <w:tab w:val="left" w:pos="1843"/>
        </w:tabs>
        <w:spacing w:line="360" w:lineRule="auto"/>
        <w:ind w:firstLine="480" w:firstLineChars="200"/>
        <w:rPr>
          <w:rFonts w:ascii="宋体" w:hAnsi="宋体" w:cs="宋体"/>
          <w:color w:val="auto"/>
          <w:sz w:val="24"/>
          <w:szCs w:val="24"/>
          <w:highlight w:val="none"/>
          <w:lang w:val="zh-CN"/>
        </w:rPr>
      </w:pPr>
      <w:r>
        <w:rPr>
          <w:rFonts w:hint="eastAsia" w:ascii="宋体" w:hAnsi="宋体" w:cs="宋体"/>
          <w:color w:val="auto"/>
          <w:sz w:val="24"/>
          <w:szCs w:val="24"/>
          <w:highlight w:val="none"/>
        </w:rPr>
        <w:t>2.3.2</w:t>
      </w:r>
      <w:r>
        <w:rPr>
          <w:rFonts w:hint="eastAsia" w:ascii="宋体" w:hAnsi="宋体" w:cs="宋体"/>
          <w:color w:val="auto"/>
          <w:sz w:val="24"/>
          <w:szCs w:val="24"/>
          <w:highlight w:val="none"/>
          <w:lang w:val="zh-CN"/>
        </w:rPr>
        <w:t>中标人应在</w:t>
      </w:r>
      <w:r>
        <w:rPr>
          <w:rFonts w:hint="eastAsia" w:ascii="宋体" w:hAnsi="宋体"/>
          <w:color w:val="auto"/>
          <w:sz w:val="24"/>
          <w:szCs w:val="24"/>
          <w:highlight w:val="none"/>
          <w:lang w:val="zh-CN"/>
        </w:rPr>
        <w:t>元宵节、</w:t>
      </w:r>
      <w:r>
        <w:rPr>
          <w:rFonts w:hint="eastAsia" w:ascii="宋体" w:hAnsi="宋体" w:cs="宋体"/>
          <w:color w:val="auto"/>
          <w:sz w:val="24"/>
          <w:szCs w:val="24"/>
          <w:highlight w:val="none"/>
          <w:lang w:val="zh-CN"/>
        </w:rPr>
        <w:t>端午节、中秋节等传统节日期间应提前准备对应的传统节日特色食品，向职工提供服务</w:t>
      </w:r>
      <w:bookmarkEnd w:id="96"/>
      <w:r>
        <w:rPr>
          <w:rFonts w:hint="eastAsia" w:ascii="宋体" w:hAnsi="宋体" w:cs="宋体"/>
          <w:color w:val="auto"/>
          <w:sz w:val="24"/>
          <w:szCs w:val="24"/>
          <w:highlight w:val="none"/>
          <w:lang w:val="zh-CN"/>
        </w:rPr>
        <w:t>。</w:t>
      </w:r>
    </w:p>
    <w:p w14:paraId="10A11906">
      <w:pPr>
        <w:tabs>
          <w:tab w:val="left" w:pos="0"/>
          <w:tab w:val="left" w:pos="851"/>
          <w:tab w:val="left" w:pos="938"/>
          <w:tab w:val="left" w:pos="1843"/>
        </w:tabs>
        <w:spacing w:line="360" w:lineRule="auto"/>
        <w:ind w:firstLine="480" w:firstLineChars="200"/>
        <w:rPr>
          <w:rFonts w:ascii="宋体" w:hAnsi="宋体" w:cs="宋体"/>
          <w:color w:val="auto"/>
          <w:sz w:val="24"/>
          <w:szCs w:val="24"/>
          <w:highlight w:val="none"/>
          <w:lang w:val="zh-CN"/>
        </w:rPr>
      </w:pPr>
      <w:r>
        <w:rPr>
          <w:rFonts w:hint="eastAsia" w:ascii="宋体" w:hAnsi="宋体" w:cs="宋体"/>
          <w:color w:val="auto"/>
          <w:sz w:val="24"/>
          <w:szCs w:val="24"/>
          <w:highlight w:val="none"/>
        </w:rPr>
        <w:t>2.3.3</w:t>
      </w:r>
      <w:r>
        <w:rPr>
          <w:rFonts w:hint="eastAsia" w:ascii="宋体" w:hAnsi="宋体" w:cs="宋体"/>
          <w:color w:val="auto"/>
          <w:sz w:val="24"/>
          <w:szCs w:val="24"/>
          <w:highlight w:val="none"/>
          <w:lang w:val="zh-CN"/>
        </w:rPr>
        <w:t>若出现临时性突发情况</w:t>
      </w:r>
      <w:r>
        <w:rPr>
          <w:rFonts w:hint="eastAsia" w:ascii="宋体" w:hAnsi="宋体"/>
          <w:color w:val="auto"/>
          <w:sz w:val="24"/>
          <w:szCs w:val="24"/>
          <w:highlight w:val="none"/>
          <w:lang w:val="zh-CN"/>
        </w:rPr>
        <w:t>需</w:t>
      </w:r>
      <w:r>
        <w:rPr>
          <w:rFonts w:hint="eastAsia" w:ascii="宋体" w:hAnsi="宋体" w:cs="宋体"/>
          <w:color w:val="auto"/>
          <w:sz w:val="24"/>
          <w:szCs w:val="24"/>
          <w:highlight w:val="none"/>
          <w:lang w:val="zh-CN"/>
        </w:rPr>
        <w:t>中标人配合，中标人应无条件积极配合采购人应对突发情况。</w:t>
      </w:r>
    </w:p>
    <w:p w14:paraId="7DB578F7">
      <w:pPr>
        <w:tabs>
          <w:tab w:val="left" w:pos="0"/>
          <w:tab w:val="left" w:pos="851"/>
          <w:tab w:val="left" w:pos="938"/>
          <w:tab w:val="left" w:pos="1843"/>
        </w:tabs>
        <w:spacing w:line="360" w:lineRule="auto"/>
        <w:ind w:firstLine="480" w:firstLineChars="200"/>
        <w:rPr>
          <w:rFonts w:ascii="宋体" w:hAnsi="宋体" w:cs="宋体"/>
          <w:color w:val="auto"/>
          <w:sz w:val="24"/>
          <w:szCs w:val="24"/>
          <w:highlight w:val="none"/>
          <w:lang w:val="zh-CN"/>
        </w:rPr>
      </w:pPr>
      <w:r>
        <w:rPr>
          <w:rFonts w:hint="eastAsia" w:ascii="宋体" w:hAnsi="宋体" w:cs="宋体"/>
          <w:color w:val="auto"/>
          <w:sz w:val="24"/>
          <w:szCs w:val="24"/>
          <w:highlight w:val="none"/>
        </w:rPr>
        <w:t>2.3.4</w:t>
      </w:r>
      <w:r>
        <w:rPr>
          <w:rFonts w:hint="eastAsia" w:ascii="宋体" w:hAnsi="宋体" w:cs="宋体"/>
          <w:color w:val="auto"/>
          <w:sz w:val="24"/>
          <w:szCs w:val="24"/>
          <w:highlight w:val="none"/>
          <w:lang w:val="zh-CN"/>
        </w:rPr>
        <w:t>出现食物中毒的紧急预案及处理措施。</w:t>
      </w:r>
    </w:p>
    <w:p w14:paraId="06CE7082">
      <w:pPr>
        <w:keepNext/>
        <w:keepLines/>
        <w:tabs>
          <w:tab w:val="left" w:pos="308"/>
        </w:tabs>
        <w:spacing w:line="360" w:lineRule="auto"/>
        <w:ind w:firstLine="482" w:firstLineChars="200"/>
        <w:outlineLvl w:val="3"/>
        <w:rPr>
          <w:rFonts w:ascii="宋体" w:hAnsi="宋体" w:cs="宋体"/>
          <w:b/>
          <w:bCs/>
          <w:color w:val="auto"/>
          <w:sz w:val="24"/>
          <w:szCs w:val="24"/>
          <w:highlight w:val="none"/>
        </w:rPr>
      </w:pPr>
      <w:bookmarkStart w:id="97" w:name="_Toc513826578"/>
      <w:bookmarkStart w:id="98" w:name="_Toc24376848"/>
      <w:r>
        <w:rPr>
          <w:rFonts w:hint="eastAsia" w:ascii="宋体" w:hAnsi="宋体" w:cs="宋体"/>
          <w:b/>
          <w:bCs/>
          <w:color w:val="auto"/>
          <w:sz w:val="24"/>
          <w:szCs w:val="24"/>
          <w:highlight w:val="none"/>
        </w:rPr>
        <w:t>（3）用餐要求</w:t>
      </w:r>
    </w:p>
    <w:p w14:paraId="0A507C1F">
      <w:pPr>
        <w:tabs>
          <w:tab w:val="left" w:pos="0"/>
          <w:tab w:val="left" w:pos="851"/>
          <w:tab w:val="left" w:pos="938"/>
        </w:tabs>
        <w:spacing w:line="360" w:lineRule="auto"/>
        <w:ind w:firstLine="482" w:firstLineChars="200"/>
        <w:rPr>
          <w:rFonts w:ascii="宋体" w:hAnsi="宋体" w:cs="宋体"/>
          <w:b/>
          <w:color w:val="auto"/>
          <w:sz w:val="24"/>
          <w:szCs w:val="24"/>
          <w:highlight w:val="none"/>
          <w:lang w:val="zh-CN"/>
        </w:rPr>
      </w:pPr>
      <w:r>
        <w:rPr>
          <w:rFonts w:hint="eastAsia" w:ascii="宋体" w:hAnsi="宋体" w:cs="宋体"/>
          <w:b/>
          <w:color w:val="auto"/>
          <w:sz w:val="24"/>
          <w:szCs w:val="24"/>
          <w:highlight w:val="none"/>
        </w:rPr>
        <w:t>用餐方式要求：</w:t>
      </w:r>
      <w:r>
        <w:rPr>
          <w:rFonts w:hint="eastAsia" w:ascii="宋体" w:hAnsi="宋体" w:cs="宋体"/>
          <w:b/>
          <w:color w:val="auto"/>
          <w:sz w:val="24"/>
          <w:szCs w:val="24"/>
          <w:highlight w:val="none"/>
          <w:lang w:val="zh-CN"/>
        </w:rPr>
        <w:t>目前采购人就餐方式为点餐与套餐结合。食堂销售的各类主、副食品，必须符合规定的质量标准，做到质量高、分量足、热菜、热饭，注重食品的营养搭配，最大限度满足不同地区人群的口味，要求做到以下要求：</w:t>
      </w:r>
    </w:p>
    <w:p w14:paraId="564B94FD">
      <w:pPr>
        <w:tabs>
          <w:tab w:val="left" w:pos="0"/>
          <w:tab w:val="left" w:pos="851"/>
          <w:tab w:val="left" w:pos="938"/>
        </w:tabs>
        <w:spacing w:line="360" w:lineRule="auto"/>
        <w:ind w:firstLine="480" w:firstLineChars="200"/>
        <w:rPr>
          <w:rFonts w:ascii="宋体" w:hAnsi="宋体" w:cs="宋体"/>
          <w:color w:val="auto"/>
          <w:sz w:val="24"/>
          <w:szCs w:val="24"/>
          <w:highlight w:val="none"/>
          <w:lang w:val="zh-CN"/>
        </w:rPr>
      </w:pPr>
      <w:r>
        <w:rPr>
          <w:rFonts w:hint="eastAsia" w:ascii="宋体" w:hAnsi="宋体" w:cs="宋体"/>
          <w:color w:val="auto"/>
          <w:sz w:val="24"/>
          <w:szCs w:val="24"/>
          <w:highlight w:val="none"/>
        </w:rPr>
        <w:t>3.1</w:t>
      </w:r>
      <w:r>
        <w:rPr>
          <w:rFonts w:hint="eastAsia" w:ascii="宋体" w:hAnsi="宋体" w:cs="宋体"/>
          <w:color w:val="auto"/>
          <w:sz w:val="24"/>
          <w:szCs w:val="24"/>
          <w:highlight w:val="none"/>
          <w:lang w:val="zh-CN"/>
        </w:rPr>
        <w:t>早餐：二荤菜（鸡蛋、鱼、肉类）、四种蔬菜、咸菜若干；二种粥、面线糊、豆浆等；馒头、包子、粗粮、面包、蛋糕等主食糕点。</w:t>
      </w:r>
    </w:p>
    <w:p w14:paraId="398253B1">
      <w:pPr>
        <w:tabs>
          <w:tab w:val="left" w:pos="0"/>
          <w:tab w:val="left" w:pos="851"/>
          <w:tab w:val="left" w:pos="938"/>
        </w:tabs>
        <w:spacing w:line="360" w:lineRule="auto"/>
        <w:ind w:firstLine="480" w:firstLineChars="200"/>
        <w:rPr>
          <w:rFonts w:ascii="宋体" w:hAnsi="宋体" w:cs="宋体"/>
          <w:color w:val="auto"/>
          <w:sz w:val="24"/>
          <w:szCs w:val="24"/>
          <w:highlight w:val="none"/>
          <w:lang w:val="zh-CN"/>
        </w:rPr>
      </w:pPr>
      <w:r>
        <w:rPr>
          <w:rFonts w:hint="eastAsia" w:ascii="宋体" w:hAnsi="宋体" w:cs="宋体"/>
          <w:color w:val="auto"/>
          <w:sz w:val="24"/>
          <w:szCs w:val="24"/>
          <w:highlight w:val="none"/>
        </w:rPr>
        <w:t>3.2</w:t>
      </w:r>
      <w:r>
        <w:rPr>
          <w:rFonts w:hint="eastAsia" w:ascii="宋体" w:hAnsi="宋体" w:cs="宋体"/>
          <w:color w:val="auto"/>
          <w:sz w:val="24"/>
          <w:szCs w:val="24"/>
          <w:highlight w:val="none"/>
          <w:lang w:val="zh-CN"/>
        </w:rPr>
        <w:t>中餐：三主荤（鱼、肉类）、三副荤、两种蔬菜、两种汤类、水果、糕点等。其中翔安食堂中餐为二主荤、二副荤、一素。</w:t>
      </w:r>
    </w:p>
    <w:p w14:paraId="7843BB0E">
      <w:pPr>
        <w:tabs>
          <w:tab w:val="left" w:pos="0"/>
          <w:tab w:val="left" w:pos="851"/>
          <w:tab w:val="left" w:pos="938"/>
        </w:tabs>
        <w:spacing w:line="360" w:lineRule="auto"/>
        <w:ind w:firstLine="480" w:firstLineChars="200"/>
        <w:rPr>
          <w:rFonts w:ascii="宋体" w:hAnsi="宋体" w:cs="宋体"/>
          <w:color w:val="auto"/>
          <w:sz w:val="24"/>
          <w:szCs w:val="24"/>
          <w:highlight w:val="none"/>
          <w:lang w:val="zh-CN"/>
        </w:rPr>
      </w:pPr>
      <w:r>
        <w:rPr>
          <w:rFonts w:hint="eastAsia" w:ascii="宋体" w:hAnsi="宋体" w:cs="宋体"/>
          <w:color w:val="auto"/>
          <w:sz w:val="24"/>
          <w:szCs w:val="24"/>
          <w:highlight w:val="none"/>
        </w:rPr>
        <w:t>3.3</w:t>
      </w:r>
      <w:r>
        <w:rPr>
          <w:rFonts w:hint="eastAsia" w:ascii="宋体" w:hAnsi="宋体" w:cs="宋体"/>
          <w:color w:val="auto"/>
          <w:sz w:val="24"/>
          <w:szCs w:val="24"/>
          <w:highlight w:val="none"/>
          <w:lang w:val="zh-CN"/>
        </w:rPr>
        <w:t>晚餐：四荤四素，米饭、稀饭、糕点等。</w:t>
      </w:r>
    </w:p>
    <w:p w14:paraId="3C3CF258">
      <w:pPr>
        <w:tabs>
          <w:tab w:val="left" w:pos="0"/>
          <w:tab w:val="left" w:pos="851"/>
          <w:tab w:val="left" w:pos="938"/>
        </w:tabs>
        <w:spacing w:line="360" w:lineRule="auto"/>
        <w:ind w:firstLine="480" w:firstLineChars="200"/>
        <w:rPr>
          <w:rFonts w:ascii="宋体" w:hAnsi="宋体" w:cs="宋体"/>
          <w:color w:val="auto"/>
          <w:sz w:val="24"/>
          <w:szCs w:val="24"/>
          <w:highlight w:val="none"/>
          <w:lang w:val="zh-CN"/>
        </w:rPr>
      </w:pPr>
      <w:r>
        <w:rPr>
          <w:rFonts w:hint="eastAsia" w:ascii="宋体" w:hAnsi="宋体" w:cs="宋体"/>
          <w:color w:val="auto"/>
          <w:sz w:val="24"/>
          <w:szCs w:val="24"/>
          <w:highlight w:val="none"/>
        </w:rPr>
        <w:t>3.4</w:t>
      </w:r>
      <w:r>
        <w:rPr>
          <w:rFonts w:hint="eastAsia" w:ascii="宋体" w:hAnsi="宋体" w:cs="宋体"/>
          <w:color w:val="auto"/>
          <w:sz w:val="24"/>
          <w:szCs w:val="24"/>
          <w:highlight w:val="none"/>
          <w:lang w:val="zh-CN"/>
        </w:rPr>
        <w:t>每天提供馒头、包子、面包、蛋糕等外带糕点食品。</w:t>
      </w:r>
    </w:p>
    <w:p w14:paraId="50E74DB2">
      <w:pPr>
        <w:tabs>
          <w:tab w:val="left" w:pos="0"/>
          <w:tab w:val="left" w:pos="851"/>
          <w:tab w:val="left" w:pos="938"/>
        </w:tabs>
        <w:spacing w:line="360" w:lineRule="auto"/>
        <w:ind w:firstLine="480" w:firstLineChars="200"/>
        <w:rPr>
          <w:rFonts w:ascii="宋体" w:hAnsi="宋体" w:cs="宋体"/>
          <w:color w:val="auto"/>
          <w:sz w:val="24"/>
          <w:szCs w:val="24"/>
          <w:highlight w:val="none"/>
          <w:lang w:val="zh-CN"/>
        </w:rPr>
      </w:pPr>
      <w:r>
        <w:rPr>
          <w:rFonts w:hint="eastAsia" w:ascii="宋体" w:hAnsi="宋体" w:cs="宋体"/>
          <w:color w:val="auto"/>
          <w:sz w:val="24"/>
          <w:szCs w:val="24"/>
          <w:highlight w:val="none"/>
        </w:rPr>
        <w:t>3.5</w:t>
      </w:r>
      <w:r>
        <w:rPr>
          <w:rFonts w:hint="eastAsia" w:ascii="宋体" w:hAnsi="宋体" w:cs="宋体"/>
          <w:color w:val="auto"/>
          <w:sz w:val="24"/>
          <w:szCs w:val="24"/>
          <w:highlight w:val="none"/>
          <w:lang w:val="zh-CN"/>
        </w:rPr>
        <w:t>提供外带食品的打包服务（无须配送）。</w:t>
      </w:r>
    </w:p>
    <w:p w14:paraId="74D04290">
      <w:pPr>
        <w:tabs>
          <w:tab w:val="left" w:pos="0"/>
          <w:tab w:val="left" w:pos="851"/>
          <w:tab w:val="left" w:pos="938"/>
        </w:tabs>
        <w:spacing w:line="360" w:lineRule="auto"/>
        <w:ind w:firstLine="480" w:firstLineChars="200"/>
        <w:rPr>
          <w:rFonts w:ascii="宋体" w:hAnsi="宋体" w:cs="宋体"/>
          <w:color w:val="auto"/>
          <w:sz w:val="24"/>
          <w:szCs w:val="24"/>
          <w:highlight w:val="none"/>
          <w:lang w:val="zh-CN"/>
        </w:rPr>
      </w:pPr>
      <w:r>
        <w:rPr>
          <w:rFonts w:hint="eastAsia" w:ascii="宋体" w:hAnsi="宋体" w:cs="宋体"/>
          <w:color w:val="auto"/>
          <w:sz w:val="24"/>
          <w:szCs w:val="24"/>
          <w:highlight w:val="none"/>
        </w:rPr>
        <w:t>3.6</w:t>
      </w:r>
      <w:r>
        <w:rPr>
          <w:rFonts w:hint="eastAsia" w:ascii="宋体" w:hAnsi="宋体" w:cs="宋体"/>
          <w:color w:val="auto"/>
          <w:sz w:val="24"/>
          <w:szCs w:val="24"/>
          <w:highlight w:val="none"/>
          <w:lang w:val="zh-CN"/>
        </w:rPr>
        <w:t>吧台提供咖啡、甜汤、香肠、冰淇淋之类辅助食品。</w:t>
      </w:r>
    </w:p>
    <w:p w14:paraId="345520BE">
      <w:pPr>
        <w:tabs>
          <w:tab w:val="left" w:pos="0"/>
          <w:tab w:val="left" w:pos="851"/>
          <w:tab w:val="left" w:pos="938"/>
        </w:tabs>
        <w:spacing w:line="360" w:lineRule="auto"/>
        <w:ind w:firstLine="482" w:firstLineChars="200"/>
        <w:rPr>
          <w:rFonts w:ascii="宋体" w:hAnsi="宋体" w:cs="宋体"/>
          <w:b/>
          <w:color w:val="auto"/>
          <w:sz w:val="24"/>
          <w:szCs w:val="24"/>
          <w:highlight w:val="none"/>
          <w:lang w:val="zh-CN"/>
        </w:rPr>
      </w:pPr>
      <w:r>
        <w:rPr>
          <w:rFonts w:hint="eastAsia" w:ascii="宋体" w:hAnsi="宋体" w:cs="宋体"/>
          <w:b/>
          <w:color w:val="auto"/>
          <w:sz w:val="24"/>
          <w:szCs w:val="24"/>
          <w:highlight w:val="none"/>
          <w:lang w:val="zh-CN"/>
        </w:rPr>
        <w:t>注：上述需求仅供参考，在合同执行期限视实际情况酌情调整。</w:t>
      </w:r>
    </w:p>
    <w:p w14:paraId="03FCAD65">
      <w:pPr>
        <w:keepNext/>
        <w:keepLines/>
        <w:tabs>
          <w:tab w:val="left" w:pos="308"/>
        </w:tabs>
        <w:spacing w:line="360" w:lineRule="auto"/>
        <w:ind w:firstLine="482" w:firstLineChars="200"/>
        <w:outlineLvl w:val="3"/>
        <w:rPr>
          <w:rFonts w:ascii="宋体" w:hAnsi="宋体" w:cs="宋体"/>
          <w:b/>
          <w:bCs/>
          <w:color w:val="auto"/>
          <w:sz w:val="24"/>
          <w:szCs w:val="24"/>
          <w:highlight w:val="none"/>
        </w:rPr>
      </w:pPr>
      <w:r>
        <w:rPr>
          <w:rFonts w:hint="eastAsia" w:ascii="宋体" w:hAnsi="宋体" w:cs="宋体"/>
          <w:b/>
          <w:bCs/>
          <w:color w:val="auto"/>
          <w:sz w:val="24"/>
          <w:szCs w:val="24"/>
          <w:highlight w:val="none"/>
        </w:rPr>
        <w:t>（4）其它</w:t>
      </w:r>
      <w:bookmarkEnd w:id="97"/>
      <w:r>
        <w:rPr>
          <w:rFonts w:hint="eastAsia" w:ascii="宋体" w:hAnsi="宋体" w:cs="宋体"/>
          <w:b/>
          <w:bCs/>
          <w:color w:val="auto"/>
          <w:sz w:val="24"/>
          <w:szCs w:val="24"/>
          <w:highlight w:val="none"/>
        </w:rPr>
        <w:t>要求</w:t>
      </w:r>
      <w:bookmarkEnd w:id="98"/>
    </w:p>
    <w:p w14:paraId="01C1B55B">
      <w:pPr>
        <w:tabs>
          <w:tab w:val="left" w:pos="0"/>
          <w:tab w:val="left" w:pos="851"/>
          <w:tab w:val="left" w:pos="938"/>
        </w:tabs>
        <w:spacing w:line="360" w:lineRule="auto"/>
        <w:ind w:firstLine="480" w:firstLineChars="200"/>
        <w:rPr>
          <w:rFonts w:ascii="宋体" w:hAnsi="宋体" w:cs="宋体"/>
          <w:color w:val="auto"/>
          <w:sz w:val="24"/>
          <w:szCs w:val="24"/>
          <w:highlight w:val="none"/>
          <w:lang w:val="zh-CN"/>
        </w:rPr>
      </w:pPr>
      <w:r>
        <w:rPr>
          <w:rFonts w:hint="eastAsia" w:ascii="宋体" w:hAnsi="宋体" w:cs="宋体"/>
          <w:color w:val="auto"/>
          <w:sz w:val="24"/>
          <w:szCs w:val="24"/>
          <w:highlight w:val="none"/>
        </w:rPr>
        <w:t>4.1</w:t>
      </w:r>
      <w:r>
        <w:rPr>
          <w:rFonts w:hint="eastAsia" w:ascii="宋体" w:hAnsi="宋体" w:cs="宋体"/>
          <w:color w:val="auto"/>
          <w:sz w:val="24"/>
          <w:szCs w:val="24"/>
          <w:highlight w:val="none"/>
          <w:lang w:val="zh-CN"/>
        </w:rPr>
        <w:t>本次招标为整体采购项目，不允许转包、分包，不得将权利、义务转予第三方。</w:t>
      </w:r>
    </w:p>
    <w:p w14:paraId="2D241692">
      <w:pPr>
        <w:tabs>
          <w:tab w:val="left" w:pos="0"/>
          <w:tab w:val="left" w:pos="851"/>
          <w:tab w:val="left" w:pos="938"/>
        </w:tabs>
        <w:spacing w:line="360" w:lineRule="auto"/>
        <w:ind w:firstLine="480" w:firstLineChars="200"/>
        <w:rPr>
          <w:rFonts w:ascii="宋体" w:hAnsi="宋体" w:cs="宋体"/>
          <w:color w:val="auto"/>
          <w:sz w:val="24"/>
          <w:szCs w:val="24"/>
          <w:highlight w:val="none"/>
          <w:lang w:val="zh-CN"/>
        </w:rPr>
      </w:pPr>
      <w:r>
        <w:rPr>
          <w:rFonts w:hint="eastAsia" w:ascii="宋体" w:hAnsi="宋体" w:cs="宋体"/>
          <w:color w:val="auto"/>
          <w:sz w:val="24"/>
          <w:szCs w:val="24"/>
          <w:highlight w:val="none"/>
        </w:rPr>
        <w:t>4.2</w:t>
      </w:r>
      <w:r>
        <w:rPr>
          <w:rFonts w:hint="eastAsia" w:ascii="宋体" w:hAnsi="宋体" w:cs="宋体"/>
          <w:color w:val="auto"/>
          <w:sz w:val="24"/>
          <w:szCs w:val="24"/>
          <w:highlight w:val="none"/>
          <w:lang w:val="zh-CN"/>
        </w:rPr>
        <w:t>投标人提供的服务内容、业务流程、执行标准及规范等必须符合国家相关法律、法规、行业标准或规范要求。</w:t>
      </w:r>
    </w:p>
    <w:p w14:paraId="09999905">
      <w:pPr>
        <w:tabs>
          <w:tab w:val="left" w:pos="0"/>
          <w:tab w:val="left" w:pos="851"/>
          <w:tab w:val="left" w:pos="938"/>
        </w:tabs>
        <w:spacing w:line="360" w:lineRule="auto"/>
        <w:ind w:firstLine="480" w:firstLineChars="200"/>
        <w:rPr>
          <w:rFonts w:ascii="宋体" w:hAnsi="宋体" w:cs="宋体"/>
          <w:color w:val="auto"/>
          <w:sz w:val="24"/>
          <w:szCs w:val="24"/>
          <w:highlight w:val="none"/>
          <w:lang w:val="zh-CN"/>
        </w:rPr>
      </w:pPr>
      <w:r>
        <w:rPr>
          <w:rFonts w:hint="eastAsia" w:ascii="宋体" w:hAnsi="宋体" w:cs="宋体"/>
          <w:color w:val="auto"/>
          <w:sz w:val="24"/>
          <w:szCs w:val="24"/>
          <w:highlight w:val="none"/>
        </w:rPr>
        <w:t>4.3</w:t>
      </w:r>
      <w:r>
        <w:rPr>
          <w:rFonts w:hint="eastAsia" w:ascii="宋体" w:hAnsi="宋体" w:cs="宋体"/>
          <w:color w:val="auto"/>
          <w:sz w:val="24"/>
          <w:szCs w:val="24"/>
          <w:highlight w:val="none"/>
          <w:lang w:val="zh-CN"/>
        </w:rPr>
        <w:t>投标人须明确承诺管理人员和服务人员等员工的工资待遇、福利保障措施等员工保障内容，并在投标</w:t>
      </w:r>
      <w:r>
        <w:rPr>
          <w:rFonts w:hint="eastAsia" w:ascii="宋体" w:hAnsi="宋体" w:cs="宋体"/>
          <w:color w:val="auto"/>
          <w:sz w:val="24"/>
          <w:szCs w:val="24"/>
          <w:highlight w:val="none"/>
        </w:rPr>
        <w:t>文件</w:t>
      </w:r>
      <w:r>
        <w:rPr>
          <w:rFonts w:hint="eastAsia" w:ascii="宋体" w:hAnsi="宋体" w:cs="宋体"/>
          <w:color w:val="auto"/>
          <w:sz w:val="24"/>
          <w:szCs w:val="24"/>
          <w:highlight w:val="none"/>
          <w:lang w:val="zh-CN"/>
        </w:rPr>
        <w:t>中提供详实的人员</w:t>
      </w:r>
      <w:r>
        <w:rPr>
          <w:rFonts w:hint="eastAsia" w:ascii="宋体" w:hAnsi="宋体" w:cs="宋体"/>
          <w:color w:val="auto"/>
          <w:sz w:val="24"/>
          <w:szCs w:val="24"/>
          <w:highlight w:val="none"/>
        </w:rPr>
        <w:t>工资</w:t>
      </w:r>
      <w:r>
        <w:rPr>
          <w:rFonts w:hint="eastAsia" w:ascii="宋体" w:hAnsi="宋体" w:cs="宋体"/>
          <w:color w:val="auto"/>
          <w:sz w:val="24"/>
          <w:szCs w:val="24"/>
          <w:highlight w:val="none"/>
          <w:lang w:val="zh-CN"/>
        </w:rPr>
        <w:t>薪资结构（包括但不限于基本工资、奖金、其他补贴及福利保障内容）。中标后严格按照投标服务承诺执行，按要求提供员工社保缴交证明，否则按照相应的工资标准扣服务费。采购人将不定期进行员工工资及福利的抽查，若出现故意克扣员工工资、未按承诺要求提供员工福利，每次扣除投标人履约保证金的5%，逐次累加，连续出现二次或累计出现三次以上上述情况的，采购人有权终止合同并没收履约保证金。</w:t>
      </w:r>
    </w:p>
    <w:p w14:paraId="6799BE38">
      <w:pPr>
        <w:tabs>
          <w:tab w:val="left" w:pos="0"/>
          <w:tab w:val="left" w:pos="851"/>
          <w:tab w:val="left" w:pos="938"/>
        </w:tabs>
        <w:spacing w:line="360" w:lineRule="auto"/>
        <w:ind w:firstLine="480" w:firstLineChars="200"/>
        <w:rPr>
          <w:rFonts w:ascii="宋体" w:hAnsi="宋体" w:cs="宋体"/>
          <w:color w:val="auto"/>
          <w:sz w:val="24"/>
          <w:szCs w:val="24"/>
          <w:highlight w:val="none"/>
          <w:lang w:val="zh-CN"/>
        </w:rPr>
      </w:pPr>
      <w:r>
        <w:rPr>
          <w:rFonts w:hint="eastAsia" w:ascii="宋体" w:hAnsi="宋体" w:cs="宋体"/>
          <w:color w:val="auto"/>
          <w:sz w:val="24"/>
          <w:szCs w:val="24"/>
          <w:highlight w:val="none"/>
        </w:rPr>
        <w:t>4.4</w:t>
      </w:r>
      <w:r>
        <w:rPr>
          <w:rFonts w:hint="eastAsia" w:ascii="宋体" w:hAnsi="宋体" w:cs="宋体"/>
          <w:color w:val="auto"/>
          <w:sz w:val="24"/>
          <w:szCs w:val="24"/>
          <w:highlight w:val="none"/>
          <w:lang w:val="zh-CN"/>
        </w:rPr>
        <w:t>投标人应根据本项目的特点，提供切实可行的人员管理方案、消防安全保障方案及拟实施的消防实施方案、对遇到停水停电、大型活动、紧急供餐、临时加餐情况的紧急预案方案、食物中毒突发事件方案、餐饮服务从业人员卫生承诺、食材验收管理方案、食物安全管理方案、清洗消毒方案、食堂的菜谱的制定、更新方案、加工制作方案、反食品浪费制度、食品（材）存储管理制度等。</w:t>
      </w:r>
    </w:p>
    <w:p w14:paraId="7C899DA7">
      <w:pPr>
        <w:tabs>
          <w:tab w:val="left" w:pos="0"/>
          <w:tab w:val="left" w:pos="851"/>
          <w:tab w:val="left" w:pos="938"/>
        </w:tabs>
        <w:spacing w:line="360" w:lineRule="auto"/>
        <w:ind w:firstLine="480" w:firstLineChars="200"/>
        <w:rPr>
          <w:rFonts w:ascii="宋体" w:hAnsi="宋体" w:cs="宋体"/>
          <w:color w:val="auto"/>
          <w:sz w:val="24"/>
          <w:szCs w:val="24"/>
          <w:highlight w:val="none"/>
          <w:lang w:val="zh-CN"/>
        </w:rPr>
      </w:pPr>
      <w:r>
        <w:rPr>
          <w:rFonts w:hint="eastAsia" w:ascii="宋体" w:hAnsi="宋体" w:cs="宋体"/>
          <w:color w:val="auto"/>
          <w:sz w:val="24"/>
          <w:szCs w:val="24"/>
          <w:highlight w:val="none"/>
        </w:rPr>
        <w:t>4.5</w:t>
      </w:r>
      <w:r>
        <w:rPr>
          <w:rFonts w:hint="eastAsia" w:ascii="宋体" w:hAnsi="宋体" w:cs="宋体"/>
          <w:color w:val="auto"/>
          <w:sz w:val="24"/>
          <w:szCs w:val="24"/>
          <w:highlight w:val="none"/>
          <w:lang w:val="zh-CN"/>
        </w:rPr>
        <w:t>投标人拟投入本项目的人员应遵守采购人制定的各项规章制度（如有违反，按采购单位的相关制度处理），并根据服务管理的需要建立各种规范化人员管理制度、工作流程、考核制度及其他相关的工作制度。所有工作制度均应上墙。</w:t>
      </w:r>
    </w:p>
    <w:p w14:paraId="48A18FBB">
      <w:pPr>
        <w:tabs>
          <w:tab w:val="left" w:pos="0"/>
          <w:tab w:val="left" w:pos="851"/>
          <w:tab w:val="left" w:pos="938"/>
        </w:tabs>
        <w:spacing w:line="360" w:lineRule="auto"/>
        <w:ind w:firstLine="480" w:firstLineChars="200"/>
        <w:rPr>
          <w:rFonts w:ascii="宋体" w:hAnsi="宋体" w:cs="宋体"/>
          <w:color w:val="auto"/>
          <w:sz w:val="24"/>
          <w:szCs w:val="24"/>
          <w:highlight w:val="none"/>
          <w:lang w:val="zh-CN"/>
        </w:rPr>
      </w:pPr>
      <w:r>
        <w:rPr>
          <w:rFonts w:hint="eastAsia" w:ascii="宋体" w:hAnsi="宋体" w:cs="宋体"/>
          <w:color w:val="auto"/>
          <w:sz w:val="24"/>
          <w:szCs w:val="24"/>
          <w:highlight w:val="none"/>
        </w:rPr>
        <w:t>4.6</w:t>
      </w:r>
      <w:r>
        <w:rPr>
          <w:rFonts w:hint="eastAsia" w:ascii="宋体" w:hAnsi="宋体" w:cs="宋体"/>
          <w:color w:val="auto"/>
          <w:sz w:val="24"/>
          <w:szCs w:val="24"/>
          <w:highlight w:val="none"/>
          <w:lang w:val="zh-CN"/>
        </w:rPr>
        <w:t>投标人应提供针对本项目拟建立的组织机构及人员配置、人工成本、培训管理的情况介绍。并将所有投入人员的岗位、姓名、工作照片悬挂于食堂内显眼处，接受所有人员监督。</w:t>
      </w:r>
    </w:p>
    <w:p w14:paraId="3C017CC2">
      <w:pPr>
        <w:tabs>
          <w:tab w:val="left" w:pos="0"/>
          <w:tab w:val="left" w:pos="851"/>
          <w:tab w:val="left" w:pos="938"/>
        </w:tabs>
        <w:spacing w:line="360" w:lineRule="auto"/>
        <w:ind w:firstLine="480" w:firstLineChars="200"/>
        <w:rPr>
          <w:rFonts w:ascii="宋体" w:hAnsi="宋体" w:cs="宋体"/>
          <w:color w:val="auto"/>
          <w:sz w:val="24"/>
          <w:szCs w:val="24"/>
          <w:highlight w:val="none"/>
          <w:lang w:val="zh-CN"/>
        </w:rPr>
      </w:pPr>
      <w:r>
        <w:rPr>
          <w:rFonts w:hint="eastAsia" w:ascii="宋体" w:hAnsi="宋体" w:cs="宋体"/>
          <w:color w:val="auto"/>
          <w:sz w:val="24"/>
          <w:szCs w:val="24"/>
          <w:highlight w:val="none"/>
        </w:rPr>
        <w:t>4.7</w:t>
      </w:r>
      <w:r>
        <w:rPr>
          <w:rFonts w:hint="eastAsia" w:ascii="宋体" w:hAnsi="宋体" w:cs="宋体"/>
          <w:color w:val="auto"/>
          <w:sz w:val="24"/>
          <w:szCs w:val="24"/>
          <w:highlight w:val="none"/>
          <w:lang w:val="zh-CN"/>
        </w:rPr>
        <w:t>投标人应根据需要提供其工作人员的劳保用品和工作服等。</w:t>
      </w:r>
    </w:p>
    <w:p w14:paraId="502A7A26">
      <w:pPr>
        <w:tabs>
          <w:tab w:val="left" w:pos="0"/>
          <w:tab w:val="left" w:pos="851"/>
          <w:tab w:val="left" w:pos="938"/>
        </w:tabs>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4.8</w:t>
      </w:r>
      <w:r>
        <w:rPr>
          <w:rFonts w:hint="eastAsia" w:ascii="宋体" w:hAnsi="宋体" w:cs="宋体"/>
          <w:color w:val="auto"/>
          <w:sz w:val="24"/>
          <w:szCs w:val="24"/>
          <w:highlight w:val="none"/>
          <w:lang w:val="zh-CN"/>
        </w:rPr>
        <w:t>投标人应</w:t>
      </w:r>
      <w:r>
        <w:rPr>
          <w:rFonts w:hint="eastAsia" w:ascii="宋体" w:hAnsi="宋体" w:cs="宋体"/>
          <w:color w:val="auto"/>
          <w:sz w:val="24"/>
          <w:szCs w:val="24"/>
          <w:highlight w:val="none"/>
        </w:rPr>
        <w:t>承诺提供卫生检查记录、食品采购索证档案、食谱登记、健康证等。</w:t>
      </w:r>
    </w:p>
    <w:p w14:paraId="4D54BEEB">
      <w:pPr>
        <w:tabs>
          <w:tab w:val="left" w:pos="0"/>
          <w:tab w:val="left" w:pos="851"/>
          <w:tab w:val="left" w:pos="938"/>
        </w:tabs>
        <w:spacing w:line="360" w:lineRule="auto"/>
        <w:ind w:firstLine="480" w:firstLineChars="200"/>
        <w:rPr>
          <w:rFonts w:ascii="宋体" w:hAnsi="宋体" w:cs="宋体"/>
          <w:color w:val="auto"/>
          <w:sz w:val="24"/>
          <w:szCs w:val="24"/>
          <w:highlight w:val="none"/>
          <w:lang w:val="zh-CN"/>
        </w:rPr>
      </w:pPr>
      <w:r>
        <w:rPr>
          <w:rFonts w:hint="eastAsia" w:ascii="宋体" w:hAnsi="宋体" w:cs="宋体"/>
          <w:color w:val="auto"/>
          <w:sz w:val="24"/>
          <w:szCs w:val="24"/>
          <w:highlight w:val="none"/>
        </w:rPr>
        <w:t>4.9</w:t>
      </w:r>
      <w:r>
        <w:rPr>
          <w:rFonts w:hint="eastAsia" w:ascii="宋体" w:hAnsi="宋体" w:cs="宋体"/>
          <w:color w:val="auto"/>
          <w:sz w:val="24"/>
          <w:szCs w:val="24"/>
          <w:highlight w:val="none"/>
          <w:lang w:val="zh-CN"/>
        </w:rPr>
        <w:t>投标人应</w:t>
      </w:r>
      <w:r>
        <w:rPr>
          <w:rFonts w:hint="eastAsia" w:ascii="宋体" w:hAnsi="宋体" w:cs="宋体"/>
          <w:color w:val="auto"/>
          <w:sz w:val="24"/>
          <w:szCs w:val="24"/>
          <w:highlight w:val="none"/>
        </w:rPr>
        <w:t>承诺</w:t>
      </w:r>
      <w:r>
        <w:rPr>
          <w:rFonts w:hint="eastAsia" w:ascii="宋体" w:hAnsi="宋体" w:cs="宋体"/>
          <w:color w:val="auto"/>
          <w:sz w:val="24"/>
          <w:szCs w:val="24"/>
          <w:highlight w:val="none"/>
          <w:lang w:val="zh-CN"/>
        </w:rPr>
        <w:t>凡因履行本项目所引起的或与本项目有关的任何争议，由双方友好协商解决；若协商不成，</w:t>
      </w:r>
      <w:r>
        <w:rPr>
          <w:rFonts w:hint="eastAsia" w:ascii="宋体" w:hAnsi="宋体" w:cs="宋体"/>
          <w:color w:val="auto"/>
          <w:sz w:val="24"/>
          <w:szCs w:val="24"/>
          <w:highlight w:val="none"/>
        </w:rPr>
        <w:t>任何一方均有权向</w:t>
      </w:r>
      <w:r>
        <w:rPr>
          <w:rFonts w:hint="eastAsia" w:ascii="宋体" w:hAnsi="宋体" w:cs="宋体"/>
          <w:color w:val="auto"/>
          <w:sz w:val="24"/>
          <w:szCs w:val="24"/>
          <w:highlight w:val="none"/>
          <w:lang w:val="zh-CN"/>
        </w:rPr>
        <w:t>厦门市思明区人民法院</w:t>
      </w:r>
      <w:r>
        <w:rPr>
          <w:rFonts w:hint="eastAsia" w:ascii="宋体" w:hAnsi="宋体" w:cs="宋体"/>
          <w:color w:val="auto"/>
          <w:sz w:val="24"/>
          <w:szCs w:val="24"/>
          <w:highlight w:val="none"/>
        </w:rPr>
        <w:t>提起诉讼</w:t>
      </w:r>
      <w:r>
        <w:rPr>
          <w:rFonts w:hint="eastAsia" w:ascii="宋体" w:hAnsi="宋体" w:cs="宋体"/>
          <w:color w:val="auto"/>
          <w:sz w:val="24"/>
          <w:szCs w:val="24"/>
          <w:highlight w:val="none"/>
          <w:lang w:val="zh-CN"/>
        </w:rPr>
        <w:t>。</w:t>
      </w:r>
    </w:p>
    <w:p w14:paraId="4F75A05F">
      <w:pPr>
        <w:tabs>
          <w:tab w:val="left" w:pos="0"/>
          <w:tab w:val="left" w:pos="851"/>
          <w:tab w:val="left" w:pos="938"/>
        </w:tabs>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4.10投标人应保障食品原材料采购安全，有长期合作的具备相关检测资质的第三方检测机构，</w:t>
      </w:r>
      <w:r>
        <w:rPr>
          <w:rFonts w:hint="eastAsia" w:ascii="宋体" w:hAnsi="宋体" w:cs="宋体"/>
          <w:color w:val="auto"/>
          <w:kern w:val="0"/>
          <w:sz w:val="24"/>
          <w:szCs w:val="24"/>
          <w:highlight w:val="none"/>
        </w:rPr>
        <w:t>并承诺</w:t>
      </w:r>
      <w:r>
        <w:rPr>
          <w:rFonts w:hint="eastAsia" w:ascii="宋体" w:hAnsi="宋体" w:cs="宋体"/>
          <w:color w:val="auto"/>
          <w:kern w:val="0"/>
          <w:sz w:val="24"/>
          <w:szCs w:val="24"/>
          <w:highlight w:val="none"/>
          <w:lang w:val="en-US" w:eastAsia="zh-CN"/>
        </w:rPr>
        <w:t>在</w:t>
      </w:r>
      <w:r>
        <w:rPr>
          <w:rFonts w:hint="eastAsia" w:ascii="宋体" w:hAnsi="宋体" w:cs="宋体"/>
          <w:color w:val="auto"/>
          <w:kern w:val="0"/>
          <w:sz w:val="24"/>
          <w:szCs w:val="24"/>
          <w:highlight w:val="none"/>
        </w:rPr>
        <w:t>服务期内</w:t>
      </w:r>
      <w:r>
        <w:rPr>
          <w:rFonts w:hint="eastAsia" w:ascii="宋体" w:hAnsi="宋体" w:cs="宋体"/>
          <w:color w:val="auto"/>
          <w:kern w:val="0"/>
          <w:sz w:val="24"/>
          <w:szCs w:val="24"/>
          <w:highlight w:val="none"/>
          <w:lang w:val="en-US" w:eastAsia="zh-CN"/>
        </w:rPr>
        <w:t>每季度至少对</w:t>
      </w:r>
      <w:r>
        <w:rPr>
          <w:rFonts w:hint="eastAsia" w:ascii="宋体" w:hAnsi="宋体" w:cs="宋体"/>
          <w:color w:val="auto"/>
          <w:kern w:val="0"/>
          <w:sz w:val="24"/>
          <w:szCs w:val="24"/>
          <w:highlight w:val="none"/>
        </w:rPr>
        <w:t>各类食材送检</w:t>
      </w:r>
      <w:r>
        <w:rPr>
          <w:rFonts w:hint="eastAsia" w:ascii="宋体" w:hAnsi="宋体" w:cs="宋体"/>
          <w:color w:val="auto"/>
          <w:kern w:val="0"/>
          <w:sz w:val="24"/>
          <w:szCs w:val="24"/>
          <w:highlight w:val="none"/>
          <w:lang w:val="en-US" w:eastAsia="zh-CN"/>
        </w:rPr>
        <w:t>1次</w:t>
      </w:r>
      <w:r>
        <w:rPr>
          <w:rFonts w:hint="eastAsia" w:ascii="宋体" w:hAnsi="宋体" w:cs="宋体"/>
          <w:color w:val="auto"/>
          <w:sz w:val="24"/>
          <w:szCs w:val="24"/>
          <w:highlight w:val="none"/>
        </w:rPr>
        <w:t>。</w:t>
      </w:r>
    </w:p>
    <w:p w14:paraId="2099BC5F">
      <w:pPr>
        <w:keepNext/>
        <w:keepLines/>
        <w:tabs>
          <w:tab w:val="left" w:pos="308"/>
        </w:tabs>
        <w:spacing w:line="360" w:lineRule="auto"/>
        <w:ind w:firstLine="482" w:firstLineChars="200"/>
        <w:outlineLvl w:val="3"/>
        <w:rPr>
          <w:rFonts w:ascii="宋体" w:hAnsi="宋体" w:cs="宋体"/>
          <w:b/>
          <w:bCs/>
          <w:color w:val="auto"/>
          <w:sz w:val="24"/>
          <w:szCs w:val="24"/>
          <w:highlight w:val="none"/>
        </w:rPr>
      </w:pPr>
      <w:bookmarkStart w:id="99" w:name="_Toc497725389"/>
      <w:bookmarkStart w:id="100" w:name="_Toc532132990"/>
      <w:bookmarkStart w:id="101" w:name="_Toc24376849"/>
      <w:r>
        <w:rPr>
          <w:rFonts w:hint="eastAsia" w:ascii="宋体" w:hAnsi="宋体" w:cs="宋体"/>
          <w:b/>
          <w:bCs/>
          <w:color w:val="auto"/>
          <w:sz w:val="24"/>
          <w:szCs w:val="24"/>
          <w:highlight w:val="none"/>
        </w:rPr>
        <w:t>（5）卫生</w:t>
      </w:r>
      <w:bookmarkEnd w:id="99"/>
      <w:bookmarkEnd w:id="100"/>
      <w:r>
        <w:rPr>
          <w:rFonts w:hint="eastAsia" w:ascii="宋体" w:hAnsi="宋体" w:cs="宋体"/>
          <w:b/>
          <w:bCs/>
          <w:color w:val="auto"/>
          <w:sz w:val="24"/>
          <w:szCs w:val="24"/>
          <w:highlight w:val="none"/>
        </w:rPr>
        <w:t>安全</w:t>
      </w:r>
      <w:bookmarkEnd w:id="101"/>
    </w:p>
    <w:p w14:paraId="147BDEDB">
      <w:pPr>
        <w:tabs>
          <w:tab w:val="left" w:pos="0"/>
          <w:tab w:val="left" w:pos="851"/>
          <w:tab w:val="left" w:pos="938"/>
        </w:tabs>
        <w:spacing w:line="360" w:lineRule="auto"/>
        <w:ind w:firstLine="480" w:firstLineChars="200"/>
        <w:rPr>
          <w:rFonts w:ascii="宋体" w:hAnsi="宋体" w:cs="宋体"/>
          <w:color w:val="auto"/>
          <w:sz w:val="24"/>
          <w:szCs w:val="24"/>
          <w:highlight w:val="none"/>
          <w:lang w:val="zh-CN"/>
        </w:rPr>
      </w:pPr>
      <w:r>
        <w:rPr>
          <w:rFonts w:hint="eastAsia" w:ascii="宋体" w:hAnsi="宋体" w:cs="宋体"/>
          <w:color w:val="auto"/>
          <w:sz w:val="24"/>
          <w:szCs w:val="24"/>
          <w:highlight w:val="none"/>
        </w:rPr>
        <w:t>5.1</w:t>
      </w:r>
      <w:r>
        <w:rPr>
          <w:rFonts w:hint="eastAsia" w:ascii="宋体" w:hAnsi="宋体" w:cs="宋体"/>
          <w:color w:val="auto"/>
          <w:sz w:val="24"/>
          <w:szCs w:val="24"/>
          <w:highlight w:val="none"/>
          <w:lang w:val="zh-CN"/>
        </w:rPr>
        <w:t>严格执行食品</w:t>
      </w:r>
      <w:r>
        <w:rPr>
          <w:rFonts w:hint="eastAsia" w:ascii="宋体" w:hAnsi="宋体" w:cs="宋体"/>
          <w:color w:val="auto"/>
          <w:sz w:val="24"/>
          <w:szCs w:val="24"/>
          <w:highlight w:val="none"/>
        </w:rPr>
        <w:t>安全</w:t>
      </w:r>
      <w:r>
        <w:rPr>
          <w:rFonts w:hint="eastAsia" w:ascii="宋体" w:hAnsi="宋体" w:cs="宋体"/>
          <w:color w:val="auto"/>
          <w:sz w:val="24"/>
          <w:szCs w:val="24"/>
          <w:highlight w:val="none"/>
          <w:lang w:val="zh-CN"/>
        </w:rPr>
        <w:t>法，搞好食品卫生、个人卫生和环境卫生。做好消毒工作，把住病从口入关，严防食物中毒和食源性病源。严格执行安全生产制度，做好防火、防盗，加强设备维修，杜绝重大事故：</w:t>
      </w:r>
    </w:p>
    <w:p w14:paraId="275DF487">
      <w:pPr>
        <w:tabs>
          <w:tab w:val="left" w:pos="0"/>
          <w:tab w:val="left" w:pos="851"/>
          <w:tab w:val="left" w:pos="938"/>
        </w:tabs>
        <w:spacing w:line="360" w:lineRule="auto"/>
        <w:ind w:firstLine="480" w:firstLineChars="200"/>
        <w:rPr>
          <w:rFonts w:ascii="宋体" w:hAnsi="宋体" w:cs="宋体"/>
          <w:color w:val="auto"/>
          <w:sz w:val="24"/>
          <w:szCs w:val="24"/>
          <w:highlight w:val="none"/>
          <w:lang w:val="zh-CN"/>
        </w:rPr>
      </w:pPr>
      <w:r>
        <w:rPr>
          <w:rFonts w:hint="eastAsia" w:ascii="宋体" w:hAnsi="宋体" w:cs="宋体"/>
          <w:color w:val="auto"/>
          <w:sz w:val="24"/>
          <w:szCs w:val="24"/>
          <w:highlight w:val="none"/>
        </w:rPr>
        <w:t>5.1.1</w:t>
      </w:r>
      <w:r>
        <w:rPr>
          <w:rFonts w:hint="eastAsia" w:ascii="宋体" w:hAnsi="宋体" w:cs="宋体"/>
          <w:color w:val="auto"/>
          <w:sz w:val="24"/>
          <w:szCs w:val="24"/>
          <w:highlight w:val="none"/>
          <w:lang w:val="zh-CN"/>
        </w:rPr>
        <w:t>设备和容器、餐具卫生。设备和容器一餐一清洗和消毒，清洗消毒后的餐具严禁落地，洗消后的餐具必须摆放整齐。餐具存放备用时间夏季超过24小时、冬季超过48小时的，必须重新进行洗消处理。</w:t>
      </w:r>
    </w:p>
    <w:p w14:paraId="630F2950">
      <w:pPr>
        <w:tabs>
          <w:tab w:val="left" w:pos="0"/>
          <w:tab w:val="left" w:pos="851"/>
          <w:tab w:val="left" w:pos="938"/>
          <w:tab w:val="left" w:pos="1843"/>
        </w:tabs>
        <w:spacing w:line="360" w:lineRule="auto"/>
        <w:ind w:firstLine="480" w:firstLineChars="200"/>
        <w:rPr>
          <w:rFonts w:ascii="宋体" w:hAnsi="宋体" w:cs="宋体"/>
          <w:color w:val="auto"/>
          <w:sz w:val="24"/>
          <w:szCs w:val="24"/>
          <w:highlight w:val="none"/>
          <w:lang w:val="zh-CN"/>
        </w:rPr>
      </w:pPr>
      <w:r>
        <w:rPr>
          <w:rFonts w:hint="eastAsia" w:ascii="宋体" w:hAnsi="宋体" w:cs="宋体"/>
          <w:color w:val="auto"/>
          <w:sz w:val="24"/>
          <w:szCs w:val="24"/>
          <w:highlight w:val="none"/>
        </w:rPr>
        <w:t>5.1.2</w:t>
      </w:r>
      <w:r>
        <w:rPr>
          <w:rFonts w:hint="eastAsia" w:ascii="宋体" w:hAnsi="宋体" w:cs="宋体"/>
          <w:color w:val="auto"/>
          <w:sz w:val="24"/>
          <w:szCs w:val="24"/>
          <w:highlight w:val="none"/>
          <w:lang w:val="zh-CN"/>
        </w:rPr>
        <w:t>食品卫生。洗菜时，蔬菜要去掉老皮、黄叶和菜头，瓜果要去皮洗净，不能留有沙、虫及其他杂质，但不能因过分出现浪费的情况。投标人须按采购人要求将各类食材送检。</w:t>
      </w:r>
    </w:p>
    <w:p w14:paraId="7BE4FA61">
      <w:pPr>
        <w:tabs>
          <w:tab w:val="left" w:pos="0"/>
          <w:tab w:val="left" w:pos="851"/>
          <w:tab w:val="left" w:pos="938"/>
          <w:tab w:val="left" w:pos="1843"/>
        </w:tabs>
        <w:spacing w:line="360" w:lineRule="auto"/>
        <w:ind w:firstLine="480" w:firstLineChars="200"/>
        <w:rPr>
          <w:rFonts w:ascii="宋体" w:hAnsi="宋体" w:cs="宋体"/>
          <w:color w:val="auto"/>
          <w:sz w:val="24"/>
          <w:szCs w:val="24"/>
          <w:highlight w:val="none"/>
          <w:lang w:val="zh-CN"/>
        </w:rPr>
      </w:pPr>
      <w:r>
        <w:rPr>
          <w:rFonts w:hint="eastAsia" w:ascii="宋体" w:hAnsi="宋体" w:cs="宋体"/>
          <w:color w:val="auto"/>
          <w:sz w:val="24"/>
          <w:szCs w:val="24"/>
          <w:highlight w:val="none"/>
        </w:rPr>
        <w:t>5.1.3</w:t>
      </w:r>
      <w:r>
        <w:rPr>
          <w:rFonts w:hint="eastAsia" w:ascii="宋体" w:hAnsi="宋体" w:cs="宋体"/>
          <w:color w:val="auto"/>
          <w:sz w:val="24"/>
          <w:szCs w:val="24"/>
          <w:highlight w:val="none"/>
          <w:lang w:val="zh-CN"/>
        </w:rPr>
        <w:t>环境卫生。食堂餐厅室内外清洁卫生是指内到厨房卫生，外到餐厅卫生及粗加工区卫生，均由中标人负责。所有餐饮各项标准（含除四害）都应达到量化分级A级标准要求。</w:t>
      </w:r>
    </w:p>
    <w:p w14:paraId="098BB2C4">
      <w:pPr>
        <w:tabs>
          <w:tab w:val="left" w:pos="0"/>
          <w:tab w:val="left" w:pos="851"/>
          <w:tab w:val="left" w:pos="938"/>
          <w:tab w:val="left" w:pos="1843"/>
        </w:tabs>
        <w:spacing w:line="360" w:lineRule="auto"/>
        <w:ind w:firstLine="480" w:firstLineChars="200"/>
        <w:rPr>
          <w:rFonts w:ascii="宋体" w:hAnsi="宋体" w:cs="宋体"/>
          <w:color w:val="auto"/>
          <w:sz w:val="24"/>
          <w:szCs w:val="24"/>
          <w:highlight w:val="none"/>
          <w:lang w:val="zh-CN"/>
        </w:rPr>
      </w:pPr>
      <w:r>
        <w:rPr>
          <w:rFonts w:hint="eastAsia" w:ascii="宋体" w:hAnsi="宋体" w:cs="宋体"/>
          <w:color w:val="auto"/>
          <w:sz w:val="24"/>
          <w:szCs w:val="24"/>
          <w:highlight w:val="none"/>
        </w:rPr>
        <w:t>5.1.4</w:t>
      </w:r>
      <w:r>
        <w:rPr>
          <w:rFonts w:hint="eastAsia" w:ascii="宋体" w:hAnsi="宋体" w:cs="宋体"/>
          <w:color w:val="auto"/>
          <w:sz w:val="24"/>
          <w:szCs w:val="24"/>
          <w:highlight w:val="none"/>
          <w:lang w:val="zh-CN"/>
        </w:rPr>
        <w:t>个人健康。食堂工作人员每年体检一次，取得“健康证”并经培训后方可上岗。</w:t>
      </w:r>
    </w:p>
    <w:p w14:paraId="35286A13">
      <w:pPr>
        <w:tabs>
          <w:tab w:val="left" w:pos="0"/>
          <w:tab w:val="left" w:pos="851"/>
          <w:tab w:val="left" w:pos="938"/>
        </w:tabs>
        <w:spacing w:line="360" w:lineRule="auto"/>
        <w:ind w:firstLine="480" w:firstLineChars="200"/>
        <w:rPr>
          <w:rFonts w:ascii="宋体" w:hAnsi="宋体" w:cs="宋体"/>
          <w:color w:val="auto"/>
          <w:sz w:val="24"/>
          <w:szCs w:val="24"/>
          <w:highlight w:val="none"/>
          <w:lang w:val="zh-CN"/>
        </w:rPr>
      </w:pPr>
      <w:r>
        <w:rPr>
          <w:rFonts w:hint="eastAsia" w:ascii="宋体" w:hAnsi="宋体" w:cs="宋体"/>
          <w:color w:val="auto"/>
          <w:sz w:val="24"/>
          <w:szCs w:val="24"/>
          <w:highlight w:val="none"/>
        </w:rPr>
        <w:t>5.1.5</w:t>
      </w:r>
      <w:r>
        <w:rPr>
          <w:rFonts w:hint="eastAsia" w:ascii="宋体" w:hAnsi="宋体" w:cs="宋体"/>
          <w:color w:val="auto"/>
          <w:sz w:val="24"/>
          <w:szCs w:val="24"/>
          <w:highlight w:val="none"/>
          <w:lang w:val="zh-CN"/>
        </w:rPr>
        <w:t>投标人应承诺提供相关卫生管理及措施，包括但不限于</w:t>
      </w:r>
      <w:r>
        <w:rPr>
          <w:rFonts w:ascii="宋体" w:hAnsi="宋体" w:cs="宋体"/>
          <w:color w:val="auto"/>
          <w:sz w:val="24"/>
          <w:szCs w:val="24"/>
          <w:highlight w:val="none"/>
        </w:rPr>
        <w:t>（1）有卫生管理制度和各区域管理标准。（2）有定期卫生检查记录并与奖惩挂钩。（3）有必备的工作台帐（卫生检查记录、食品采购索证档案、食谱登记、健康证、卫生许可证等）。（4）食堂厨房25米内无污染源；保证后厨和餐厅外环境卫生良好。（5）厨房和餐厅内墙面清洁，无霉斑、无脱落、无积尘、污物及时处理。（6）下水道及阴沟畅通，排油烟机清洁不滴油；厕所清洁、有洗手池。（7）设置食品留样、专用冰箱、盛器及刀、墩板、抹布。（8）蒸饭器、消毒柜、保洁柜、绞肉机、案板、食品容器等摆放有序、清洁卫生。（9）公用餐具消毒经清洗消毒后的餐具符合国家卫生标准。（10）冷藏设施定期清理保洁，无臭无异味，不存放杂物和个人物品。</w:t>
      </w:r>
    </w:p>
    <w:p w14:paraId="0589F3F4">
      <w:pPr>
        <w:tabs>
          <w:tab w:val="left" w:pos="0"/>
          <w:tab w:val="left" w:pos="851"/>
          <w:tab w:val="left" w:pos="938"/>
        </w:tabs>
        <w:spacing w:line="360" w:lineRule="auto"/>
        <w:ind w:firstLine="480" w:firstLineChars="200"/>
        <w:rPr>
          <w:rFonts w:ascii="宋体" w:hAnsi="宋体" w:cs="宋体"/>
          <w:color w:val="auto"/>
          <w:sz w:val="24"/>
          <w:szCs w:val="24"/>
          <w:highlight w:val="none"/>
          <w:lang w:val="zh-CN"/>
        </w:rPr>
      </w:pPr>
      <w:r>
        <w:rPr>
          <w:rFonts w:hint="eastAsia" w:ascii="宋体" w:hAnsi="宋体" w:cs="宋体"/>
          <w:color w:val="auto"/>
          <w:sz w:val="24"/>
          <w:szCs w:val="24"/>
          <w:highlight w:val="none"/>
        </w:rPr>
        <w:t>5</w:t>
      </w:r>
      <w:r>
        <w:rPr>
          <w:rFonts w:ascii="宋体" w:hAnsi="宋体" w:cs="宋体"/>
          <w:color w:val="auto"/>
          <w:sz w:val="24"/>
          <w:szCs w:val="24"/>
          <w:highlight w:val="none"/>
        </w:rPr>
        <w:t>.1.6</w:t>
      </w:r>
      <w:r>
        <w:rPr>
          <w:rFonts w:hint="eastAsia" w:ascii="宋体" w:hAnsi="宋体" w:cs="宋体"/>
          <w:color w:val="auto"/>
          <w:sz w:val="24"/>
          <w:szCs w:val="24"/>
          <w:highlight w:val="none"/>
          <w:lang w:val="zh-CN"/>
        </w:rPr>
        <w:t>在合同执行期间，若由于中标人原因出现食品卫生、个人卫生和环境卫生问题，第一次将予以警告，并限期整改；发生两次及以上将视问题具体情形，采购人有权根据情节轻重每次从履约保证金中酌情扣除300-5000元/次，具体金额由采购人在幅度范围内自行确定；若中标人逾期未整改相关问题，采购人有权追究</w:t>
      </w:r>
      <w:r>
        <w:rPr>
          <w:rFonts w:hint="eastAsia" w:ascii="宋体" w:hAnsi="宋体" w:cs="宋体"/>
          <w:color w:val="auto"/>
          <w:sz w:val="24"/>
          <w:szCs w:val="24"/>
          <w:highlight w:val="none"/>
        </w:rPr>
        <w:t>中标人</w:t>
      </w:r>
      <w:r>
        <w:rPr>
          <w:rFonts w:hint="eastAsia" w:ascii="宋体" w:hAnsi="宋体" w:cs="宋体"/>
          <w:color w:val="auto"/>
          <w:sz w:val="24"/>
          <w:szCs w:val="24"/>
          <w:highlight w:val="none"/>
          <w:lang w:val="zh-CN"/>
        </w:rPr>
        <w:t>法律责任。若因中标人原因发生重大食品安全问题，导致采购人职工群体性食品中毒等其他严重后果，应由中标人承担相应责任与费用，采购人有权终止合同并没收履约保证金，并依法通过法律途径追究中标人其他相关责任。</w:t>
      </w:r>
    </w:p>
    <w:p w14:paraId="343885D8">
      <w:pPr>
        <w:keepNext/>
        <w:keepLines/>
        <w:tabs>
          <w:tab w:val="left" w:pos="308"/>
        </w:tabs>
        <w:spacing w:line="360" w:lineRule="auto"/>
        <w:ind w:firstLine="482" w:firstLineChars="200"/>
        <w:outlineLvl w:val="3"/>
        <w:rPr>
          <w:rFonts w:ascii="宋体" w:hAnsi="宋体" w:cs="宋体"/>
          <w:b/>
          <w:bCs/>
          <w:color w:val="auto"/>
          <w:sz w:val="24"/>
          <w:szCs w:val="24"/>
          <w:highlight w:val="none"/>
        </w:rPr>
      </w:pPr>
      <w:bookmarkStart w:id="102" w:name="_Toc532132992"/>
      <w:bookmarkStart w:id="103" w:name="_Toc497725391"/>
      <w:bookmarkStart w:id="104" w:name="_Toc24376850"/>
      <w:r>
        <w:rPr>
          <w:rFonts w:hint="eastAsia" w:ascii="宋体" w:hAnsi="宋体" w:cs="宋体"/>
          <w:b/>
          <w:bCs/>
          <w:color w:val="auto"/>
          <w:sz w:val="24"/>
          <w:szCs w:val="24"/>
          <w:highlight w:val="none"/>
        </w:rPr>
        <w:t>（6）食堂人员的配置及要求</w:t>
      </w:r>
      <w:bookmarkEnd w:id="102"/>
      <w:bookmarkEnd w:id="103"/>
      <w:bookmarkEnd w:id="104"/>
    </w:p>
    <w:p w14:paraId="112A42A4">
      <w:pPr>
        <w:tabs>
          <w:tab w:val="left" w:pos="0"/>
          <w:tab w:val="left" w:pos="851"/>
          <w:tab w:val="left" w:pos="938"/>
        </w:tabs>
        <w:spacing w:line="360" w:lineRule="auto"/>
        <w:ind w:firstLine="480" w:firstLineChars="200"/>
        <w:rPr>
          <w:rFonts w:ascii="宋体" w:hAnsi="宋体" w:cs="宋体"/>
          <w:color w:val="auto"/>
          <w:sz w:val="24"/>
          <w:szCs w:val="24"/>
          <w:highlight w:val="none"/>
          <w:lang w:val="zh-CN"/>
        </w:rPr>
      </w:pPr>
      <w:r>
        <w:rPr>
          <w:rFonts w:hint="eastAsia" w:ascii="宋体" w:hAnsi="宋体" w:cs="宋体"/>
          <w:color w:val="auto"/>
          <w:sz w:val="24"/>
          <w:szCs w:val="24"/>
          <w:highlight w:val="none"/>
        </w:rPr>
        <w:t>6.1</w:t>
      </w:r>
      <w:r>
        <w:rPr>
          <w:rFonts w:hint="eastAsia" w:ascii="宋体" w:hAnsi="宋体" w:cs="宋体"/>
          <w:color w:val="auto"/>
          <w:sz w:val="24"/>
          <w:szCs w:val="24"/>
          <w:highlight w:val="none"/>
          <w:lang w:val="zh-CN"/>
        </w:rPr>
        <w:t>食堂人员配置：目前，厦门市思明区展鸿路100号食堂就餐人员情况为早餐约1</w:t>
      </w:r>
      <w:r>
        <w:rPr>
          <w:rFonts w:hint="eastAsia" w:ascii="宋体" w:hAnsi="宋体" w:cs="宋体"/>
          <w:color w:val="auto"/>
          <w:sz w:val="24"/>
          <w:szCs w:val="24"/>
          <w:highlight w:val="none"/>
        </w:rPr>
        <w:t>3</w:t>
      </w:r>
      <w:r>
        <w:rPr>
          <w:rFonts w:hint="eastAsia" w:ascii="宋体" w:hAnsi="宋体" w:cs="宋体"/>
          <w:color w:val="auto"/>
          <w:sz w:val="24"/>
          <w:szCs w:val="24"/>
          <w:highlight w:val="none"/>
          <w:lang w:val="zh-CN"/>
        </w:rPr>
        <w:t>0人、午餐约2</w:t>
      </w:r>
      <w:r>
        <w:rPr>
          <w:rFonts w:hint="eastAsia" w:ascii="宋体" w:hAnsi="宋体" w:cs="宋体"/>
          <w:color w:val="auto"/>
          <w:sz w:val="24"/>
          <w:szCs w:val="24"/>
          <w:highlight w:val="none"/>
        </w:rPr>
        <w:t>3</w:t>
      </w:r>
      <w:r>
        <w:rPr>
          <w:rFonts w:hint="eastAsia" w:ascii="宋体" w:hAnsi="宋体" w:cs="宋体"/>
          <w:color w:val="auto"/>
          <w:sz w:val="24"/>
          <w:szCs w:val="24"/>
          <w:highlight w:val="none"/>
          <w:lang w:val="zh-CN"/>
        </w:rPr>
        <w:t>0人、晚餐约</w:t>
      </w:r>
      <w:r>
        <w:rPr>
          <w:rFonts w:hint="eastAsia" w:ascii="宋体" w:hAnsi="宋体" w:cs="宋体"/>
          <w:color w:val="auto"/>
          <w:sz w:val="24"/>
          <w:szCs w:val="24"/>
          <w:highlight w:val="none"/>
        </w:rPr>
        <w:t>65</w:t>
      </w:r>
      <w:r>
        <w:rPr>
          <w:rFonts w:hint="eastAsia" w:ascii="宋体" w:hAnsi="宋体" w:cs="宋体"/>
          <w:color w:val="auto"/>
          <w:sz w:val="24"/>
          <w:szCs w:val="24"/>
          <w:highlight w:val="none"/>
          <w:lang w:val="zh-CN"/>
        </w:rPr>
        <w:t>人，和</w:t>
      </w:r>
      <w:r>
        <w:rPr>
          <w:rFonts w:hint="eastAsia" w:ascii="宋体" w:hAnsi="宋体" w:cs="宋体"/>
          <w:color w:val="auto"/>
          <w:sz w:val="24"/>
          <w:szCs w:val="24"/>
          <w:highlight w:val="none"/>
        </w:rPr>
        <w:t>其他</w:t>
      </w:r>
      <w:r>
        <w:rPr>
          <w:rFonts w:hint="eastAsia" w:ascii="宋体" w:hAnsi="宋体" w:cs="宋体"/>
          <w:color w:val="auto"/>
          <w:sz w:val="24"/>
          <w:szCs w:val="24"/>
          <w:highlight w:val="none"/>
          <w:lang w:val="zh-CN"/>
        </w:rPr>
        <w:t>工作用餐，该处食堂人员配置不得少于14人；翔安区黎林路1699号食堂就餐人员情况为早餐约</w:t>
      </w:r>
      <w:r>
        <w:rPr>
          <w:rFonts w:hint="eastAsia" w:ascii="宋体" w:hAnsi="宋体" w:cs="宋体"/>
          <w:color w:val="auto"/>
          <w:sz w:val="24"/>
          <w:szCs w:val="24"/>
          <w:highlight w:val="none"/>
        </w:rPr>
        <w:t>15人，</w:t>
      </w:r>
      <w:r>
        <w:rPr>
          <w:rFonts w:hint="eastAsia" w:ascii="宋体" w:hAnsi="宋体" w:cs="宋体"/>
          <w:color w:val="auto"/>
          <w:sz w:val="24"/>
          <w:szCs w:val="24"/>
          <w:highlight w:val="none"/>
          <w:lang w:val="zh-CN"/>
        </w:rPr>
        <w:t>午餐约50人，且须负责提供值班人员（约10人）工作日晚餐及节假日午、晚餐的供餐或订餐服务（配餐单位须经采购人同意），该处食堂人员配置不得少于</w:t>
      </w:r>
      <w:r>
        <w:rPr>
          <w:rFonts w:hint="eastAsia" w:ascii="宋体" w:hAnsi="宋体" w:cs="宋体"/>
          <w:color w:val="auto"/>
          <w:sz w:val="24"/>
          <w:szCs w:val="24"/>
          <w:highlight w:val="none"/>
        </w:rPr>
        <w:t>5人</w:t>
      </w:r>
      <w:r>
        <w:rPr>
          <w:rFonts w:hint="eastAsia" w:ascii="宋体" w:hAnsi="宋体" w:cs="宋体"/>
          <w:color w:val="auto"/>
          <w:sz w:val="24"/>
          <w:szCs w:val="24"/>
          <w:highlight w:val="none"/>
          <w:lang w:val="zh-CN"/>
        </w:rPr>
        <w:t>。根据厦门市同行业用工工资水平，结合采购人的具体实际情况，食堂运营服务人员配置及要求如下表：</w:t>
      </w:r>
    </w:p>
    <w:p w14:paraId="7A66156E">
      <w:pPr>
        <w:tabs>
          <w:tab w:val="left" w:pos="0"/>
          <w:tab w:val="left" w:pos="851"/>
          <w:tab w:val="left" w:pos="938"/>
          <w:tab w:val="left" w:pos="1843"/>
        </w:tabs>
        <w:spacing w:line="360" w:lineRule="auto"/>
        <w:ind w:firstLine="480" w:firstLineChars="200"/>
        <w:rPr>
          <w:rFonts w:ascii="宋体" w:hAnsi="宋体" w:cs="宋体"/>
          <w:color w:val="auto"/>
          <w:sz w:val="24"/>
          <w:szCs w:val="24"/>
          <w:highlight w:val="none"/>
          <w:lang w:val="zh-CN"/>
        </w:rPr>
      </w:pPr>
      <w:r>
        <w:rPr>
          <w:rFonts w:hint="eastAsia" w:ascii="宋体" w:hAnsi="宋体" w:cs="宋体"/>
          <w:color w:val="auto"/>
          <w:sz w:val="24"/>
          <w:szCs w:val="24"/>
          <w:highlight w:val="none"/>
        </w:rPr>
        <w:t>6.1.1</w:t>
      </w:r>
      <w:r>
        <w:rPr>
          <w:rFonts w:hint="eastAsia" w:ascii="宋体" w:hAnsi="宋体" w:cs="宋体"/>
          <w:color w:val="auto"/>
          <w:sz w:val="24"/>
          <w:szCs w:val="24"/>
          <w:highlight w:val="none"/>
          <w:lang w:val="zh-CN"/>
        </w:rPr>
        <w:t>厦门市思明区展鸿路100号食堂运营服务人员配置如下：</w:t>
      </w:r>
    </w:p>
    <w:tbl>
      <w:tblPr>
        <w:tblStyle w:val="21"/>
        <w:tblW w:w="8974" w:type="dxa"/>
        <w:jc w:val="center"/>
        <w:tblLayout w:type="fixed"/>
        <w:tblCellMar>
          <w:top w:w="15" w:type="dxa"/>
          <w:left w:w="108" w:type="dxa"/>
          <w:bottom w:w="15" w:type="dxa"/>
          <w:right w:w="108" w:type="dxa"/>
        </w:tblCellMar>
      </w:tblPr>
      <w:tblGrid>
        <w:gridCol w:w="1370"/>
        <w:gridCol w:w="1134"/>
        <w:gridCol w:w="6470"/>
      </w:tblGrid>
      <w:tr w14:paraId="460285E1">
        <w:tblPrEx>
          <w:tblCellMar>
            <w:top w:w="15" w:type="dxa"/>
            <w:left w:w="108" w:type="dxa"/>
            <w:bottom w:w="15" w:type="dxa"/>
            <w:right w:w="108" w:type="dxa"/>
          </w:tblCellMar>
        </w:tblPrEx>
        <w:trPr>
          <w:trHeight w:val="537" w:hRule="atLeast"/>
          <w:jc w:val="center"/>
        </w:trPr>
        <w:tc>
          <w:tcPr>
            <w:tcW w:w="8974" w:type="dxa"/>
            <w:gridSpan w:val="3"/>
            <w:tcBorders>
              <w:top w:val="single" w:color="auto" w:sz="4" w:space="0"/>
              <w:left w:val="single" w:color="000000" w:sz="4" w:space="0"/>
              <w:bottom w:val="single" w:color="000000" w:sz="4" w:space="0"/>
              <w:right w:val="single" w:color="000000" w:sz="4" w:space="0"/>
            </w:tcBorders>
            <w:vAlign w:val="center"/>
          </w:tcPr>
          <w:p w14:paraId="7EB2BCCD">
            <w:pPr>
              <w:widowControl/>
              <w:spacing w:line="360" w:lineRule="auto"/>
              <w:jc w:val="center"/>
              <w:rPr>
                <w:rFonts w:ascii="宋体" w:hAnsi="宋体" w:cs="宋体"/>
                <w:b/>
                <w:color w:val="auto"/>
                <w:kern w:val="0"/>
                <w:sz w:val="24"/>
                <w:szCs w:val="24"/>
                <w:highlight w:val="none"/>
              </w:rPr>
            </w:pPr>
            <w:bookmarkStart w:id="105" w:name="_Hlk128640682"/>
            <w:r>
              <w:rPr>
                <w:rFonts w:hint="eastAsia" w:ascii="宋体" w:hAnsi="宋体" w:cs="宋体"/>
                <w:b/>
                <w:color w:val="auto"/>
                <w:sz w:val="24"/>
                <w:szCs w:val="24"/>
                <w:highlight w:val="none"/>
              </w:rPr>
              <w:t>食堂运营服务人员配置</w:t>
            </w:r>
            <w:bookmarkEnd w:id="105"/>
            <w:r>
              <w:rPr>
                <w:rFonts w:hint="eastAsia" w:ascii="宋体" w:hAnsi="宋体" w:cs="宋体"/>
                <w:b/>
                <w:color w:val="auto"/>
                <w:sz w:val="24"/>
                <w:szCs w:val="24"/>
                <w:highlight w:val="none"/>
              </w:rPr>
              <w:t>表</w:t>
            </w:r>
          </w:p>
        </w:tc>
      </w:tr>
      <w:tr w14:paraId="443A626D">
        <w:tblPrEx>
          <w:tblCellMar>
            <w:top w:w="15" w:type="dxa"/>
            <w:left w:w="108" w:type="dxa"/>
            <w:bottom w:w="15" w:type="dxa"/>
            <w:right w:w="108" w:type="dxa"/>
          </w:tblCellMar>
        </w:tblPrEx>
        <w:trPr>
          <w:trHeight w:val="537" w:hRule="atLeast"/>
          <w:jc w:val="center"/>
        </w:trPr>
        <w:tc>
          <w:tcPr>
            <w:tcW w:w="1370" w:type="dxa"/>
            <w:tcBorders>
              <w:top w:val="single" w:color="auto" w:sz="4" w:space="0"/>
              <w:left w:val="single" w:color="000000" w:sz="4" w:space="0"/>
              <w:bottom w:val="single" w:color="000000" w:sz="4" w:space="0"/>
              <w:right w:val="single" w:color="000000" w:sz="4" w:space="0"/>
            </w:tcBorders>
            <w:vAlign w:val="center"/>
          </w:tcPr>
          <w:p w14:paraId="7FD42389">
            <w:pPr>
              <w:widowControl/>
              <w:spacing w:line="360" w:lineRule="auto"/>
              <w:jc w:val="center"/>
              <w:rPr>
                <w:rFonts w:ascii="宋体" w:hAnsi="宋体" w:cs="宋体"/>
                <w:b/>
                <w:color w:val="auto"/>
                <w:kern w:val="0"/>
                <w:sz w:val="24"/>
                <w:szCs w:val="24"/>
                <w:highlight w:val="none"/>
              </w:rPr>
            </w:pPr>
            <w:r>
              <w:rPr>
                <w:rFonts w:hint="eastAsia" w:ascii="宋体" w:hAnsi="宋体" w:cs="宋体"/>
                <w:b/>
                <w:color w:val="auto"/>
                <w:kern w:val="0"/>
                <w:sz w:val="24"/>
                <w:szCs w:val="24"/>
                <w:highlight w:val="none"/>
              </w:rPr>
              <w:t>职位</w:t>
            </w:r>
          </w:p>
        </w:tc>
        <w:tc>
          <w:tcPr>
            <w:tcW w:w="1134" w:type="dxa"/>
            <w:tcBorders>
              <w:top w:val="single" w:color="auto" w:sz="4" w:space="0"/>
              <w:left w:val="single" w:color="000000" w:sz="4" w:space="0"/>
              <w:bottom w:val="single" w:color="000000" w:sz="4" w:space="0"/>
              <w:right w:val="single" w:color="000000" w:sz="4" w:space="0"/>
            </w:tcBorders>
            <w:vAlign w:val="center"/>
          </w:tcPr>
          <w:p w14:paraId="636925B4">
            <w:pPr>
              <w:widowControl/>
              <w:spacing w:line="360" w:lineRule="auto"/>
              <w:jc w:val="center"/>
              <w:rPr>
                <w:rFonts w:ascii="宋体" w:hAnsi="宋体" w:cs="宋体"/>
                <w:b/>
                <w:color w:val="auto"/>
                <w:kern w:val="0"/>
                <w:sz w:val="24"/>
                <w:szCs w:val="24"/>
                <w:highlight w:val="none"/>
              </w:rPr>
            </w:pPr>
            <w:r>
              <w:rPr>
                <w:rFonts w:hint="eastAsia" w:ascii="宋体" w:hAnsi="宋体" w:cs="宋体"/>
                <w:b/>
                <w:color w:val="auto"/>
                <w:kern w:val="0"/>
                <w:sz w:val="24"/>
                <w:szCs w:val="24"/>
                <w:highlight w:val="none"/>
              </w:rPr>
              <w:t>职数</w:t>
            </w:r>
          </w:p>
        </w:tc>
        <w:tc>
          <w:tcPr>
            <w:tcW w:w="6470" w:type="dxa"/>
            <w:tcBorders>
              <w:top w:val="single" w:color="auto" w:sz="4" w:space="0"/>
              <w:left w:val="single" w:color="000000" w:sz="4" w:space="0"/>
              <w:bottom w:val="single" w:color="000000" w:sz="4" w:space="0"/>
              <w:right w:val="single" w:color="000000" w:sz="4" w:space="0"/>
            </w:tcBorders>
            <w:vAlign w:val="center"/>
          </w:tcPr>
          <w:p w14:paraId="1772DCC6">
            <w:pPr>
              <w:widowControl/>
              <w:spacing w:line="360" w:lineRule="auto"/>
              <w:jc w:val="center"/>
              <w:rPr>
                <w:rFonts w:ascii="宋体" w:hAnsi="宋体" w:cs="宋体"/>
                <w:b/>
                <w:color w:val="auto"/>
                <w:kern w:val="0"/>
                <w:sz w:val="24"/>
                <w:szCs w:val="24"/>
                <w:highlight w:val="none"/>
              </w:rPr>
            </w:pPr>
            <w:r>
              <w:rPr>
                <w:rFonts w:hint="eastAsia" w:ascii="宋体" w:hAnsi="宋体" w:cs="宋体"/>
                <w:b/>
                <w:color w:val="auto"/>
                <w:kern w:val="0"/>
                <w:sz w:val="24"/>
                <w:szCs w:val="24"/>
                <w:highlight w:val="none"/>
              </w:rPr>
              <w:t>要求</w:t>
            </w:r>
          </w:p>
        </w:tc>
      </w:tr>
      <w:tr w14:paraId="26B58D4F">
        <w:tblPrEx>
          <w:tblCellMar>
            <w:top w:w="15" w:type="dxa"/>
            <w:left w:w="108" w:type="dxa"/>
            <w:bottom w:w="15" w:type="dxa"/>
            <w:right w:w="108" w:type="dxa"/>
          </w:tblCellMar>
        </w:tblPrEx>
        <w:trPr>
          <w:trHeight w:val="855" w:hRule="atLeast"/>
          <w:jc w:val="center"/>
        </w:trPr>
        <w:tc>
          <w:tcPr>
            <w:tcW w:w="1370" w:type="dxa"/>
            <w:tcBorders>
              <w:top w:val="single" w:color="000000" w:sz="4" w:space="0"/>
              <w:left w:val="single" w:color="000000" w:sz="4" w:space="0"/>
              <w:bottom w:val="single" w:color="000000" w:sz="4" w:space="0"/>
              <w:right w:val="single" w:color="000000" w:sz="4" w:space="0"/>
            </w:tcBorders>
            <w:vAlign w:val="center"/>
          </w:tcPr>
          <w:p w14:paraId="44F031FD">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项目经理</w:t>
            </w:r>
          </w:p>
        </w:tc>
        <w:tc>
          <w:tcPr>
            <w:tcW w:w="1134" w:type="dxa"/>
            <w:tcBorders>
              <w:top w:val="single" w:color="000000" w:sz="4" w:space="0"/>
              <w:left w:val="single" w:color="000000" w:sz="4" w:space="0"/>
              <w:bottom w:val="single" w:color="000000" w:sz="4" w:space="0"/>
              <w:right w:val="single" w:color="000000" w:sz="4" w:space="0"/>
            </w:tcBorders>
            <w:vAlign w:val="center"/>
          </w:tcPr>
          <w:p w14:paraId="4BB0F814">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1名</w:t>
            </w:r>
          </w:p>
        </w:tc>
        <w:tc>
          <w:tcPr>
            <w:tcW w:w="6470" w:type="dxa"/>
            <w:tcBorders>
              <w:top w:val="single" w:color="000000" w:sz="4" w:space="0"/>
              <w:left w:val="single" w:color="000000" w:sz="4" w:space="0"/>
              <w:bottom w:val="single" w:color="000000" w:sz="4" w:space="0"/>
              <w:right w:val="single" w:color="000000" w:sz="4" w:space="0"/>
            </w:tcBorders>
            <w:vAlign w:val="center"/>
          </w:tcPr>
          <w:p w14:paraId="238A54D8">
            <w:pPr>
              <w:widowControl/>
              <w:spacing w:line="360" w:lineRule="auto"/>
              <w:jc w:val="left"/>
              <w:rPr>
                <w:rFonts w:ascii="宋体" w:hAnsi="宋体" w:cs="宋体"/>
                <w:color w:val="auto"/>
                <w:kern w:val="0"/>
                <w:sz w:val="24"/>
                <w:szCs w:val="24"/>
                <w:highlight w:val="none"/>
              </w:rPr>
            </w:pPr>
            <w:r>
              <w:rPr>
                <w:rFonts w:hint="eastAsia" w:ascii="宋体" w:hAnsi="宋体" w:cs="宋体"/>
                <w:color w:val="auto"/>
                <w:kern w:val="0"/>
                <w:sz w:val="24"/>
                <w:szCs w:val="24"/>
                <w:highlight w:val="none"/>
              </w:rPr>
              <w:t>全面负责食堂餐饮服务管理工作。责任心强；在中标单位服务一年以上；具有同类项目、同等职位任职三年以上资历；具备良好的沟通和团队管理能力。</w:t>
            </w:r>
          </w:p>
          <w:p w14:paraId="7827340C">
            <w:pPr>
              <w:widowControl/>
              <w:spacing w:line="360" w:lineRule="auto"/>
              <w:jc w:val="left"/>
              <w:rPr>
                <w:rFonts w:ascii="宋体" w:hAnsi="宋体" w:cs="宋体"/>
                <w:color w:val="auto"/>
                <w:kern w:val="0"/>
                <w:sz w:val="24"/>
                <w:szCs w:val="24"/>
                <w:highlight w:val="none"/>
              </w:rPr>
            </w:pPr>
            <w:r>
              <w:rPr>
                <w:rFonts w:hint="eastAsia" w:ascii="宋体" w:hAnsi="宋体" w:cs="宋体"/>
                <w:b/>
                <w:color w:val="auto"/>
                <w:kern w:val="0"/>
                <w:sz w:val="24"/>
                <w:szCs w:val="24"/>
                <w:highlight w:val="none"/>
              </w:rPr>
              <w:t>须提供相关证明文件复印件并加盖投标人公章，原件备查。</w:t>
            </w:r>
          </w:p>
        </w:tc>
      </w:tr>
      <w:tr w14:paraId="4F969701">
        <w:tblPrEx>
          <w:tblCellMar>
            <w:top w:w="15" w:type="dxa"/>
            <w:left w:w="108" w:type="dxa"/>
            <w:bottom w:w="15" w:type="dxa"/>
            <w:right w:w="108" w:type="dxa"/>
          </w:tblCellMar>
        </w:tblPrEx>
        <w:trPr>
          <w:trHeight w:val="855" w:hRule="atLeast"/>
          <w:jc w:val="center"/>
        </w:trPr>
        <w:tc>
          <w:tcPr>
            <w:tcW w:w="1370" w:type="dxa"/>
            <w:tcBorders>
              <w:top w:val="single" w:color="000000" w:sz="4" w:space="0"/>
              <w:left w:val="single" w:color="000000" w:sz="4" w:space="0"/>
              <w:bottom w:val="single" w:color="000000" w:sz="4" w:space="0"/>
              <w:right w:val="single" w:color="000000" w:sz="4" w:space="0"/>
            </w:tcBorders>
            <w:vAlign w:val="center"/>
          </w:tcPr>
          <w:p w14:paraId="7D1A9AAF">
            <w:pPr>
              <w:widowControl/>
              <w:spacing w:line="360" w:lineRule="auto"/>
              <w:ind w:left="-107" w:leftChars="-51"/>
              <w:jc w:val="center"/>
              <w:rPr>
                <w:rFonts w:ascii="宋体" w:hAnsi="宋体" w:cs="宋体"/>
                <w:color w:val="auto"/>
                <w:kern w:val="0"/>
                <w:sz w:val="24"/>
                <w:szCs w:val="24"/>
                <w:highlight w:val="none"/>
              </w:rPr>
            </w:pPr>
            <w:bookmarkStart w:id="106" w:name="_Hlk129334486"/>
            <w:r>
              <w:rPr>
                <w:rFonts w:hint="eastAsia" w:ascii="宋体" w:hAnsi="宋体" w:cs="宋体"/>
                <w:color w:val="auto"/>
                <w:kern w:val="0"/>
                <w:sz w:val="24"/>
                <w:szCs w:val="24"/>
                <w:highlight w:val="none"/>
              </w:rPr>
              <w:t>仓管员（兼记账）</w:t>
            </w:r>
            <w:bookmarkEnd w:id="106"/>
          </w:p>
        </w:tc>
        <w:tc>
          <w:tcPr>
            <w:tcW w:w="1134" w:type="dxa"/>
            <w:tcBorders>
              <w:top w:val="single" w:color="000000" w:sz="4" w:space="0"/>
              <w:left w:val="single" w:color="000000" w:sz="4" w:space="0"/>
              <w:bottom w:val="single" w:color="000000" w:sz="4" w:space="0"/>
              <w:right w:val="single" w:color="000000" w:sz="4" w:space="0"/>
            </w:tcBorders>
            <w:vAlign w:val="center"/>
          </w:tcPr>
          <w:p w14:paraId="5454BA18">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1名</w:t>
            </w:r>
          </w:p>
        </w:tc>
        <w:tc>
          <w:tcPr>
            <w:tcW w:w="6470" w:type="dxa"/>
            <w:tcBorders>
              <w:top w:val="single" w:color="000000" w:sz="4" w:space="0"/>
              <w:left w:val="single" w:color="000000" w:sz="4" w:space="0"/>
              <w:bottom w:val="single" w:color="000000" w:sz="4" w:space="0"/>
              <w:right w:val="single" w:color="000000" w:sz="4" w:space="0"/>
            </w:tcBorders>
            <w:vAlign w:val="center"/>
          </w:tcPr>
          <w:p w14:paraId="05109EE8">
            <w:pPr>
              <w:widowControl/>
              <w:spacing w:line="360" w:lineRule="auto"/>
              <w:jc w:val="left"/>
              <w:rPr>
                <w:rFonts w:ascii="宋体" w:hAnsi="宋体" w:cs="宋体"/>
                <w:color w:val="auto"/>
                <w:kern w:val="0"/>
                <w:sz w:val="24"/>
                <w:szCs w:val="24"/>
                <w:highlight w:val="none"/>
              </w:rPr>
            </w:pPr>
            <w:r>
              <w:rPr>
                <w:rFonts w:hint="eastAsia" w:ascii="宋体" w:hAnsi="宋体" w:cs="宋体"/>
                <w:color w:val="auto"/>
                <w:kern w:val="0"/>
                <w:sz w:val="24"/>
                <w:szCs w:val="24"/>
                <w:highlight w:val="none"/>
              </w:rPr>
              <w:t>负责报账、对账、整理账目、充现等账务工作。责任心强，具有二年以上的工作经验，能够按财务管理要求记账。</w:t>
            </w:r>
          </w:p>
          <w:p w14:paraId="1677D78B">
            <w:pPr>
              <w:widowControl/>
              <w:spacing w:line="360" w:lineRule="auto"/>
              <w:jc w:val="left"/>
              <w:rPr>
                <w:rFonts w:ascii="宋体" w:hAnsi="宋体" w:cs="宋体"/>
                <w:color w:val="auto"/>
                <w:kern w:val="0"/>
                <w:sz w:val="24"/>
                <w:szCs w:val="24"/>
                <w:highlight w:val="none"/>
              </w:rPr>
            </w:pPr>
            <w:r>
              <w:rPr>
                <w:rFonts w:hint="eastAsia" w:ascii="宋体" w:hAnsi="宋体" w:cs="宋体"/>
                <w:b/>
                <w:color w:val="auto"/>
                <w:kern w:val="0"/>
                <w:sz w:val="24"/>
                <w:szCs w:val="24"/>
                <w:highlight w:val="none"/>
              </w:rPr>
              <w:t>须提供相关证明文件复印件并加盖投标人公章，原件备查。</w:t>
            </w:r>
          </w:p>
        </w:tc>
      </w:tr>
      <w:tr w14:paraId="0C418332">
        <w:tblPrEx>
          <w:tblCellMar>
            <w:top w:w="15" w:type="dxa"/>
            <w:left w:w="108" w:type="dxa"/>
            <w:bottom w:w="15" w:type="dxa"/>
            <w:right w:w="108" w:type="dxa"/>
          </w:tblCellMar>
        </w:tblPrEx>
        <w:trPr>
          <w:trHeight w:val="855" w:hRule="atLeast"/>
          <w:jc w:val="center"/>
        </w:trPr>
        <w:tc>
          <w:tcPr>
            <w:tcW w:w="1370" w:type="dxa"/>
            <w:tcBorders>
              <w:top w:val="single" w:color="000000" w:sz="4" w:space="0"/>
              <w:left w:val="single" w:color="000000" w:sz="4" w:space="0"/>
              <w:bottom w:val="single" w:color="000000" w:sz="4" w:space="0"/>
              <w:right w:val="single" w:color="000000" w:sz="4" w:space="0"/>
            </w:tcBorders>
            <w:vAlign w:val="center"/>
          </w:tcPr>
          <w:p w14:paraId="0D629E5D">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厨师长</w:t>
            </w:r>
          </w:p>
        </w:tc>
        <w:tc>
          <w:tcPr>
            <w:tcW w:w="1134" w:type="dxa"/>
            <w:tcBorders>
              <w:top w:val="single" w:color="000000" w:sz="4" w:space="0"/>
              <w:left w:val="single" w:color="000000" w:sz="4" w:space="0"/>
              <w:bottom w:val="single" w:color="000000" w:sz="4" w:space="0"/>
              <w:right w:val="single" w:color="000000" w:sz="4" w:space="0"/>
            </w:tcBorders>
            <w:vAlign w:val="center"/>
          </w:tcPr>
          <w:p w14:paraId="0E875C60">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1名</w:t>
            </w:r>
          </w:p>
        </w:tc>
        <w:tc>
          <w:tcPr>
            <w:tcW w:w="6470" w:type="dxa"/>
            <w:tcBorders>
              <w:top w:val="single" w:color="000000" w:sz="4" w:space="0"/>
              <w:left w:val="single" w:color="000000" w:sz="4" w:space="0"/>
              <w:bottom w:val="single" w:color="000000" w:sz="4" w:space="0"/>
              <w:right w:val="single" w:color="000000" w:sz="4" w:space="0"/>
            </w:tcBorders>
            <w:vAlign w:val="center"/>
          </w:tcPr>
          <w:p w14:paraId="123FC651">
            <w:pPr>
              <w:widowControl/>
              <w:spacing w:line="360" w:lineRule="auto"/>
              <w:jc w:val="left"/>
              <w:rPr>
                <w:rFonts w:hint="eastAsia"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rPr>
              <w:t>负责制定菜谱，控制菜肴的分量和质量，协助采购人控制成本。精通烹饪知识，具备一级（高级技师）中式烹调师或三级（高级）及以上中餐厨师长（或行政总厨或酒店管理）职业资格（或技能等级）证书，具有同类项目，同等职位任职三年以上的工作经验</w:t>
            </w: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lang w:val="en-US" w:eastAsia="zh-CN"/>
              </w:rPr>
              <w:t>具备</w:t>
            </w:r>
            <w:r>
              <w:rPr>
                <w:rFonts w:hint="eastAsia" w:ascii="宋体" w:hAnsi="宋体" w:cs="宋体"/>
                <w:color w:val="auto"/>
                <w:kern w:val="0"/>
                <w:sz w:val="24"/>
                <w:szCs w:val="24"/>
                <w:highlight w:val="none"/>
              </w:rPr>
              <w:t>公共营养师</w:t>
            </w:r>
            <w:r>
              <w:rPr>
                <w:rFonts w:hint="eastAsia" w:ascii="宋体" w:hAnsi="宋体" w:cs="宋体"/>
                <w:color w:val="auto"/>
                <w:kern w:val="0"/>
                <w:sz w:val="24"/>
                <w:szCs w:val="24"/>
                <w:highlight w:val="none"/>
                <w:lang w:val="en-US" w:eastAsia="zh-CN"/>
              </w:rPr>
              <w:t>证书（如有）。</w:t>
            </w:r>
          </w:p>
          <w:p w14:paraId="7AC9B92C">
            <w:pPr>
              <w:widowControl/>
              <w:spacing w:line="360" w:lineRule="auto"/>
              <w:jc w:val="left"/>
              <w:rPr>
                <w:rFonts w:ascii="宋体" w:hAnsi="宋体" w:cs="宋体"/>
                <w:b/>
                <w:color w:val="auto"/>
                <w:kern w:val="0"/>
                <w:sz w:val="24"/>
                <w:szCs w:val="24"/>
                <w:highlight w:val="none"/>
              </w:rPr>
            </w:pPr>
            <w:r>
              <w:rPr>
                <w:rFonts w:hint="eastAsia" w:ascii="宋体" w:hAnsi="宋体" w:cs="宋体"/>
                <w:b/>
                <w:color w:val="auto"/>
                <w:kern w:val="0"/>
                <w:sz w:val="24"/>
                <w:szCs w:val="24"/>
                <w:highlight w:val="none"/>
              </w:rPr>
              <w:t>须提供相关证明文件复印件并加盖投标人公章，原件备查。</w:t>
            </w:r>
          </w:p>
        </w:tc>
      </w:tr>
      <w:tr w14:paraId="28919E89">
        <w:tblPrEx>
          <w:tblCellMar>
            <w:top w:w="15" w:type="dxa"/>
            <w:left w:w="108" w:type="dxa"/>
            <w:bottom w:w="15" w:type="dxa"/>
            <w:right w:w="108" w:type="dxa"/>
          </w:tblCellMar>
        </w:tblPrEx>
        <w:trPr>
          <w:trHeight w:val="930" w:hRule="atLeast"/>
          <w:jc w:val="center"/>
        </w:trPr>
        <w:tc>
          <w:tcPr>
            <w:tcW w:w="1370" w:type="dxa"/>
            <w:tcBorders>
              <w:top w:val="single" w:color="000000" w:sz="4" w:space="0"/>
              <w:left w:val="single" w:color="000000" w:sz="4" w:space="0"/>
              <w:bottom w:val="single" w:color="000000" w:sz="4" w:space="0"/>
              <w:right w:val="single" w:color="000000" w:sz="4" w:space="0"/>
            </w:tcBorders>
            <w:vAlign w:val="center"/>
          </w:tcPr>
          <w:p w14:paraId="418FEEE5">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锅台师傅</w:t>
            </w:r>
          </w:p>
        </w:tc>
        <w:tc>
          <w:tcPr>
            <w:tcW w:w="1134" w:type="dxa"/>
            <w:tcBorders>
              <w:top w:val="single" w:color="000000" w:sz="4" w:space="0"/>
              <w:left w:val="single" w:color="000000" w:sz="4" w:space="0"/>
              <w:bottom w:val="single" w:color="000000" w:sz="4" w:space="0"/>
              <w:right w:val="single" w:color="000000" w:sz="4" w:space="0"/>
            </w:tcBorders>
            <w:vAlign w:val="center"/>
          </w:tcPr>
          <w:p w14:paraId="2763E2BE">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2名</w:t>
            </w:r>
          </w:p>
        </w:tc>
        <w:tc>
          <w:tcPr>
            <w:tcW w:w="6470" w:type="dxa"/>
            <w:tcBorders>
              <w:top w:val="single" w:color="000000" w:sz="4" w:space="0"/>
              <w:left w:val="single" w:color="000000" w:sz="4" w:space="0"/>
              <w:bottom w:val="single" w:color="000000" w:sz="4" w:space="0"/>
              <w:right w:val="single" w:color="000000" w:sz="4" w:space="0"/>
            </w:tcBorders>
            <w:vAlign w:val="center"/>
          </w:tcPr>
          <w:p w14:paraId="5BA3A6DF">
            <w:pPr>
              <w:widowControl/>
              <w:spacing w:line="360" w:lineRule="auto"/>
              <w:jc w:val="left"/>
              <w:rPr>
                <w:rFonts w:ascii="宋体" w:hAnsi="宋体" w:cs="宋体"/>
                <w:color w:val="auto"/>
                <w:kern w:val="0"/>
                <w:sz w:val="24"/>
                <w:szCs w:val="24"/>
                <w:highlight w:val="none"/>
              </w:rPr>
            </w:pPr>
            <w:r>
              <w:rPr>
                <w:rFonts w:hint="eastAsia" w:ascii="宋体" w:hAnsi="宋体" w:cs="宋体"/>
                <w:color w:val="auto"/>
                <w:kern w:val="0"/>
                <w:sz w:val="24"/>
                <w:szCs w:val="24"/>
                <w:highlight w:val="none"/>
              </w:rPr>
              <w:t>负责制作早、中、晚餐菜谱上的菜肴。持有国家认证的相关厨师中式烹调师资格证书， 具有切配各式菜肴及刻花技术。</w:t>
            </w:r>
          </w:p>
          <w:p w14:paraId="53F40AD4">
            <w:pPr>
              <w:widowControl/>
              <w:spacing w:line="360" w:lineRule="auto"/>
              <w:jc w:val="left"/>
              <w:rPr>
                <w:rFonts w:ascii="宋体" w:hAnsi="宋体" w:cs="宋体"/>
                <w:b/>
                <w:color w:val="auto"/>
                <w:kern w:val="0"/>
                <w:sz w:val="24"/>
                <w:szCs w:val="24"/>
                <w:highlight w:val="none"/>
              </w:rPr>
            </w:pPr>
            <w:r>
              <w:rPr>
                <w:rFonts w:hint="eastAsia" w:ascii="宋体" w:hAnsi="宋体" w:cs="宋体"/>
                <w:b/>
                <w:color w:val="auto"/>
                <w:sz w:val="24"/>
                <w:szCs w:val="24"/>
                <w:highlight w:val="none"/>
              </w:rPr>
              <w:t>须提供相关证明文件复印件并加盖投标人公章</w:t>
            </w:r>
            <w:r>
              <w:rPr>
                <w:rFonts w:hint="eastAsia" w:ascii="宋体" w:hAnsi="宋体" w:cs="宋体"/>
                <w:b/>
                <w:color w:val="auto"/>
                <w:kern w:val="0"/>
                <w:sz w:val="24"/>
                <w:szCs w:val="24"/>
                <w:highlight w:val="none"/>
              </w:rPr>
              <w:t>，原件备查。</w:t>
            </w:r>
          </w:p>
        </w:tc>
      </w:tr>
      <w:tr w14:paraId="07BA42AE">
        <w:tblPrEx>
          <w:tblCellMar>
            <w:top w:w="15" w:type="dxa"/>
            <w:left w:w="108" w:type="dxa"/>
            <w:bottom w:w="15" w:type="dxa"/>
            <w:right w:w="108" w:type="dxa"/>
          </w:tblCellMar>
        </w:tblPrEx>
        <w:trPr>
          <w:trHeight w:val="570" w:hRule="atLeast"/>
          <w:jc w:val="center"/>
        </w:trPr>
        <w:tc>
          <w:tcPr>
            <w:tcW w:w="1370" w:type="dxa"/>
            <w:tcBorders>
              <w:top w:val="single" w:color="000000" w:sz="4" w:space="0"/>
              <w:left w:val="single" w:color="000000" w:sz="4" w:space="0"/>
              <w:bottom w:val="single" w:color="000000" w:sz="4" w:space="0"/>
              <w:right w:val="single" w:color="000000" w:sz="4" w:space="0"/>
            </w:tcBorders>
            <w:vAlign w:val="center"/>
          </w:tcPr>
          <w:p w14:paraId="0D7CC8BE">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面点师傅</w:t>
            </w:r>
          </w:p>
        </w:tc>
        <w:tc>
          <w:tcPr>
            <w:tcW w:w="1134" w:type="dxa"/>
            <w:tcBorders>
              <w:top w:val="single" w:color="000000" w:sz="4" w:space="0"/>
              <w:left w:val="single" w:color="000000" w:sz="4" w:space="0"/>
              <w:bottom w:val="single" w:color="000000" w:sz="4" w:space="0"/>
              <w:right w:val="single" w:color="000000" w:sz="4" w:space="0"/>
            </w:tcBorders>
            <w:vAlign w:val="center"/>
          </w:tcPr>
          <w:p w14:paraId="15DE3664">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1名</w:t>
            </w:r>
          </w:p>
        </w:tc>
        <w:tc>
          <w:tcPr>
            <w:tcW w:w="6470" w:type="dxa"/>
            <w:tcBorders>
              <w:top w:val="single" w:color="000000" w:sz="4" w:space="0"/>
              <w:left w:val="single" w:color="000000" w:sz="4" w:space="0"/>
              <w:bottom w:val="single" w:color="000000" w:sz="4" w:space="0"/>
              <w:right w:val="single" w:color="000000" w:sz="4" w:space="0"/>
            </w:tcBorders>
            <w:vAlign w:val="center"/>
          </w:tcPr>
          <w:p w14:paraId="3216CB76">
            <w:pPr>
              <w:widowControl/>
              <w:spacing w:line="360" w:lineRule="auto"/>
              <w:jc w:val="left"/>
              <w:rPr>
                <w:rFonts w:ascii="宋体" w:hAnsi="宋体" w:cs="宋体"/>
                <w:color w:val="auto"/>
                <w:kern w:val="0"/>
                <w:sz w:val="24"/>
                <w:szCs w:val="24"/>
                <w:highlight w:val="none"/>
              </w:rPr>
            </w:pPr>
            <w:r>
              <w:rPr>
                <w:rFonts w:hint="eastAsia" w:ascii="宋体" w:hAnsi="宋体" w:cs="宋体"/>
                <w:color w:val="auto"/>
                <w:kern w:val="0"/>
                <w:sz w:val="24"/>
                <w:szCs w:val="24"/>
                <w:highlight w:val="none"/>
              </w:rPr>
              <w:t>持有三级（高级）及以上中式面点师证书</w:t>
            </w: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rPr>
              <w:t>四级（中级）及以上西式面点师证书</w:t>
            </w: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lang w:val="en-US" w:eastAsia="zh-CN"/>
              </w:rPr>
              <w:t>如有）</w:t>
            </w:r>
            <w:r>
              <w:rPr>
                <w:rFonts w:hint="eastAsia" w:ascii="宋体" w:hAnsi="宋体" w:cs="宋体"/>
                <w:color w:val="auto"/>
                <w:kern w:val="0"/>
                <w:sz w:val="24"/>
                <w:szCs w:val="24"/>
                <w:highlight w:val="none"/>
              </w:rPr>
              <w:t>，熟悉和掌握各类面点的制作工艺，负责早餐、午餐、晚餐中、西式点心的制作，每日可制作面点不少于500个。</w:t>
            </w:r>
          </w:p>
          <w:p w14:paraId="63B3C6DB">
            <w:pPr>
              <w:widowControl/>
              <w:spacing w:line="360" w:lineRule="auto"/>
              <w:jc w:val="left"/>
              <w:rPr>
                <w:rFonts w:ascii="宋体" w:hAnsi="宋体" w:cs="宋体"/>
                <w:b/>
                <w:color w:val="auto"/>
                <w:kern w:val="0"/>
                <w:sz w:val="24"/>
                <w:szCs w:val="24"/>
                <w:highlight w:val="none"/>
              </w:rPr>
            </w:pPr>
            <w:r>
              <w:rPr>
                <w:rFonts w:hint="eastAsia" w:ascii="宋体" w:hAnsi="宋体" w:cs="宋体"/>
                <w:b/>
                <w:color w:val="auto"/>
                <w:kern w:val="0"/>
                <w:sz w:val="24"/>
                <w:szCs w:val="24"/>
                <w:highlight w:val="none"/>
              </w:rPr>
              <w:t>须提供相关证明文件复印件</w:t>
            </w:r>
            <w:r>
              <w:rPr>
                <w:rFonts w:hint="eastAsia" w:ascii="宋体" w:hAnsi="宋体" w:cs="宋体"/>
                <w:b/>
                <w:color w:val="auto"/>
                <w:sz w:val="24"/>
                <w:szCs w:val="24"/>
                <w:highlight w:val="none"/>
              </w:rPr>
              <w:t>并加盖投标人公章</w:t>
            </w:r>
            <w:r>
              <w:rPr>
                <w:rFonts w:hint="eastAsia" w:ascii="宋体" w:hAnsi="宋体" w:cs="宋体"/>
                <w:b/>
                <w:color w:val="auto"/>
                <w:kern w:val="0"/>
                <w:sz w:val="24"/>
                <w:szCs w:val="24"/>
                <w:highlight w:val="none"/>
              </w:rPr>
              <w:t>，原件备查。</w:t>
            </w:r>
          </w:p>
        </w:tc>
      </w:tr>
      <w:tr w14:paraId="749553C3">
        <w:tblPrEx>
          <w:tblCellMar>
            <w:top w:w="15" w:type="dxa"/>
            <w:left w:w="108" w:type="dxa"/>
            <w:bottom w:w="15" w:type="dxa"/>
            <w:right w:w="108" w:type="dxa"/>
          </w:tblCellMar>
        </w:tblPrEx>
        <w:trPr>
          <w:trHeight w:val="570" w:hRule="atLeast"/>
          <w:jc w:val="center"/>
        </w:trPr>
        <w:tc>
          <w:tcPr>
            <w:tcW w:w="1370" w:type="dxa"/>
            <w:tcBorders>
              <w:top w:val="single" w:color="000000" w:sz="4" w:space="0"/>
              <w:left w:val="single" w:color="000000" w:sz="4" w:space="0"/>
              <w:bottom w:val="single" w:color="000000" w:sz="4" w:space="0"/>
              <w:right w:val="single" w:color="000000" w:sz="4" w:space="0"/>
            </w:tcBorders>
            <w:vAlign w:val="center"/>
          </w:tcPr>
          <w:p w14:paraId="1325ABBE">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餐厅服务员</w:t>
            </w:r>
          </w:p>
        </w:tc>
        <w:tc>
          <w:tcPr>
            <w:tcW w:w="1134" w:type="dxa"/>
            <w:tcBorders>
              <w:top w:val="single" w:color="000000" w:sz="4" w:space="0"/>
              <w:left w:val="single" w:color="000000" w:sz="4" w:space="0"/>
              <w:bottom w:val="single" w:color="000000" w:sz="4" w:space="0"/>
              <w:right w:val="single" w:color="000000" w:sz="4" w:space="0"/>
            </w:tcBorders>
            <w:vAlign w:val="center"/>
          </w:tcPr>
          <w:p w14:paraId="1992AFAD">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5名</w:t>
            </w:r>
          </w:p>
        </w:tc>
        <w:tc>
          <w:tcPr>
            <w:tcW w:w="6470" w:type="dxa"/>
            <w:tcBorders>
              <w:top w:val="single" w:color="000000" w:sz="4" w:space="0"/>
              <w:left w:val="single" w:color="000000" w:sz="4" w:space="0"/>
              <w:bottom w:val="single" w:color="000000" w:sz="4" w:space="0"/>
              <w:right w:val="single" w:color="000000" w:sz="4" w:space="0"/>
            </w:tcBorders>
            <w:vAlign w:val="center"/>
          </w:tcPr>
          <w:p w14:paraId="4B54488C">
            <w:pPr>
              <w:widowControl/>
              <w:spacing w:line="360" w:lineRule="auto"/>
              <w:jc w:val="left"/>
              <w:rPr>
                <w:rFonts w:ascii="宋体" w:hAnsi="宋体" w:cs="宋体"/>
                <w:color w:val="auto"/>
                <w:kern w:val="0"/>
                <w:sz w:val="24"/>
                <w:szCs w:val="24"/>
                <w:highlight w:val="none"/>
              </w:rPr>
            </w:pPr>
            <w:r>
              <w:rPr>
                <w:rFonts w:hint="eastAsia" w:ascii="宋体" w:hAnsi="宋体" w:cs="宋体"/>
                <w:color w:val="auto"/>
                <w:kern w:val="0"/>
                <w:sz w:val="24"/>
                <w:szCs w:val="24"/>
                <w:highlight w:val="none"/>
              </w:rPr>
              <w:t>50周岁以下，负责餐厅服务保障，做好开餐前的准备、食物的销售，食具的清洗和消毒、餐厅的卫生打扫工作，吧台辅助食品的提供。</w:t>
            </w:r>
          </w:p>
        </w:tc>
      </w:tr>
      <w:tr w14:paraId="14B52C0C">
        <w:tblPrEx>
          <w:tblCellMar>
            <w:top w:w="15" w:type="dxa"/>
            <w:left w:w="108" w:type="dxa"/>
            <w:bottom w:w="15" w:type="dxa"/>
            <w:right w:w="108" w:type="dxa"/>
          </w:tblCellMar>
        </w:tblPrEx>
        <w:trPr>
          <w:trHeight w:val="600" w:hRule="atLeast"/>
          <w:jc w:val="center"/>
        </w:trPr>
        <w:tc>
          <w:tcPr>
            <w:tcW w:w="1370" w:type="dxa"/>
            <w:tcBorders>
              <w:top w:val="single" w:color="000000" w:sz="4" w:space="0"/>
              <w:left w:val="single" w:color="000000" w:sz="4" w:space="0"/>
              <w:bottom w:val="single" w:color="000000" w:sz="4" w:space="0"/>
              <w:right w:val="single" w:color="000000" w:sz="4" w:space="0"/>
            </w:tcBorders>
            <w:vAlign w:val="center"/>
          </w:tcPr>
          <w:p w14:paraId="5C338935">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厨工</w:t>
            </w:r>
          </w:p>
        </w:tc>
        <w:tc>
          <w:tcPr>
            <w:tcW w:w="1134" w:type="dxa"/>
            <w:tcBorders>
              <w:top w:val="single" w:color="000000" w:sz="4" w:space="0"/>
              <w:left w:val="single" w:color="000000" w:sz="4" w:space="0"/>
              <w:bottom w:val="single" w:color="000000" w:sz="4" w:space="0"/>
              <w:right w:val="single" w:color="000000" w:sz="4" w:space="0"/>
            </w:tcBorders>
            <w:vAlign w:val="center"/>
          </w:tcPr>
          <w:p w14:paraId="6EAAD302">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3名</w:t>
            </w:r>
          </w:p>
        </w:tc>
        <w:tc>
          <w:tcPr>
            <w:tcW w:w="6470" w:type="dxa"/>
            <w:tcBorders>
              <w:top w:val="single" w:color="000000" w:sz="4" w:space="0"/>
              <w:left w:val="single" w:color="000000" w:sz="4" w:space="0"/>
              <w:bottom w:val="single" w:color="000000" w:sz="4" w:space="0"/>
              <w:right w:val="single" w:color="000000" w:sz="4" w:space="0"/>
            </w:tcBorders>
            <w:vAlign w:val="center"/>
          </w:tcPr>
          <w:p w14:paraId="5FEC4303">
            <w:pPr>
              <w:widowControl/>
              <w:spacing w:line="360" w:lineRule="auto"/>
              <w:jc w:val="left"/>
              <w:rPr>
                <w:rFonts w:ascii="宋体" w:hAnsi="宋体" w:cs="宋体"/>
                <w:color w:val="auto"/>
                <w:kern w:val="0"/>
                <w:sz w:val="24"/>
                <w:szCs w:val="24"/>
                <w:highlight w:val="none"/>
              </w:rPr>
            </w:pPr>
            <w:r>
              <w:rPr>
                <w:rFonts w:hint="eastAsia" w:ascii="宋体" w:hAnsi="宋体" w:cs="宋体"/>
                <w:color w:val="auto"/>
                <w:kern w:val="0"/>
                <w:sz w:val="24"/>
                <w:szCs w:val="24"/>
                <w:highlight w:val="none"/>
              </w:rPr>
              <w:t>负责每天原材料的杀、斩、剪、洗工作。</w:t>
            </w:r>
          </w:p>
        </w:tc>
      </w:tr>
      <w:tr w14:paraId="3C980F93">
        <w:tblPrEx>
          <w:tblCellMar>
            <w:top w:w="15" w:type="dxa"/>
            <w:left w:w="108" w:type="dxa"/>
            <w:bottom w:w="15" w:type="dxa"/>
            <w:right w:w="108" w:type="dxa"/>
          </w:tblCellMar>
        </w:tblPrEx>
        <w:trPr>
          <w:trHeight w:val="405" w:hRule="atLeast"/>
          <w:jc w:val="center"/>
        </w:trPr>
        <w:tc>
          <w:tcPr>
            <w:tcW w:w="1370" w:type="dxa"/>
            <w:tcBorders>
              <w:top w:val="single" w:color="000000" w:sz="4" w:space="0"/>
              <w:left w:val="single" w:color="000000" w:sz="4" w:space="0"/>
              <w:bottom w:val="single" w:color="000000" w:sz="4" w:space="0"/>
              <w:right w:val="single" w:color="000000" w:sz="4" w:space="0"/>
            </w:tcBorders>
            <w:vAlign w:val="center"/>
          </w:tcPr>
          <w:p w14:paraId="70DF8907">
            <w:pPr>
              <w:widowControl/>
              <w:spacing w:line="360" w:lineRule="auto"/>
              <w:jc w:val="center"/>
              <w:rPr>
                <w:rFonts w:ascii="宋体" w:hAnsi="宋体" w:cs="宋体"/>
                <w:b/>
                <w:color w:val="auto"/>
                <w:kern w:val="0"/>
                <w:sz w:val="24"/>
                <w:szCs w:val="24"/>
                <w:highlight w:val="none"/>
              </w:rPr>
            </w:pPr>
            <w:r>
              <w:rPr>
                <w:rFonts w:hint="eastAsia" w:ascii="宋体" w:hAnsi="宋体" w:cs="宋体"/>
                <w:b/>
                <w:color w:val="auto"/>
                <w:kern w:val="0"/>
                <w:sz w:val="24"/>
                <w:szCs w:val="24"/>
                <w:highlight w:val="none"/>
              </w:rPr>
              <w:t>合计</w:t>
            </w:r>
          </w:p>
        </w:tc>
        <w:tc>
          <w:tcPr>
            <w:tcW w:w="1134" w:type="dxa"/>
            <w:tcBorders>
              <w:top w:val="single" w:color="000000" w:sz="4" w:space="0"/>
              <w:left w:val="single" w:color="000000" w:sz="4" w:space="0"/>
              <w:bottom w:val="single" w:color="000000" w:sz="4" w:space="0"/>
              <w:right w:val="single" w:color="000000" w:sz="4" w:space="0"/>
            </w:tcBorders>
            <w:vAlign w:val="center"/>
          </w:tcPr>
          <w:p w14:paraId="7EEFDA45">
            <w:pPr>
              <w:widowControl/>
              <w:spacing w:line="360" w:lineRule="auto"/>
              <w:jc w:val="center"/>
              <w:rPr>
                <w:rFonts w:ascii="宋体" w:hAnsi="宋体" w:cs="宋体"/>
                <w:b/>
                <w:color w:val="auto"/>
                <w:kern w:val="0"/>
                <w:sz w:val="24"/>
                <w:szCs w:val="24"/>
                <w:highlight w:val="none"/>
              </w:rPr>
            </w:pPr>
            <w:r>
              <w:rPr>
                <w:rFonts w:hint="eastAsia" w:ascii="宋体" w:hAnsi="宋体" w:cs="宋体"/>
                <w:b/>
                <w:color w:val="auto"/>
                <w:kern w:val="0"/>
                <w:sz w:val="24"/>
                <w:szCs w:val="24"/>
                <w:highlight w:val="none"/>
              </w:rPr>
              <w:t>14名</w:t>
            </w:r>
          </w:p>
        </w:tc>
        <w:tc>
          <w:tcPr>
            <w:tcW w:w="6470" w:type="dxa"/>
            <w:tcBorders>
              <w:top w:val="single" w:color="000000" w:sz="4" w:space="0"/>
              <w:left w:val="single" w:color="000000" w:sz="4" w:space="0"/>
              <w:bottom w:val="single" w:color="000000" w:sz="4" w:space="0"/>
              <w:right w:val="single" w:color="000000" w:sz="4" w:space="0"/>
            </w:tcBorders>
            <w:vAlign w:val="center"/>
          </w:tcPr>
          <w:p w14:paraId="08704F5A">
            <w:pPr>
              <w:widowControl/>
              <w:spacing w:line="360" w:lineRule="auto"/>
              <w:jc w:val="left"/>
              <w:rPr>
                <w:rFonts w:ascii="宋体" w:hAnsi="宋体" w:cs="宋体"/>
                <w:b/>
                <w:color w:val="auto"/>
                <w:kern w:val="0"/>
                <w:sz w:val="24"/>
                <w:szCs w:val="24"/>
                <w:highlight w:val="none"/>
              </w:rPr>
            </w:pPr>
            <w:r>
              <w:rPr>
                <w:rFonts w:hint="eastAsia" w:ascii="宋体" w:hAnsi="宋体" w:cs="宋体"/>
                <w:b/>
                <w:color w:val="auto"/>
                <w:sz w:val="24"/>
                <w:szCs w:val="24"/>
                <w:highlight w:val="none"/>
              </w:rPr>
              <w:t>★食堂人员配置总人数不得少于14名且服务人员资历不低于本项目的岗位要求，若投标人在投标响应时做出优于招标文件要求的人员配置，项目实施时需按投标响应提供同等资历的人员，投标人投标时须对此作出承诺并加盖投标人公章。</w:t>
            </w:r>
          </w:p>
        </w:tc>
      </w:tr>
    </w:tbl>
    <w:p w14:paraId="11CB6ECC">
      <w:pPr>
        <w:tabs>
          <w:tab w:val="left" w:pos="0"/>
          <w:tab w:val="left" w:pos="851"/>
          <w:tab w:val="left" w:pos="938"/>
          <w:tab w:val="left" w:pos="1843"/>
        </w:tabs>
        <w:spacing w:line="360" w:lineRule="auto"/>
        <w:ind w:firstLine="480" w:firstLineChars="200"/>
        <w:rPr>
          <w:rFonts w:ascii="宋体" w:hAnsi="宋体" w:cs="宋体"/>
          <w:color w:val="auto"/>
          <w:sz w:val="24"/>
          <w:szCs w:val="24"/>
          <w:highlight w:val="none"/>
          <w:lang w:val="zh-CN"/>
        </w:rPr>
      </w:pPr>
      <w:r>
        <w:rPr>
          <w:rFonts w:hint="eastAsia" w:ascii="宋体" w:hAnsi="宋体" w:cs="宋体"/>
          <w:color w:val="auto"/>
          <w:sz w:val="24"/>
          <w:szCs w:val="24"/>
          <w:highlight w:val="none"/>
        </w:rPr>
        <w:t>6.1.2</w:t>
      </w:r>
      <w:r>
        <w:rPr>
          <w:rFonts w:hint="eastAsia" w:ascii="宋体" w:hAnsi="宋体" w:cs="宋体"/>
          <w:color w:val="auto"/>
          <w:sz w:val="24"/>
          <w:szCs w:val="24"/>
          <w:highlight w:val="none"/>
          <w:lang w:val="zh-CN"/>
        </w:rPr>
        <w:t>翔安区黎林路1699号食堂运营服务人员配置如下：</w:t>
      </w:r>
    </w:p>
    <w:tbl>
      <w:tblPr>
        <w:tblStyle w:val="21"/>
        <w:tblW w:w="0" w:type="auto"/>
        <w:jc w:val="center"/>
        <w:tblLayout w:type="fixed"/>
        <w:tblCellMar>
          <w:top w:w="15" w:type="dxa"/>
          <w:left w:w="108" w:type="dxa"/>
          <w:bottom w:w="15" w:type="dxa"/>
          <w:right w:w="108" w:type="dxa"/>
        </w:tblCellMar>
      </w:tblPr>
      <w:tblGrid>
        <w:gridCol w:w="1370"/>
        <w:gridCol w:w="886"/>
        <w:gridCol w:w="7183"/>
      </w:tblGrid>
      <w:tr w14:paraId="4FFB6817">
        <w:trPr>
          <w:trHeight w:val="537" w:hRule="atLeast"/>
          <w:jc w:val="center"/>
        </w:trPr>
        <w:tc>
          <w:tcPr>
            <w:tcW w:w="9439" w:type="dxa"/>
            <w:gridSpan w:val="3"/>
            <w:tcBorders>
              <w:top w:val="single" w:color="auto" w:sz="4" w:space="0"/>
              <w:left w:val="single" w:color="000000" w:sz="4" w:space="0"/>
              <w:bottom w:val="single" w:color="000000" w:sz="4" w:space="0"/>
              <w:right w:val="single" w:color="000000" w:sz="4" w:space="0"/>
            </w:tcBorders>
            <w:vAlign w:val="center"/>
          </w:tcPr>
          <w:p w14:paraId="53044F38">
            <w:pPr>
              <w:widowControl/>
              <w:spacing w:line="360" w:lineRule="auto"/>
              <w:jc w:val="center"/>
              <w:rPr>
                <w:rFonts w:ascii="宋体" w:hAnsi="宋体" w:cs="宋体"/>
                <w:b/>
                <w:color w:val="auto"/>
                <w:kern w:val="0"/>
                <w:sz w:val="24"/>
                <w:szCs w:val="24"/>
                <w:highlight w:val="none"/>
              </w:rPr>
            </w:pPr>
            <w:r>
              <w:rPr>
                <w:rFonts w:hint="eastAsia" w:ascii="宋体" w:hAnsi="宋体" w:cs="宋体"/>
                <w:b/>
                <w:color w:val="auto"/>
                <w:sz w:val="24"/>
                <w:szCs w:val="24"/>
                <w:highlight w:val="none"/>
              </w:rPr>
              <w:t>食堂服务人员配置表</w:t>
            </w:r>
          </w:p>
        </w:tc>
      </w:tr>
      <w:tr w14:paraId="387F9BB6">
        <w:tblPrEx>
          <w:tblCellMar>
            <w:top w:w="15" w:type="dxa"/>
            <w:left w:w="108" w:type="dxa"/>
            <w:bottom w:w="15" w:type="dxa"/>
            <w:right w:w="108" w:type="dxa"/>
          </w:tblCellMar>
        </w:tblPrEx>
        <w:trPr>
          <w:trHeight w:val="537" w:hRule="atLeast"/>
          <w:jc w:val="center"/>
        </w:trPr>
        <w:tc>
          <w:tcPr>
            <w:tcW w:w="1370" w:type="dxa"/>
            <w:tcBorders>
              <w:top w:val="single" w:color="auto" w:sz="4" w:space="0"/>
              <w:left w:val="single" w:color="000000" w:sz="4" w:space="0"/>
              <w:bottom w:val="single" w:color="000000" w:sz="4" w:space="0"/>
              <w:right w:val="single" w:color="000000" w:sz="4" w:space="0"/>
            </w:tcBorders>
            <w:vAlign w:val="center"/>
          </w:tcPr>
          <w:p w14:paraId="69F9EA18">
            <w:pPr>
              <w:widowControl/>
              <w:spacing w:line="360" w:lineRule="auto"/>
              <w:jc w:val="center"/>
              <w:rPr>
                <w:rFonts w:ascii="宋体" w:hAnsi="宋体" w:cs="宋体"/>
                <w:b/>
                <w:color w:val="auto"/>
                <w:kern w:val="0"/>
                <w:sz w:val="24"/>
                <w:szCs w:val="24"/>
                <w:highlight w:val="none"/>
              </w:rPr>
            </w:pPr>
            <w:r>
              <w:rPr>
                <w:rFonts w:hint="eastAsia" w:ascii="宋体" w:hAnsi="宋体" w:cs="宋体"/>
                <w:b/>
                <w:color w:val="auto"/>
                <w:kern w:val="0"/>
                <w:sz w:val="24"/>
                <w:szCs w:val="24"/>
                <w:highlight w:val="none"/>
              </w:rPr>
              <w:t>职位</w:t>
            </w:r>
          </w:p>
        </w:tc>
        <w:tc>
          <w:tcPr>
            <w:tcW w:w="886" w:type="dxa"/>
            <w:tcBorders>
              <w:top w:val="single" w:color="auto" w:sz="4" w:space="0"/>
              <w:left w:val="single" w:color="000000" w:sz="4" w:space="0"/>
              <w:bottom w:val="single" w:color="000000" w:sz="4" w:space="0"/>
              <w:right w:val="single" w:color="000000" w:sz="4" w:space="0"/>
            </w:tcBorders>
            <w:vAlign w:val="center"/>
          </w:tcPr>
          <w:p w14:paraId="0BDA13F0">
            <w:pPr>
              <w:widowControl/>
              <w:spacing w:line="360" w:lineRule="auto"/>
              <w:jc w:val="center"/>
              <w:rPr>
                <w:rFonts w:ascii="宋体" w:hAnsi="宋体" w:cs="宋体"/>
                <w:b/>
                <w:color w:val="auto"/>
                <w:kern w:val="0"/>
                <w:sz w:val="24"/>
                <w:szCs w:val="24"/>
                <w:highlight w:val="none"/>
              </w:rPr>
            </w:pPr>
            <w:r>
              <w:rPr>
                <w:rFonts w:hint="eastAsia" w:ascii="宋体" w:hAnsi="宋体" w:cs="宋体"/>
                <w:b/>
                <w:color w:val="auto"/>
                <w:kern w:val="0"/>
                <w:sz w:val="24"/>
                <w:szCs w:val="24"/>
                <w:highlight w:val="none"/>
              </w:rPr>
              <w:t>职数</w:t>
            </w:r>
          </w:p>
        </w:tc>
        <w:tc>
          <w:tcPr>
            <w:tcW w:w="7183" w:type="dxa"/>
            <w:tcBorders>
              <w:top w:val="single" w:color="auto" w:sz="4" w:space="0"/>
              <w:left w:val="single" w:color="000000" w:sz="4" w:space="0"/>
              <w:bottom w:val="single" w:color="000000" w:sz="4" w:space="0"/>
              <w:right w:val="single" w:color="000000" w:sz="4" w:space="0"/>
            </w:tcBorders>
            <w:vAlign w:val="center"/>
          </w:tcPr>
          <w:p w14:paraId="11A83266">
            <w:pPr>
              <w:widowControl/>
              <w:spacing w:line="360" w:lineRule="auto"/>
              <w:jc w:val="center"/>
              <w:rPr>
                <w:rFonts w:ascii="宋体" w:hAnsi="宋体" w:cs="宋体"/>
                <w:b/>
                <w:color w:val="auto"/>
                <w:kern w:val="0"/>
                <w:sz w:val="24"/>
                <w:szCs w:val="24"/>
                <w:highlight w:val="none"/>
              </w:rPr>
            </w:pPr>
            <w:r>
              <w:rPr>
                <w:rFonts w:hint="eastAsia" w:ascii="宋体" w:hAnsi="宋体" w:cs="宋体"/>
                <w:b/>
                <w:color w:val="auto"/>
                <w:kern w:val="0"/>
                <w:sz w:val="24"/>
                <w:szCs w:val="24"/>
                <w:highlight w:val="none"/>
              </w:rPr>
              <w:t>服务要求</w:t>
            </w:r>
          </w:p>
        </w:tc>
      </w:tr>
      <w:tr w14:paraId="147276C9">
        <w:tblPrEx>
          <w:tblCellMar>
            <w:top w:w="15" w:type="dxa"/>
            <w:left w:w="108" w:type="dxa"/>
            <w:bottom w:w="15" w:type="dxa"/>
            <w:right w:w="108" w:type="dxa"/>
          </w:tblCellMar>
        </w:tblPrEx>
        <w:trPr>
          <w:trHeight w:val="855" w:hRule="atLeast"/>
          <w:jc w:val="center"/>
        </w:trPr>
        <w:tc>
          <w:tcPr>
            <w:tcW w:w="1370" w:type="dxa"/>
            <w:tcBorders>
              <w:top w:val="single" w:color="000000" w:sz="4" w:space="0"/>
              <w:left w:val="single" w:color="000000" w:sz="4" w:space="0"/>
              <w:bottom w:val="single" w:color="000000" w:sz="4" w:space="0"/>
              <w:right w:val="single" w:color="000000" w:sz="4" w:space="0"/>
            </w:tcBorders>
            <w:vAlign w:val="center"/>
          </w:tcPr>
          <w:p w14:paraId="0988353F">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项目经理兼仓管员</w:t>
            </w:r>
          </w:p>
        </w:tc>
        <w:tc>
          <w:tcPr>
            <w:tcW w:w="886" w:type="dxa"/>
            <w:tcBorders>
              <w:top w:val="single" w:color="000000" w:sz="4" w:space="0"/>
              <w:left w:val="single" w:color="000000" w:sz="4" w:space="0"/>
              <w:bottom w:val="single" w:color="000000" w:sz="4" w:space="0"/>
              <w:right w:val="single" w:color="000000" w:sz="4" w:space="0"/>
            </w:tcBorders>
            <w:vAlign w:val="center"/>
          </w:tcPr>
          <w:p w14:paraId="6A4744DB">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shd w:val="clear" w:color="auto" w:fill="FFFFFF"/>
              </w:rPr>
              <w:t>1名</w:t>
            </w:r>
          </w:p>
        </w:tc>
        <w:tc>
          <w:tcPr>
            <w:tcW w:w="7183" w:type="dxa"/>
            <w:tcBorders>
              <w:top w:val="single" w:color="000000" w:sz="4" w:space="0"/>
              <w:left w:val="single" w:color="000000" w:sz="4" w:space="0"/>
              <w:bottom w:val="single" w:color="000000" w:sz="4" w:space="0"/>
              <w:right w:val="single" w:color="000000" w:sz="4" w:space="0"/>
            </w:tcBorders>
            <w:vAlign w:val="center"/>
          </w:tcPr>
          <w:p w14:paraId="1528831D">
            <w:pPr>
              <w:widowControl/>
              <w:spacing w:line="360" w:lineRule="auto"/>
              <w:jc w:val="left"/>
              <w:rPr>
                <w:rFonts w:ascii="宋体" w:hAnsi="宋体" w:cs="宋体"/>
                <w:color w:val="auto"/>
                <w:kern w:val="0"/>
                <w:sz w:val="24"/>
                <w:szCs w:val="24"/>
                <w:highlight w:val="none"/>
                <w:shd w:val="clear" w:color="auto" w:fill="FFFFFF"/>
              </w:rPr>
            </w:pPr>
            <w:r>
              <w:rPr>
                <w:rFonts w:hint="eastAsia" w:ascii="宋体" w:hAnsi="宋体" w:cs="宋体"/>
                <w:color w:val="auto"/>
                <w:kern w:val="0"/>
                <w:sz w:val="24"/>
                <w:szCs w:val="24"/>
                <w:highlight w:val="none"/>
                <w:shd w:val="clear" w:color="auto" w:fill="FFFFFF"/>
              </w:rPr>
              <w:t>全面负责食堂餐饮服务管理工作，并负责报账、对账、整理账目、充现等账务工作。</w:t>
            </w:r>
            <w:r>
              <w:rPr>
                <w:rFonts w:hint="eastAsia" w:ascii="宋体" w:hAnsi="宋体" w:cs="宋体"/>
                <w:color w:val="auto"/>
                <w:kern w:val="0"/>
                <w:sz w:val="24"/>
                <w:szCs w:val="24"/>
                <w:highlight w:val="none"/>
              </w:rPr>
              <w:t>责任心强；在中标单位服务一年以上；具有同类项目、同等职位任职一年以上资历；具备良好的沟通和团队管理能力</w:t>
            </w:r>
            <w:r>
              <w:rPr>
                <w:rFonts w:hint="eastAsia" w:ascii="宋体" w:hAnsi="宋体" w:cs="宋体"/>
                <w:color w:val="auto"/>
                <w:kern w:val="0"/>
                <w:sz w:val="24"/>
                <w:szCs w:val="24"/>
                <w:highlight w:val="none"/>
                <w:shd w:val="clear" w:color="auto" w:fill="FFFFFF"/>
              </w:rPr>
              <w:t>，能够按财务管理要求记账。</w:t>
            </w:r>
          </w:p>
          <w:p w14:paraId="5C0C2FE8">
            <w:pPr>
              <w:widowControl/>
              <w:spacing w:line="360" w:lineRule="auto"/>
              <w:jc w:val="left"/>
              <w:rPr>
                <w:rFonts w:ascii="宋体" w:hAnsi="宋体" w:cs="宋体"/>
                <w:color w:val="auto"/>
                <w:kern w:val="0"/>
                <w:sz w:val="24"/>
                <w:szCs w:val="24"/>
                <w:highlight w:val="none"/>
                <w:shd w:val="clear" w:color="auto" w:fill="FFFFFF"/>
              </w:rPr>
            </w:pPr>
            <w:r>
              <w:rPr>
                <w:rFonts w:hint="eastAsia" w:ascii="宋体" w:hAnsi="宋体" w:cs="宋体"/>
                <w:b/>
                <w:color w:val="auto"/>
                <w:kern w:val="0"/>
                <w:sz w:val="24"/>
                <w:szCs w:val="24"/>
                <w:highlight w:val="none"/>
              </w:rPr>
              <w:t>须提供相关证明文件复印件并加盖投标人公章，原件备查。</w:t>
            </w:r>
          </w:p>
        </w:tc>
      </w:tr>
      <w:tr w14:paraId="3C76DECE">
        <w:tblPrEx>
          <w:tblCellMar>
            <w:top w:w="15" w:type="dxa"/>
            <w:left w:w="108" w:type="dxa"/>
            <w:bottom w:w="15" w:type="dxa"/>
            <w:right w:w="108" w:type="dxa"/>
          </w:tblCellMar>
        </w:tblPrEx>
        <w:trPr>
          <w:trHeight w:val="855" w:hRule="atLeast"/>
          <w:jc w:val="center"/>
        </w:trPr>
        <w:tc>
          <w:tcPr>
            <w:tcW w:w="1370" w:type="dxa"/>
            <w:tcBorders>
              <w:top w:val="single" w:color="000000" w:sz="4" w:space="0"/>
              <w:left w:val="single" w:color="000000" w:sz="4" w:space="0"/>
              <w:bottom w:val="single" w:color="000000" w:sz="4" w:space="0"/>
              <w:right w:val="single" w:color="000000" w:sz="4" w:space="0"/>
            </w:tcBorders>
            <w:vAlign w:val="center"/>
          </w:tcPr>
          <w:p w14:paraId="07DC849E">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厨师长</w:t>
            </w:r>
          </w:p>
        </w:tc>
        <w:tc>
          <w:tcPr>
            <w:tcW w:w="886" w:type="dxa"/>
            <w:tcBorders>
              <w:top w:val="single" w:color="000000" w:sz="4" w:space="0"/>
              <w:left w:val="single" w:color="000000" w:sz="4" w:space="0"/>
              <w:bottom w:val="single" w:color="000000" w:sz="4" w:space="0"/>
              <w:right w:val="single" w:color="000000" w:sz="4" w:space="0"/>
            </w:tcBorders>
            <w:vAlign w:val="center"/>
          </w:tcPr>
          <w:p w14:paraId="0F9927EA">
            <w:pPr>
              <w:widowControl/>
              <w:spacing w:line="360" w:lineRule="auto"/>
              <w:jc w:val="center"/>
              <w:rPr>
                <w:rFonts w:ascii="宋体" w:hAnsi="宋体" w:cs="宋体"/>
                <w:color w:val="auto"/>
                <w:kern w:val="0"/>
                <w:sz w:val="24"/>
                <w:szCs w:val="24"/>
                <w:highlight w:val="none"/>
                <w:shd w:val="clear" w:color="auto" w:fill="FFFFFF"/>
              </w:rPr>
            </w:pPr>
            <w:r>
              <w:rPr>
                <w:rFonts w:hint="eastAsia" w:ascii="宋体" w:hAnsi="宋体" w:cs="宋体"/>
                <w:color w:val="auto"/>
                <w:kern w:val="0"/>
                <w:sz w:val="24"/>
                <w:szCs w:val="24"/>
                <w:highlight w:val="none"/>
              </w:rPr>
              <w:t>1名</w:t>
            </w:r>
          </w:p>
        </w:tc>
        <w:tc>
          <w:tcPr>
            <w:tcW w:w="7183" w:type="dxa"/>
            <w:tcBorders>
              <w:top w:val="single" w:color="000000" w:sz="4" w:space="0"/>
              <w:left w:val="single" w:color="000000" w:sz="4" w:space="0"/>
              <w:bottom w:val="single" w:color="000000" w:sz="4" w:space="0"/>
              <w:right w:val="single" w:color="000000" w:sz="4" w:space="0"/>
            </w:tcBorders>
            <w:vAlign w:val="center"/>
          </w:tcPr>
          <w:p w14:paraId="7F4475FC">
            <w:pPr>
              <w:widowControl/>
              <w:spacing w:line="360" w:lineRule="auto"/>
              <w:jc w:val="left"/>
              <w:rPr>
                <w:rFonts w:ascii="宋体" w:hAnsi="宋体" w:cs="宋体"/>
                <w:color w:val="auto"/>
                <w:kern w:val="0"/>
                <w:sz w:val="24"/>
                <w:szCs w:val="24"/>
                <w:highlight w:val="none"/>
                <w:shd w:val="clear" w:color="auto" w:fill="FFFFFF"/>
              </w:rPr>
            </w:pPr>
            <w:r>
              <w:rPr>
                <w:rFonts w:hint="eastAsia" w:ascii="宋体" w:hAnsi="宋体" w:cs="宋体"/>
                <w:color w:val="auto"/>
                <w:kern w:val="0"/>
                <w:sz w:val="24"/>
                <w:szCs w:val="24"/>
                <w:highlight w:val="none"/>
                <w:shd w:val="clear" w:color="auto" w:fill="FFFFFF"/>
              </w:rPr>
              <w:t>负责制定菜谱，控制菜肴的分量和质量，协助采购人控制成本。精通烹饪知识，持有国家认证的相关厨师职业资格证书，具有同类项目2年以上任职经历。</w:t>
            </w:r>
          </w:p>
          <w:p w14:paraId="3D68A723">
            <w:pPr>
              <w:widowControl/>
              <w:spacing w:line="360" w:lineRule="auto"/>
              <w:jc w:val="left"/>
              <w:rPr>
                <w:rFonts w:ascii="宋体" w:hAnsi="宋体" w:cs="宋体"/>
                <w:color w:val="auto"/>
                <w:kern w:val="0"/>
                <w:sz w:val="24"/>
                <w:szCs w:val="24"/>
                <w:highlight w:val="none"/>
                <w:shd w:val="clear" w:color="auto" w:fill="FFFFFF"/>
              </w:rPr>
            </w:pPr>
            <w:r>
              <w:rPr>
                <w:rFonts w:hint="eastAsia" w:ascii="宋体" w:hAnsi="宋体" w:cs="宋体"/>
                <w:b/>
                <w:color w:val="auto"/>
                <w:kern w:val="0"/>
                <w:sz w:val="24"/>
                <w:szCs w:val="24"/>
                <w:highlight w:val="none"/>
              </w:rPr>
              <w:t>须提供相关证明文件复印件并加盖投标人公章，原件备查。</w:t>
            </w:r>
          </w:p>
        </w:tc>
      </w:tr>
      <w:tr w14:paraId="5514574B">
        <w:tblPrEx>
          <w:tblCellMar>
            <w:top w:w="15" w:type="dxa"/>
            <w:left w:w="108" w:type="dxa"/>
            <w:bottom w:w="15" w:type="dxa"/>
            <w:right w:w="108" w:type="dxa"/>
          </w:tblCellMar>
        </w:tblPrEx>
        <w:trPr>
          <w:trHeight w:val="400" w:hRule="atLeast"/>
          <w:jc w:val="center"/>
        </w:trPr>
        <w:tc>
          <w:tcPr>
            <w:tcW w:w="1370" w:type="dxa"/>
            <w:tcBorders>
              <w:top w:val="single" w:color="000000" w:sz="4" w:space="0"/>
              <w:left w:val="single" w:color="000000" w:sz="4" w:space="0"/>
              <w:bottom w:val="single" w:color="000000" w:sz="4" w:space="0"/>
              <w:right w:val="single" w:color="000000" w:sz="4" w:space="0"/>
            </w:tcBorders>
            <w:vAlign w:val="center"/>
          </w:tcPr>
          <w:p w14:paraId="08D3F31D">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锅台师傅</w:t>
            </w:r>
          </w:p>
        </w:tc>
        <w:tc>
          <w:tcPr>
            <w:tcW w:w="886" w:type="dxa"/>
            <w:tcBorders>
              <w:top w:val="single" w:color="000000" w:sz="4" w:space="0"/>
              <w:left w:val="single" w:color="000000" w:sz="4" w:space="0"/>
              <w:bottom w:val="single" w:color="000000" w:sz="4" w:space="0"/>
              <w:right w:val="single" w:color="000000" w:sz="4" w:space="0"/>
            </w:tcBorders>
            <w:vAlign w:val="center"/>
          </w:tcPr>
          <w:p w14:paraId="0DB3094C">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1名</w:t>
            </w:r>
          </w:p>
        </w:tc>
        <w:tc>
          <w:tcPr>
            <w:tcW w:w="7183" w:type="dxa"/>
            <w:tcBorders>
              <w:top w:val="single" w:color="000000" w:sz="4" w:space="0"/>
              <w:left w:val="single" w:color="000000" w:sz="4" w:space="0"/>
              <w:bottom w:val="single" w:color="000000" w:sz="4" w:space="0"/>
              <w:right w:val="single" w:color="000000" w:sz="4" w:space="0"/>
            </w:tcBorders>
            <w:vAlign w:val="center"/>
          </w:tcPr>
          <w:p w14:paraId="78CC086E">
            <w:pPr>
              <w:widowControl/>
              <w:spacing w:line="360" w:lineRule="auto"/>
              <w:jc w:val="left"/>
              <w:rPr>
                <w:rFonts w:ascii="宋体" w:hAnsi="宋体" w:cs="宋体"/>
                <w:color w:val="auto"/>
                <w:kern w:val="0"/>
                <w:sz w:val="24"/>
                <w:szCs w:val="24"/>
                <w:highlight w:val="none"/>
              </w:rPr>
            </w:pPr>
            <w:r>
              <w:rPr>
                <w:rFonts w:hint="eastAsia" w:ascii="宋体" w:hAnsi="宋体" w:cs="宋体"/>
                <w:color w:val="auto"/>
                <w:kern w:val="0"/>
                <w:sz w:val="24"/>
                <w:szCs w:val="24"/>
                <w:highlight w:val="none"/>
              </w:rPr>
              <w:t>负责制作早、中餐菜谱上的菜肴。持有国家认证的相关厨师中式烹调师资格证书， 具有切配各式菜肴及刻花技术。</w:t>
            </w:r>
          </w:p>
          <w:p w14:paraId="46AEFA63">
            <w:pPr>
              <w:widowControl/>
              <w:spacing w:line="360" w:lineRule="auto"/>
              <w:jc w:val="left"/>
              <w:rPr>
                <w:rFonts w:ascii="宋体" w:hAnsi="宋体" w:cs="宋体"/>
                <w:color w:val="auto"/>
                <w:kern w:val="0"/>
                <w:sz w:val="24"/>
                <w:szCs w:val="24"/>
                <w:highlight w:val="none"/>
                <w:shd w:val="clear" w:color="auto" w:fill="FFFFFF"/>
              </w:rPr>
            </w:pPr>
            <w:r>
              <w:rPr>
                <w:rFonts w:hint="eastAsia" w:ascii="宋体" w:hAnsi="宋体" w:cs="宋体"/>
                <w:b/>
                <w:color w:val="auto"/>
                <w:sz w:val="24"/>
                <w:szCs w:val="24"/>
                <w:highlight w:val="none"/>
              </w:rPr>
              <w:t>须提供相关证明文件复印件并加盖投标人公章</w:t>
            </w:r>
            <w:r>
              <w:rPr>
                <w:rFonts w:hint="eastAsia" w:ascii="宋体" w:hAnsi="宋体" w:cs="宋体"/>
                <w:b/>
                <w:color w:val="auto"/>
                <w:kern w:val="0"/>
                <w:sz w:val="24"/>
                <w:szCs w:val="24"/>
                <w:highlight w:val="none"/>
              </w:rPr>
              <w:t>，原件备查。</w:t>
            </w:r>
          </w:p>
        </w:tc>
      </w:tr>
      <w:tr w14:paraId="1BB2A1E1">
        <w:tblPrEx>
          <w:tblCellMar>
            <w:top w:w="15" w:type="dxa"/>
            <w:left w:w="108" w:type="dxa"/>
            <w:bottom w:w="15" w:type="dxa"/>
            <w:right w:w="108" w:type="dxa"/>
          </w:tblCellMar>
        </w:tblPrEx>
        <w:trPr>
          <w:trHeight w:val="600" w:hRule="atLeast"/>
          <w:jc w:val="center"/>
        </w:trPr>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A5E9C">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厨工</w:t>
            </w:r>
          </w:p>
        </w:tc>
        <w:tc>
          <w:tcPr>
            <w:tcW w:w="8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123533">
            <w:pPr>
              <w:widowControl/>
              <w:spacing w:line="360" w:lineRule="auto"/>
              <w:jc w:val="center"/>
              <w:rPr>
                <w:rFonts w:ascii="宋体" w:hAnsi="宋体" w:cs="宋体"/>
                <w:color w:val="auto"/>
                <w:kern w:val="0"/>
                <w:sz w:val="24"/>
                <w:szCs w:val="24"/>
                <w:highlight w:val="none"/>
                <w:shd w:val="clear" w:color="040000" w:fill="FFFF00"/>
              </w:rPr>
            </w:pPr>
            <w:r>
              <w:rPr>
                <w:rFonts w:hint="eastAsia" w:ascii="宋体" w:hAnsi="宋体" w:cs="宋体"/>
                <w:color w:val="auto"/>
                <w:kern w:val="0"/>
                <w:sz w:val="24"/>
                <w:szCs w:val="24"/>
                <w:highlight w:val="none"/>
                <w:shd w:val="clear" w:color="auto" w:fill="FFFFFF"/>
              </w:rPr>
              <w:t>2名</w:t>
            </w:r>
          </w:p>
        </w:tc>
        <w:tc>
          <w:tcPr>
            <w:tcW w:w="7183" w:type="dxa"/>
            <w:tcBorders>
              <w:top w:val="single" w:color="000000" w:sz="4" w:space="0"/>
              <w:left w:val="single" w:color="000000" w:sz="4" w:space="0"/>
              <w:bottom w:val="single" w:color="000000" w:sz="4" w:space="0"/>
              <w:right w:val="single" w:color="000000" w:sz="4" w:space="0"/>
            </w:tcBorders>
            <w:vAlign w:val="center"/>
          </w:tcPr>
          <w:p w14:paraId="04718EFA">
            <w:pPr>
              <w:widowControl/>
              <w:spacing w:line="360" w:lineRule="auto"/>
              <w:jc w:val="left"/>
              <w:rPr>
                <w:rFonts w:ascii="宋体" w:hAnsi="宋体" w:cs="宋体"/>
                <w:color w:val="auto"/>
                <w:kern w:val="0"/>
                <w:sz w:val="24"/>
                <w:szCs w:val="24"/>
                <w:highlight w:val="none"/>
              </w:rPr>
            </w:pPr>
            <w:r>
              <w:rPr>
                <w:rFonts w:hint="eastAsia" w:ascii="宋体" w:hAnsi="宋体" w:cs="宋体"/>
                <w:color w:val="auto"/>
                <w:kern w:val="0"/>
                <w:sz w:val="24"/>
                <w:szCs w:val="24"/>
                <w:highlight w:val="none"/>
                <w:shd w:val="clear" w:color="auto" w:fill="FFFFFF"/>
              </w:rPr>
              <w:t>负责餐厅服务保障，做好开餐前准备、食物销售，食具清洗和消毒、餐厅卫生打扫工作；负责每天原材料的杀、斩、剪、洗工作。</w:t>
            </w:r>
          </w:p>
        </w:tc>
      </w:tr>
      <w:tr w14:paraId="6C78930F">
        <w:tblPrEx>
          <w:tblCellMar>
            <w:top w:w="15" w:type="dxa"/>
            <w:left w:w="108" w:type="dxa"/>
            <w:bottom w:w="15" w:type="dxa"/>
            <w:right w:w="108" w:type="dxa"/>
          </w:tblCellMar>
        </w:tblPrEx>
        <w:trPr>
          <w:trHeight w:val="405" w:hRule="atLeast"/>
          <w:jc w:val="center"/>
        </w:trPr>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0C7D4">
            <w:pPr>
              <w:widowControl/>
              <w:spacing w:line="360" w:lineRule="auto"/>
              <w:jc w:val="center"/>
              <w:rPr>
                <w:rFonts w:ascii="宋体" w:hAnsi="宋体" w:cs="宋体"/>
                <w:b/>
                <w:color w:val="auto"/>
                <w:kern w:val="0"/>
                <w:sz w:val="24"/>
                <w:szCs w:val="24"/>
                <w:highlight w:val="none"/>
              </w:rPr>
            </w:pPr>
            <w:r>
              <w:rPr>
                <w:rFonts w:hint="eastAsia" w:ascii="宋体" w:hAnsi="宋体" w:cs="宋体"/>
                <w:b/>
                <w:color w:val="auto"/>
                <w:kern w:val="0"/>
                <w:sz w:val="24"/>
                <w:szCs w:val="24"/>
                <w:highlight w:val="none"/>
              </w:rPr>
              <w:t>合计</w:t>
            </w:r>
          </w:p>
        </w:tc>
        <w:tc>
          <w:tcPr>
            <w:tcW w:w="8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909349">
            <w:pPr>
              <w:widowControl/>
              <w:spacing w:line="360" w:lineRule="auto"/>
              <w:jc w:val="center"/>
              <w:rPr>
                <w:rFonts w:ascii="宋体" w:hAnsi="宋体" w:cs="宋体"/>
                <w:color w:val="auto"/>
                <w:kern w:val="0"/>
                <w:sz w:val="24"/>
                <w:szCs w:val="24"/>
                <w:highlight w:val="none"/>
                <w:shd w:val="clear" w:color="040000" w:fill="FFFF00"/>
              </w:rPr>
            </w:pPr>
            <w:r>
              <w:rPr>
                <w:rFonts w:hint="eastAsia" w:ascii="宋体" w:hAnsi="宋体" w:cs="宋体"/>
                <w:b/>
                <w:bCs/>
                <w:color w:val="auto"/>
                <w:kern w:val="0"/>
                <w:sz w:val="24"/>
                <w:szCs w:val="24"/>
                <w:highlight w:val="none"/>
                <w:shd w:val="clear" w:color="auto" w:fill="FFFFFF"/>
              </w:rPr>
              <w:t>5名</w:t>
            </w:r>
          </w:p>
        </w:tc>
        <w:tc>
          <w:tcPr>
            <w:tcW w:w="7183" w:type="dxa"/>
            <w:tcBorders>
              <w:top w:val="single" w:color="000000" w:sz="4" w:space="0"/>
              <w:left w:val="single" w:color="000000" w:sz="4" w:space="0"/>
              <w:bottom w:val="single" w:color="000000" w:sz="4" w:space="0"/>
              <w:right w:val="single" w:color="000000" w:sz="4" w:space="0"/>
            </w:tcBorders>
            <w:vAlign w:val="center"/>
          </w:tcPr>
          <w:p w14:paraId="60B48385">
            <w:pPr>
              <w:widowControl/>
              <w:spacing w:line="360" w:lineRule="auto"/>
              <w:jc w:val="left"/>
              <w:rPr>
                <w:rFonts w:ascii="宋体" w:hAnsi="宋体" w:cs="宋体"/>
                <w:b/>
                <w:color w:val="auto"/>
                <w:kern w:val="0"/>
                <w:sz w:val="24"/>
                <w:szCs w:val="24"/>
                <w:highlight w:val="none"/>
              </w:rPr>
            </w:pPr>
            <w:r>
              <w:rPr>
                <w:rFonts w:hint="eastAsia" w:ascii="宋体" w:hAnsi="宋体" w:cs="宋体"/>
                <w:b/>
                <w:color w:val="auto"/>
                <w:sz w:val="24"/>
                <w:szCs w:val="24"/>
                <w:highlight w:val="none"/>
              </w:rPr>
              <w:t>★食堂人员配置总人数不得少于5名且服务人员资历不低于本项目的岗位要求，若投标人在投标响应时做出优于招标文件要求的人员配置，项目实施时需按投标响应提供同等资历的人员，投标人投标时须对此作出承诺并加盖投标人公章。</w:t>
            </w:r>
          </w:p>
        </w:tc>
      </w:tr>
    </w:tbl>
    <w:p w14:paraId="1C89C3B3">
      <w:pPr>
        <w:tabs>
          <w:tab w:val="left" w:pos="0"/>
          <w:tab w:val="left" w:pos="851"/>
          <w:tab w:val="left" w:pos="938"/>
        </w:tabs>
        <w:spacing w:line="360" w:lineRule="auto"/>
        <w:ind w:left="504"/>
        <w:rPr>
          <w:rFonts w:ascii="宋体" w:hAnsi="宋体" w:cs="宋体"/>
          <w:color w:val="auto"/>
          <w:sz w:val="24"/>
          <w:szCs w:val="24"/>
          <w:highlight w:val="none"/>
          <w:lang w:val="zh-CN"/>
        </w:rPr>
      </w:pPr>
    </w:p>
    <w:p w14:paraId="031F5298">
      <w:pPr>
        <w:tabs>
          <w:tab w:val="left" w:pos="0"/>
          <w:tab w:val="left" w:pos="851"/>
          <w:tab w:val="left" w:pos="938"/>
        </w:tabs>
        <w:spacing w:line="360" w:lineRule="auto"/>
        <w:rPr>
          <w:rFonts w:ascii="宋体" w:hAnsi="宋体" w:cs="宋体"/>
          <w:color w:val="auto"/>
          <w:sz w:val="24"/>
          <w:szCs w:val="24"/>
          <w:highlight w:val="none"/>
          <w:lang w:val="zh-CN"/>
        </w:rPr>
      </w:pPr>
      <w:r>
        <w:rPr>
          <w:rFonts w:hint="eastAsia" w:ascii="宋体" w:hAnsi="宋体" w:cs="宋体"/>
          <w:color w:val="auto"/>
          <w:sz w:val="24"/>
          <w:szCs w:val="24"/>
          <w:highlight w:val="none"/>
        </w:rPr>
        <w:t xml:space="preserve">    6.2</w:t>
      </w:r>
      <w:r>
        <w:rPr>
          <w:rFonts w:hint="eastAsia" w:ascii="宋体" w:hAnsi="宋体" w:cs="宋体"/>
          <w:color w:val="auto"/>
          <w:sz w:val="24"/>
          <w:szCs w:val="24"/>
          <w:highlight w:val="none"/>
          <w:lang w:val="zh-CN"/>
        </w:rPr>
        <w:t>人员要求：</w:t>
      </w:r>
    </w:p>
    <w:p w14:paraId="734C825A">
      <w:pPr>
        <w:tabs>
          <w:tab w:val="left" w:pos="0"/>
          <w:tab w:val="left" w:pos="851"/>
          <w:tab w:val="left" w:pos="938"/>
        </w:tabs>
        <w:spacing w:line="360" w:lineRule="auto"/>
        <w:ind w:firstLine="480" w:firstLineChars="200"/>
        <w:rPr>
          <w:rFonts w:ascii="宋体" w:hAnsi="宋体" w:cs="宋体"/>
          <w:color w:val="auto"/>
          <w:sz w:val="24"/>
          <w:szCs w:val="24"/>
          <w:highlight w:val="none"/>
          <w:lang w:val="zh-CN"/>
        </w:rPr>
      </w:pPr>
      <w:r>
        <w:rPr>
          <w:rFonts w:hint="eastAsia" w:ascii="宋体" w:hAnsi="宋体" w:cs="宋体"/>
          <w:color w:val="auto"/>
          <w:sz w:val="24"/>
          <w:szCs w:val="24"/>
          <w:highlight w:val="none"/>
          <w:lang w:val="zh-CN"/>
        </w:rPr>
        <w:t>所有人员必须遵守国家的法律、法规及采购人的各项规章制度，具有良好素养和上岗资质，政历清白，无不良记录及嗜好，爱岗敬业、工作勤快，礼貌待人、和蔼处事，相貌端正、身材适中、身体健康。男员工不准留胡须、蓄长发；女员工不准浓妆艳抹或佩戴过分的饰物，头发染色不能过艳。所有人员在工作时，统一着中标人提供的工作服、工作帽，仪容仪表要符合厨房着装规范，</w:t>
      </w:r>
      <w:r>
        <w:rPr>
          <w:rFonts w:hint="eastAsia" w:ascii="宋体" w:hAnsi="宋体" w:cs="宋体"/>
          <w:color w:val="auto"/>
          <w:sz w:val="24"/>
          <w:szCs w:val="24"/>
          <w:highlight w:val="none"/>
        </w:rPr>
        <w:t>厨房工作人员应佩戴厨房专用口罩，</w:t>
      </w:r>
      <w:r>
        <w:rPr>
          <w:rFonts w:hint="eastAsia" w:ascii="宋体" w:hAnsi="宋体" w:cs="宋体"/>
          <w:color w:val="auto"/>
          <w:sz w:val="24"/>
          <w:szCs w:val="24"/>
          <w:highlight w:val="none"/>
          <w:lang w:val="zh-CN"/>
        </w:rPr>
        <w:t>不能着大衣和背心或敞胸露怀工作，不准带朋友、亲戚或与工作无关人员进入工作场所，不准在工作场所抽烟或吃零食、闲谈等；未经许可不得进入办公场所。若经发现，每次扣除其服务费用</w:t>
      </w:r>
      <w:r>
        <w:rPr>
          <w:rFonts w:hint="eastAsia" w:ascii="宋体" w:hAnsi="宋体" w:cs="宋体"/>
          <w:color w:val="auto"/>
          <w:sz w:val="24"/>
          <w:szCs w:val="24"/>
          <w:highlight w:val="none"/>
        </w:rPr>
        <w:t>500</w:t>
      </w:r>
      <w:r>
        <w:rPr>
          <w:rFonts w:hint="eastAsia" w:ascii="宋体" w:hAnsi="宋体" w:cs="宋体"/>
          <w:color w:val="auto"/>
          <w:sz w:val="24"/>
          <w:szCs w:val="24"/>
          <w:highlight w:val="none"/>
          <w:lang w:val="zh-CN"/>
        </w:rPr>
        <w:t>元/次。若同一人员一年内累计超过3次采购人有权要求中标人更换该名人员。</w:t>
      </w:r>
    </w:p>
    <w:p w14:paraId="4DC2BA6A">
      <w:pPr>
        <w:tabs>
          <w:tab w:val="left" w:pos="0"/>
          <w:tab w:val="left" w:pos="851"/>
          <w:tab w:val="left" w:pos="938"/>
          <w:tab w:val="left" w:pos="1843"/>
        </w:tabs>
        <w:spacing w:line="360" w:lineRule="auto"/>
        <w:ind w:firstLine="480" w:firstLineChars="200"/>
        <w:rPr>
          <w:rFonts w:ascii="宋体" w:hAnsi="宋体" w:cs="宋体"/>
          <w:color w:val="auto"/>
          <w:sz w:val="24"/>
          <w:szCs w:val="24"/>
          <w:highlight w:val="none"/>
          <w:lang w:val="zh-CN"/>
        </w:rPr>
      </w:pPr>
      <w:r>
        <w:rPr>
          <w:rFonts w:hint="eastAsia" w:ascii="宋体" w:hAnsi="宋体" w:cs="宋体"/>
          <w:color w:val="auto"/>
          <w:sz w:val="24"/>
          <w:szCs w:val="24"/>
          <w:highlight w:val="none"/>
        </w:rPr>
        <w:t>6.2.1</w:t>
      </w:r>
      <w:r>
        <w:rPr>
          <w:rFonts w:hint="eastAsia" w:ascii="宋体" w:hAnsi="宋体" w:cs="宋体"/>
          <w:color w:val="auto"/>
          <w:sz w:val="24"/>
          <w:szCs w:val="24"/>
          <w:highlight w:val="none"/>
          <w:lang w:val="zh-CN"/>
        </w:rPr>
        <w:t>食堂工作人员人身及财产安全全部由中标人负责。</w:t>
      </w:r>
    </w:p>
    <w:p w14:paraId="03400D99">
      <w:pPr>
        <w:tabs>
          <w:tab w:val="left" w:pos="0"/>
          <w:tab w:val="left" w:pos="851"/>
          <w:tab w:val="left" w:pos="938"/>
          <w:tab w:val="left" w:pos="1843"/>
        </w:tabs>
        <w:spacing w:line="360" w:lineRule="auto"/>
        <w:ind w:firstLine="480" w:firstLineChars="200"/>
        <w:rPr>
          <w:rFonts w:ascii="宋体" w:hAnsi="宋体" w:cs="宋体"/>
          <w:color w:val="auto"/>
          <w:sz w:val="24"/>
          <w:szCs w:val="24"/>
          <w:highlight w:val="none"/>
          <w:lang w:val="zh-CN"/>
        </w:rPr>
      </w:pPr>
      <w:r>
        <w:rPr>
          <w:rFonts w:hint="eastAsia" w:ascii="宋体" w:hAnsi="宋体" w:cs="宋体"/>
          <w:color w:val="auto"/>
          <w:sz w:val="24"/>
          <w:szCs w:val="24"/>
          <w:highlight w:val="none"/>
        </w:rPr>
        <w:t>6.2.2</w:t>
      </w:r>
      <w:r>
        <w:rPr>
          <w:rFonts w:hint="eastAsia" w:ascii="宋体" w:hAnsi="宋体" w:cs="宋体"/>
          <w:color w:val="auto"/>
          <w:sz w:val="24"/>
          <w:szCs w:val="24"/>
          <w:highlight w:val="none"/>
          <w:lang w:val="zh-CN"/>
        </w:rPr>
        <w:t>中标人必须制定安全条例，对职工进行安全教育，员工必须经培训合格后方可上岗，并报采购人备案。中标人必须与采购人签订安全责任书。</w:t>
      </w:r>
    </w:p>
    <w:p w14:paraId="023315F6">
      <w:pPr>
        <w:tabs>
          <w:tab w:val="left" w:pos="0"/>
          <w:tab w:val="left" w:pos="851"/>
          <w:tab w:val="left" w:pos="938"/>
          <w:tab w:val="left" w:pos="1843"/>
        </w:tabs>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6.2.3</w:t>
      </w:r>
      <w:r>
        <w:rPr>
          <w:rFonts w:hint="eastAsia" w:ascii="宋体" w:hAnsi="宋体" w:cs="宋体"/>
          <w:color w:val="auto"/>
          <w:sz w:val="24"/>
          <w:szCs w:val="24"/>
          <w:highlight w:val="none"/>
          <w:lang w:val="zh-CN"/>
        </w:rPr>
        <w:t>投标人</w:t>
      </w:r>
      <w:r>
        <w:rPr>
          <w:rFonts w:hint="eastAsia" w:ascii="宋体" w:hAnsi="宋体" w:cs="宋体"/>
          <w:color w:val="auto"/>
          <w:sz w:val="24"/>
          <w:szCs w:val="24"/>
          <w:highlight w:val="none"/>
        </w:rPr>
        <w:t>需承诺：若服务团队人员出现辞退或不合格或轮岗等情况，可为本项目提供</w:t>
      </w:r>
      <w:r>
        <w:rPr>
          <w:rFonts w:hint="eastAsia" w:ascii="宋体" w:hAnsi="宋体" w:cs="宋体"/>
          <w:color w:val="auto"/>
          <w:sz w:val="24"/>
          <w:szCs w:val="24"/>
          <w:highlight w:val="none"/>
          <w:lang w:val="en-US" w:eastAsia="zh-CN"/>
        </w:rPr>
        <w:t>具备相应职业资格或技能或相关资历的</w:t>
      </w:r>
      <w:r>
        <w:rPr>
          <w:rFonts w:hint="eastAsia" w:ascii="宋体" w:hAnsi="宋体" w:cs="宋体"/>
          <w:color w:val="auto"/>
          <w:sz w:val="24"/>
          <w:szCs w:val="24"/>
          <w:highlight w:val="none"/>
        </w:rPr>
        <w:t>备用及保障人员。</w:t>
      </w:r>
    </w:p>
    <w:p w14:paraId="2EDD6F12">
      <w:pPr>
        <w:tabs>
          <w:tab w:val="left" w:pos="0"/>
          <w:tab w:val="left" w:pos="851"/>
          <w:tab w:val="left" w:pos="938"/>
          <w:tab w:val="left" w:pos="1843"/>
        </w:tabs>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6.2.4</w:t>
      </w:r>
      <w:r>
        <w:rPr>
          <w:rFonts w:hint="eastAsia" w:ascii="宋体" w:hAnsi="宋体" w:cs="宋体"/>
          <w:color w:val="auto"/>
          <w:sz w:val="24"/>
          <w:szCs w:val="24"/>
          <w:highlight w:val="none"/>
          <w:lang w:val="zh-CN"/>
        </w:rPr>
        <w:t>投标人</w:t>
      </w:r>
      <w:r>
        <w:rPr>
          <w:rFonts w:hint="eastAsia" w:ascii="宋体" w:hAnsi="宋体" w:cs="宋体"/>
          <w:color w:val="auto"/>
          <w:sz w:val="24"/>
          <w:szCs w:val="24"/>
          <w:highlight w:val="none"/>
        </w:rPr>
        <w:t>需承诺：若采购人认为中标人所派遣人员不能胜任其岗位职责的，提出更换意见后，中标人应在5个工作日内予以更换不低于原岗位资格要求的人员。</w:t>
      </w:r>
    </w:p>
    <w:p w14:paraId="498A613F">
      <w:pPr>
        <w:keepNext/>
        <w:keepLines/>
        <w:tabs>
          <w:tab w:val="left" w:pos="308"/>
        </w:tabs>
        <w:spacing w:line="360" w:lineRule="auto"/>
        <w:ind w:firstLine="482" w:firstLineChars="200"/>
        <w:outlineLvl w:val="3"/>
        <w:rPr>
          <w:rFonts w:ascii="宋体" w:hAnsi="宋体" w:cs="宋体"/>
          <w:b/>
          <w:bCs/>
          <w:color w:val="auto"/>
          <w:sz w:val="24"/>
          <w:szCs w:val="24"/>
          <w:highlight w:val="none"/>
        </w:rPr>
      </w:pPr>
      <w:bookmarkStart w:id="107" w:name="_Toc24376851"/>
      <w:r>
        <w:rPr>
          <w:rFonts w:hint="eastAsia" w:ascii="宋体" w:hAnsi="宋体" w:cs="宋体"/>
          <w:b/>
          <w:bCs/>
          <w:color w:val="auto"/>
          <w:sz w:val="24"/>
          <w:szCs w:val="24"/>
          <w:highlight w:val="none"/>
        </w:rPr>
        <w:t>（7）踏勘内容及要求</w:t>
      </w:r>
      <w:bookmarkEnd w:id="107"/>
    </w:p>
    <w:p w14:paraId="6A4FBEB3">
      <w:pPr>
        <w:tabs>
          <w:tab w:val="left" w:pos="0"/>
          <w:tab w:val="left" w:pos="851"/>
          <w:tab w:val="left" w:pos="938"/>
        </w:tabs>
        <w:spacing w:line="360" w:lineRule="auto"/>
        <w:ind w:firstLine="480" w:firstLineChars="200"/>
        <w:rPr>
          <w:rFonts w:ascii="宋体" w:hAnsi="宋体" w:cs="宋体"/>
          <w:color w:val="auto"/>
          <w:sz w:val="24"/>
          <w:szCs w:val="24"/>
          <w:highlight w:val="none"/>
          <w:lang w:val="zh-CN"/>
        </w:rPr>
      </w:pPr>
      <w:r>
        <w:rPr>
          <w:rFonts w:hint="eastAsia" w:ascii="宋体" w:hAnsi="宋体" w:cs="宋体"/>
          <w:color w:val="auto"/>
          <w:sz w:val="24"/>
          <w:szCs w:val="24"/>
          <w:highlight w:val="none"/>
        </w:rPr>
        <w:t>7.1</w:t>
      </w:r>
      <w:r>
        <w:rPr>
          <w:rFonts w:hint="eastAsia" w:ascii="宋体" w:hAnsi="宋体" w:cs="宋体"/>
          <w:color w:val="auto"/>
          <w:sz w:val="24"/>
          <w:szCs w:val="24"/>
          <w:highlight w:val="none"/>
          <w:lang w:val="zh-CN"/>
        </w:rPr>
        <w:t>本项目采购人不组织集中现场踏勘，投标人可自行对项目现场及周围环境进行踏勘，以便获取有关编制投标文件和签署合同所涉及现场的资料并整合成踏勘报告。投标人应自行承担踏勘现场所发生的费用。</w:t>
      </w:r>
    </w:p>
    <w:p w14:paraId="430FF02C">
      <w:pPr>
        <w:tabs>
          <w:tab w:val="left" w:pos="0"/>
          <w:tab w:val="left" w:pos="851"/>
          <w:tab w:val="left" w:pos="938"/>
        </w:tabs>
        <w:spacing w:line="360" w:lineRule="auto"/>
        <w:ind w:firstLine="480" w:firstLineChars="200"/>
        <w:rPr>
          <w:rFonts w:ascii="宋体" w:hAnsi="宋体" w:cs="宋体"/>
          <w:color w:val="auto"/>
          <w:sz w:val="24"/>
          <w:szCs w:val="24"/>
          <w:highlight w:val="none"/>
          <w:lang w:val="zh-CN"/>
        </w:rPr>
      </w:pPr>
      <w:r>
        <w:rPr>
          <w:rFonts w:hint="eastAsia" w:ascii="宋体" w:hAnsi="宋体" w:cs="宋体"/>
          <w:color w:val="auto"/>
          <w:sz w:val="24"/>
          <w:szCs w:val="24"/>
          <w:highlight w:val="none"/>
        </w:rPr>
        <w:t>7.2</w:t>
      </w:r>
      <w:r>
        <w:rPr>
          <w:rFonts w:hint="eastAsia" w:ascii="宋体" w:hAnsi="宋体" w:cs="宋体"/>
          <w:color w:val="auto"/>
          <w:sz w:val="24"/>
          <w:szCs w:val="24"/>
          <w:highlight w:val="none"/>
          <w:lang w:val="zh-CN"/>
        </w:rPr>
        <w:t>投标人及其人员经过现场管理人员的允许，可以踏勘为目的进入采购人的项目现场，但投标人及其人员不得因此使采购人及其人员承担有关的责任和蒙受损失。投标人并应对由此次踏勘现场而造成的人员死亡、人身伤害、财产损失、损害以及任何其他损失、损害和引起的费用和开支承担责任。</w:t>
      </w:r>
    </w:p>
    <w:p w14:paraId="006BF12A">
      <w:pPr>
        <w:tabs>
          <w:tab w:val="left" w:pos="0"/>
          <w:tab w:val="left" w:pos="851"/>
          <w:tab w:val="left" w:pos="938"/>
        </w:tabs>
        <w:spacing w:line="360" w:lineRule="auto"/>
        <w:ind w:firstLine="480" w:firstLineChars="200"/>
        <w:rPr>
          <w:rFonts w:ascii="宋体" w:hAnsi="宋体" w:cs="宋体"/>
          <w:color w:val="auto"/>
          <w:sz w:val="24"/>
          <w:szCs w:val="24"/>
          <w:highlight w:val="none"/>
          <w:lang w:val="zh-CN"/>
        </w:rPr>
      </w:pPr>
      <w:r>
        <w:rPr>
          <w:rFonts w:hint="eastAsia" w:ascii="宋体" w:hAnsi="宋体" w:cs="宋体"/>
          <w:color w:val="auto"/>
          <w:sz w:val="24"/>
          <w:szCs w:val="24"/>
          <w:highlight w:val="none"/>
        </w:rPr>
        <w:t>7.3</w:t>
      </w:r>
      <w:r>
        <w:rPr>
          <w:rFonts w:hint="eastAsia" w:ascii="宋体" w:hAnsi="宋体" w:cs="宋体"/>
          <w:color w:val="auto"/>
          <w:sz w:val="24"/>
          <w:szCs w:val="24"/>
          <w:highlight w:val="none"/>
          <w:lang w:val="zh-CN"/>
        </w:rPr>
        <w:t>采购人向投标人提供的有关现场的资料和数据，是采购人现有的能被投标人利用的资料。采购人对投标人做出的理解、推论和结论均不负责任，踏勘联系人及电话：何科，0592-5899602。</w:t>
      </w:r>
    </w:p>
    <w:p w14:paraId="209ADEF0">
      <w:pPr>
        <w:tabs>
          <w:tab w:val="left" w:pos="0"/>
          <w:tab w:val="left" w:pos="851"/>
          <w:tab w:val="left" w:pos="938"/>
        </w:tabs>
        <w:spacing w:line="360" w:lineRule="auto"/>
        <w:ind w:left="504"/>
        <w:rPr>
          <w:rFonts w:ascii="宋体" w:hAnsi="宋体" w:cs="宋体"/>
          <w:color w:val="auto"/>
          <w:sz w:val="24"/>
          <w:szCs w:val="24"/>
          <w:highlight w:val="none"/>
          <w:lang w:val="zh-CN"/>
        </w:rPr>
      </w:pPr>
      <w:r>
        <w:rPr>
          <w:rFonts w:hint="eastAsia" w:ascii="宋体" w:hAnsi="宋体" w:cs="宋体"/>
          <w:b/>
          <w:color w:val="auto"/>
          <w:sz w:val="24"/>
          <w:szCs w:val="24"/>
          <w:highlight w:val="none"/>
          <w:lang w:val="zh-CN"/>
        </w:rPr>
        <w:t>以上证明文件均应加盖投标人公章。</w:t>
      </w:r>
    </w:p>
    <w:p w14:paraId="1F2559BC">
      <w:pPr>
        <w:keepNext/>
        <w:keepLines/>
        <w:tabs>
          <w:tab w:val="left" w:pos="308"/>
        </w:tabs>
        <w:spacing w:line="360" w:lineRule="auto"/>
        <w:ind w:firstLine="482" w:firstLineChars="200"/>
        <w:outlineLvl w:val="3"/>
        <w:rPr>
          <w:rFonts w:ascii="宋体" w:hAnsi="宋体" w:cs="宋体"/>
          <w:b/>
          <w:bCs/>
          <w:color w:val="auto"/>
          <w:sz w:val="24"/>
          <w:szCs w:val="24"/>
          <w:highlight w:val="none"/>
        </w:rPr>
      </w:pPr>
      <w:r>
        <w:rPr>
          <w:rFonts w:hint="eastAsia" w:ascii="宋体" w:hAnsi="宋体" w:cs="宋体"/>
          <w:b/>
          <w:bCs/>
          <w:color w:val="auto"/>
          <w:sz w:val="24"/>
          <w:szCs w:val="24"/>
          <w:highlight w:val="none"/>
        </w:rPr>
        <w:t>（8）履约验收方案</w:t>
      </w:r>
    </w:p>
    <w:p w14:paraId="4DFB575A">
      <w:pPr>
        <w:tabs>
          <w:tab w:val="left" w:pos="0"/>
          <w:tab w:val="left" w:pos="851"/>
          <w:tab w:val="left" w:pos="938"/>
          <w:tab w:val="left" w:pos="1843"/>
        </w:tabs>
        <w:spacing w:line="360" w:lineRule="auto"/>
        <w:ind w:firstLine="480" w:firstLineChars="200"/>
        <w:rPr>
          <w:rFonts w:ascii="宋体" w:hAnsi="宋体" w:cs="宋体"/>
          <w:color w:val="auto"/>
          <w:sz w:val="24"/>
          <w:szCs w:val="24"/>
          <w:highlight w:val="none"/>
          <w:lang w:val="zh-CN"/>
        </w:rPr>
      </w:pPr>
      <w:r>
        <w:rPr>
          <w:rFonts w:hint="eastAsia" w:ascii="宋体" w:hAnsi="宋体" w:cs="宋体"/>
          <w:color w:val="auto"/>
          <w:sz w:val="24"/>
          <w:szCs w:val="24"/>
          <w:highlight w:val="none"/>
        </w:rPr>
        <w:t>8.1</w:t>
      </w:r>
      <w:r>
        <w:rPr>
          <w:rFonts w:hint="eastAsia" w:ascii="宋体" w:hAnsi="宋体" w:cs="宋体"/>
          <w:color w:val="auto"/>
          <w:sz w:val="24"/>
          <w:szCs w:val="24"/>
          <w:highlight w:val="none"/>
          <w:lang w:val="zh-CN"/>
        </w:rPr>
        <w:t>月度考核：</w:t>
      </w:r>
    </w:p>
    <w:p w14:paraId="1E5EE28C">
      <w:pPr>
        <w:tabs>
          <w:tab w:val="left" w:pos="0"/>
          <w:tab w:val="left" w:pos="851"/>
          <w:tab w:val="left" w:pos="938"/>
          <w:tab w:val="left" w:pos="1843"/>
        </w:tabs>
        <w:spacing w:line="360" w:lineRule="auto"/>
        <w:ind w:firstLine="480" w:firstLineChars="200"/>
        <w:rPr>
          <w:rFonts w:ascii="宋体" w:hAnsi="宋体" w:cs="宋体"/>
          <w:color w:val="auto"/>
          <w:sz w:val="24"/>
          <w:szCs w:val="24"/>
          <w:highlight w:val="none"/>
          <w:lang w:val="zh-CN"/>
        </w:rPr>
      </w:pPr>
      <w:r>
        <w:rPr>
          <w:rFonts w:hint="eastAsia" w:ascii="宋体" w:hAnsi="宋体" w:cs="宋体"/>
          <w:color w:val="auto"/>
          <w:sz w:val="24"/>
          <w:szCs w:val="24"/>
          <w:highlight w:val="none"/>
        </w:rPr>
        <w:t>8.1.1</w:t>
      </w:r>
      <w:r>
        <w:rPr>
          <w:rFonts w:hint="eastAsia" w:ascii="宋体" w:hAnsi="宋体" w:cs="宋体"/>
          <w:color w:val="auto"/>
          <w:sz w:val="24"/>
          <w:szCs w:val="24"/>
          <w:highlight w:val="none"/>
          <w:lang w:val="zh-CN"/>
        </w:rPr>
        <w:t>验收主体</w:t>
      </w:r>
    </w:p>
    <w:p w14:paraId="0B6CA452">
      <w:pPr>
        <w:tabs>
          <w:tab w:val="left" w:pos="0"/>
          <w:tab w:val="left" w:pos="851"/>
          <w:tab w:val="left" w:pos="938"/>
          <w:tab w:val="left" w:pos="1843"/>
        </w:tabs>
        <w:spacing w:line="360" w:lineRule="auto"/>
        <w:ind w:firstLine="480" w:firstLineChars="200"/>
        <w:rPr>
          <w:rFonts w:ascii="宋体" w:hAnsi="宋体" w:cs="宋体"/>
          <w:color w:val="auto"/>
          <w:sz w:val="24"/>
          <w:szCs w:val="24"/>
          <w:highlight w:val="none"/>
          <w:lang w:val="zh-CN"/>
        </w:rPr>
      </w:pPr>
      <w:r>
        <w:rPr>
          <w:rFonts w:hint="eastAsia" w:ascii="宋体" w:hAnsi="宋体" w:cs="宋体"/>
          <w:color w:val="auto"/>
          <w:sz w:val="24"/>
          <w:szCs w:val="24"/>
          <w:highlight w:val="none"/>
          <w:lang w:val="zh-CN"/>
        </w:rPr>
        <w:t>需求部门/实际使用部门：综合保障中心牵头</w:t>
      </w:r>
    </w:p>
    <w:p w14:paraId="5A598155">
      <w:pPr>
        <w:tabs>
          <w:tab w:val="left" w:pos="0"/>
          <w:tab w:val="left" w:pos="851"/>
          <w:tab w:val="left" w:pos="938"/>
          <w:tab w:val="left" w:pos="1843"/>
        </w:tabs>
        <w:spacing w:line="360" w:lineRule="auto"/>
        <w:ind w:firstLine="480" w:firstLineChars="200"/>
        <w:rPr>
          <w:rFonts w:ascii="宋体" w:hAnsi="宋体" w:cs="宋体"/>
          <w:color w:val="auto"/>
          <w:sz w:val="24"/>
          <w:szCs w:val="24"/>
          <w:highlight w:val="none"/>
          <w:lang w:val="zh-CN"/>
        </w:rPr>
      </w:pPr>
      <w:r>
        <w:rPr>
          <w:rFonts w:hint="eastAsia" w:ascii="宋体" w:hAnsi="宋体" w:cs="宋体"/>
          <w:color w:val="auto"/>
          <w:sz w:val="24"/>
          <w:szCs w:val="24"/>
          <w:highlight w:val="none"/>
        </w:rPr>
        <w:t>8.1.2</w:t>
      </w:r>
      <w:r>
        <w:rPr>
          <w:rFonts w:hint="eastAsia" w:ascii="宋体" w:hAnsi="宋体" w:cs="宋体"/>
          <w:color w:val="auto"/>
          <w:sz w:val="24"/>
          <w:szCs w:val="24"/>
          <w:highlight w:val="none"/>
          <w:lang w:val="zh-CN"/>
        </w:rPr>
        <w:t>验收时间：每月服务结束后15日内。</w:t>
      </w:r>
    </w:p>
    <w:p w14:paraId="6C433676">
      <w:pPr>
        <w:tabs>
          <w:tab w:val="left" w:pos="0"/>
          <w:tab w:val="left" w:pos="851"/>
          <w:tab w:val="left" w:pos="938"/>
          <w:tab w:val="left" w:pos="1843"/>
        </w:tabs>
        <w:spacing w:line="360" w:lineRule="auto"/>
        <w:ind w:firstLine="480" w:firstLineChars="200"/>
        <w:rPr>
          <w:rFonts w:ascii="宋体" w:hAnsi="宋体" w:cs="宋体"/>
          <w:color w:val="auto"/>
          <w:sz w:val="24"/>
          <w:szCs w:val="24"/>
          <w:highlight w:val="none"/>
          <w:lang w:val="zh-CN"/>
        </w:rPr>
      </w:pPr>
      <w:r>
        <w:rPr>
          <w:rFonts w:hint="eastAsia" w:ascii="宋体" w:hAnsi="宋体" w:cs="宋体"/>
          <w:color w:val="auto"/>
          <w:sz w:val="24"/>
          <w:szCs w:val="24"/>
          <w:highlight w:val="none"/>
        </w:rPr>
        <w:t>8.1.3</w:t>
      </w:r>
      <w:r>
        <w:rPr>
          <w:rFonts w:hint="eastAsia" w:ascii="宋体" w:hAnsi="宋体" w:cs="宋体"/>
          <w:color w:val="auto"/>
          <w:sz w:val="24"/>
          <w:szCs w:val="24"/>
          <w:highlight w:val="none"/>
          <w:lang w:val="zh-CN"/>
        </w:rPr>
        <w:t>验收地点：思明区展鸿路100号和翔安区黎林路1699号。</w:t>
      </w:r>
    </w:p>
    <w:p w14:paraId="32B47795">
      <w:pPr>
        <w:tabs>
          <w:tab w:val="left" w:pos="0"/>
          <w:tab w:val="left" w:pos="851"/>
          <w:tab w:val="left" w:pos="938"/>
          <w:tab w:val="left" w:pos="1843"/>
        </w:tabs>
        <w:spacing w:line="360" w:lineRule="auto"/>
        <w:ind w:firstLine="480" w:firstLineChars="200"/>
        <w:rPr>
          <w:rFonts w:ascii="宋体" w:hAnsi="宋体" w:cs="宋体"/>
          <w:color w:val="auto"/>
          <w:sz w:val="24"/>
          <w:szCs w:val="24"/>
          <w:highlight w:val="none"/>
          <w:lang w:val="zh-CN"/>
        </w:rPr>
      </w:pPr>
      <w:r>
        <w:rPr>
          <w:rFonts w:hint="eastAsia" w:ascii="宋体" w:hAnsi="宋体" w:cs="宋体"/>
          <w:color w:val="auto"/>
          <w:sz w:val="24"/>
          <w:szCs w:val="24"/>
          <w:highlight w:val="none"/>
        </w:rPr>
        <w:t>8.1.4</w:t>
      </w:r>
      <w:r>
        <w:rPr>
          <w:rFonts w:hint="eastAsia" w:ascii="宋体" w:hAnsi="宋体" w:cs="宋体"/>
          <w:color w:val="auto"/>
          <w:sz w:val="24"/>
          <w:szCs w:val="24"/>
          <w:highlight w:val="none"/>
          <w:lang w:val="zh-CN"/>
        </w:rPr>
        <w:t>验收方式：分期验收，在服务合同期限内按月验收。</w:t>
      </w:r>
    </w:p>
    <w:p w14:paraId="4899BDFC">
      <w:pPr>
        <w:spacing w:line="360" w:lineRule="auto"/>
        <w:ind w:firstLine="480" w:firstLineChars="200"/>
        <w:rPr>
          <w:rFonts w:ascii="宋体" w:hAnsi="宋体" w:cs="宋体"/>
          <w:color w:val="auto"/>
          <w:sz w:val="24"/>
          <w:szCs w:val="24"/>
          <w:highlight w:val="none"/>
          <w:lang w:val="zh-CN"/>
        </w:rPr>
      </w:pPr>
      <w:r>
        <w:rPr>
          <w:rFonts w:hint="eastAsia" w:ascii="宋体" w:hAnsi="宋体" w:cs="宋体"/>
          <w:color w:val="auto"/>
          <w:sz w:val="24"/>
          <w:szCs w:val="24"/>
          <w:highlight w:val="none"/>
        </w:rPr>
        <w:t>8.1.5</w:t>
      </w:r>
      <w:r>
        <w:rPr>
          <w:rFonts w:hint="eastAsia" w:ascii="宋体" w:hAnsi="宋体" w:cs="宋体"/>
          <w:color w:val="auto"/>
          <w:sz w:val="24"/>
          <w:szCs w:val="24"/>
          <w:highlight w:val="none"/>
          <w:lang w:val="zh-CN"/>
        </w:rPr>
        <w:t>验收方法：</w:t>
      </w:r>
    </w:p>
    <w:p w14:paraId="55740CCB">
      <w:pPr>
        <w:spacing w:line="360" w:lineRule="auto"/>
        <w:ind w:firstLine="480" w:firstLineChars="200"/>
        <w:rPr>
          <w:rFonts w:ascii="宋体" w:hAnsi="宋体" w:cs="宋体"/>
          <w:color w:val="auto"/>
          <w:sz w:val="24"/>
          <w:szCs w:val="24"/>
          <w:highlight w:val="none"/>
          <w:lang w:val="zh-CN"/>
        </w:rPr>
      </w:pPr>
      <w:r>
        <w:rPr>
          <w:rFonts w:hint="eastAsia" w:ascii="宋体" w:hAnsi="宋体" w:cs="宋体"/>
          <w:color w:val="auto"/>
          <w:sz w:val="24"/>
          <w:szCs w:val="24"/>
          <w:highlight w:val="none"/>
          <w:lang w:val="zh-CN"/>
        </w:rPr>
        <w:t>（</w:t>
      </w:r>
      <w:r>
        <w:rPr>
          <w:rFonts w:hint="eastAsia" w:ascii="宋体" w:hAnsi="宋体" w:cs="宋体"/>
          <w:color w:val="auto"/>
          <w:sz w:val="24"/>
          <w:szCs w:val="24"/>
          <w:highlight w:val="none"/>
        </w:rPr>
        <w:t>1）日常经营管理考评：</w:t>
      </w:r>
      <w:r>
        <w:rPr>
          <w:rFonts w:hint="eastAsia" w:ascii="宋体" w:hAnsi="宋体" w:cs="宋体"/>
          <w:color w:val="auto"/>
          <w:sz w:val="24"/>
          <w:szCs w:val="24"/>
          <w:highlight w:val="none"/>
          <w:lang w:val="zh-CN"/>
        </w:rPr>
        <w:t>采购人不定期根据《</w:t>
      </w:r>
      <w:r>
        <w:rPr>
          <w:rFonts w:hint="eastAsia" w:ascii="宋体" w:hAnsi="宋体" w:cs="宋体"/>
          <w:color w:val="auto"/>
          <w:kern w:val="0"/>
          <w:sz w:val="24"/>
          <w:szCs w:val="24"/>
          <w:highlight w:val="none"/>
        </w:rPr>
        <w:t>日常经营管理考评表</w:t>
      </w:r>
      <w:r>
        <w:rPr>
          <w:rFonts w:hint="eastAsia" w:ascii="宋体" w:hAnsi="宋体" w:cs="宋体"/>
          <w:color w:val="auto"/>
          <w:sz w:val="24"/>
          <w:szCs w:val="24"/>
          <w:highlight w:val="none"/>
          <w:lang w:val="zh-CN"/>
        </w:rPr>
        <w:t>》（见附件1，总分30分）进行考评，由采购人抽调人员组成考评小组对中标人经营管理进行考评（不提前通知，每年不少于1次）。</w:t>
      </w:r>
    </w:p>
    <w:p w14:paraId="60B315CB">
      <w:pPr>
        <w:widowControl/>
        <w:shd w:val="clear" w:color="auto" w:fill="FFFFFF"/>
        <w:spacing w:line="360" w:lineRule="auto"/>
        <w:ind w:firstLine="480" w:firstLineChars="200"/>
        <w:jc w:val="left"/>
        <w:rPr>
          <w:rFonts w:ascii="宋体" w:hAnsi="宋体" w:cs="宋体"/>
          <w:color w:val="auto"/>
          <w:sz w:val="24"/>
          <w:szCs w:val="24"/>
          <w:highlight w:val="none"/>
          <w:lang w:val="zh-CN"/>
        </w:rPr>
      </w:pPr>
      <w:r>
        <w:rPr>
          <w:rFonts w:hint="eastAsia" w:ascii="宋体" w:hAnsi="宋体" w:cs="宋体"/>
          <w:color w:val="auto"/>
          <w:sz w:val="24"/>
          <w:szCs w:val="24"/>
          <w:highlight w:val="none"/>
          <w:lang w:val="zh-CN"/>
        </w:rPr>
        <w:t>（</w:t>
      </w:r>
      <w:r>
        <w:rPr>
          <w:rFonts w:hint="eastAsia" w:ascii="宋体" w:hAnsi="宋体" w:cs="宋体"/>
          <w:color w:val="auto"/>
          <w:sz w:val="24"/>
          <w:szCs w:val="24"/>
          <w:highlight w:val="none"/>
        </w:rPr>
        <w:t>2）</w:t>
      </w:r>
      <w:r>
        <w:rPr>
          <w:rFonts w:hint="eastAsia" w:ascii="宋体" w:hAnsi="宋体" w:cs="宋体"/>
          <w:color w:val="auto"/>
          <w:sz w:val="24"/>
          <w:szCs w:val="24"/>
          <w:highlight w:val="none"/>
          <w:lang w:val="zh-CN"/>
        </w:rPr>
        <w:t>日常管理：采购人每月根据《</w:t>
      </w:r>
      <w:r>
        <w:rPr>
          <w:rFonts w:hint="eastAsia" w:ascii="宋体" w:hAnsi="宋体" w:cs="宋体"/>
          <w:b/>
          <w:bCs/>
          <w:color w:val="auto"/>
          <w:kern w:val="0"/>
          <w:sz w:val="24"/>
          <w:szCs w:val="24"/>
          <w:highlight w:val="none"/>
        </w:rPr>
        <w:t>日常管理扣罚项目表</w:t>
      </w:r>
      <w:r>
        <w:rPr>
          <w:rFonts w:hint="eastAsia" w:ascii="宋体" w:hAnsi="宋体" w:cs="宋体"/>
          <w:color w:val="auto"/>
          <w:sz w:val="24"/>
          <w:szCs w:val="24"/>
          <w:highlight w:val="none"/>
          <w:lang w:val="zh-CN"/>
        </w:rPr>
        <w:t>》（见附件2，总分</w:t>
      </w:r>
      <w:r>
        <w:rPr>
          <w:rFonts w:hint="eastAsia" w:ascii="宋体" w:hAnsi="宋体" w:cs="宋体"/>
          <w:color w:val="auto"/>
          <w:sz w:val="24"/>
          <w:szCs w:val="24"/>
          <w:highlight w:val="none"/>
        </w:rPr>
        <w:t>100分</w:t>
      </w:r>
      <w:r>
        <w:rPr>
          <w:rFonts w:hint="eastAsia" w:ascii="宋体" w:hAnsi="宋体" w:cs="宋体"/>
          <w:color w:val="auto"/>
          <w:sz w:val="24"/>
          <w:szCs w:val="24"/>
          <w:highlight w:val="none"/>
          <w:lang w:val="zh-CN"/>
        </w:rPr>
        <w:t>）对中标人的违规行为进行记录并累计扣分。月度考核得分 = 100 - 当月累计扣分（最低计为0分）。</w:t>
      </w:r>
    </w:p>
    <w:p w14:paraId="64F30B4E">
      <w:pPr>
        <w:spacing w:line="360" w:lineRule="auto"/>
        <w:ind w:firstLine="480" w:firstLineChars="200"/>
        <w:rPr>
          <w:rFonts w:ascii="宋体" w:hAnsi="宋体" w:cs="宋体"/>
          <w:color w:val="auto"/>
          <w:sz w:val="24"/>
          <w:szCs w:val="24"/>
          <w:highlight w:val="none"/>
          <w:lang w:val="zh-CN"/>
        </w:rPr>
      </w:pPr>
      <w:r>
        <w:rPr>
          <w:rFonts w:hint="eastAsia" w:ascii="宋体" w:hAnsi="宋体" w:cs="宋体"/>
          <w:color w:val="auto"/>
          <w:sz w:val="24"/>
          <w:szCs w:val="24"/>
          <w:highlight w:val="none"/>
          <w:lang w:val="zh-CN"/>
        </w:rPr>
        <w:t>（</w:t>
      </w:r>
      <w:r>
        <w:rPr>
          <w:rFonts w:hint="eastAsia" w:ascii="宋体" w:hAnsi="宋体" w:cs="宋体"/>
          <w:color w:val="auto"/>
          <w:sz w:val="24"/>
          <w:szCs w:val="24"/>
          <w:highlight w:val="none"/>
        </w:rPr>
        <w:t>3）</w:t>
      </w:r>
      <w:r>
        <w:rPr>
          <w:rFonts w:hint="eastAsia" w:ascii="宋体" w:hAnsi="宋体" w:cs="宋体"/>
          <w:color w:val="auto"/>
          <w:sz w:val="24"/>
          <w:szCs w:val="24"/>
          <w:highlight w:val="none"/>
          <w:lang w:val="zh-CN"/>
        </w:rPr>
        <w:t>职工满意度：采购人不定期根据《就餐者满意度调查表》（见附件3）开展满意度调查，每年不少于1次。发放的调查表不少于100份。满意度＝有效《满意度调查表》实际得分（整体服务情况）÷有效《满意度调查表》数。</w:t>
      </w:r>
    </w:p>
    <w:p w14:paraId="3AE40AF5">
      <w:pPr>
        <w:tabs>
          <w:tab w:val="left" w:pos="0"/>
          <w:tab w:val="left" w:pos="851"/>
          <w:tab w:val="left" w:pos="938"/>
          <w:tab w:val="left" w:pos="1843"/>
        </w:tabs>
        <w:spacing w:line="360" w:lineRule="auto"/>
        <w:ind w:firstLine="480" w:firstLineChars="200"/>
        <w:rPr>
          <w:rFonts w:ascii="宋体" w:hAnsi="宋体" w:cs="宋体"/>
          <w:color w:val="auto"/>
          <w:sz w:val="24"/>
          <w:szCs w:val="24"/>
          <w:highlight w:val="none"/>
          <w:lang w:val="zh-CN"/>
        </w:rPr>
      </w:pPr>
      <w:r>
        <w:rPr>
          <w:rFonts w:hint="eastAsia" w:ascii="宋体" w:hAnsi="宋体" w:cs="宋体"/>
          <w:color w:val="auto"/>
          <w:sz w:val="24"/>
          <w:szCs w:val="24"/>
          <w:highlight w:val="none"/>
        </w:rPr>
        <w:t>8.1.6</w:t>
      </w:r>
      <w:r>
        <w:rPr>
          <w:rFonts w:hint="eastAsia" w:ascii="宋体" w:hAnsi="宋体" w:cs="宋体"/>
          <w:color w:val="auto"/>
          <w:sz w:val="24"/>
          <w:szCs w:val="24"/>
          <w:highlight w:val="none"/>
          <w:lang w:val="zh-CN"/>
        </w:rPr>
        <w:t>验收内容：《日常管理扣罚项目表》（每月）；《</w:t>
      </w:r>
      <w:r>
        <w:rPr>
          <w:rFonts w:hint="eastAsia" w:ascii="宋体" w:hAnsi="宋体" w:cs="宋体"/>
          <w:color w:val="auto"/>
          <w:kern w:val="0"/>
          <w:sz w:val="24"/>
          <w:szCs w:val="24"/>
          <w:highlight w:val="none"/>
        </w:rPr>
        <w:t>日常经营管理考评表</w:t>
      </w:r>
      <w:r>
        <w:rPr>
          <w:rFonts w:hint="eastAsia" w:ascii="宋体" w:hAnsi="宋体" w:cs="宋体"/>
          <w:color w:val="auto"/>
          <w:sz w:val="24"/>
          <w:szCs w:val="24"/>
          <w:highlight w:val="none"/>
          <w:lang w:val="zh-CN"/>
        </w:rPr>
        <w:t>》《就餐者满意度调查表》（不定期）</w:t>
      </w:r>
    </w:p>
    <w:p w14:paraId="068EF9E7">
      <w:pPr>
        <w:spacing w:line="360" w:lineRule="auto"/>
        <w:ind w:firstLine="480" w:firstLineChars="200"/>
        <w:rPr>
          <w:rFonts w:ascii="宋体" w:hAnsi="宋体" w:cs="宋体"/>
          <w:color w:val="auto"/>
          <w:sz w:val="24"/>
          <w:szCs w:val="24"/>
          <w:highlight w:val="none"/>
          <w:lang w:val="zh-CN"/>
        </w:rPr>
      </w:pPr>
      <w:r>
        <w:rPr>
          <w:rFonts w:hint="eastAsia" w:ascii="宋体" w:hAnsi="宋体" w:cs="宋体"/>
          <w:color w:val="auto"/>
          <w:sz w:val="24"/>
          <w:szCs w:val="24"/>
          <w:highlight w:val="none"/>
        </w:rPr>
        <w:t>8.1.7</w:t>
      </w:r>
      <w:r>
        <w:rPr>
          <w:rFonts w:hint="eastAsia" w:ascii="宋体" w:hAnsi="宋体" w:cs="宋体"/>
          <w:color w:val="auto"/>
          <w:sz w:val="24"/>
          <w:szCs w:val="24"/>
          <w:highlight w:val="none"/>
          <w:lang w:val="zh-CN"/>
        </w:rPr>
        <w:t>验收标准：根据月度考核得分，考核分数</w:t>
      </w:r>
      <w:r>
        <w:rPr>
          <w:rFonts w:hint="eastAsia" w:ascii="宋体" w:hAnsi="宋体" w:cs="宋体"/>
          <w:color w:val="auto"/>
          <w:sz w:val="24"/>
          <w:szCs w:val="24"/>
          <w:highlight w:val="none"/>
        </w:rPr>
        <w:t>＞</w:t>
      </w:r>
      <w:r>
        <w:rPr>
          <w:rFonts w:hint="eastAsia" w:ascii="宋体" w:hAnsi="宋体" w:cs="宋体"/>
          <w:color w:val="auto"/>
          <w:sz w:val="24"/>
          <w:szCs w:val="24"/>
          <w:highlight w:val="none"/>
          <w:lang w:val="zh-CN"/>
        </w:rPr>
        <w:t>85分，全额支付服务费用；</w:t>
      </w:r>
      <w:r>
        <w:rPr>
          <w:rFonts w:hint="eastAsia" w:ascii="宋体" w:hAnsi="宋体" w:cs="宋体"/>
          <w:color w:val="auto"/>
          <w:sz w:val="24"/>
          <w:szCs w:val="24"/>
          <w:highlight w:val="none"/>
        </w:rPr>
        <w:t>7</w:t>
      </w:r>
      <w:r>
        <w:rPr>
          <w:rFonts w:hint="eastAsia" w:ascii="宋体" w:hAnsi="宋体" w:cs="宋体"/>
          <w:color w:val="auto"/>
          <w:sz w:val="24"/>
          <w:szCs w:val="24"/>
          <w:highlight w:val="none"/>
          <w:lang w:val="zh-CN"/>
        </w:rPr>
        <w:t>0分</w:t>
      </w:r>
      <w:r>
        <w:rPr>
          <w:rFonts w:hint="eastAsia" w:ascii="宋体" w:hAnsi="宋体" w:cs="宋体"/>
          <w:color w:val="auto"/>
          <w:sz w:val="24"/>
          <w:szCs w:val="24"/>
          <w:highlight w:val="none"/>
        </w:rPr>
        <w:t>＜</w:t>
      </w:r>
      <w:r>
        <w:rPr>
          <w:rFonts w:hint="eastAsia" w:ascii="宋体" w:hAnsi="宋体" w:cs="宋体"/>
          <w:color w:val="auto"/>
          <w:sz w:val="24"/>
          <w:szCs w:val="24"/>
          <w:highlight w:val="none"/>
          <w:lang w:val="zh-CN"/>
        </w:rPr>
        <w:t>考核分数≤85分，按月度基本服务费用的9</w:t>
      </w:r>
      <w:r>
        <w:rPr>
          <w:rFonts w:hint="eastAsia" w:ascii="宋体" w:hAnsi="宋体" w:cs="宋体"/>
          <w:color w:val="auto"/>
          <w:sz w:val="24"/>
          <w:szCs w:val="24"/>
          <w:highlight w:val="none"/>
        </w:rPr>
        <w:t>5</w:t>
      </w:r>
      <w:r>
        <w:rPr>
          <w:rFonts w:hint="eastAsia" w:ascii="宋体" w:hAnsi="宋体" w:cs="宋体"/>
          <w:color w:val="auto"/>
          <w:sz w:val="24"/>
          <w:szCs w:val="24"/>
          <w:highlight w:val="none"/>
          <w:lang w:val="zh-CN"/>
        </w:rPr>
        <w:t>%支付；考核分数≤70分，即考核不合格，按月度基本服务费用的85%支付。若一个服务期内累计三次月度考核不合格的，则</w:t>
      </w:r>
      <w:r>
        <w:rPr>
          <w:rFonts w:hint="eastAsia" w:ascii="宋体" w:hAnsi="宋体" w:cs="宋体"/>
          <w:color w:val="auto"/>
          <w:sz w:val="24"/>
          <w:szCs w:val="24"/>
          <w:highlight w:val="none"/>
        </w:rPr>
        <w:t>采购人</w:t>
      </w:r>
      <w:r>
        <w:rPr>
          <w:rFonts w:hint="eastAsia" w:ascii="宋体" w:hAnsi="宋体" w:cs="宋体"/>
          <w:color w:val="auto"/>
          <w:sz w:val="24"/>
          <w:szCs w:val="24"/>
          <w:highlight w:val="none"/>
          <w:lang w:val="zh-CN"/>
        </w:rPr>
        <w:t>有权单方即行解除合同且不退还履约保证金。如发生违约事项的，还应按合同约定支付违约金。</w:t>
      </w:r>
    </w:p>
    <w:p w14:paraId="7DAD3728">
      <w:pPr>
        <w:tabs>
          <w:tab w:val="left" w:pos="0"/>
          <w:tab w:val="left" w:pos="851"/>
          <w:tab w:val="left" w:pos="938"/>
          <w:tab w:val="left" w:pos="1843"/>
        </w:tabs>
        <w:spacing w:line="360" w:lineRule="auto"/>
        <w:ind w:firstLine="480" w:firstLineChars="200"/>
        <w:rPr>
          <w:rFonts w:ascii="宋体" w:hAnsi="宋体" w:cs="宋体"/>
          <w:color w:val="auto"/>
          <w:sz w:val="24"/>
          <w:szCs w:val="24"/>
          <w:highlight w:val="none"/>
          <w:lang w:val="zh-CN"/>
        </w:rPr>
      </w:pPr>
      <w:r>
        <w:rPr>
          <w:rFonts w:hint="eastAsia" w:ascii="宋体" w:hAnsi="宋体" w:cs="宋体"/>
          <w:color w:val="auto"/>
          <w:sz w:val="24"/>
          <w:szCs w:val="24"/>
          <w:highlight w:val="none"/>
        </w:rPr>
        <w:t>8.1.8</w:t>
      </w:r>
      <w:r>
        <w:rPr>
          <w:rFonts w:hint="eastAsia" w:ascii="宋体" w:hAnsi="宋体" w:cs="宋体"/>
          <w:color w:val="auto"/>
          <w:sz w:val="24"/>
          <w:szCs w:val="24"/>
          <w:highlight w:val="none"/>
          <w:lang w:val="zh-CN"/>
        </w:rPr>
        <w:t>其他事项：中标人在收到《</w:t>
      </w:r>
      <w:r>
        <w:rPr>
          <w:rFonts w:hint="eastAsia" w:ascii="宋体" w:hAnsi="宋体" w:cs="宋体"/>
          <w:b/>
          <w:bCs/>
          <w:color w:val="auto"/>
          <w:kern w:val="0"/>
          <w:sz w:val="24"/>
          <w:szCs w:val="24"/>
          <w:highlight w:val="none"/>
        </w:rPr>
        <w:t>日常管理扣罚项目表</w:t>
      </w:r>
      <w:r>
        <w:rPr>
          <w:rFonts w:hint="eastAsia" w:ascii="宋体" w:hAnsi="宋体" w:cs="宋体"/>
          <w:color w:val="auto"/>
          <w:sz w:val="24"/>
          <w:szCs w:val="24"/>
          <w:highlight w:val="none"/>
          <w:lang w:val="zh-CN"/>
        </w:rPr>
        <w:t>》3个工作日内未提出异议的，视为完全同意验收小组考核评价结果；若中标人提出异议后未能与验收小组达成一致意见，最终以验收小组认定的考核评价结果为准。中标人应根据考核结果完成考核扣罚、人员更换、协调工作等事宜。</w:t>
      </w:r>
    </w:p>
    <w:p w14:paraId="6C14F690">
      <w:pPr>
        <w:spacing w:line="360" w:lineRule="auto"/>
        <w:ind w:firstLine="480" w:firstLineChars="200"/>
        <w:rPr>
          <w:rFonts w:ascii="宋体" w:hAnsi="宋体" w:cs="宋体"/>
          <w:color w:val="auto"/>
          <w:sz w:val="24"/>
          <w:szCs w:val="24"/>
          <w:highlight w:val="none"/>
          <w:lang w:val="zh-CN"/>
        </w:rPr>
      </w:pPr>
      <w:r>
        <w:rPr>
          <w:rFonts w:hint="eastAsia" w:ascii="宋体" w:hAnsi="宋体" w:cs="宋体"/>
          <w:color w:val="auto"/>
          <w:sz w:val="24"/>
          <w:szCs w:val="24"/>
          <w:highlight w:val="none"/>
        </w:rPr>
        <w:t>8.2</w:t>
      </w:r>
      <w:r>
        <w:rPr>
          <w:rFonts w:hint="eastAsia" w:ascii="宋体" w:hAnsi="宋体" w:cs="宋体"/>
          <w:color w:val="auto"/>
          <w:sz w:val="24"/>
          <w:szCs w:val="24"/>
          <w:highlight w:val="none"/>
          <w:lang w:val="zh-CN"/>
        </w:rPr>
        <w:t>年度考核：计算方式：考核得分=日常经营管理考评得分-日常管理扣罚分+满意度得分*70%。（每一部分多次评分的，按其平均值取分）</w:t>
      </w:r>
    </w:p>
    <w:p w14:paraId="569A4A46">
      <w:pPr>
        <w:tabs>
          <w:tab w:val="left" w:pos="0"/>
          <w:tab w:val="left" w:pos="851"/>
          <w:tab w:val="left" w:pos="938"/>
          <w:tab w:val="left" w:pos="1843"/>
        </w:tabs>
        <w:spacing w:line="360" w:lineRule="auto"/>
        <w:ind w:firstLine="480" w:firstLineChars="200"/>
        <w:rPr>
          <w:rFonts w:ascii="宋体" w:hAnsi="宋体" w:cs="宋体"/>
          <w:color w:val="auto"/>
          <w:sz w:val="24"/>
          <w:szCs w:val="24"/>
          <w:highlight w:val="none"/>
          <w:lang w:val="zh-CN"/>
        </w:rPr>
      </w:pPr>
      <w:r>
        <w:rPr>
          <w:rFonts w:hint="eastAsia" w:ascii="宋体" w:hAnsi="宋体" w:cs="宋体"/>
          <w:color w:val="auto"/>
          <w:sz w:val="24"/>
          <w:szCs w:val="24"/>
          <w:highlight w:val="none"/>
          <w:lang w:val="zh-CN"/>
        </w:rPr>
        <w:t>年度考核结果显示得分在80分（含）以上的，合同续签；得分在60分（含）-80分之间的，由中标人书面承诺新年度的整改办法，并经</w:t>
      </w:r>
      <w:r>
        <w:rPr>
          <w:rFonts w:hint="eastAsia" w:ascii="宋体" w:hAnsi="宋体" w:cs="宋体"/>
          <w:color w:val="auto"/>
          <w:sz w:val="24"/>
          <w:szCs w:val="24"/>
          <w:highlight w:val="none"/>
        </w:rPr>
        <w:t>采购人</w:t>
      </w:r>
      <w:r>
        <w:rPr>
          <w:rFonts w:hint="eastAsia" w:ascii="宋体" w:hAnsi="宋体" w:cs="宋体"/>
          <w:color w:val="auto"/>
          <w:sz w:val="24"/>
          <w:szCs w:val="24"/>
          <w:highlight w:val="none"/>
          <w:lang w:val="zh-CN"/>
        </w:rPr>
        <w:t>审核同意后方可续签；得分在60分以下（不含60分），则</w:t>
      </w:r>
      <w:r>
        <w:rPr>
          <w:rFonts w:hint="eastAsia" w:ascii="宋体" w:hAnsi="宋体" w:cs="宋体"/>
          <w:color w:val="auto"/>
          <w:sz w:val="24"/>
          <w:szCs w:val="24"/>
          <w:highlight w:val="none"/>
        </w:rPr>
        <w:t>采购人</w:t>
      </w:r>
      <w:r>
        <w:rPr>
          <w:rFonts w:hint="eastAsia" w:ascii="宋体" w:hAnsi="宋体" w:cs="宋体"/>
          <w:color w:val="auto"/>
          <w:sz w:val="24"/>
          <w:szCs w:val="24"/>
          <w:highlight w:val="none"/>
          <w:lang w:val="zh-CN"/>
        </w:rPr>
        <w:t>有权终止合同并相应扣除履约保证金。</w:t>
      </w:r>
    </w:p>
    <w:p w14:paraId="5E845AE7">
      <w:pPr>
        <w:widowControl/>
        <w:shd w:val="clear" w:color="auto" w:fill="FFFFFF"/>
        <w:spacing w:line="360" w:lineRule="auto"/>
        <w:jc w:val="left"/>
        <w:rPr>
          <w:rFonts w:ascii="宋体" w:hAnsi="宋体" w:cs="宋体"/>
          <w:color w:val="auto"/>
          <w:kern w:val="0"/>
          <w:sz w:val="24"/>
          <w:szCs w:val="24"/>
          <w:highlight w:val="none"/>
        </w:rPr>
      </w:pPr>
      <w:r>
        <w:rPr>
          <w:rFonts w:hint="eastAsia" w:ascii="宋体" w:hAnsi="宋体" w:cs="宋体"/>
          <w:color w:val="auto"/>
          <w:kern w:val="0"/>
          <w:sz w:val="24"/>
          <w:szCs w:val="24"/>
          <w:highlight w:val="none"/>
        </w:rPr>
        <w:t>附件1：日常经营管理考评表</w:t>
      </w:r>
    </w:p>
    <w:tbl>
      <w:tblPr>
        <w:tblStyle w:val="21"/>
        <w:tblW w:w="8503" w:type="dxa"/>
        <w:jc w:val="center"/>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Layout w:type="autofit"/>
        <w:tblCellMar>
          <w:top w:w="15" w:type="dxa"/>
          <w:left w:w="15" w:type="dxa"/>
          <w:bottom w:w="15" w:type="dxa"/>
          <w:right w:w="15" w:type="dxa"/>
        </w:tblCellMar>
      </w:tblPr>
      <w:tblGrid>
        <w:gridCol w:w="765"/>
        <w:gridCol w:w="5748"/>
        <w:gridCol w:w="855"/>
        <w:gridCol w:w="1135"/>
      </w:tblGrid>
      <w:tr w14:paraId="5BC55BE0">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180" w:hRule="atLeast"/>
          <w:tblHeader/>
          <w:jc w:val="center"/>
        </w:trPr>
        <w:tc>
          <w:tcPr>
            <w:tcW w:w="765" w:type="dxa"/>
            <w:tcBorders>
              <w:top w:val="outset" w:color="auto" w:sz="6" w:space="0"/>
              <w:left w:val="outset" w:color="auto" w:sz="6" w:space="0"/>
              <w:bottom w:val="outset" w:color="000000" w:sz="6" w:space="0"/>
              <w:right w:val="outset" w:color="auto" w:sz="6" w:space="0"/>
            </w:tcBorders>
            <w:shd w:val="clear" w:color="auto" w:fill="FFFFFF"/>
            <w:tcMar>
              <w:top w:w="0" w:type="dxa"/>
              <w:left w:w="105" w:type="dxa"/>
              <w:bottom w:w="0" w:type="dxa"/>
              <w:right w:w="105" w:type="dxa"/>
            </w:tcMar>
          </w:tcPr>
          <w:p w14:paraId="1FC9C5A2">
            <w:pPr>
              <w:widowControl/>
              <w:spacing w:line="360" w:lineRule="auto"/>
              <w:jc w:val="left"/>
              <w:rPr>
                <w:rFonts w:ascii="宋体" w:hAnsi="宋体" w:cs="宋体"/>
                <w:color w:val="auto"/>
                <w:kern w:val="0"/>
                <w:sz w:val="24"/>
                <w:szCs w:val="24"/>
                <w:highlight w:val="none"/>
              </w:rPr>
            </w:pPr>
          </w:p>
        </w:tc>
        <w:tc>
          <w:tcPr>
            <w:tcW w:w="5748" w:type="dxa"/>
            <w:tcBorders>
              <w:top w:val="outset" w:color="auto" w:sz="6" w:space="0"/>
              <w:left w:val="single" w:color="auto" w:sz="0" w:space="0"/>
              <w:bottom w:val="outset" w:color="auto" w:sz="6" w:space="0"/>
              <w:right w:val="outset" w:color="auto" w:sz="6" w:space="0"/>
            </w:tcBorders>
            <w:shd w:val="clear" w:color="auto" w:fill="FFFFFF"/>
            <w:tcMar>
              <w:top w:w="0" w:type="dxa"/>
              <w:left w:w="105" w:type="dxa"/>
              <w:bottom w:w="0" w:type="dxa"/>
              <w:right w:w="105" w:type="dxa"/>
            </w:tcMar>
          </w:tcPr>
          <w:p w14:paraId="2333D2D4">
            <w:pPr>
              <w:widowControl/>
              <w:spacing w:line="360" w:lineRule="auto"/>
              <w:jc w:val="center"/>
              <w:rPr>
                <w:rFonts w:ascii="宋体" w:hAnsi="宋体" w:cs="宋体"/>
                <w:color w:val="auto"/>
                <w:kern w:val="0"/>
                <w:sz w:val="24"/>
                <w:szCs w:val="24"/>
                <w:highlight w:val="none"/>
              </w:rPr>
            </w:pPr>
            <w:r>
              <w:rPr>
                <w:rFonts w:hint="eastAsia" w:ascii="宋体" w:hAnsi="宋体" w:cs="宋体"/>
                <w:b/>
                <w:bCs/>
                <w:color w:val="auto"/>
                <w:kern w:val="0"/>
                <w:sz w:val="24"/>
                <w:szCs w:val="24"/>
                <w:highlight w:val="none"/>
              </w:rPr>
              <w:t>达不到以下要求的不得分</w:t>
            </w:r>
          </w:p>
        </w:tc>
        <w:tc>
          <w:tcPr>
            <w:tcW w:w="855" w:type="dxa"/>
            <w:tcBorders>
              <w:top w:val="outset" w:color="auto" w:sz="6" w:space="0"/>
              <w:left w:val="single" w:color="auto" w:sz="0" w:space="0"/>
              <w:bottom w:val="outset" w:color="auto" w:sz="6" w:space="0"/>
              <w:right w:val="outset" w:color="auto" w:sz="6" w:space="0"/>
            </w:tcBorders>
            <w:shd w:val="clear" w:color="auto" w:fill="FFFFFF"/>
            <w:tcMar>
              <w:top w:w="0" w:type="dxa"/>
              <w:left w:w="105" w:type="dxa"/>
              <w:bottom w:w="0" w:type="dxa"/>
              <w:right w:w="105" w:type="dxa"/>
            </w:tcMar>
          </w:tcPr>
          <w:p w14:paraId="735E9418">
            <w:pPr>
              <w:widowControl/>
              <w:spacing w:line="360" w:lineRule="auto"/>
              <w:jc w:val="left"/>
              <w:rPr>
                <w:rFonts w:ascii="宋体" w:hAnsi="宋体" w:cs="宋体"/>
                <w:color w:val="auto"/>
                <w:kern w:val="0"/>
                <w:sz w:val="24"/>
                <w:szCs w:val="24"/>
                <w:highlight w:val="none"/>
              </w:rPr>
            </w:pPr>
            <w:r>
              <w:rPr>
                <w:rFonts w:hint="eastAsia" w:ascii="宋体" w:hAnsi="宋体" w:cs="宋体"/>
                <w:b/>
                <w:bCs/>
                <w:color w:val="auto"/>
                <w:kern w:val="0"/>
                <w:sz w:val="24"/>
                <w:szCs w:val="24"/>
                <w:highlight w:val="none"/>
              </w:rPr>
              <w:t>分值</w:t>
            </w:r>
          </w:p>
        </w:tc>
        <w:tc>
          <w:tcPr>
            <w:tcW w:w="1135" w:type="dxa"/>
            <w:tcBorders>
              <w:top w:val="outset" w:color="auto" w:sz="6" w:space="0"/>
              <w:left w:val="single" w:color="auto" w:sz="0" w:space="0"/>
              <w:bottom w:val="outset" w:color="auto" w:sz="6" w:space="0"/>
              <w:right w:val="outset" w:color="auto" w:sz="6" w:space="0"/>
            </w:tcBorders>
            <w:shd w:val="clear" w:color="auto" w:fill="FFFFFF"/>
            <w:tcMar>
              <w:top w:w="0" w:type="dxa"/>
              <w:left w:w="105" w:type="dxa"/>
              <w:bottom w:w="0" w:type="dxa"/>
              <w:right w:w="105" w:type="dxa"/>
            </w:tcMar>
          </w:tcPr>
          <w:p w14:paraId="57B31DE2">
            <w:pPr>
              <w:widowControl/>
              <w:spacing w:line="360" w:lineRule="auto"/>
              <w:jc w:val="left"/>
              <w:rPr>
                <w:rFonts w:ascii="宋体" w:hAnsi="宋体" w:cs="宋体"/>
                <w:color w:val="auto"/>
                <w:kern w:val="0"/>
                <w:sz w:val="24"/>
                <w:szCs w:val="24"/>
                <w:highlight w:val="none"/>
              </w:rPr>
            </w:pPr>
            <w:r>
              <w:rPr>
                <w:rFonts w:hint="eastAsia" w:ascii="宋体" w:hAnsi="宋体" w:cs="宋体"/>
                <w:b/>
                <w:bCs/>
                <w:color w:val="auto"/>
                <w:kern w:val="0"/>
                <w:sz w:val="24"/>
                <w:szCs w:val="24"/>
                <w:highlight w:val="none"/>
              </w:rPr>
              <w:t>得分</w:t>
            </w:r>
          </w:p>
        </w:tc>
      </w:tr>
      <w:tr w14:paraId="3064DAB9">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630" w:hRule="atLeast"/>
          <w:jc w:val="center"/>
        </w:trPr>
        <w:tc>
          <w:tcPr>
            <w:tcW w:w="765" w:type="dxa"/>
            <w:vMerge w:val="restart"/>
            <w:tcBorders>
              <w:top w:val="single" w:color="auto" w:sz="0" w:space="0"/>
              <w:left w:val="outset" w:color="auto" w:sz="6" w:space="0"/>
              <w:bottom w:val="outset" w:color="auto" w:sz="6" w:space="0"/>
              <w:right w:val="outset" w:color="auto" w:sz="6" w:space="0"/>
            </w:tcBorders>
            <w:shd w:val="clear" w:color="auto" w:fill="FFFFFF"/>
            <w:tcMar>
              <w:top w:w="0" w:type="dxa"/>
              <w:left w:w="105" w:type="dxa"/>
              <w:bottom w:w="0" w:type="dxa"/>
              <w:right w:w="105" w:type="dxa"/>
            </w:tcMar>
            <w:vAlign w:val="center"/>
          </w:tcPr>
          <w:p w14:paraId="6F18210B">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 </w:t>
            </w:r>
          </w:p>
          <w:p w14:paraId="5F854D3F">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综</w:t>
            </w:r>
          </w:p>
          <w:p w14:paraId="6EDBCBFF">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合</w:t>
            </w:r>
          </w:p>
          <w:p w14:paraId="2485E0FB">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区</w:t>
            </w:r>
          </w:p>
          <w:p w14:paraId="0524C943">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域</w:t>
            </w:r>
          </w:p>
        </w:tc>
        <w:tc>
          <w:tcPr>
            <w:tcW w:w="5748" w:type="dxa"/>
            <w:tcBorders>
              <w:top w:val="single" w:color="auto" w:sz="0" w:space="0"/>
              <w:left w:val="single" w:color="auto" w:sz="0" w:space="0"/>
              <w:bottom w:val="outset" w:color="auto" w:sz="6" w:space="0"/>
              <w:right w:val="outset" w:color="auto" w:sz="6" w:space="0"/>
            </w:tcBorders>
            <w:shd w:val="clear" w:color="auto" w:fill="FFFFFF"/>
            <w:tcMar>
              <w:top w:w="0" w:type="dxa"/>
              <w:left w:w="105" w:type="dxa"/>
              <w:bottom w:w="0" w:type="dxa"/>
              <w:right w:w="105" w:type="dxa"/>
            </w:tcMar>
            <w:vAlign w:val="center"/>
          </w:tcPr>
          <w:p w14:paraId="55D7BED3">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垃圾桶整洁、并加盖；</w:t>
            </w:r>
          </w:p>
        </w:tc>
        <w:tc>
          <w:tcPr>
            <w:tcW w:w="855" w:type="dxa"/>
            <w:tcBorders>
              <w:top w:val="single" w:color="auto" w:sz="0" w:space="0"/>
              <w:left w:val="single" w:color="auto" w:sz="0" w:space="0"/>
              <w:bottom w:val="outset" w:color="auto" w:sz="6" w:space="0"/>
              <w:right w:val="outset" w:color="auto" w:sz="6" w:space="0"/>
            </w:tcBorders>
            <w:shd w:val="clear" w:color="auto" w:fill="FFFFFF"/>
            <w:tcMar>
              <w:top w:w="0" w:type="dxa"/>
              <w:left w:w="105" w:type="dxa"/>
              <w:bottom w:w="0" w:type="dxa"/>
              <w:right w:w="105" w:type="dxa"/>
            </w:tcMar>
            <w:vAlign w:val="center"/>
          </w:tcPr>
          <w:p w14:paraId="4B49C6C5">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1</w:t>
            </w:r>
          </w:p>
        </w:tc>
        <w:tc>
          <w:tcPr>
            <w:tcW w:w="1135" w:type="dxa"/>
            <w:tcBorders>
              <w:top w:val="single" w:color="auto" w:sz="0" w:space="0"/>
              <w:left w:val="single" w:color="auto" w:sz="0" w:space="0"/>
              <w:bottom w:val="outset" w:color="auto" w:sz="6" w:space="0"/>
              <w:right w:val="outset" w:color="auto" w:sz="6" w:space="0"/>
            </w:tcBorders>
            <w:shd w:val="clear" w:color="auto" w:fill="FFFFFF"/>
            <w:tcMar>
              <w:top w:w="0" w:type="dxa"/>
              <w:left w:w="105" w:type="dxa"/>
              <w:bottom w:w="0" w:type="dxa"/>
              <w:right w:w="105" w:type="dxa"/>
            </w:tcMar>
          </w:tcPr>
          <w:p w14:paraId="6C62C36F">
            <w:pPr>
              <w:widowControl/>
              <w:spacing w:line="360" w:lineRule="auto"/>
              <w:jc w:val="left"/>
              <w:rPr>
                <w:rFonts w:ascii="宋体" w:hAnsi="宋体" w:cs="宋体"/>
                <w:color w:val="auto"/>
                <w:kern w:val="0"/>
                <w:sz w:val="24"/>
                <w:szCs w:val="24"/>
                <w:highlight w:val="none"/>
              </w:rPr>
            </w:pPr>
          </w:p>
        </w:tc>
      </w:tr>
      <w:tr w14:paraId="26183FBC">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630" w:hRule="atLeast"/>
          <w:jc w:val="center"/>
        </w:trPr>
        <w:tc>
          <w:tcPr>
            <w:tcW w:w="0" w:type="auto"/>
            <w:vMerge w:val="continue"/>
            <w:tcBorders>
              <w:top w:val="single" w:color="auto" w:sz="0" w:space="0"/>
              <w:left w:val="outset" w:color="auto" w:sz="6" w:space="0"/>
              <w:bottom w:val="outset" w:color="auto" w:sz="6" w:space="0"/>
              <w:right w:val="outset" w:color="auto" w:sz="6" w:space="0"/>
            </w:tcBorders>
            <w:shd w:val="clear" w:color="auto" w:fill="auto"/>
            <w:vAlign w:val="center"/>
          </w:tcPr>
          <w:p w14:paraId="55D9946D">
            <w:pPr>
              <w:widowControl/>
              <w:spacing w:line="360" w:lineRule="auto"/>
              <w:jc w:val="left"/>
              <w:rPr>
                <w:rFonts w:ascii="宋体" w:hAnsi="宋体" w:cs="宋体"/>
                <w:color w:val="auto"/>
                <w:kern w:val="0"/>
                <w:sz w:val="24"/>
                <w:szCs w:val="24"/>
                <w:highlight w:val="none"/>
              </w:rPr>
            </w:pPr>
          </w:p>
        </w:tc>
        <w:tc>
          <w:tcPr>
            <w:tcW w:w="5748" w:type="dxa"/>
            <w:tcBorders>
              <w:top w:val="single" w:color="auto" w:sz="0" w:space="0"/>
              <w:left w:val="single" w:color="auto" w:sz="0" w:space="0"/>
              <w:bottom w:val="outset" w:color="auto" w:sz="6" w:space="0"/>
              <w:right w:val="outset" w:color="auto" w:sz="6" w:space="0"/>
            </w:tcBorders>
            <w:shd w:val="clear" w:color="auto" w:fill="FFFFFF"/>
            <w:tcMar>
              <w:top w:w="0" w:type="dxa"/>
              <w:left w:w="105" w:type="dxa"/>
              <w:bottom w:w="0" w:type="dxa"/>
              <w:right w:w="105" w:type="dxa"/>
            </w:tcMar>
            <w:vAlign w:val="center"/>
          </w:tcPr>
          <w:p w14:paraId="43048471">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荤、素、水产品分池清洗、并有明显标识。</w:t>
            </w:r>
          </w:p>
        </w:tc>
        <w:tc>
          <w:tcPr>
            <w:tcW w:w="855" w:type="dxa"/>
            <w:tcBorders>
              <w:top w:val="single" w:color="auto" w:sz="0" w:space="0"/>
              <w:left w:val="single" w:color="auto" w:sz="0" w:space="0"/>
              <w:bottom w:val="outset" w:color="auto" w:sz="6" w:space="0"/>
              <w:right w:val="outset" w:color="auto" w:sz="6" w:space="0"/>
            </w:tcBorders>
            <w:shd w:val="clear" w:color="auto" w:fill="FFFFFF"/>
            <w:tcMar>
              <w:top w:w="0" w:type="dxa"/>
              <w:left w:w="105" w:type="dxa"/>
              <w:bottom w:w="0" w:type="dxa"/>
              <w:right w:w="105" w:type="dxa"/>
            </w:tcMar>
            <w:vAlign w:val="center"/>
          </w:tcPr>
          <w:p w14:paraId="7C951B58">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1</w:t>
            </w:r>
          </w:p>
        </w:tc>
        <w:tc>
          <w:tcPr>
            <w:tcW w:w="1135" w:type="dxa"/>
            <w:tcBorders>
              <w:top w:val="single" w:color="auto" w:sz="0" w:space="0"/>
              <w:left w:val="single" w:color="auto" w:sz="0" w:space="0"/>
              <w:bottom w:val="outset" w:color="auto" w:sz="6" w:space="0"/>
              <w:right w:val="outset" w:color="auto" w:sz="6" w:space="0"/>
            </w:tcBorders>
            <w:shd w:val="clear" w:color="auto" w:fill="FFFFFF"/>
            <w:tcMar>
              <w:top w:w="0" w:type="dxa"/>
              <w:left w:w="105" w:type="dxa"/>
              <w:bottom w:w="0" w:type="dxa"/>
              <w:right w:w="105" w:type="dxa"/>
            </w:tcMar>
          </w:tcPr>
          <w:p w14:paraId="34C3AD2E">
            <w:pPr>
              <w:widowControl/>
              <w:spacing w:line="360" w:lineRule="auto"/>
              <w:jc w:val="left"/>
              <w:rPr>
                <w:rFonts w:ascii="宋体" w:hAnsi="宋体" w:cs="宋体"/>
                <w:color w:val="auto"/>
                <w:kern w:val="0"/>
                <w:sz w:val="24"/>
                <w:szCs w:val="24"/>
                <w:highlight w:val="none"/>
              </w:rPr>
            </w:pPr>
          </w:p>
        </w:tc>
      </w:tr>
      <w:tr w14:paraId="4E98489F">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630" w:hRule="atLeast"/>
          <w:jc w:val="center"/>
        </w:trPr>
        <w:tc>
          <w:tcPr>
            <w:tcW w:w="0" w:type="auto"/>
            <w:vMerge w:val="continue"/>
            <w:tcBorders>
              <w:top w:val="single" w:color="auto" w:sz="0" w:space="0"/>
              <w:left w:val="outset" w:color="auto" w:sz="6" w:space="0"/>
              <w:bottom w:val="outset" w:color="auto" w:sz="6" w:space="0"/>
              <w:right w:val="outset" w:color="auto" w:sz="6" w:space="0"/>
            </w:tcBorders>
            <w:shd w:val="clear" w:color="auto" w:fill="auto"/>
            <w:vAlign w:val="center"/>
          </w:tcPr>
          <w:p w14:paraId="7D70EEA2">
            <w:pPr>
              <w:widowControl/>
              <w:spacing w:line="360" w:lineRule="auto"/>
              <w:jc w:val="left"/>
              <w:rPr>
                <w:rFonts w:ascii="宋体" w:hAnsi="宋体" w:cs="宋体"/>
                <w:color w:val="auto"/>
                <w:kern w:val="0"/>
                <w:sz w:val="24"/>
                <w:szCs w:val="24"/>
                <w:highlight w:val="none"/>
              </w:rPr>
            </w:pPr>
          </w:p>
        </w:tc>
        <w:tc>
          <w:tcPr>
            <w:tcW w:w="5748" w:type="dxa"/>
            <w:tcBorders>
              <w:top w:val="single" w:color="auto" w:sz="0" w:space="0"/>
              <w:left w:val="single" w:color="auto" w:sz="0" w:space="0"/>
              <w:bottom w:val="outset" w:color="auto" w:sz="6" w:space="0"/>
              <w:right w:val="outset" w:color="auto" w:sz="6" w:space="0"/>
            </w:tcBorders>
            <w:shd w:val="clear" w:color="auto" w:fill="FFFFFF"/>
            <w:tcMar>
              <w:top w:w="0" w:type="dxa"/>
              <w:left w:w="105" w:type="dxa"/>
              <w:bottom w:w="0" w:type="dxa"/>
              <w:right w:w="105" w:type="dxa"/>
            </w:tcMar>
            <w:vAlign w:val="center"/>
          </w:tcPr>
          <w:p w14:paraId="72D4E858">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不在食堂区域内吸烟、不乱扔烟头</w:t>
            </w:r>
          </w:p>
        </w:tc>
        <w:tc>
          <w:tcPr>
            <w:tcW w:w="855" w:type="dxa"/>
            <w:tcBorders>
              <w:top w:val="single" w:color="auto" w:sz="0" w:space="0"/>
              <w:left w:val="single" w:color="auto" w:sz="0" w:space="0"/>
              <w:bottom w:val="outset" w:color="auto" w:sz="6" w:space="0"/>
              <w:right w:val="outset" w:color="auto" w:sz="6" w:space="0"/>
            </w:tcBorders>
            <w:shd w:val="clear" w:color="auto" w:fill="FFFFFF"/>
            <w:tcMar>
              <w:top w:w="0" w:type="dxa"/>
              <w:left w:w="105" w:type="dxa"/>
              <w:bottom w:w="0" w:type="dxa"/>
              <w:right w:w="105" w:type="dxa"/>
            </w:tcMar>
            <w:vAlign w:val="center"/>
          </w:tcPr>
          <w:p w14:paraId="58CAC90C">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1</w:t>
            </w:r>
          </w:p>
        </w:tc>
        <w:tc>
          <w:tcPr>
            <w:tcW w:w="1135" w:type="dxa"/>
            <w:tcBorders>
              <w:top w:val="single" w:color="auto" w:sz="0" w:space="0"/>
              <w:left w:val="single" w:color="auto" w:sz="0" w:space="0"/>
              <w:bottom w:val="outset" w:color="auto" w:sz="6" w:space="0"/>
              <w:right w:val="outset" w:color="auto" w:sz="6" w:space="0"/>
            </w:tcBorders>
            <w:shd w:val="clear" w:color="auto" w:fill="FFFFFF"/>
            <w:tcMar>
              <w:top w:w="0" w:type="dxa"/>
              <w:left w:w="105" w:type="dxa"/>
              <w:bottom w:w="0" w:type="dxa"/>
              <w:right w:w="105" w:type="dxa"/>
            </w:tcMar>
          </w:tcPr>
          <w:p w14:paraId="140BB318">
            <w:pPr>
              <w:widowControl/>
              <w:spacing w:line="360" w:lineRule="auto"/>
              <w:jc w:val="left"/>
              <w:rPr>
                <w:rFonts w:ascii="宋体" w:hAnsi="宋体" w:cs="宋体"/>
                <w:color w:val="auto"/>
                <w:kern w:val="0"/>
                <w:sz w:val="24"/>
                <w:szCs w:val="24"/>
                <w:highlight w:val="none"/>
              </w:rPr>
            </w:pPr>
          </w:p>
        </w:tc>
      </w:tr>
      <w:tr w14:paraId="46A681D8">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630" w:hRule="atLeast"/>
          <w:jc w:val="center"/>
        </w:trPr>
        <w:tc>
          <w:tcPr>
            <w:tcW w:w="0" w:type="auto"/>
            <w:vMerge w:val="continue"/>
            <w:tcBorders>
              <w:top w:val="single" w:color="auto" w:sz="0" w:space="0"/>
              <w:left w:val="outset" w:color="auto" w:sz="6" w:space="0"/>
              <w:bottom w:val="outset" w:color="auto" w:sz="6" w:space="0"/>
              <w:right w:val="outset" w:color="auto" w:sz="6" w:space="0"/>
            </w:tcBorders>
            <w:shd w:val="clear" w:color="auto" w:fill="auto"/>
            <w:vAlign w:val="center"/>
          </w:tcPr>
          <w:p w14:paraId="39BFB3DF">
            <w:pPr>
              <w:widowControl/>
              <w:spacing w:line="360" w:lineRule="auto"/>
              <w:jc w:val="left"/>
              <w:rPr>
                <w:rFonts w:ascii="宋体" w:hAnsi="宋体" w:cs="宋体"/>
                <w:color w:val="auto"/>
                <w:kern w:val="0"/>
                <w:sz w:val="24"/>
                <w:szCs w:val="24"/>
                <w:highlight w:val="none"/>
              </w:rPr>
            </w:pPr>
          </w:p>
        </w:tc>
        <w:tc>
          <w:tcPr>
            <w:tcW w:w="5748" w:type="dxa"/>
            <w:tcBorders>
              <w:top w:val="single" w:color="auto" w:sz="0" w:space="0"/>
              <w:left w:val="single" w:color="auto" w:sz="0" w:space="0"/>
              <w:bottom w:val="outset" w:color="auto" w:sz="6" w:space="0"/>
              <w:right w:val="outset" w:color="auto" w:sz="6" w:space="0"/>
            </w:tcBorders>
            <w:shd w:val="clear" w:color="auto" w:fill="FFFFFF"/>
            <w:tcMar>
              <w:top w:w="0" w:type="dxa"/>
              <w:left w:w="105" w:type="dxa"/>
              <w:bottom w:w="0" w:type="dxa"/>
              <w:right w:w="105" w:type="dxa"/>
            </w:tcMar>
            <w:vAlign w:val="center"/>
          </w:tcPr>
          <w:p w14:paraId="533FB1D2">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所有员工持《健康证》上岗。</w:t>
            </w:r>
          </w:p>
        </w:tc>
        <w:tc>
          <w:tcPr>
            <w:tcW w:w="855" w:type="dxa"/>
            <w:tcBorders>
              <w:top w:val="single" w:color="auto" w:sz="0" w:space="0"/>
              <w:left w:val="single" w:color="auto" w:sz="0" w:space="0"/>
              <w:bottom w:val="outset" w:color="auto" w:sz="6" w:space="0"/>
              <w:right w:val="outset" w:color="auto" w:sz="6" w:space="0"/>
            </w:tcBorders>
            <w:shd w:val="clear" w:color="auto" w:fill="FFFFFF"/>
            <w:tcMar>
              <w:top w:w="0" w:type="dxa"/>
              <w:left w:w="105" w:type="dxa"/>
              <w:bottom w:w="0" w:type="dxa"/>
              <w:right w:w="105" w:type="dxa"/>
            </w:tcMar>
            <w:vAlign w:val="center"/>
          </w:tcPr>
          <w:p w14:paraId="424CC1E3">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2</w:t>
            </w:r>
          </w:p>
        </w:tc>
        <w:tc>
          <w:tcPr>
            <w:tcW w:w="1135" w:type="dxa"/>
            <w:tcBorders>
              <w:top w:val="single" w:color="auto" w:sz="0" w:space="0"/>
              <w:left w:val="single" w:color="auto" w:sz="0" w:space="0"/>
              <w:bottom w:val="outset" w:color="auto" w:sz="6" w:space="0"/>
              <w:right w:val="outset" w:color="auto" w:sz="6" w:space="0"/>
            </w:tcBorders>
            <w:shd w:val="clear" w:color="auto" w:fill="FFFFFF"/>
            <w:tcMar>
              <w:top w:w="0" w:type="dxa"/>
              <w:left w:w="105" w:type="dxa"/>
              <w:bottom w:w="0" w:type="dxa"/>
              <w:right w:w="105" w:type="dxa"/>
            </w:tcMar>
          </w:tcPr>
          <w:p w14:paraId="495F52D0">
            <w:pPr>
              <w:widowControl/>
              <w:spacing w:line="360" w:lineRule="auto"/>
              <w:jc w:val="left"/>
              <w:rPr>
                <w:rFonts w:ascii="宋体" w:hAnsi="宋体" w:cs="宋体"/>
                <w:color w:val="auto"/>
                <w:kern w:val="0"/>
                <w:sz w:val="24"/>
                <w:szCs w:val="24"/>
                <w:highlight w:val="none"/>
              </w:rPr>
            </w:pPr>
          </w:p>
        </w:tc>
      </w:tr>
      <w:tr w14:paraId="0EC865A9">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630" w:hRule="atLeast"/>
          <w:jc w:val="center"/>
        </w:trPr>
        <w:tc>
          <w:tcPr>
            <w:tcW w:w="0" w:type="auto"/>
            <w:vMerge w:val="continue"/>
            <w:tcBorders>
              <w:top w:val="single" w:color="auto" w:sz="0" w:space="0"/>
              <w:left w:val="outset" w:color="auto" w:sz="6" w:space="0"/>
              <w:bottom w:val="outset" w:color="auto" w:sz="6" w:space="0"/>
              <w:right w:val="outset" w:color="auto" w:sz="6" w:space="0"/>
            </w:tcBorders>
            <w:shd w:val="clear" w:color="auto" w:fill="auto"/>
            <w:vAlign w:val="center"/>
          </w:tcPr>
          <w:p w14:paraId="1FE2C55B">
            <w:pPr>
              <w:widowControl/>
              <w:spacing w:line="360" w:lineRule="auto"/>
              <w:jc w:val="left"/>
              <w:rPr>
                <w:rFonts w:ascii="宋体" w:hAnsi="宋体" w:cs="宋体"/>
                <w:color w:val="auto"/>
                <w:kern w:val="0"/>
                <w:sz w:val="24"/>
                <w:szCs w:val="24"/>
                <w:highlight w:val="none"/>
              </w:rPr>
            </w:pPr>
          </w:p>
        </w:tc>
        <w:tc>
          <w:tcPr>
            <w:tcW w:w="5748" w:type="dxa"/>
            <w:tcBorders>
              <w:top w:val="single" w:color="auto" w:sz="0" w:space="0"/>
              <w:left w:val="single" w:color="auto" w:sz="0" w:space="0"/>
              <w:bottom w:val="outset" w:color="auto" w:sz="6" w:space="0"/>
              <w:right w:val="outset" w:color="auto" w:sz="6" w:space="0"/>
            </w:tcBorders>
            <w:shd w:val="clear" w:color="auto" w:fill="FFFFFF"/>
            <w:tcMar>
              <w:top w:w="0" w:type="dxa"/>
              <w:left w:w="105" w:type="dxa"/>
              <w:bottom w:w="0" w:type="dxa"/>
              <w:right w:w="105" w:type="dxa"/>
            </w:tcMar>
            <w:vAlign w:val="center"/>
          </w:tcPr>
          <w:p w14:paraId="55F02609">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食堂卫生整洁，物品摆放整齐划一。</w:t>
            </w:r>
          </w:p>
        </w:tc>
        <w:tc>
          <w:tcPr>
            <w:tcW w:w="855" w:type="dxa"/>
            <w:tcBorders>
              <w:top w:val="single" w:color="auto" w:sz="0" w:space="0"/>
              <w:left w:val="single" w:color="auto" w:sz="0" w:space="0"/>
              <w:bottom w:val="outset" w:color="auto" w:sz="6" w:space="0"/>
              <w:right w:val="outset" w:color="auto" w:sz="6" w:space="0"/>
            </w:tcBorders>
            <w:shd w:val="clear" w:color="auto" w:fill="FFFFFF"/>
            <w:tcMar>
              <w:top w:w="0" w:type="dxa"/>
              <w:left w:w="105" w:type="dxa"/>
              <w:bottom w:w="0" w:type="dxa"/>
              <w:right w:w="105" w:type="dxa"/>
            </w:tcMar>
            <w:vAlign w:val="center"/>
          </w:tcPr>
          <w:p w14:paraId="4524C11F">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2</w:t>
            </w:r>
          </w:p>
        </w:tc>
        <w:tc>
          <w:tcPr>
            <w:tcW w:w="1135" w:type="dxa"/>
            <w:tcBorders>
              <w:top w:val="single" w:color="auto" w:sz="0" w:space="0"/>
              <w:left w:val="single" w:color="auto" w:sz="0" w:space="0"/>
              <w:bottom w:val="outset" w:color="auto" w:sz="6" w:space="0"/>
              <w:right w:val="outset" w:color="auto" w:sz="6" w:space="0"/>
            </w:tcBorders>
            <w:shd w:val="clear" w:color="auto" w:fill="FFFFFF"/>
            <w:tcMar>
              <w:top w:w="0" w:type="dxa"/>
              <w:left w:w="105" w:type="dxa"/>
              <w:bottom w:w="0" w:type="dxa"/>
              <w:right w:w="105" w:type="dxa"/>
            </w:tcMar>
          </w:tcPr>
          <w:p w14:paraId="217F6C94">
            <w:pPr>
              <w:widowControl/>
              <w:spacing w:line="360" w:lineRule="auto"/>
              <w:jc w:val="left"/>
              <w:rPr>
                <w:rFonts w:ascii="宋体" w:hAnsi="宋体" w:cs="宋体"/>
                <w:color w:val="auto"/>
                <w:kern w:val="0"/>
                <w:sz w:val="24"/>
                <w:szCs w:val="24"/>
                <w:highlight w:val="none"/>
              </w:rPr>
            </w:pPr>
          </w:p>
        </w:tc>
      </w:tr>
      <w:tr w14:paraId="2D087BA6">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630" w:hRule="atLeast"/>
          <w:jc w:val="center"/>
        </w:trPr>
        <w:tc>
          <w:tcPr>
            <w:tcW w:w="0" w:type="auto"/>
            <w:vMerge w:val="continue"/>
            <w:tcBorders>
              <w:top w:val="single" w:color="auto" w:sz="0" w:space="0"/>
              <w:left w:val="outset" w:color="auto" w:sz="6" w:space="0"/>
              <w:bottom w:val="outset" w:color="auto" w:sz="6" w:space="0"/>
              <w:right w:val="outset" w:color="auto" w:sz="6" w:space="0"/>
            </w:tcBorders>
            <w:shd w:val="clear" w:color="auto" w:fill="auto"/>
            <w:vAlign w:val="center"/>
          </w:tcPr>
          <w:p w14:paraId="26B72BA2">
            <w:pPr>
              <w:widowControl/>
              <w:spacing w:line="360" w:lineRule="auto"/>
              <w:jc w:val="left"/>
              <w:rPr>
                <w:rFonts w:ascii="宋体" w:hAnsi="宋体" w:cs="宋体"/>
                <w:color w:val="auto"/>
                <w:kern w:val="0"/>
                <w:sz w:val="24"/>
                <w:szCs w:val="24"/>
                <w:highlight w:val="none"/>
              </w:rPr>
            </w:pPr>
          </w:p>
        </w:tc>
        <w:tc>
          <w:tcPr>
            <w:tcW w:w="5748" w:type="dxa"/>
            <w:tcBorders>
              <w:top w:val="single" w:color="auto" w:sz="0" w:space="0"/>
              <w:left w:val="single" w:color="auto" w:sz="0" w:space="0"/>
              <w:bottom w:val="outset" w:color="auto" w:sz="6" w:space="0"/>
              <w:right w:val="outset" w:color="auto" w:sz="6" w:space="0"/>
            </w:tcBorders>
            <w:shd w:val="clear" w:color="auto" w:fill="FFFFFF"/>
            <w:tcMar>
              <w:top w:w="0" w:type="dxa"/>
              <w:left w:w="105" w:type="dxa"/>
              <w:bottom w:w="0" w:type="dxa"/>
              <w:right w:w="105" w:type="dxa"/>
            </w:tcMar>
            <w:vAlign w:val="center"/>
          </w:tcPr>
          <w:p w14:paraId="64E327E9">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冰箱定期清洗、除臭，并记录</w:t>
            </w:r>
          </w:p>
          <w:p w14:paraId="7CC362FF">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（提供前一个月记录）</w:t>
            </w:r>
          </w:p>
        </w:tc>
        <w:tc>
          <w:tcPr>
            <w:tcW w:w="855" w:type="dxa"/>
            <w:tcBorders>
              <w:top w:val="single" w:color="auto" w:sz="0" w:space="0"/>
              <w:left w:val="single" w:color="auto" w:sz="0" w:space="0"/>
              <w:bottom w:val="outset" w:color="auto" w:sz="6" w:space="0"/>
              <w:right w:val="outset" w:color="auto" w:sz="6" w:space="0"/>
            </w:tcBorders>
            <w:shd w:val="clear" w:color="auto" w:fill="FFFFFF"/>
            <w:tcMar>
              <w:top w:w="0" w:type="dxa"/>
              <w:left w:w="105" w:type="dxa"/>
              <w:bottom w:w="0" w:type="dxa"/>
              <w:right w:w="105" w:type="dxa"/>
            </w:tcMar>
            <w:vAlign w:val="center"/>
          </w:tcPr>
          <w:p w14:paraId="6F782F1D">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2</w:t>
            </w:r>
          </w:p>
        </w:tc>
        <w:tc>
          <w:tcPr>
            <w:tcW w:w="1135" w:type="dxa"/>
            <w:tcBorders>
              <w:top w:val="single" w:color="auto" w:sz="0" w:space="0"/>
              <w:left w:val="single" w:color="auto" w:sz="0" w:space="0"/>
              <w:bottom w:val="outset" w:color="auto" w:sz="6" w:space="0"/>
              <w:right w:val="outset" w:color="auto" w:sz="6" w:space="0"/>
            </w:tcBorders>
            <w:shd w:val="clear" w:color="auto" w:fill="FFFFFF"/>
            <w:tcMar>
              <w:top w:w="0" w:type="dxa"/>
              <w:left w:w="105" w:type="dxa"/>
              <w:bottom w:w="0" w:type="dxa"/>
              <w:right w:w="105" w:type="dxa"/>
            </w:tcMar>
          </w:tcPr>
          <w:p w14:paraId="52C21047">
            <w:pPr>
              <w:widowControl/>
              <w:spacing w:line="360" w:lineRule="auto"/>
              <w:jc w:val="left"/>
              <w:rPr>
                <w:rFonts w:ascii="宋体" w:hAnsi="宋体" w:cs="宋体"/>
                <w:color w:val="auto"/>
                <w:kern w:val="0"/>
                <w:sz w:val="24"/>
                <w:szCs w:val="24"/>
                <w:highlight w:val="none"/>
              </w:rPr>
            </w:pPr>
          </w:p>
        </w:tc>
      </w:tr>
      <w:tr w14:paraId="20BFCCE8">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jc w:val="center"/>
        </w:trPr>
        <w:tc>
          <w:tcPr>
            <w:tcW w:w="765" w:type="dxa"/>
            <w:vMerge w:val="restart"/>
            <w:tcBorders>
              <w:top w:val="single" w:color="auto" w:sz="0" w:space="0"/>
              <w:left w:val="outset" w:color="auto" w:sz="6" w:space="0"/>
              <w:bottom w:val="outset" w:color="auto" w:sz="6" w:space="0"/>
              <w:right w:val="outset" w:color="auto" w:sz="6" w:space="0"/>
            </w:tcBorders>
            <w:shd w:val="clear" w:color="auto" w:fill="FFFFFF"/>
            <w:tcMar>
              <w:top w:w="0" w:type="dxa"/>
              <w:left w:w="105" w:type="dxa"/>
              <w:bottom w:w="0" w:type="dxa"/>
              <w:right w:w="105" w:type="dxa"/>
            </w:tcMar>
            <w:vAlign w:val="center"/>
          </w:tcPr>
          <w:p w14:paraId="01110B8C">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制度上墙</w:t>
            </w:r>
          </w:p>
        </w:tc>
        <w:tc>
          <w:tcPr>
            <w:tcW w:w="5748" w:type="dxa"/>
            <w:tcBorders>
              <w:top w:val="single" w:color="auto" w:sz="0" w:space="0"/>
              <w:left w:val="single" w:color="auto" w:sz="0" w:space="0"/>
              <w:bottom w:val="outset" w:color="auto" w:sz="6" w:space="0"/>
              <w:right w:val="outset" w:color="auto" w:sz="6" w:space="0"/>
            </w:tcBorders>
            <w:shd w:val="clear" w:color="auto" w:fill="FFFFFF"/>
            <w:tcMar>
              <w:top w:w="0" w:type="dxa"/>
              <w:left w:w="105" w:type="dxa"/>
              <w:bottom w:w="0" w:type="dxa"/>
              <w:right w:w="105" w:type="dxa"/>
            </w:tcMar>
            <w:vAlign w:val="center"/>
          </w:tcPr>
          <w:p w14:paraId="1162418F">
            <w:pPr>
              <w:widowControl/>
              <w:spacing w:after="150"/>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食堂总体管理制度、各区域卫生管理制度上墙</w:t>
            </w:r>
          </w:p>
        </w:tc>
        <w:tc>
          <w:tcPr>
            <w:tcW w:w="855" w:type="dxa"/>
            <w:tcBorders>
              <w:top w:val="single" w:color="auto" w:sz="0" w:space="0"/>
              <w:left w:val="single" w:color="auto" w:sz="0" w:space="0"/>
              <w:bottom w:val="outset" w:color="auto" w:sz="6" w:space="0"/>
              <w:right w:val="outset" w:color="auto" w:sz="6" w:space="0"/>
            </w:tcBorders>
            <w:shd w:val="clear" w:color="auto" w:fill="FFFFFF"/>
            <w:tcMar>
              <w:top w:w="0" w:type="dxa"/>
              <w:left w:w="105" w:type="dxa"/>
              <w:bottom w:w="0" w:type="dxa"/>
              <w:right w:w="105" w:type="dxa"/>
            </w:tcMar>
            <w:vAlign w:val="center"/>
          </w:tcPr>
          <w:p w14:paraId="6237279D">
            <w:pPr>
              <w:widowControl/>
              <w:spacing w:before="100" w:beforeAutospacing="1" w:after="100" w:afterAutospacing="1"/>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2</w:t>
            </w:r>
          </w:p>
        </w:tc>
        <w:tc>
          <w:tcPr>
            <w:tcW w:w="1135" w:type="dxa"/>
            <w:tcBorders>
              <w:top w:val="single" w:color="auto" w:sz="0" w:space="0"/>
              <w:left w:val="single" w:color="auto" w:sz="0" w:space="0"/>
              <w:bottom w:val="outset" w:color="auto" w:sz="6" w:space="0"/>
              <w:right w:val="outset" w:color="auto" w:sz="6" w:space="0"/>
            </w:tcBorders>
            <w:shd w:val="clear" w:color="auto" w:fill="FFFFFF"/>
            <w:tcMar>
              <w:top w:w="0" w:type="dxa"/>
              <w:left w:w="105" w:type="dxa"/>
              <w:bottom w:w="0" w:type="dxa"/>
              <w:right w:w="105" w:type="dxa"/>
            </w:tcMar>
          </w:tcPr>
          <w:p w14:paraId="23DBDC17">
            <w:pPr>
              <w:widowControl/>
              <w:spacing w:line="360" w:lineRule="auto"/>
              <w:jc w:val="left"/>
              <w:rPr>
                <w:rFonts w:ascii="宋体" w:hAnsi="宋体" w:cs="宋体"/>
                <w:color w:val="auto"/>
                <w:kern w:val="0"/>
                <w:sz w:val="24"/>
                <w:szCs w:val="24"/>
                <w:highlight w:val="none"/>
              </w:rPr>
            </w:pPr>
          </w:p>
        </w:tc>
      </w:tr>
      <w:tr w14:paraId="2D9FB4A5">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90" w:hRule="atLeast"/>
          <w:jc w:val="center"/>
        </w:trPr>
        <w:tc>
          <w:tcPr>
            <w:tcW w:w="0" w:type="auto"/>
            <w:vMerge w:val="continue"/>
            <w:tcBorders>
              <w:top w:val="single" w:color="auto" w:sz="0" w:space="0"/>
              <w:left w:val="outset" w:color="auto" w:sz="6" w:space="0"/>
              <w:bottom w:val="outset" w:color="auto" w:sz="6" w:space="0"/>
              <w:right w:val="outset" w:color="auto" w:sz="6" w:space="0"/>
            </w:tcBorders>
            <w:shd w:val="clear" w:color="auto" w:fill="auto"/>
            <w:vAlign w:val="center"/>
          </w:tcPr>
          <w:p w14:paraId="064BCC26">
            <w:pPr>
              <w:widowControl/>
              <w:spacing w:line="360" w:lineRule="auto"/>
              <w:jc w:val="left"/>
              <w:rPr>
                <w:rFonts w:ascii="宋体" w:hAnsi="宋体" w:cs="宋体"/>
                <w:color w:val="auto"/>
                <w:kern w:val="0"/>
                <w:sz w:val="24"/>
                <w:szCs w:val="24"/>
                <w:highlight w:val="none"/>
              </w:rPr>
            </w:pPr>
          </w:p>
        </w:tc>
        <w:tc>
          <w:tcPr>
            <w:tcW w:w="5748" w:type="dxa"/>
            <w:tcBorders>
              <w:top w:val="single" w:color="auto" w:sz="0" w:space="0"/>
              <w:left w:val="single" w:color="auto" w:sz="0" w:space="0"/>
              <w:bottom w:val="outset" w:color="auto" w:sz="6" w:space="0"/>
              <w:right w:val="outset" w:color="auto" w:sz="6" w:space="0"/>
            </w:tcBorders>
            <w:shd w:val="clear" w:color="auto" w:fill="FFFFFF"/>
            <w:tcMar>
              <w:top w:w="0" w:type="dxa"/>
              <w:left w:w="105" w:type="dxa"/>
              <w:bottom w:w="0" w:type="dxa"/>
              <w:right w:w="105" w:type="dxa"/>
            </w:tcMar>
            <w:vAlign w:val="center"/>
          </w:tcPr>
          <w:p w14:paraId="125E831B">
            <w:pPr>
              <w:widowControl/>
              <w:spacing w:after="150"/>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各岗位人员职责及人员照片上墙</w:t>
            </w:r>
          </w:p>
          <w:p w14:paraId="6BEA6737">
            <w:pPr>
              <w:widowControl/>
              <w:spacing w:after="150"/>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（至少应包括切配、炒锅、前厅服务、经理等）</w:t>
            </w:r>
          </w:p>
        </w:tc>
        <w:tc>
          <w:tcPr>
            <w:tcW w:w="855" w:type="dxa"/>
            <w:tcBorders>
              <w:top w:val="single" w:color="auto" w:sz="0" w:space="0"/>
              <w:left w:val="single" w:color="auto" w:sz="0" w:space="0"/>
              <w:bottom w:val="outset" w:color="auto" w:sz="6" w:space="0"/>
              <w:right w:val="outset" w:color="auto" w:sz="6" w:space="0"/>
            </w:tcBorders>
            <w:shd w:val="clear" w:color="auto" w:fill="FFFFFF"/>
            <w:tcMar>
              <w:top w:w="0" w:type="dxa"/>
              <w:left w:w="105" w:type="dxa"/>
              <w:bottom w:w="0" w:type="dxa"/>
              <w:right w:w="105" w:type="dxa"/>
            </w:tcMar>
            <w:vAlign w:val="center"/>
          </w:tcPr>
          <w:p w14:paraId="6824A757">
            <w:pPr>
              <w:widowControl/>
              <w:spacing w:before="100" w:beforeAutospacing="1" w:after="100" w:afterAutospacing="1"/>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2</w:t>
            </w:r>
          </w:p>
        </w:tc>
        <w:tc>
          <w:tcPr>
            <w:tcW w:w="1135" w:type="dxa"/>
            <w:tcBorders>
              <w:top w:val="single" w:color="auto" w:sz="0" w:space="0"/>
              <w:left w:val="single" w:color="auto" w:sz="0" w:space="0"/>
              <w:bottom w:val="outset" w:color="auto" w:sz="6" w:space="0"/>
              <w:right w:val="outset" w:color="auto" w:sz="6" w:space="0"/>
            </w:tcBorders>
            <w:shd w:val="clear" w:color="auto" w:fill="FFFFFF"/>
            <w:tcMar>
              <w:top w:w="0" w:type="dxa"/>
              <w:left w:w="105" w:type="dxa"/>
              <w:bottom w:w="0" w:type="dxa"/>
              <w:right w:w="105" w:type="dxa"/>
            </w:tcMar>
          </w:tcPr>
          <w:p w14:paraId="4F8A1AF3">
            <w:pPr>
              <w:widowControl/>
              <w:spacing w:line="360" w:lineRule="auto"/>
              <w:jc w:val="left"/>
              <w:rPr>
                <w:rFonts w:ascii="宋体" w:hAnsi="宋体" w:cs="宋体"/>
                <w:color w:val="auto"/>
                <w:kern w:val="0"/>
                <w:sz w:val="24"/>
                <w:szCs w:val="24"/>
                <w:highlight w:val="none"/>
              </w:rPr>
            </w:pPr>
          </w:p>
        </w:tc>
      </w:tr>
      <w:tr w14:paraId="1A6C7DA4">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jc w:val="center"/>
        </w:trPr>
        <w:tc>
          <w:tcPr>
            <w:tcW w:w="0" w:type="auto"/>
            <w:vMerge w:val="continue"/>
            <w:tcBorders>
              <w:top w:val="single" w:color="auto" w:sz="0" w:space="0"/>
              <w:left w:val="outset" w:color="auto" w:sz="6" w:space="0"/>
              <w:bottom w:val="outset" w:color="auto" w:sz="6" w:space="0"/>
              <w:right w:val="outset" w:color="auto" w:sz="6" w:space="0"/>
            </w:tcBorders>
            <w:shd w:val="clear" w:color="auto" w:fill="auto"/>
            <w:vAlign w:val="center"/>
          </w:tcPr>
          <w:p w14:paraId="7E709CDC">
            <w:pPr>
              <w:widowControl/>
              <w:spacing w:line="360" w:lineRule="auto"/>
              <w:jc w:val="left"/>
              <w:rPr>
                <w:rFonts w:ascii="宋体" w:hAnsi="宋体" w:cs="宋体"/>
                <w:color w:val="auto"/>
                <w:kern w:val="0"/>
                <w:sz w:val="24"/>
                <w:szCs w:val="24"/>
                <w:highlight w:val="none"/>
              </w:rPr>
            </w:pPr>
          </w:p>
        </w:tc>
        <w:tc>
          <w:tcPr>
            <w:tcW w:w="5748" w:type="dxa"/>
            <w:tcBorders>
              <w:top w:val="single" w:color="auto" w:sz="0" w:space="0"/>
              <w:left w:val="single" w:color="auto" w:sz="0" w:space="0"/>
              <w:bottom w:val="outset" w:color="auto" w:sz="6" w:space="0"/>
              <w:right w:val="outset" w:color="auto" w:sz="6" w:space="0"/>
            </w:tcBorders>
            <w:shd w:val="clear" w:color="auto" w:fill="FFFFFF"/>
            <w:tcMar>
              <w:top w:w="0" w:type="dxa"/>
              <w:left w:w="105" w:type="dxa"/>
              <w:bottom w:w="0" w:type="dxa"/>
              <w:right w:w="105" w:type="dxa"/>
            </w:tcMar>
            <w:vAlign w:val="center"/>
          </w:tcPr>
          <w:p w14:paraId="6EEE6FB5">
            <w:pPr>
              <w:widowControl/>
              <w:spacing w:after="150"/>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各岗位的操作流程及操作规范上墙</w:t>
            </w:r>
          </w:p>
          <w:p w14:paraId="7CBF6E45">
            <w:pPr>
              <w:widowControl/>
              <w:spacing w:after="150"/>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（至少应包括切配、炒锅、服务人员等）</w:t>
            </w:r>
          </w:p>
        </w:tc>
        <w:tc>
          <w:tcPr>
            <w:tcW w:w="855" w:type="dxa"/>
            <w:tcBorders>
              <w:top w:val="single" w:color="auto" w:sz="0" w:space="0"/>
              <w:left w:val="single" w:color="auto" w:sz="0" w:space="0"/>
              <w:bottom w:val="outset" w:color="auto" w:sz="6" w:space="0"/>
              <w:right w:val="outset" w:color="auto" w:sz="6" w:space="0"/>
            </w:tcBorders>
            <w:shd w:val="clear" w:color="auto" w:fill="FFFFFF"/>
            <w:tcMar>
              <w:top w:w="0" w:type="dxa"/>
              <w:left w:w="105" w:type="dxa"/>
              <w:bottom w:w="0" w:type="dxa"/>
              <w:right w:w="105" w:type="dxa"/>
            </w:tcMar>
            <w:vAlign w:val="center"/>
          </w:tcPr>
          <w:p w14:paraId="2CA9C69A">
            <w:pPr>
              <w:widowControl/>
              <w:spacing w:before="100" w:beforeAutospacing="1" w:after="100" w:afterAutospacing="1"/>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2</w:t>
            </w:r>
          </w:p>
        </w:tc>
        <w:tc>
          <w:tcPr>
            <w:tcW w:w="1135" w:type="dxa"/>
            <w:tcBorders>
              <w:top w:val="single" w:color="auto" w:sz="0" w:space="0"/>
              <w:left w:val="single" w:color="auto" w:sz="0" w:space="0"/>
              <w:bottom w:val="outset" w:color="auto" w:sz="6" w:space="0"/>
              <w:right w:val="outset" w:color="auto" w:sz="6" w:space="0"/>
            </w:tcBorders>
            <w:shd w:val="clear" w:color="auto" w:fill="FFFFFF"/>
            <w:tcMar>
              <w:top w:w="0" w:type="dxa"/>
              <w:left w:w="105" w:type="dxa"/>
              <w:bottom w:w="0" w:type="dxa"/>
              <w:right w:w="105" w:type="dxa"/>
            </w:tcMar>
          </w:tcPr>
          <w:p w14:paraId="35C7D8F7">
            <w:pPr>
              <w:widowControl/>
              <w:spacing w:line="360" w:lineRule="auto"/>
              <w:jc w:val="left"/>
              <w:rPr>
                <w:rFonts w:ascii="宋体" w:hAnsi="宋体" w:cs="宋体"/>
                <w:color w:val="auto"/>
                <w:kern w:val="0"/>
                <w:sz w:val="24"/>
                <w:szCs w:val="24"/>
                <w:highlight w:val="none"/>
              </w:rPr>
            </w:pPr>
          </w:p>
        </w:tc>
      </w:tr>
      <w:tr w14:paraId="56229C4A">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390" w:hRule="atLeast"/>
          <w:jc w:val="center"/>
        </w:trPr>
        <w:tc>
          <w:tcPr>
            <w:tcW w:w="765" w:type="dxa"/>
            <w:vMerge w:val="restart"/>
            <w:tcBorders>
              <w:top w:val="single" w:color="auto" w:sz="0" w:space="0"/>
              <w:left w:val="outset" w:color="auto" w:sz="6" w:space="0"/>
              <w:bottom w:val="outset" w:color="auto" w:sz="6" w:space="0"/>
              <w:right w:val="outset" w:color="auto" w:sz="6" w:space="0"/>
            </w:tcBorders>
            <w:shd w:val="clear" w:color="auto" w:fill="FFFFFF"/>
            <w:tcMar>
              <w:top w:w="0" w:type="dxa"/>
              <w:left w:w="105" w:type="dxa"/>
              <w:bottom w:w="0" w:type="dxa"/>
              <w:right w:w="105" w:type="dxa"/>
            </w:tcMar>
            <w:vAlign w:val="center"/>
          </w:tcPr>
          <w:p w14:paraId="3920757E">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日常管理</w:t>
            </w:r>
          </w:p>
        </w:tc>
        <w:tc>
          <w:tcPr>
            <w:tcW w:w="5748" w:type="dxa"/>
            <w:tcBorders>
              <w:top w:val="single" w:color="auto" w:sz="0" w:space="0"/>
              <w:left w:val="single" w:color="auto" w:sz="0" w:space="0"/>
              <w:bottom w:val="outset" w:color="auto" w:sz="6" w:space="0"/>
              <w:right w:val="outset" w:color="auto" w:sz="6" w:space="0"/>
            </w:tcBorders>
            <w:shd w:val="clear" w:color="auto" w:fill="FFFFFF"/>
            <w:tcMar>
              <w:top w:w="0" w:type="dxa"/>
              <w:left w:w="105" w:type="dxa"/>
              <w:bottom w:w="0" w:type="dxa"/>
              <w:right w:w="105" w:type="dxa"/>
            </w:tcMar>
            <w:vAlign w:val="center"/>
          </w:tcPr>
          <w:p w14:paraId="76954028">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有每周菜谱</w:t>
            </w:r>
          </w:p>
          <w:p w14:paraId="1E823F89">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（提供前一个月记录）</w:t>
            </w:r>
          </w:p>
        </w:tc>
        <w:tc>
          <w:tcPr>
            <w:tcW w:w="855" w:type="dxa"/>
            <w:tcBorders>
              <w:top w:val="single" w:color="auto" w:sz="0" w:space="0"/>
              <w:left w:val="single" w:color="auto" w:sz="0" w:space="0"/>
              <w:bottom w:val="outset" w:color="auto" w:sz="6" w:space="0"/>
              <w:right w:val="outset" w:color="auto" w:sz="6" w:space="0"/>
            </w:tcBorders>
            <w:shd w:val="clear" w:color="auto" w:fill="FFFFFF"/>
            <w:tcMar>
              <w:top w:w="0" w:type="dxa"/>
              <w:left w:w="105" w:type="dxa"/>
              <w:bottom w:w="0" w:type="dxa"/>
              <w:right w:w="105" w:type="dxa"/>
            </w:tcMar>
            <w:vAlign w:val="center"/>
          </w:tcPr>
          <w:p w14:paraId="2A071378">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2</w:t>
            </w:r>
          </w:p>
        </w:tc>
        <w:tc>
          <w:tcPr>
            <w:tcW w:w="1135" w:type="dxa"/>
            <w:tcBorders>
              <w:top w:val="single" w:color="auto" w:sz="0" w:space="0"/>
              <w:left w:val="single" w:color="auto" w:sz="0" w:space="0"/>
              <w:bottom w:val="outset" w:color="auto" w:sz="6" w:space="0"/>
              <w:right w:val="outset" w:color="auto" w:sz="6" w:space="0"/>
            </w:tcBorders>
            <w:shd w:val="clear" w:color="auto" w:fill="FFFFFF"/>
            <w:tcMar>
              <w:top w:w="0" w:type="dxa"/>
              <w:left w:w="105" w:type="dxa"/>
              <w:bottom w:w="0" w:type="dxa"/>
              <w:right w:w="105" w:type="dxa"/>
            </w:tcMar>
          </w:tcPr>
          <w:p w14:paraId="2A9E4342">
            <w:pPr>
              <w:widowControl/>
              <w:spacing w:line="360" w:lineRule="auto"/>
              <w:jc w:val="left"/>
              <w:rPr>
                <w:rFonts w:ascii="宋体" w:hAnsi="宋体" w:cs="宋体"/>
                <w:color w:val="auto"/>
                <w:kern w:val="0"/>
                <w:sz w:val="24"/>
                <w:szCs w:val="24"/>
                <w:highlight w:val="none"/>
              </w:rPr>
            </w:pPr>
          </w:p>
        </w:tc>
      </w:tr>
      <w:tr w14:paraId="373899AA">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360" w:hRule="atLeast"/>
          <w:jc w:val="center"/>
        </w:trPr>
        <w:tc>
          <w:tcPr>
            <w:tcW w:w="0" w:type="auto"/>
            <w:vMerge w:val="continue"/>
            <w:tcBorders>
              <w:top w:val="single" w:color="auto" w:sz="0" w:space="0"/>
              <w:left w:val="outset" w:color="auto" w:sz="6" w:space="0"/>
              <w:bottom w:val="outset" w:color="auto" w:sz="6" w:space="0"/>
              <w:right w:val="outset" w:color="auto" w:sz="6" w:space="0"/>
            </w:tcBorders>
            <w:shd w:val="clear" w:color="auto" w:fill="auto"/>
            <w:vAlign w:val="center"/>
          </w:tcPr>
          <w:p w14:paraId="4026FD0A">
            <w:pPr>
              <w:widowControl/>
              <w:spacing w:line="360" w:lineRule="auto"/>
              <w:jc w:val="left"/>
              <w:rPr>
                <w:rFonts w:ascii="宋体" w:hAnsi="宋体" w:cs="宋体"/>
                <w:color w:val="auto"/>
                <w:kern w:val="0"/>
                <w:sz w:val="24"/>
                <w:szCs w:val="24"/>
                <w:highlight w:val="none"/>
              </w:rPr>
            </w:pPr>
          </w:p>
        </w:tc>
        <w:tc>
          <w:tcPr>
            <w:tcW w:w="5748" w:type="dxa"/>
            <w:tcBorders>
              <w:top w:val="single" w:color="auto" w:sz="0" w:space="0"/>
              <w:left w:val="single" w:color="auto" w:sz="0" w:space="0"/>
              <w:bottom w:val="outset" w:color="auto" w:sz="6" w:space="0"/>
              <w:right w:val="outset" w:color="auto" w:sz="6" w:space="0"/>
            </w:tcBorders>
            <w:shd w:val="clear" w:color="auto" w:fill="FFFFFF"/>
            <w:tcMar>
              <w:top w:w="0" w:type="dxa"/>
              <w:left w:w="105" w:type="dxa"/>
              <w:bottom w:w="0" w:type="dxa"/>
              <w:right w:w="105" w:type="dxa"/>
            </w:tcMar>
            <w:vAlign w:val="center"/>
          </w:tcPr>
          <w:p w14:paraId="0C5C2999">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食品有留样，并有记录（提供前一个月记录）</w:t>
            </w:r>
          </w:p>
        </w:tc>
        <w:tc>
          <w:tcPr>
            <w:tcW w:w="855" w:type="dxa"/>
            <w:tcBorders>
              <w:top w:val="single" w:color="auto" w:sz="0" w:space="0"/>
              <w:left w:val="single" w:color="auto" w:sz="0" w:space="0"/>
              <w:bottom w:val="outset" w:color="auto" w:sz="6" w:space="0"/>
              <w:right w:val="outset" w:color="auto" w:sz="6" w:space="0"/>
            </w:tcBorders>
            <w:shd w:val="clear" w:color="auto" w:fill="FFFFFF"/>
            <w:tcMar>
              <w:top w:w="0" w:type="dxa"/>
              <w:left w:w="105" w:type="dxa"/>
              <w:bottom w:w="0" w:type="dxa"/>
              <w:right w:w="105" w:type="dxa"/>
            </w:tcMar>
            <w:vAlign w:val="center"/>
          </w:tcPr>
          <w:p w14:paraId="4FBD3E7D">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2</w:t>
            </w:r>
          </w:p>
        </w:tc>
        <w:tc>
          <w:tcPr>
            <w:tcW w:w="1135" w:type="dxa"/>
            <w:tcBorders>
              <w:top w:val="single" w:color="auto" w:sz="0" w:space="0"/>
              <w:left w:val="single" w:color="auto" w:sz="0" w:space="0"/>
              <w:bottom w:val="outset" w:color="auto" w:sz="6" w:space="0"/>
              <w:right w:val="outset" w:color="auto" w:sz="6" w:space="0"/>
            </w:tcBorders>
            <w:shd w:val="clear" w:color="auto" w:fill="FFFFFF"/>
            <w:tcMar>
              <w:top w:w="0" w:type="dxa"/>
              <w:left w:w="105" w:type="dxa"/>
              <w:bottom w:w="0" w:type="dxa"/>
              <w:right w:w="105" w:type="dxa"/>
            </w:tcMar>
          </w:tcPr>
          <w:p w14:paraId="275095BC">
            <w:pPr>
              <w:widowControl/>
              <w:spacing w:line="360" w:lineRule="auto"/>
              <w:jc w:val="left"/>
              <w:rPr>
                <w:rFonts w:ascii="宋体" w:hAnsi="宋体" w:cs="宋体"/>
                <w:color w:val="auto"/>
                <w:kern w:val="0"/>
                <w:sz w:val="24"/>
                <w:szCs w:val="24"/>
                <w:highlight w:val="none"/>
              </w:rPr>
            </w:pPr>
          </w:p>
        </w:tc>
      </w:tr>
      <w:tr w14:paraId="73CC333B">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495" w:hRule="atLeast"/>
          <w:jc w:val="center"/>
        </w:trPr>
        <w:tc>
          <w:tcPr>
            <w:tcW w:w="0" w:type="auto"/>
            <w:vMerge w:val="continue"/>
            <w:tcBorders>
              <w:top w:val="single" w:color="auto" w:sz="0" w:space="0"/>
              <w:left w:val="outset" w:color="auto" w:sz="6" w:space="0"/>
              <w:bottom w:val="outset" w:color="auto" w:sz="6" w:space="0"/>
              <w:right w:val="outset" w:color="auto" w:sz="6" w:space="0"/>
            </w:tcBorders>
            <w:shd w:val="clear" w:color="auto" w:fill="auto"/>
            <w:vAlign w:val="center"/>
          </w:tcPr>
          <w:p w14:paraId="78EDFCA2">
            <w:pPr>
              <w:widowControl/>
              <w:spacing w:line="360" w:lineRule="auto"/>
              <w:jc w:val="left"/>
              <w:rPr>
                <w:rFonts w:ascii="宋体" w:hAnsi="宋体" w:cs="宋体"/>
                <w:color w:val="auto"/>
                <w:kern w:val="0"/>
                <w:sz w:val="24"/>
                <w:szCs w:val="24"/>
                <w:highlight w:val="none"/>
              </w:rPr>
            </w:pPr>
          </w:p>
        </w:tc>
        <w:tc>
          <w:tcPr>
            <w:tcW w:w="5748" w:type="dxa"/>
            <w:tcBorders>
              <w:top w:val="single" w:color="auto" w:sz="0" w:space="0"/>
              <w:left w:val="single" w:color="auto" w:sz="0" w:space="0"/>
              <w:bottom w:val="outset" w:color="auto" w:sz="6" w:space="0"/>
              <w:right w:val="outset" w:color="auto" w:sz="6" w:space="0"/>
            </w:tcBorders>
            <w:shd w:val="clear" w:color="auto" w:fill="FFFFFF"/>
            <w:tcMar>
              <w:top w:w="0" w:type="dxa"/>
              <w:left w:w="105" w:type="dxa"/>
              <w:bottom w:w="0" w:type="dxa"/>
              <w:right w:w="105" w:type="dxa"/>
            </w:tcMar>
            <w:vAlign w:val="center"/>
          </w:tcPr>
          <w:p w14:paraId="6ECCBDC5">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餐具有消毒并有记录（提供前一个月记录）</w:t>
            </w:r>
          </w:p>
        </w:tc>
        <w:tc>
          <w:tcPr>
            <w:tcW w:w="855" w:type="dxa"/>
            <w:tcBorders>
              <w:top w:val="single" w:color="auto" w:sz="0" w:space="0"/>
              <w:left w:val="single" w:color="auto" w:sz="0" w:space="0"/>
              <w:bottom w:val="outset" w:color="auto" w:sz="6" w:space="0"/>
              <w:right w:val="outset" w:color="auto" w:sz="6" w:space="0"/>
            </w:tcBorders>
            <w:shd w:val="clear" w:color="auto" w:fill="FFFFFF"/>
            <w:tcMar>
              <w:top w:w="0" w:type="dxa"/>
              <w:left w:w="105" w:type="dxa"/>
              <w:bottom w:w="0" w:type="dxa"/>
              <w:right w:w="105" w:type="dxa"/>
            </w:tcMar>
            <w:vAlign w:val="center"/>
          </w:tcPr>
          <w:p w14:paraId="4F53FBD9">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2</w:t>
            </w:r>
          </w:p>
        </w:tc>
        <w:tc>
          <w:tcPr>
            <w:tcW w:w="1135" w:type="dxa"/>
            <w:tcBorders>
              <w:top w:val="single" w:color="auto" w:sz="0" w:space="0"/>
              <w:left w:val="single" w:color="auto" w:sz="0" w:space="0"/>
              <w:bottom w:val="outset" w:color="auto" w:sz="6" w:space="0"/>
              <w:right w:val="outset" w:color="auto" w:sz="6" w:space="0"/>
            </w:tcBorders>
            <w:shd w:val="clear" w:color="auto" w:fill="FFFFFF"/>
            <w:tcMar>
              <w:top w:w="0" w:type="dxa"/>
              <w:left w:w="105" w:type="dxa"/>
              <w:bottom w:w="0" w:type="dxa"/>
              <w:right w:w="105" w:type="dxa"/>
            </w:tcMar>
          </w:tcPr>
          <w:p w14:paraId="73CD1B65">
            <w:pPr>
              <w:widowControl/>
              <w:spacing w:line="360" w:lineRule="auto"/>
              <w:jc w:val="left"/>
              <w:rPr>
                <w:rFonts w:ascii="宋体" w:hAnsi="宋体" w:cs="宋体"/>
                <w:color w:val="auto"/>
                <w:kern w:val="0"/>
                <w:sz w:val="24"/>
                <w:szCs w:val="24"/>
                <w:highlight w:val="none"/>
              </w:rPr>
            </w:pPr>
          </w:p>
        </w:tc>
      </w:tr>
      <w:tr w14:paraId="75216C4D">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540" w:hRule="atLeast"/>
          <w:jc w:val="center"/>
        </w:trPr>
        <w:tc>
          <w:tcPr>
            <w:tcW w:w="0" w:type="auto"/>
            <w:vMerge w:val="continue"/>
            <w:tcBorders>
              <w:top w:val="single" w:color="auto" w:sz="0" w:space="0"/>
              <w:left w:val="outset" w:color="auto" w:sz="6" w:space="0"/>
              <w:bottom w:val="outset" w:color="auto" w:sz="6" w:space="0"/>
              <w:right w:val="outset" w:color="auto" w:sz="6" w:space="0"/>
            </w:tcBorders>
            <w:shd w:val="clear" w:color="auto" w:fill="auto"/>
            <w:vAlign w:val="center"/>
          </w:tcPr>
          <w:p w14:paraId="700E33DE">
            <w:pPr>
              <w:widowControl/>
              <w:spacing w:line="360" w:lineRule="auto"/>
              <w:jc w:val="left"/>
              <w:rPr>
                <w:rFonts w:ascii="宋体" w:hAnsi="宋体" w:cs="宋体"/>
                <w:color w:val="auto"/>
                <w:kern w:val="0"/>
                <w:sz w:val="24"/>
                <w:szCs w:val="24"/>
                <w:highlight w:val="none"/>
              </w:rPr>
            </w:pPr>
          </w:p>
        </w:tc>
        <w:tc>
          <w:tcPr>
            <w:tcW w:w="5748" w:type="dxa"/>
            <w:tcBorders>
              <w:top w:val="single" w:color="auto" w:sz="0" w:space="0"/>
              <w:left w:val="single" w:color="auto" w:sz="0" w:space="0"/>
              <w:bottom w:val="outset" w:color="auto" w:sz="6" w:space="0"/>
              <w:right w:val="outset" w:color="auto" w:sz="6" w:space="0"/>
            </w:tcBorders>
            <w:shd w:val="clear" w:color="auto" w:fill="FFFFFF"/>
            <w:tcMar>
              <w:top w:w="0" w:type="dxa"/>
              <w:left w:w="105" w:type="dxa"/>
              <w:bottom w:w="0" w:type="dxa"/>
              <w:right w:w="105" w:type="dxa"/>
            </w:tcMar>
            <w:vAlign w:val="center"/>
          </w:tcPr>
          <w:p w14:paraId="219A5A74">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配餐区每天清洗消毒，并有消毒记录</w:t>
            </w:r>
          </w:p>
          <w:p w14:paraId="4D181108">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（提供前一个月记录）</w:t>
            </w:r>
          </w:p>
        </w:tc>
        <w:tc>
          <w:tcPr>
            <w:tcW w:w="855" w:type="dxa"/>
            <w:tcBorders>
              <w:top w:val="single" w:color="auto" w:sz="0" w:space="0"/>
              <w:left w:val="single" w:color="auto" w:sz="0" w:space="0"/>
              <w:bottom w:val="outset" w:color="auto" w:sz="6" w:space="0"/>
              <w:right w:val="outset" w:color="auto" w:sz="6" w:space="0"/>
            </w:tcBorders>
            <w:shd w:val="clear" w:color="auto" w:fill="FFFFFF"/>
            <w:tcMar>
              <w:top w:w="0" w:type="dxa"/>
              <w:left w:w="105" w:type="dxa"/>
              <w:bottom w:w="0" w:type="dxa"/>
              <w:right w:w="105" w:type="dxa"/>
            </w:tcMar>
            <w:vAlign w:val="center"/>
          </w:tcPr>
          <w:p w14:paraId="7DBE97BF">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2</w:t>
            </w:r>
          </w:p>
        </w:tc>
        <w:tc>
          <w:tcPr>
            <w:tcW w:w="1135" w:type="dxa"/>
            <w:tcBorders>
              <w:top w:val="single" w:color="auto" w:sz="0" w:space="0"/>
              <w:left w:val="single" w:color="auto" w:sz="0" w:space="0"/>
              <w:bottom w:val="outset" w:color="auto" w:sz="6" w:space="0"/>
              <w:right w:val="outset" w:color="auto" w:sz="6" w:space="0"/>
            </w:tcBorders>
            <w:shd w:val="clear" w:color="auto" w:fill="FFFFFF"/>
            <w:tcMar>
              <w:top w:w="0" w:type="dxa"/>
              <w:left w:w="105" w:type="dxa"/>
              <w:bottom w:w="0" w:type="dxa"/>
              <w:right w:w="105" w:type="dxa"/>
            </w:tcMar>
          </w:tcPr>
          <w:p w14:paraId="4626FEC1">
            <w:pPr>
              <w:widowControl/>
              <w:spacing w:line="360" w:lineRule="auto"/>
              <w:jc w:val="left"/>
              <w:rPr>
                <w:rFonts w:ascii="宋体" w:hAnsi="宋体" w:cs="宋体"/>
                <w:color w:val="auto"/>
                <w:kern w:val="0"/>
                <w:sz w:val="24"/>
                <w:szCs w:val="24"/>
                <w:highlight w:val="none"/>
              </w:rPr>
            </w:pPr>
          </w:p>
        </w:tc>
      </w:tr>
      <w:tr w14:paraId="73BFBBD2">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90" w:hRule="atLeast"/>
          <w:jc w:val="center"/>
        </w:trPr>
        <w:tc>
          <w:tcPr>
            <w:tcW w:w="0" w:type="auto"/>
            <w:vMerge w:val="continue"/>
            <w:tcBorders>
              <w:top w:val="single" w:color="auto" w:sz="0" w:space="0"/>
              <w:left w:val="outset" w:color="auto" w:sz="6" w:space="0"/>
              <w:bottom w:val="outset" w:color="auto" w:sz="6" w:space="0"/>
              <w:right w:val="outset" w:color="auto" w:sz="6" w:space="0"/>
            </w:tcBorders>
            <w:shd w:val="clear" w:color="auto" w:fill="auto"/>
            <w:vAlign w:val="center"/>
          </w:tcPr>
          <w:p w14:paraId="5DDC7004">
            <w:pPr>
              <w:widowControl/>
              <w:spacing w:line="360" w:lineRule="auto"/>
              <w:jc w:val="left"/>
              <w:rPr>
                <w:rFonts w:ascii="宋体" w:hAnsi="宋体" w:cs="宋体"/>
                <w:color w:val="auto"/>
                <w:kern w:val="0"/>
                <w:sz w:val="24"/>
                <w:szCs w:val="24"/>
                <w:highlight w:val="none"/>
              </w:rPr>
            </w:pPr>
          </w:p>
        </w:tc>
        <w:tc>
          <w:tcPr>
            <w:tcW w:w="5748" w:type="dxa"/>
            <w:tcBorders>
              <w:top w:val="single" w:color="auto" w:sz="0" w:space="0"/>
              <w:left w:val="single" w:color="auto" w:sz="0" w:space="0"/>
              <w:bottom w:val="outset" w:color="auto" w:sz="6" w:space="0"/>
              <w:right w:val="outset" w:color="auto" w:sz="6" w:space="0"/>
            </w:tcBorders>
            <w:shd w:val="clear" w:color="auto" w:fill="FFFFFF"/>
            <w:tcMar>
              <w:top w:w="0" w:type="dxa"/>
              <w:left w:w="105" w:type="dxa"/>
              <w:bottom w:w="0" w:type="dxa"/>
              <w:right w:w="105" w:type="dxa"/>
            </w:tcMar>
            <w:vAlign w:val="center"/>
          </w:tcPr>
          <w:p w14:paraId="1137CF58">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配餐区配有食品保温设施</w:t>
            </w:r>
          </w:p>
        </w:tc>
        <w:tc>
          <w:tcPr>
            <w:tcW w:w="855" w:type="dxa"/>
            <w:tcBorders>
              <w:top w:val="single" w:color="auto" w:sz="0" w:space="0"/>
              <w:left w:val="single" w:color="auto" w:sz="0" w:space="0"/>
              <w:bottom w:val="outset" w:color="auto" w:sz="6" w:space="0"/>
              <w:right w:val="outset" w:color="auto" w:sz="6" w:space="0"/>
            </w:tcBorders>
            <w:shd w:val="clear" w:color="auto" w:fill="FFFFFF"/>
            <w:tcMar>
              <w:top w:w="0" w:type="dxa"/>
              <w:left w:w="105" w:type="dxa"/>
              <w:bottom w:w="0" w:type="dxa"/>
              <w:right w:w="105" w:type="dxa"/>
            </w:tcMar>
            <w:vAlign w:val="center"/>
          </w:tcPr>
          <w:p w14:paraId="58CA026D">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1</w:t>
            </w:r>
          </w:p>
        </w:tc>
        <w:tc>
          <w:tcPr>
            <w:tcW w:w="1135" w:type="dxa"/>
            <w:tcBorders>
              <w:top w:val="single" w:color="auto" w:sz="0" w:space="0"/>
              <w:left w:val="single" w:color="auto" w:sz="0" w:space="0"/>
              <w:bottom w:val="outset" w:color="auto" w:sz="6" w:space="0"/>
              <w:right w:val="outset" w:color="auto" w:sz="6" w:space="0"/>
            </w:tcBorders>
            <w:shd w:val="clear" w:color="auto" w:fill="FFFFFF"/>
            <w:tcMar>
              <w:top w:w="0" w:type="dxa"/>
              <w:left w:w="105" w:type="dxa"/>
              <w:bottom w:w="0" w:type="dxa"/>
              <w:right w:w="105" w:type="dxa"/>
            </w:tcMar>
          </w:tcPr>
          <w:p w14:paraId="2F1F8F9E">
            <w:pPr>
              <w:widowControl/>
              <w:spacing w:line="360" w:lineRule="auto"/>
              <w:jc w:val="left"/>
              <w:rPr>
                <w:rFonts w:ascii="宋体" w:hAnsi="宋体" w:cs="宋体"/>
                <w:color w:val="auto"/>
                <w:kern w:val="0"/>
                <w:sz w:val="24"/>
                <w:szCs w:val="24"/>
                <w:highlight w:val="none"/>
              </w:rPr>
            </w:pPr>
          </w:p>
        </w:tc>
      </w:tr>
      <w:tr w14:paraId="7764980D">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jc w:val="center"/>
        </w:trPr>
        <w:tc>
          <w:tcPr>
            <w:tcW w:w="765" w:type="dxa"/>
            <w:vMerge w:val="restart"/>
            <w:tcBorders>
              <w:top w:val="single" w:color="auto" w:sz="0" w:space="0"/>
              <w:left w:val="outset" w:color="auto" w:sz="6" w:space="0"/>
              <w:bottom w:val="outset" w:color="auto" w:sz="6" w:space="0"/>
              <w:right w:val="outset" w:color="auto" w:sz="6" w:space="0"/>
            </w:tcBorders>
            <w:shd w:val="clear" w:color="auto" w:fill="FFFFFF"/>
            <w:tcMar>
              <w:top w:w="0" w:type="dxa"/>
              <w:left w:w="105" w:type="dxa"/>
              <w:bottom w:w="0" w:type="dxa"/>
              <w:right w:w="105" w:type="dxa"/>
            </w:tcMar>
            <w:vAlign w:val="center"/>
          </w:tcPr>
          <w:p w14:paraId="547E7FE8">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菜品质量</w:t>
            </w:r>
          </w:p>
        </w:tc>
        <w:tc>
          <w:tcPr>
            <w:tcW w:w="5748" w:type="dxa"/>
            <w:tcBorders>
              <w:top w:val="single" w:color="auto" w:sz="0" w:space="0"/>
              <w:left w:val="single" w:color="auto" w:sz="0" w:space="0"/>
              <w:bottom w:val="outset" w:color="auto" w:sz="6" w:space="0"/>
              <w:right w:val="outset" w:color="auto" w:sz="6" w:space="0"/>
            </w:tcBorders>
            <w:shd w:val="clear" w:color="auto" w:fill="FFFFFF"/>
            <w:tcMar>
              <w:top w:w="0" w:type="dxa"/>
              <w:left w:w="105" w:type="dxa"/>
              <w:bottom w:w="0" w:type="dxa"/>
              <w:right w:w="105" w:type="dxa"/>
            </w:tcMar>
            <w:vAlign w:val="center"/>
          </w:tcPr>
          <w:p w14:paraId="354B9A47">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菜品颜色</w:t>
            </w:r>
          </w:p>
        </w:tc>
        <w:tc>
          <w:tcPr>
            <w:tcW w:w="855" w:type="dxa"/>
            <w:tcBorders>
              <w:top w:val="single" w:color="auto" w:sz="0" w:space="0"/>
              <w:left w:val="single" w:color="auto" w:sz="0" w:space="0"/>
              <w:bottom w:val="outset" w:color="auto" w:sz="6" w:space="0"/>
              <w:right w:val="outset" w:color="auto" w:sz="6" w:space="0"/>
            </w:tcBorders>
            <w:shd w:val="clear" w:color="auto" w:fill="FFFFFF"/>
            <w:tcMar>
              <w:top w:w="0" w:type="dxa"/>
              <w:left w:w="105" w:type="dxa"/>
              <w:bottom w:w="0" w:type="dxa"/>
              <w:right w:w="105" w:type="dxa"/>
            </w:tcMar>
            <w:vAlign w:val="center"/>
          </w:tcPr>
          <w:p w14:paraId="3FD4730E">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2</w:t>
            </w:r>
          </w:p>
        </w:tc>
        <w:tc>
          <w:tcPr>
            <w:tcW w:w="1135" w:type="dxa"/>
            <w:tcBorders>
              <w:top w:val="single" w:color="auto" w:sz="0" w:space="0"/>
              <w:left w:val="single" w:color="auto" w:sz="0" w:space="0"/>
              <w:bottom w:val="outset" w:color="auto" w:sz="6" w:space="0"/>
              <w:right w:val="outset" w:color="auto" w:sz="6" w:space="0"/>
            </w:tcBorders>
            <w:shd w:val="clear" w:color="auto" w:fill="FFFFFF"/>
            <w:tcMar>
              <w:top w:w="0" w:type="dxa"/>
              <w:left w:w="105" w:type="dxa"/>
              <w:bottom w:w="0" w:type="dxa"/>
              <w:right w:w="105" w:type="dxa"/>
            </w:tcMar>
          </w:tcPr>
          <w:p w14:paraId="69C6E6A4">
            <w:pPr>
              <w:widowControl/>
              <w:spacing w:line="360" w:lineRule="auto"/>
              <w:jc w:val="left"/>
              <w:rPr>
                <w:rFonts w:ascii="宋体" w:hAnsi="宋体" w:cs="宋体"/>
                <w:color w:val="auto"/>
                <w:kern w:val="0"/>
                <w:sz w:val="24"/>
                <w:szCs w:val="24"/>
                <w:highlight w:val="none"/>
              </w:rPr>
            </w:pPr>
          </w:p>
        </w:tc>
      </w:tr>
      <w:tr w14:paraId="09DD9AAD">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jc w:val="center"/>
        </w:trPr>
        <w:tc>
          <w:tcPr>
            <w:tcW w:w="0" w:type="auto"/>
            <w:vMerge w:val="continue"/>
            <w:tcBorders>
              <w:top w:val="single" w:color="auto" w:sz="0" w:space="0"/>
              <w:left w:val="outset" w:color="auto" w:sz="6" w:space="0"/>
              <w:bottom w:val="outset" w:color="auto" w:sz="6" w:space="0"/>
              <w:right w:val="outset" w:color="auto" w:sz="6" w:space="0"/>
            </w:tcBorders>
            <w:shd w:val="clear" w:color="auto" w:fill="auto"/>
            <w:vAlign w:val="center"/>
          </w:tcPr>
          <w:p w14:paraId="4DC2DB87">
            <w:pPr>
              <w:widowControl/>
              <w:spacing w:line="360" w:lineRule="auto"/>
              <w:jc w:val="left"/>
              <w:rPr>
                <w:rFonts w:ascii="宋体" w:hAnsi="宋体" w:cs="宋体"/>
                <w:color w:val="auto"/>
                <w:kern w:val="0"/>
                <w:sz w:val="24"/>
                <w:szCs w:val="24"/>
                <w:highlight w:val="none"/>
              </w:rPr>
            </w:pPr>
          </w:p>
        </w:tc>
        <w:tc>
          <w:tcPr>
            <w:tcW w:w="5748" w:type="dxa"/>
            <w:tcBorders>
              <w:top w:val="single" w:color="auto" w:sz="0" w:space="0"/>
              <w:left w:val="single" w:color="auto" w:sz="0" w:space="0"/>
              <w:bottom w:val="outset" w:color="auto" w:sz="6" w:space="0"/>
              <w:right w:val="outset" w:color="auto" w:sz="6" w:space="0"/>
            </w:tcBorders>
            <w:shd w:val="clear" w:color="auto" w:fill="FFFFFF"/>
            <w:tcMar>
              <w:top w:w="0" w:type="dxa"/>
              <w:left w:w="105" w:type="dxa"/>
              <w:bottom w:w="0" w:type="dxa"/>
              <w:right w:w="105" w:type="dxa"/>
            </w:tcMar>
            <w:vAlign w:val="center"/>
          </w:tcPr>
          <w:p w14:paraId="6215D90D">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菜肴品质</w:t>
            </w:r>
          </w:p>
        </w:tc>
        <w:tc>
          <w:tcPr>
            <w:tcW w:w="855" w:type="dxa"/>
            <w:tcBorders>
              <w:top w:val="single" w:color="auto" w:sz="0" w:space="0"/>
              <w:left w:val="single" w:color="auto" w:sz="0" w:space="0"/>
              <w:bottom w:val="outset" w:color="auto" w:sz="6" w:space="0"/>
              <w:right w:val="outset" w:color="auto" w:sz="6" w:space="0"/>
            </w:tcBorders>
            <w:shd w:val="clear" w:color="auto" w:fill="FFFFFF"/>
            <w:tcMar>
              <w:top w:w="0" w:type="dxa"/>
              <w:left w:w="105" w:type="dxa"/>
              <w:bottom w:w="0" w:type="dxa"/>
              <w:right w:w="105" w:type="dxa"/>
            </w:tcMar>
            <w:vAlign w:val="center"/>
          </w:tcPr>
          <w:p w14:paraId="263BD755">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2</w:t>
            </w:r>
          </w:p>
        </w:tc>
        <w:tc>
          <w:tcPr>
            <w:tcW w:w="1135" w:type="dxa"/>
            <w:tcBorders>
              <w:top w:val="single" w:color="auto" w:sz="0" w:space="0"/>
              <w:left w:val="single" w:color="auto" w:sz="0" w:space="0"/>
              <w:bottom w:val="outset" w:color="auto" w:sz="6" w:space="0"/>
              <w:right w:val="outset" w:color="auto" w:sz="6" w:space="0"/>
            </w:tcBorders>
            <w:shd w:val="clear" w:color="auto" w:fill="FFFFFF"/>
            <w:tcMar>
              <w:top w:w="0" w:type="dxa"/>
              <w:left w:w="105" w:type="dxa"/>
              <w:bottom w:w="0" w:type="dxa"/>
              <w:right w:w="105" w:type="dxa"/>
            </w:tcMar>
          </w:tcPr>
          <w:p w14:paraId="51F840C7">
            <w:pPr>
              <w:widowControl/>
              <w:spacing w:line="360" w:lineRule="auto"/>
              <w:jc w:val="left"/>
              <w:rPr>
                <w:rFonts w:ascii="宋体" w:hAnsi="宋体" w:cs="宋体"/>
                <w:color w:val="auto"/>
                <w:kern w:val="0"/>
                <w:sz w:val="24"/>
                <w:szCs w:val="24"/>
                <w:highlight w:val="none"/>
              </w:rPr>
            </w:pPr>
          </w:p>
        </w:tc>
      </w:tr>
      <w:tr w14:paraId="6F004874">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jc w:val="center"/>
        </w:trPr>
        <w:tc>
          <w:tcPr>
            <w:tcW w:w="0" w:type="auto"/>
            <w:vMerge w:val="continue"/>
            <w:tcBorders>
              <w:top w:val="single" w:color="auto" w:sz="0" w:space="0"/>
              <w:left w:val="outset" w:color="auto" w:sz="6" w:space="0"/>
              <w:bottom w:val="outset" w:color="auto" w:sz="6" w:space="0"/>
              <w:right w:val="outset" w:color="auto" w:sz="6" w:space="0"/>
            </w:tcBorders>
            <w:shd w:val="clear" w:color="auto" w:fill="auto"/>
            <w:vAlign w:val="center"/>
          </w:tcPr>
          <w:p w14:paraId="7CA162BD">
            <w:pPr>
              <w:widowControl/>
              <w:spacing w:line="360" w:lineRule="auto"/>
              <w:jc w:val="left"/>
              <w:rPr>
                <w:rFonts w:ascii="宋体" w:hAnsi="宋体" w:cs="宋体"/>
                <w:color w:val="auto"/>
                <w:kern w:val="0"/>
                <w:sz w:val="24"/>
                <w:szCs w:val="24"/>
                <w:highlight w:val="none"/>
              </w:rPr>
            </w:pPr>
          </w:p>
        </w:tc>
        <w:tc>
          <w:tcPr>
            <w:tcW w:w="5748" w:type="dxa"/>
            <w:tcBorders>
              <w:top w:val="single" w:color="auto" w:sz="0" w:space="0"/>
              <w:left w:val="single" w:color="auto" w:sz="0" w:space="0"/>
              <w:bottom w:val="outset" w:color="auto" w:sz="6" w:space="0"/>
              <w:right w:val="outset" w:color="auto" w:sz="6" w:space="0"/>
            </w:tcBorders>
            <w:shd w:val="clear" w:color="auto" w:fill="FFFFFF"/>
            <w:tcMar>
              <w:top w:w="0" w:type="dxa"/>
              <w:left w:w="105" w:type="dxa"/>
              <w:bottom w:w="0" w:type="dxa"/>
              <w:right w:w="105" w:type="dxa"/>
            </w:tcMar>
            <w:vAlign w:val="center"/>
          </w:tcPr>
          <w:p w14:paraId="63CB687E">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花色品种</w:t>
            </w:r>
          </w:p>
        </w:tc>
        <w:tc>
          <w:tcPr>
            <w:tcW w:w="855" w:type="dxa"/>
            <w:tcBorders>
              <w:top w:val="single" w:color="auto" w:sz="0" w:space="0"/>
              <w:left w:val="single" w:color="auto" w:sz="0" w:space="0"/>
              <w:bottom w:val="outset" w:color="auto" w:sz="6" w:space="0"/>
              <w:right w:val="outset" w:color="auto" w:sz="6" w:space="0"/>
            </w:tcBorders>
            <w:shd w:val="clear" w:color="auto" w:fill="FFFFFF"/>
            <w:tcMar>
              <w:top w:w="0" w:type="dxa"/>
              <w:left w:w="105" w:type="dxa"/>
              <w:bottom w:w="0" w:type="dxa"/>
              <w:right w:w="105" w:type="dxa"/>
            </w:tcMar>
            <w:vAlign w:val="center"/>
          </w:tcPr>
          <w:p w14:paraId="70E28AE4">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2</w:t>
            </w:r>
          </w:p>
        </w:tc>
        <w:tc>
          <w:tcPr>
            <w:tcW w:w="1135" w:type="dxa"/>
            <w:tcBorders>
              <w:top w:val="single" w:color="auto" w:sz="0" w:space="0"/>
              <w:left w:val="single" w:color="auto" w:sz="0" w:space="0"/>
              <w:bottom w:val="outset" w:color="auto" w:sz="6" w:space="0"/>
              <w:right w:val="outset" w:color="auto" w:sz="6" w:space="0"/>
            </w:tcBorders>
            <w:shd w:val="clear" w:color="auto" w:fill="FFFFFF"/>
            <w:tcMar>
              <w:top w:w="0" w:type="dxa"/>
              <w:left w:w="105" w:type="dxa"/>
              <w:bottom w:w="0" w:type="dxa"/>
              <w:right w:w="105" w:type="dxa"/>
            </w:tcMar>
          </w:tcPr>
          <w:p w14:paraId="0A1EFD81">
            <w:pPr>
              <w:widowControl/>
              <w:spacing w:line="360" w:lineRule="auto"/>
              <w:jc w:val="left"/>
              <w:rPr>
                <w:rFonts w:ascii="宋体" w:hAnsi="宋体" w:cs="宋体"/>
                <w:color w:val="auto"/>
                <w:kern w:val="0"/>
                <w:sz w:val="24"/>
                <w:szCs w:val="24"/>
                <w:highlight w:val="none"/>
              </w:rPr>
            </w:pPr>
          </w:p>
        </w:tc>
      </w:tr>
      <w:tr w14:paraId="2CEB9560">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jc w:val="center"/>
        </w:trPr>
        <w:tc>
          <w:tcPr>
            <w:tcW w:w="6513" w:type="dxa"/>
            <w:gridSpan w:val="2"/>
            <w:tcBorders>
              <w:top w:val="single" w:color="auto" w:sz="0" w:space="0"/>
              <w:left w:val="outset" w:color="auto" w:sz="6" w:space="0"/>
              <w:bottom w:val="outset" w:color="auto" w:sz="6" w:space="0"/>
              <w:right w:val="outset" w:color="auto" w:sz="6" w:space="0"/>
            </w:tcBorders>
            <w:shd w:val="clear" w:color="auto" w:fill="auto"/>
            <w:vAlign w:val="center"/>
          </w:tcPr>
          <w:p w14:paraId="580CD01C">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总分</w:t>
            </w:r>
          </w:p>
        </w:tc>
        <w:tc>
          <w:tcPr>
            <w:tcW w:w="855" w:type="dxa"/>
            <w:tcBorders>
              <w:top w:val="single" w:color="auto" w:sz="0" w:space="0"/>
              <w:left w:val="single" w:color="auto" w:sz="0" w:space="0"/>
              <w:bottom w:val="outset" w:color="auto" w:sz="6" w:space="0"/>
              <w:right w:val="outset" w:color="auto" w:sz="6" w:space="0"/>
            </w:tcBorders>
            <w:shd w:val="clear" w:color="auto" w:fill="FFFFFF"/>
            <w:tcMar>
              <w:top w:w="0" w:type="dxa"/>
              <w:left w:w="105" w:type="dxa"/>
              <w:bottom w:w="0" w:type="dxa"/>
              <w:right w:w="105" w:type="dxa"/>
            </w:tcMar>
            <w:vAlign w:val="center"/>
          </w:tcPr>
          <w:p w14:paraId="179F8E23">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30</w:t>
            </w:r>
          </w:p>
        </w:tc>
        <w:tc>
          <w:tcPr>
            <w:tcW w:w="1135" w:type="dxa"/>
            <w:tcBorders>
              <w:top w:val="single" w:color="auto" w:sz="0" w:space="0"/>
              <w:left w:val="single" w:color="auto" w:sz="0" w:space="0"/>
              <w:bottom w:val="outset" w:color="auto" w:sz="6" w:space="0"/>
              <w:right w:val="outset" w:color="auto" w:sz="6" w:space="0"/>
            </w:tcBorders>
            <w:shd w:val="clear" w:color="auto" w:fill="FFFFFF"/>
            <w:tcMar>
              <w:top w:w="0" w:type="dxa"/>
              <w:left w:w="105" w:type="dxa"/>
              <w:bottom w:w="0" w:type="dxa"/>
              <w:right w:w="105" w:type="dxa"/>
            </w:tcMar>
          </w:tcPr>
          <w:p w14:paraId="699A046C">
            <w:pPr>
              <w:widowControl/>
              <w:spacing w:line="360" w:lineRule="auto"/>
              <w:jc w:val="left"/>
              <w:rPr>
                <w:rFonts w:ascii="宋体" w:hAnsi="宋体" w:cs="宋体"/>
                <w:color w:val="auto"/>
                <w:kern w:val="0"/>
                <w:sz w:val="24"/>
                <w:szCs w:val="24"/>
                <w:highlight w:val="none"/>
              </w:rPr>
            </w:pPr>
          </w:p>
        </w:tc>
      </w:tr>
    </w:tbl>
    <w:p w14:paraId="75F82697">
      <w:pPr>
        <w:widowControl/>
        <w:shd w:val="clear" w:color="auto" w:fill="FFFFFF"/>
        <w:spacing w:line="360" w:lineRule="auto"/>
        <w:ind w:left="420"/>
        <w:jc w:val="left"/>
        <w:rPr>
          <w:rFonts w:ascii="宋体" w:hAnsi="宋体" w:cs="宋体"/>
          <w:color w:val="auto"/>
          <w:kern w:val="0"/>
          <w:sz w:val="24"/>
          <w:szCs w:val="24"/>
          <w:highlight w:val="none"/>
        </w:rPr>
      </w:pPr>
      <w:r>
        <w:rPr>
          <w:rFonts w:hint="eastAsia" w:ascii="宋体" w:hAnsi="宋体" w:cs="宋体"/>
          <w:b/>
          <w:bCs/>
          <w:color w:val="auto"/>
          <w:kern w:val="0"/>
          <w:sz w:val="24"/>
          <w:szCs w:val="24"/>
          <w:highlight w:val="none"/>
        </w:rPr>
        <w:t>评分人：                  时间：</w:t>
      </w:r>
    </w:p>
    <w:p w14:paraId="35E8BECA">
      <w:pPr>
        <w:widowControl/>
        <w:shd w:val="clear" w:color="auto" w:fill="FFFFFF"/>
        <w:spacing w:line="360" w:lineRule="auto"/>
        <w:ind w:firstLine="555"/>
        <w:jc w:val="left"/>
        <w:rPr>
          <w:rFonts w:ascii="宋体" w:hAnsi="宋体" w:cs="宋体"/>
          <w:color w:val="auto"/>
          <w:kern w:val="0"/>
          <w:sz w:val="24"/>
          <w:szCs w:val="24"/>
          <w:highlight w:val="none"/>
        </w:rPr>
      </w:pPr>
      <w:r>
        <w:rPr>
          <w:rFonts w:hint="eastAsia" w:ascii="宋体" w:hAnsi="宋体" w:cs="宋体"/>
          <w:b/>
          <w:bCs/>
          <w:color w:val="auto"/>
          <w:kern w:val="0"/>
          <w:sz w:val="24"/>
          <w:szCs w:val="24"/>
          <w:highlight w:val="none"/>
        </w:rPr>
        <w:t>附件2：日常管理扣罚项目表</w:t>
      </w:r>
    </w:p>
    <w:tbl>
      <w:tblPr>
        <w:tblStyle w:val="21"/>
        <w:tblW w:w="8669" w:type="dxa"/>
        <w:jc w:val="center"/>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Layout w:type="autofit"/>
        <w:tblCellMar>
          <w:top w:w="15" w:type="dxa"/>
          <w:left w:w="15" w:type="dxa"/>
          <w:bottom w:w="15" w:type="dxa"/>
          <w:right w:w="15" w:type="dxa"/>
        </w:tblCellMar>
      </w:tblPr>
      <w:tblGrid>
        <w:gridCol w:w="692"/>
        <w:gridCol w:w="2977"/>
        <w:gridCol w:w="844"/>
        <w:gridCol w:w="878"/>
        <w:gridCol w:w="3278"/>
      </w:tblGrid>
      <w:tr w14:paraId="7AA008AA">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30" w:hRule="atLeast"/>
          <w:tblHeader/>
          <w:jc w:val="center"/>
        </w:trPr>
        <w:tc>
          <w:tcPr>
            <w:tcW w:w="692" w:type="dxa"/>
            <w:tcBorders>
              <w:top w:val="outset" w:color="000000" w:sz="6" w:space="0"/>
              <w:left w:val="outset" w:color="000000" w:sz="6"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25CFCEBF">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序号</w:t>
            </w:r>
          </w:p>
        </w:tc>
        <w:tc>
          <w:tcPr>
            <w:tcW w:w="2977" w:type="dxa"/>
            <w:tcBorders>
              <w:top w:val="outset" w:color="000000" w:sz="6"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7E1B540B">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项目</w:t>
            </w:r>
          </w:p>
        </w:tc>
        <w:tc>
          <w:tcPr>
            <w:tcW w:w="844" w:type="dxa"/>
            <w:tcBorders>
              <w:top w:val="outset" w:color="000000" w:sz="6"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6833A5DA">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计算</w:t>
            </w:r>
          </w:p>
          <w:p w14:paraId="73CD830A">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方式</w:t>
            </w:r>
          </w:p>
        </w:tc>
        <w:tc>
          <w:tcPr>
            <w:tcW w:w="878" w:type="dxa"/>
            <w:tcBorders>
              <w:top w:val="outset" w:color="000000" w:sz="6"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tcPr>
          <w:p w14:paraId="610D15D0">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扣分</w:t>
            </w:r>
          </w:p>
          <w:p w14:paraId="3EC2764E">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标准</w:t>
            </w:r>
          </w:p>
        </w:tc>
        <w:tc>
          <w:tcPr>
            <w:tcW w:w="3278" w:type="dxa"/>
            <w:tcBorders>
              <w:top w:val="outset" w:color="000000" w:sz="6"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43A2A62E">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标准</w:t>
            </w:r>
          </w:p>
        </w:tc>
      </w:tr>
      <w:tr w14:paraId="707649F8">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jc w:val="center"/>
        </w:trPr>
        <w:tc>
          <w:tcPr>
            <w:tcW w:w="692" w:type="dxa"/>
            <w:tcBorders>
              <w:top w:val="single" w:color="auto" w:sz="0" w:space="0"/>
              <w:left w:val="outset" w:color="000000" w:sz="6"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466FEDBE">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1</w:t>
            </w:r>
          </w:p>
        </w:tc>
        <w:tc>
          <w:tcPr>
            <w:tcW w:w="2977" w:type="dxa"/>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64D64702">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出现重大安全事故</w:t>
            </w:r>
          </w:p>
        </w:tc>
        <w:tc>
          <w:tcPr>
            <w:tcW w:w="844" w:type="dxa"/>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7A054658">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1次</w:t>
            </w:r>
          </w:p>
        </w:tc>
        <w:tc>
          <w:tcPr>
            <w:tcW w:w="878" w:type="dxa"/>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5DE2B88E">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30</w:t>
            </w:r>
          </w:p>
        </w:tc>
        <w:tc>
          <w:tcPr>
            <w:tcW w:w="3278" w:type="dxa"/>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482F8CE0">
            <w:pPr>
              <w:widowControl/>
              <w:spacing w:line="360" w:lineRule="auto"/>
              <w:jc w:val="left"/>
              <w:rPr>
                <w:rFonts w:ascii="宋体" w:hAnsi="宋体" w:cs="宋体"/>
                <w:color w:val="auto"/>
                <w:kern w:val="0"/>
                <w:sz w:val="24"/>
                <w:szCs w:val="24"/>
                <w:highlight w:val="none"/>
              </w:rPr>
            </w:pPr>
            <w:r>
              <w:rPr>
                <w:rFonts w:hint="eastAsia" w:ascii="宋体" w:hAnsi="宋体" w:cs="宋体"/>
                <w:color w:val="auto"/>
                <w:kern w:val="0"/>
                <w:sz w:val="24"/>
                <w:szCs w:val="24"/>
                <w:highlight w:val="none"/>
              </w:rPr>
              <w:t>食物中毒、水电事故、煤气事故等</w:t>
            </w:r>
          </w:p>
        </w:tc>
      </w:tr>
      <w:tr w14:paraId="6D9AD32A">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300" w:hRule="atLeast"/>
          <w:jc w:val="center"/>
        </w:trPr>
        <w:tc>
          <w:tcPr>
            <w:tcW w:w="692" w:type="dxa"/>
            <w:tcBorders>
              <w:top w:val="single" w:color="auto" w:sz="0" w:space="0"/>
              <w:left w:val="outset" w:color="000000" w:sz="6"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7148157B">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2</w:t>
            </w:r>
          </w:p>
        </w:tc>
        <w:tc>
          <w:tcPr>
            <w:tcW w:w="2977" w:type="dxa"/>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433B0E0E">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菜品不熟</w:t>
            </w:r>
          </w:p>
        </w:tc>
        <w:tc>
          <w:tcPr>
            <w:tcW w:w="844" w:type="dxa"/>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14E29B0B">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1次</w:t>
            </w:r>
          </w:p>
        </w:tc>
        <w:tc>
          <w:tcPr>
            <w:tcW w:w="878" w:type="dxa"/>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3DE1AFC9">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3</w:t>
            </w:r>
          </w:p>
        </w:tc>
        <w:tc>
          <w:tcPr>
            <w:tcW w:w="3278" w:type="dxa"/>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7C2ABC52">
            <w:pPr>
              <w:widowControl/>
              <w:spacing w:line="360" w:lineRule="auto"/>
              <w:jc w:val="left"/>
              <w:rPr>
                <w:rFonts w:ascii="宋体" w:hAnsi="宋体" w:cs="宋体"/>
                <w:color w:val="auto"/>
                <w:kern w:val="0"/>
                <w:sz w:val="24"/>
                <w:szCs w:val="24"/>
                <w:highlight w:val="none"/>
              </w:rPr>
            </w:pPr>
          </w:p>
        </w:tc>
      </w:tr>
      <w:tr w14:paraId="11619CA0">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600" w:hRule="atLeast"/>
          <w:jc w:val="center"/>
        </w:trPr>
        <w:tc>
          <w:tcPr>
            <w:tcW w:w="692" w:type="dxa"/>
            <w:tcBorders>
              <w:top w:val="single" w:color="auto" w:sz="0" w:space="0"/>
              <w:left w:val="outset" w:color="000000" w:sz="6"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4C091C04">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3</w:t>
            </w:r>
          </w:p>
        </w:tc>
        <w:tc>
          <w:tcPr>
            <w:tcW w:w="2977" w:type="dxa"/>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6AC24D04">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发现食材变质仍然上菜</w:t>
            </w:r>
          </w:p>
        </w:tc>
        <w:tc>
          <w:tcPr>
            <w:tcW w:w="844" w:type="dxa"/>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2C974E3F">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1次</w:t>
            </w:r>
          </w:p>
        </w:tc>
        <w:tc>
          <w:tcPr>
            <w:tcW w:w="878" w:type="dxa"/>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714DD807">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4</w:t>
            </w:r>
          </w:p>
        </w:tc>
        <w:tc>
          <w:tcPr>
            <w:tcW w:w="3278" w:type="dxa"/>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48CD0C09">
            <w:pPr>
              <w:widowControl/>
              <w:spacing w:line="360" w:lineRule="auto"/>
              <w:jc w:val="left"/>
              <w:rPr>
                <w:rFonts w:ascii="宋体" w:hAnsi="宋体" w:cs="宋体"/>
                <w:color w:val="auto"/>
                <w:kern w:val="0"/>
                <w:sz w:val="24"/>
                <w:szCs w:val="24"/>
                <w:highlight w:val="none"/>
              </w:rPr>
            </w:pPr>
          </w:p>
        </w:tc>
      </w:tr>
      <w:tr w14:paraId="4D5FC05D">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615" w:hRule="atLeast"/>
          <w:jc w:val="center"/>
        </w:trPr>
        <w:tc>
          <w:tcPr>
            <w:tcW w:w="692" w:type="dxa"/>
            <w:tcBorders>
              <w:top w:val="single" w:color="auto" w:sz="0" w:space="0"/>
              <w:left w:val="outset" w:color="000000" w:sz="6"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3F3CF605">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4</w:t>
            </w:r>
          </w:p>
        </w:tc>
        <w:tc>
          <w:tcPr>
            <w:tcW w:w="2977" w:type="dxa"/>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67421B4A">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碗筷、餐具不干净</w:t>
            </w:r>
          </w:p>
        </w:tc>
        <w:tc>
          <w:tcPr>
            <w:tcW w:w="844" w:type="dxa"/>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7D94EC23">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1次</w:t>
            </w:r>
          </w:p>
        </w:tc>
        <w:tc>
          <w:tcPr>
            <w:tcW w:w="878" w:type="dxa"/>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42C61D97">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2</w:t>
            </w:r>
          </w:p>
        </w:tc>
        <w:tc>
          <w:tcPr>
            <w:tcW w:w="3278" w:type="dxa"/>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1508867B">
            <w:pPr>
              <w:widowControl/>
              <w:spacing w:line="360" w:lineRule="auto"/>
              <w:jc w:val="left"/>
              <w:rPr>
                <w:rFonts w:ascii="宋体" w:hAnsi="宋体" w:cs="宋体"/>
                <w:color w:val="auto"/>
                <w:kern w:val="0"/>
                <w:sz w:val="24"/>
                <w:szCs w:val="24"/>
                <w:highlight w:val="none"/>
              </w:rPr>
            </w:pPr>
            <w:r>
              <w:rPr>
                <w:rFonts w:hint="eastAsia" w:ascii="宋体" w:hAnsi="宋体" w:cs="宋体"/>
                <w:color w:val="auto"/>
                <w:kern w:val="0"/>
                <w:sz w:val="24"/>
                <w:szCs w:val="24"/>
                <w:highlight w:val="none"/>
              </w:rPr>
              <w:t>出现未烘干或油腻残渣等</w:t>
            </w:r>
          </w:p>
        </w:tc>
      </w:tr>
      <w:tr w14:paraId="0C7E8343">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615" w:hRule="atLeast"/>
          <w:jc w:val="center"/>
        </w:trPr>
        <w:tc>
          <w:tcPr>
            <w:tcW w:w="692" w:type="dxa"/>
            <w:tcBorders>
              <w:top w:val="single" w:color="auto" w:sz="0" w:space="0"/>
              <w:left w:val="outset" w:color="000000" w:sz="6"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4409DB4F">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5</w:t>
            </w:r>
          </w:p>
        </w:tc>
        <w:tc>
          <w:tcPr>
            <w:tcW w:w="2977" w:type="dxa"/>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75D578F2">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因食物卫生造成投诉</w:t>
            </w:r>
          </w:p>
        </w:tc>
        <w:tc>
          <w:tcPr>
            <w:tcW w:w="844" w:type="dxa"/>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30781F95">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1次</w:t>
            </w:r>
          </w:p>
        </w:tc>
        <w:tc>
          <w:tcPr>
            <w:tcW w:w="878" w:type="dxa"/>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27316804">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4</w:t>
            </w:r>
          </w:p>
        </w:tc>
        <w:tc>
          <w:tcPr>
            <w:tcW w:w="3278" w:type="dxa"/>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350E4AA3">
            <w:pPr>
              <w:widowControl/>
              <w:spacing w:line="360" w:lineRule="auto"/>
              <w:jc w:val="left"/>
              <w:rPr>
                <w:rFonts w:ascii="宋体" w:hAnsi="宋体" w:cs="宋体"/>
                <w:color w:val="auto"/>
                <w:kern w:val="0"/>
                <w:sz w:val="24"/>
                <w:szCs w:val="24"/>
                <w:highlight w:val="none"/>
              </w:rPr>
            </w:pPr>
          </w:p>
        </w:tc>
      </w:tr>
      <w:tr w14:paraId="00DC9B00">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jc w:val="center"/>
        </w:trPr>
        <w:tc>
          <w:tcPr>
            <w:tcW w:w="692" w:type="dxa"/>
            <w:tcBorders>
              <w:top w:val="single" w:color="auto" w:sz="0" w:space="0"/>
              <w:left w:val="outset" w:color="000000" w:sz="6"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65C78499">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6</w:t>
            </w:r>
          </w:p>
        </w:tc>
        <w:tc>
          <w:tcPr>
            <w:tcW w:w="2977" w:type="dxa"/>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3AD81074">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未按规定着装</w:t>
            </w:r>
          </w:p>
        </w:tc>
        <w:tc>
          <w:tcPr>
            <w:tcW w:w="844" w:type="dxa"/>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633C834E">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1人次</w:t>
            </w:r>
          </w:p>
        </w:tc>
        <w:tc>
          <w:tcPr>
            <w:tcW w:w="878" w:type="dxa"/>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2D22441A">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1</w:t>
            </w:r>
          </w:p>
        </w:tc>
        <w:tc>
          <w:tcPr>
            <w:tcW w:w="3278" w:type="dxa"/>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17F1F268">
            <w:pPr>
              <w:widowControl/>
              <w:spacing w:line="360" w:lineRule="auto"/>
              <w:jc w:val="left"/>
              <w:rPr>
                <w:rFonts w:ascii="宋体" w:hAnsi="宋体" w:cs="宋体"/>
                <w:color w:val="auto"/>
                <w:kern w:val="0"/>
                <w:sz w:val="24"/>
                <w:szCs w:val="24"/>
                <w:highlight w:val="none"/>
              </w:rPr>
            </w:pPr>
            <w:r>
              <w:rPr>
                <w:rFonts w:hint="eastAsia" w:ascii="宋体" w:hAnsi="宋体" w:cs="宋体"/>
                <w:color w:val="auto"/>
                <w:kern w:val="0"/>
                <w:sz w:val="24"/>
                <w:szCs w:val="24"/>
                <w:highlight w:val="none"/>
              </w:rPr>
              <w:t>如：售饭人员未戴口罩、不使用一次性手套却直接接触食材</w:t>
            </w:r>
          </w:p>
        </w:tc>
      </w:tr>
      <w:tr w14:paraId="600423E6">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600" w:hRule="atLeast"/>
          <w:jc w:val="center"/>
        </w:trPr>
        <w:tc>
          <w:tcPr>
            <w:tcW w:w="692" w:type="dxa"/>
            <w:tcBorders>
              <w:top w:val="single" w:color="auto" w:sz="0" w:space="0"/>
              <w:left w:val="outset" w:color="000000" w:sz="6"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2DAB744D">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7</w:t>
            </w:r>
          </w:p>
        </w:tc>
        <w:tc>
          <w:tcPr>
            <w:tcW w:w="2977" w:type="dxa"/>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76BBD506">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每餐后未及时整理卫生</w:t>
            </w:r>
          </w:p>
        </w:tc>
        <w:tc>
          <w:tcPr>
            <w:tcW w:w="844" w:type="dxa"/>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26A436E7">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1次</w:t>
            </w:r>
          </w:p>
        </w:tc>
        <w:tc>
          <w:tcPr>
            <w:tcW w:w="878" w:type="dxa"/>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78EBB838">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2</w:t>
            </w:r>
          </w:p>
        </w:tc>
        <w:tc>
          <w:tcPr>
            <w:tcW w:w="3278" w:type="dxa"/>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3A073620">
            <w:pPr>
              <w:widowControl/>
              <w:spacing w:line="360" w:lineRule="auto"/>
              <w:jc w:val="left"/>
              <w:rPr>
                <w:rFonts w:ascii="宋体" w:hAnsi="宋体" w:cs="宋体"/>
                <w:color w:val="auto"/>
                <w:kern w:val="0"/>
                <w:sz w:val="24"/>
                <w:szCs w:val="24"/>
                <w:highlight w:val="none"/>
              </w:rPr>
            </w:pPr>
          </w:p>
        </w:tc>
      </w:tr>
      <w:tr w14:paraId="1435D003">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jc w:val="center"/>
        </w:trPr>
        <w:tc>
          <w:tcPr>
            <w:tcW w:w="692" w:type="dxa"/>
            <w:tcBorders>
              <w:top w:val="single" w:color="auto" w:sz="0" w:space="0"/>
              <w:left w:val="outset" w:color="000000" w:sz="6"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146A4C8D">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8</w:t>
            </w:r>
          </w:p>
        </w:tc>
        <w:tc>
          <w:tcPr>
            <w:tcW w:w="2977" w:type="dxa"/>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0338833D">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接待出现上错菜，造成投诉</w:t>
            </w:r>
          </w:p>
        </w:tc>
        <w:tc>
          <w:tcPr>
            <w:tcW w:w="844" w:type="dxa"/>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031FC2F7">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1次</w:t>
            </w:r>
          </w:p>
        </w:tc>
        <w:tc>
          <w:tcPr>
            <w:tcW w:w="878" w:type="dxa"/>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3D2B4773">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2</w:t>
            </w:r>
          </w:p>
        </w:tc>
        <w:tc>
          <w:tcPr>
            <w:tcW w:w="3278" w:type="dxa"/>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485E9062">
            <w:pPr>
              <w:widowControl/>
              <w:spacing w:line="360" w:lineRule="auto"/>
              <w:jc w:val="left"/>
              <w:rPr>
                <w:rFonts w:ascii="宋体" w:hAnsi="宋体" w:cs="宋体"/>
                <w:color w:val="auto"/>
                <w:kern w:val="0"/>
                <w:sz w:val="24"/>
                <w:szCs w:val="24"/>
                <w:highlight w:val="none"/>
              </w:rPr>
            </w:pPr>
          </w:p>
        </w:tc>
      </w:tr>
      <w:tr w14:paraId="4B3C4AAE">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600" w:hRule="atLeast"/>
          <w:jc w:val="center"/>
        </w:trPr>
        <w:tc>
          <w:tcPr>
            <w:tcW w:w="692" w:type="dxa"/>
            <w:tcBorders>
              <w:top w:val="single" w:color="auto" w:sz="0" w:space="0"/>
              <w:left w:val="outset" w:color="000000" w:sz="6"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77A46937">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9</w:t>
            </w:r>
          </w:p>
        </w:tc>
        <w:tc>
          <w:tcPr>
            <w:tcW w:w="2977" w:type="dxa"/>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7EC29021">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未经报备，擅自改菜单</w:t>
            </w:r>
          </w:p>
        </w:tc>
        <w:tc>
          <w:tcPr>
            <w:tcW w:w="844" w:type="dxa"/>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69CE4392">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1次</w:t>
            </w:r>
          </w:p>
        </w:tc>
        <w:tc>
          <w:tcPr>
            <w:tcW w:w="878" w:type="dxa"/>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5923F503">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2</w:t>
            </w:r>
          </w:p>
        </w:tc>
        <w:tc>
          <w:tcPr>
            <w:tcW w:w="3278" w:type="dxa"/>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172A5662">
            <w:pPr>
              <w:widowControl/>
              <w:spacing w:line="360" w:lineRule="auto"/>
              <w:jc w:val="left"/>
              <w:rPr>
                <w:rFonts w:ascii="宋体" w:hAnsi="宋体" w:cs="宋体"/>
                <w:color w:val="auto"/>
                <w:kern w:val="0"/>
                <w:sz w:val="24"/>
                <w:szCs w:val="24"/>
                <w:highlight w:val="none"/>
              </w:rPr>
            </w:pPr>
          </w:p>
        </w:tc>
      </w:tr>
      <w:tr w14:paraId="2229C9F3">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jc w:val="center"/>
        </w:trPr>
        <w:tc>
          <w:tcPr>
            <w:tcW w:w="692" w:type="dxa"/>
            <w:tcBorders>
              <w:top w:val="single" w:color="auto" w:sz="0" w:space="0"/>
              <w:left w:val="outset" w:color="000000" w:sz="6"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494DEFEF">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10</w:t>
            </w:r>
          </w:p>
        </w:tc>
        <w:tc>
          <w:tcPr>
            <w:tcW w:w="2977" w:type="dxa"/>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08E79311">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未能及时上报材料</w:t>
            </w:r>
          </w:p>
        </w:tc>
        <w:tc>
          <w:tcPr>
            <w:tcW w:w="844" w:type="dxa"/>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1AABAED8">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1次</w:t>
            </w:r>
          </w:p>
        </w:tc>
        <w:tc>
          <w:tcPr>
            <w:tcW w:w="878" w:type="dxa"/>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664CF8C3">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2</w:t>
            </w:r>
          </w:p>
        </w:tc>
        <w:tc>
          <w:tcPr>
            <w:tcW w:w="3278" w:type="dxa"/>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1BD8D176">
            <w:pPr>
              <w:widowControl/>
              <w:spacing w:line="360" w:lineRule="auto"/>
              <w:jc w:val="left"/>
              <w:rPr>
                <w:rFonts w:ascii="宋体" w:hAnsi="宋体" w:cs="宋体"/>
                <w:color w:val="auto"/>
                <w:kern w:val="0"/>
                <w:sz w:val="24"/>
                <w:szCs w:val="24"/>
                <w:highlight w:val="none"/>
              </w:rPr>
            </w:pPr>
            <w:r>
              <w:rPr>
                <w:rFonts w:hint="eastAsia" w:ascii="宋体" w:hAnsi="宋体" w:cs="宋体"/>
                <w:color w:val="auto"/>
                <w:kern w:val="0"/>
                <w:sz w:val="24"/>
                <w:szCs w:val="24"/>
                <w:highlight w:val="none"/>
              </w:rPr>
              <w:t>按照采购人规定时间报下周菜单、每日食材需求量、月底盘点、从业人员调整及请假等</w:t>
            </w:r>
          </w:p>
        </w:tc>
      </w:tr>
      <w:tr w14:paraId="6FD7E6E5">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615" w:hRule="atLeast"/>
          <w:jc w:val="center"/>
        </w:trPr>
        <w:tc>
          <w:tcPr>
            <w:tcW w:w="692" w:type="dxa"/>
            <w:tcBorders>
              <w:top w:val="single" w:color="auto" w:sz="0" w:space="0"/>
              <w:left w:val="outset" w:color="000000" w:sz="6"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71851616">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11</w:t>
            </w:r>
          </w:p>
        </w:tc>
        <w:tc>
          <w:tcPr>
            <w:tcW w:w="2977" w:type="dxa"/>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2F920B91">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财物损失</w:t>
            </w:r>
          </w:p>
        </w:tc>
        <w:tc>
          <w:tcPr>
            <w:tcW w:w="844" w:type="dxa"/>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65A668FC">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1件</w:t>
            </w:r>
          </w:p>
        </w:tc>
        <w:tc>
          <w:tcPr>
            <w:tcW w:w="878" w:type="dxa"/>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5634574C">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15</w:t>
            </w:r>
          </w:p>
        </w:tc>
        <w:tc>
          <w:tcPr>
            <w:tcW w:w="3278" w:type="dxa"/>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3751E759">
            <w:pPr>
              <w:widowControl/>
              <w:spacing w:line="360" w:lineRule="auto"/>
              <w:jc w:val="left"/>
              <w:rPr>
                <w:rFonts w:ascii="宋体" w:hAnsi="宋体" w:cs="宋体"/>
                <w:color w:val="auto"/>
                <w:kern w:val="0"/>
                <w:sz w:val="24"/>
                <w:szCs w:val="24"/>
                <w:highlight w:val="none"/>
              </w:rPr>
            </w:pPr>
            <w:r>
              <w:rPr>
                <w:rFonts w:hint="eastAsia" w:ascii="宋体" w:hAnsi="宋体" w:cs="宋体"/>
                <w:color w:val="auto"/>
                <w:kern w:val="0"/>
                <w:sz w:val="24"/>
                <w:szCs w:val="24"/>
                <w:highlight w:val="none"/>
              </w:rPr>
              <w:t>正常损坏除外</w:t>
            </w:r>
          </w:p>
        </w:tc>
      </w:tr>
      <w:tr w14:paraId="136F3D96">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615" w:hRule="atLeast"/>
          <w:jc w:val="center"/>
        </w:trPr>
        <w:tc>
          <w:tcPr>
            <w:tcW w:w="692" w:type="dxa"/>
            <w:tcBorders>
              <w:top w:val="single" w:color="auto" w:sz="0" w:space="0"/>
              <w:left w:val="outset" w:color="000000" w:sz="6"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1262D292">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12</w:t>
            </w:r>
          </w:p>
        </w:tc>
        <w:tc>
          <w:tcPr>
            <w:tcW w:w="2977" w:type="dxa"/>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1D957F40">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不规范使用设备</w:t>
            </w:r>
          </w:p>
        </w:tc>
        <w:tc>
          <w:tcPr>
            <w:tcW w:w="844" w:type="dxa"/>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2F358390">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1次</w:t>
            </w:r>
          </w:p>
        </w:tc>
        <w:tc>
          <w:tcPr>
            <w:tcW w:w="878" w:type="dxa"/>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7F202917">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2</w:t>
            </w:r>
          </w:p>
        </w:tc>
        <w:tc>
          <w:tcPr>
            <w:tcW w:w="3278" w:type="dxa"/>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4BD1DF3E">
            <w:pPr>
              <w:widowControl/>
              <w:spacing w:line="360" w:lineRule="auto"/>
              <w:jc w:val="left"/>
              <w:rPr>
                <w:rFonts w:ascii="宋体" w:hAnsi="宋体" w:cs="宋体"/>
                <w:color w:val="auto"/>
                <w:kern w:val="0"/>
                <w:sz w:val="24"/>
                <w:szCs w:val="24"/>
                <w:highlight w:val="none"/>
              </w:rPr>
            </w:pPr>
          </w:p>
        </w:tc>
      </w:tr>
      <w:tr w14:paraId="12409536">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615" w:hRule="atLeast"/>
          <w:jc w:val="center"/>
        </w:trPr>
        <w:tc>
          <w:tcPr>
            <w:tcW w:w="692" w:type="dxa"/>
            <w:tcBorders>
              <w:top w:val="single" w:color="auto" w:sz="0" w:space="0"/>
              <w:left w:val="outset" w:color="000000" w:sz="6" w:space="0"/>
              <w:bottom w:val="single" w:color="auto" w:sz="4" w:space="0"/>
              <w:right w:val="outset" w:color="000000" w:sz="6" w:space="0"/>
            </w:tcBorders>
            <w:shd w:val="clear" w:color="auto" w:fill="FFFFFF"/>
            <w:tcMar>
              <w:top w:w="0" w:type="dxa"/>
              <w:left w:w="105" w:type="dxa"/>
              <w:bottom w:w="0" w:type="dxa"/>
              <w:right w:w="105" w:type="dxa"/>
            </w:tcMar>
            <w:vAlign w:val="center"/>
          </w:tcPr>
          <w:p w14:paraId="6224DF11">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13</w:t>
            </w:r>
          </w:p>
        </w:tc>
        <w:tc>
          <w:tcPr>
            <w:tcW w:w="2977" w:type="dxa"/>
            <w:tcBorders>
              <w:top w:val="single" w:color="auto" w:sz="0" w:space="0"/>
              <w:left w:val="single" w:color="auto" w:sz="0" w:space="0"/>
              <w:bottom w:val="single" w:color="auto" w:sz="4" w:space="0"/>
              <w:right w:val="outset" w:color="000000" w:sz="6" w:space="0"/>
            </w:tcBorders>
            <w:shd w:val="clear" w:color="auto" w:fill="FFFFFF"/>
            <w:tcMar>
              <w:top w:w="0" w:type="dxa"/>
              <w:left w:w="105" w:type="dxa"/>
              <w:bottom w:w="0" w:type="dxa"/>
              <w:right w:w="105" w:type="dxa"/>
            </w:tcMar>
            <w:vAlign w:val="center"/>
          </w:tcPr>
          <w:p w14:paraId="354C8F37">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食材浪费</w:t>
            </w:r>
          </w:p>
        </w:tc>
        <w:tc>
          <w:tcPr>
            <w:tcW w:w="844" w:type="dxa"/>
            <w:tcBorders>
              <w:top w:val="single" w:color="auto" w:sz="0" w:space="0"/>
              <w:left w:val="single" w:color="auto" w:sz="0" w:space="0"/>
              <w:bottom w:val="single" w:color="auto" w:sz="4" w:space="0"/>
              <w:right w:val="outset" w:color="000000" w:sz="6" w:space="0"/>
            </w:tcBorders>
            <w:shd w:val="clear" w:color="auto" w:fill="FFFFFF"/>
            <w:tcMar>
              <w:top w:w="0" w:type="dxa"/>
              <w:left w:w="105" w:type="dxa"/>
              <w:bottom w:w="0" w:type="dxa"/>
              <w:right w:w="105" w:type="dxa"/>
            </w:tcMar>
            <w:vAlign w:val="center"/>
          </w:tcPr>
          <w:p w14:paraId="35AAF687">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1次</w:t>
            </w:r>
          </w:p>
        </w:tc>
        <w:tc>
          <w:tcPr>
            <w:tcW w:w="878" w:type="dxa"/>
            <w:tcBorders>
              <w:top w:val="single" w:color="auto" w:sz="0" w:space="0"/>
              <w:left w:val="single" w:color="auto" w:sz="0" w:space="0"/>
              <w:bottom w:val="single" w:color="auto" w:sz="4" w:space="0"/>
              <w:right w:val="outset" w:color="000000" w:sz="6" w:space="0"/>
            </w:tcBorders>
            <w:shd w:val="clear" w:color="auto" w:fill="FFFFFF"/>
            <w:tcMar>
              <w:top w:w="0" w:type="dxa"/>
              <w:left w:w="105" w:type="dxa"/>
              <w:bottom w:w="0" w:type="dxa"/>
              <w:right w:w="105" w:type="dxa"/>
            </w:tcMar>
            <w:vAlign w:val="center"/>
          </w:tcPr>
          <w:p w14:paraId="6A54983F">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10</w:t>
            </w:r>
          </w:p>
        </w:tc>
        <w:tc>
          <w:tcPr>
            <w:tcW w:w="3278" w:type="dxa"/>
            <w:tcBorders>
              <w:top w:val="single" w:color="auto" w:sz="0" w:space="0"/>
              <w:left w:val="single" w:color="auto" w:sz="0" w:space="0"/>
              <w:bottom w:val="single" w:color="auto" w:sz="4" w:space="0"/>
              <w:right w:val="outset" w:color="000000" w:sz="6" w:space="0"/>
            </w:tcBorders>
            <w:shd w:val="clear" w:color="auto" w:fill="FFFFFF"/>
            <w:tcMar>
              <w:top w:w="0" w:type="dxa"/>
              <w:left w:w="105" w:type="dxa"/>
              <w:bottom w:w="0" w:type="dxa"/>
              <w:right w:w="105" w:type="dxa"/>
            </w:tcMar>
            <w:vAlign w:val="center"/>
          </w:tcPr>
          <w:p w14:paraId="59C48784">
            <w:pPr>
              <w:widowControl/>
              <w:spacing w:line="360" w:lineRule="auto"/>
              <w:jc w:val="left"/>
              <w:rPr>
                <w:rFonts w:ascii="宋体" w:hAnsi="宋体" w:cs="宋体"/>
                <w:color w:val="auto"/>
                <w:kern w:val="0"/>
                <w:sz w:val="24"/>
                <w:szCs w:val="24"/>
                <w:highlight w:val="none"/>
              </w:rPr>
            </w:pPr>
            <w:r>
              <w:rPr>
                <w:rFonts w:hint="eastAsia" w:ascii="宋体" w:hAnsi="宋体" w:cs="宋体"/>
                <w:color w:val="auto"/>
                <w:kern w:val="0"/>
                <w:sz w:val="24"/>
                <w:szCs w:val="24"/>
                <w:highlight w:val="none"/>
              </w:rPr>
              <w:t>管理不到位，造成食材损坏；加工不当，食材损坏或影响售卖</w:t>
            </w:r>
          </w:p>
        </w:tc>
      </w:tr>
      <w:tr w14:paraId="659F3FC5">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615" w:hRule="atLeast"/>
          <w:jc w:val="center"/>
        </w:trPr>
        <w:tc>
          <w:tcPr>
            <w:tcW w:w="692" w:type="dxa"/>
            <w:tcBorders>
              <w:top w:val="single" w:color="auto" w:sz="4" w:space="0"/>
              <w:left w:val="single" w:color="auto" w:sz="4" w:space="0"/>
              <w:bottom w:val="single" w:color="auto" w:sz="4" w:space="0"/>
              <w:right w:val="single" w:color="auto" w:sz="4" w:space="0"/>
            </w:tcBorders>
            <w:shd w:val="clear" w:color="auto" w:fill="FFFFFF"/>
            <w:tcMar>
              <w:top w:w="0" w:type="dxa"/>
              <w:left w:w="105" w:type="dxa"/>
              <w:bottom w:w="0" w:type="dxa"/>
              <w:right w:w="105" w:type="dxa"/>
            </w:tcMar>
            <w:vAlign w:val="center"/>
          </w:tcPr>
          <w:p w14:paraId="7C51A242">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14</w:t>
            </w:r>
          </w:p>
        </w:tc>
        <w:tc>
          <w:tcPr>
            <w:tcW w:w="2977" w:type="dxa"/>
            <w:tcBorders>
              <w:top w:val="single" w:color="auto" w:sz="4" w:space="0"/>
              <w:left w:val="single" w:color="auto" w:sz="4" w:space="0"/>
              <w:bottom w:val="single" w:color="auto" w:sz="4" w:space="0"/>
              <w:right w:val="single" w:color="auto" w:sz="4" w:space="0"/>
            </w:tcBorders>
            <w:shd w:val="clear" w:color="auto" w:fill="FFFFFF"/>
            <w:tcMar>
              <w:top w:w="0" w:type="dxa"/>
              <w:left w:w="105" w:type="dxa"/>
              <w:bottom w:w="0" w:type="dxa"/>
              <w:right w:w="105" w:type="dxa"/>
            </w:tcMar>
            <w:vAlign w:val="center"/>
          </w:tcPr>
          <w:p w14:paraId="571C5C51">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经理、厨师被考核出现3个及以上差评</w:t>
            </w:r>
          </w:p>
        </w:tc>
        <w:tc>
          <w:tcPr>
            <w:tcW w:w="844" w:type="dxa"/>
            <w:tcBorders>
              <w:top w:val="single" w:color="auto" w:sz="4" w:space="0"/>
              <w:left w:val="single" w:color="auto" w:sz="4" w:space="0"/>
              <w:bottom w:val="single" w:color="auto" w:sz="4" w:space="0"/>
              <w:right w:val="single" w:color="auto" w:sz="4" w:space="0"/>
            </w:tcBorders>
            <w:shd w:val="clear" w:color="auto" w:fill="FFFFFF"/>
            <w:tcMar>
              <w:top w:w="0" w:type="dxa"/>
              <w:left w:w="105" w:type="dxa"/>
              <w:bottom w:w="0" w:type="dxa"/>
              <w:right w:w="105" w:type="dxa"/>
            </w:tcMar>
            <w:vAlign w:val="center"/>
          </w:tcPr>
          <w:p w14:paraId="21DD2C4F">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1次</w:t>
            </w:r>
          </w:p>
        </w:tc>
        <w:tc>
          <w:tcPr>
            <w:tcW w:w="878" w:type="dxa"/>
            <w:tcBorders>
              <w:top w:val="single" w:color="auto" w:sz="4" w:space="0"/>
              <w:left w:val="single" w:color="auto" w:sz="4" w:space="0"/>
              <w:bottom w:val="single" w:color="auto" w:sz="4" w:space="0"/>
              <w:right w:val="single" w:color="auto" w:sz="4" w:space="0"/>
            </w:tcBorders>
            <w:shd w:val="clear" w:color="auto" w:fill="FFFFFF"/>
            <w:tcMar>
              <w:top w:w="0" w:type="dxa"/>
              <w:left w:w="105" w:type="dxa"/>
              <w:bottom w:w="0" w:type="dxa"/>
              <w:right w:w="105" w:type="dxa"/>
            </w:tcMar>
            <w:vAlign w:val="center"/>
          </w:tcPr>
          <w:p w14:paraId="456F0B4D">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3</w:t>
            </w:r>
          </w:p>
        </w:tc>
        <w:tc>
          <w:tcPr>
            <w:tcW w:w="3278" w:type="dxa"/>
            <w:tcBorders>
              <w:top w:val="single" w:color="auto" w:sz="4" w:space="0"/>
              <w:left w:val="single" w:color="auto" w:sz="4" w:space="0"/>
              <w:bottom w:val="single" w:color="auto" w:sz="4" w:space="0"/>
              <w:right w:val="single" w:color="auto" w:sz="4" w:space="0"/>
            </w:tcBorders>
            <w:shd w:val="clear" w:color="auto" w:fill="FFFFFF"/>
            <w:tcMar>
              <w:top w:w="0" w:type="dxa"/>
              <w:left w:w="105" w:type="dxa"/>
              <w:bottom w:w="0" w:type="dxa"/>
              <w:right w:w="105" w:type="dxa"/>
            </w:tcMar>
            <w:vAlign w:val="center"/>
          </w:tcPr>
          <w:p w14:paraId="089C25B2">
            <w:pPr>
              <w:widowControl/>
              <w:spacing w:line="360" w:lineRule="auto"/>
              <w:jc w:val="left"/>
              <w:rPr>
                <w:rFonts w:ascii="宋体" w:hAnsi="宋体" w:cs="宋体"/>
                <w:color w:val="auto"/>
                <w:kern w:val="0"/>
                <w:sz w:val="24"/>
                <w:szCs w:val="24"/>
                <w:highlight w:val="none"/>
              </w:rPr>
            </w:pPr>
            <w:r>
              <w:rPr>
                <w:rFonts w:hint="eastAsia" w:ascii="宋体" w:hAnsi="宋体" w:cs="宋体"/>
                <w:color w:val="auto"/>
                <w:kern w:val="0"/>
                <w:sz w:val="24"/>
                <w:szCs w:val="24"/>
                <w:highlight w:val="none"/>
              </w:rPr>
              <w:t>出现2次，更换该人员</w:t>
            </w:r>
          </w:p>
        </w:tc>
      </w:tr>
      <w:tr w14:paraId="08209F36">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615" w:hRule="atLeast"/>
          <w:jc w:val="center"/>
        </w:trPr>
        <w:tc>
          <w:tcPr>
            <w:tcW w:w="692" w:type="dxa"/>
            <w:tcBorders>
              <w:top w:val="single" w:color="auto" w:sz="4" w:space="0"/>
              <w:left w:val="single" w:color="auto" w:sz="4" w:space="0"/>
              <w:bottom w:val="single" w:color="auto" w:sz="4" w:space="0"/>
              <w:right w:val="single" w:color="auto" w:sz="4" w:space="0"/>
            </w:tcBorders>
            <w:shd w:val="clear" w:color="auto" w:fill="FFFFFF"/>
            <w:tcMar>
              <w:top w:w="0" w:type="dxa"/>
              <w:left w:w="105" w:type="dxa"/>
              <w:bottom w:w="0" w:type="dxa"/>
              <w:right w:w="105" w:type="dxa"/>
            </w:tcMar>
            <w:vAlign w:val="center"/>
          </w:tcPr>
          <w:p w14:paraId="477828DD">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15</w:t>
            </w:r>
          </w:p>
        </w:tc>
        <w:tc>
          <w:tcPr>
            <w:tcW w:w="2977" w:type="dxa"/>
            <w:tcBorders>
              <w:top w:val="single" w:color="auto" w:sz="4" w:space="0"/>
              <w:left w:val="single" w:color="auto" w:sz="4" w:space="0"/>
              <w:bottom w:val="single" w:color="auto" w:sz="4" w:space="0"/>
              <w:right w:val="single" w:color="auto" w:sz="4" w:space="0"/>
            </w:tcBorders>
            <w:shd w:val="clear" w:color="auto" w:fill="FFFFFF"/>
            <w:tcMar>
              <w:top w:w="0" w:type="dxa"/>
              <w:left w:w="105" w:type="dxa"/>
              <w:bottom w:w="0" w:type="dxa"/>
              <w:right w:w="105" w:type="dxa"/>
            </w:tcMar>
            <w:vAlign w:val="center"/>
          </w:tcPr>
          <w:p w14:paraId="12AA29AA">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未按采购人要求将各类食材送检的</w:t>
            </w:r>
          </w:p>
        </w:tc>
        <w:tc>
          <w:tcPr>
            <w:tcW w:w="844" w:type="dxa"/>
            <w:tcBorders>
              <w:top w:val="single" w:color="auto" w:sz="4" w:space="0"/>
              <w:left w:val="single" w:color="auto" w:sz="4" w:space="0"/>
              <w:bottom w:val="single" w:color="auto" w:sz="4" w:space="0"/>
              <w:right w:val="single" w:color="auto" w:sz="4" w:space="0"/>
            </w:tcBorders>
            <w:shd w:val="clear" w:color="auto" w:fill="FFFFFF"/>
            <w:tcMar>
              <w:top w:w="0" w:type="dxa"/>
              <w:left w:w="105" w:type="dxa"/>
              <w:bottom w:w="0" w:type="dxa"/>
              <w:right w:w="105" w:type="dxa"/>
            </w:tcMar>
            <w:vAlign w:val="center"/>
          </w:tcPr>
          <w:p w14:paraId="345D66CE">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1次</w:t>
            </w:r>
          </w:p>
        </w:tc>
        <w:tc>
          <w:tcPr>
            <w:tcW w:w="878" w:type="dxa"/>
            <w:tcBorders>
              <w:top w:val="single" w:color="auto" w:sz="4" w:space="0"/>
              <w:left w:val="single" w:color="auto" w:sz="4" w:space="0"/>
              <w:bottom w:val="single" w:color="auto" w:sz="4" w:space="0"/>
              <w:right w:val="single" w:color="auto" w:sz="4" w:space="0"/>
            </w:tcBorders>
            <w:shd w:val="clear" w:color="auto" w:fill="FFFFFF"/>
            <w:tcMar>
              <w:top w:w="0" w:type="dxa"/>
              <w:left w:w="105" w:type="dxa"/>
              <w:bottom w:w="0" w:type="dxa"/>
              <w:right w:w="105" w:type="dxa"/>
            </w:tcMar>
            <w:vAlign w:val="center"/>
          </w:tcPr>
          <w:p w14:paraId="6AAD639C">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4</w:t>
            </w:r>
          </w:p>
        </w:tc>
        <w:tc>
          <w:tcPr>
            <w:tcW w:w="3278" w:type="dxa"/>
            <w:tcBorders>
              <w:top w:val="single" w:color="auto" w:sz="4" w:space="0"/>
              <w:left w:val="single" w:color="auto" w:sz="4" w:space="0"/>
              <w:bottom w:val="single" w:color="auto" w:sz="4" w:space="0"/>
              <w:right w:val="single" w:color="auto" w:sz="4" w:space="0"/>
            </w:tcBorders>
            <w:shd w:val="clear" w:color="auto" w:fill="FFFFFF"/>
            <w:tcMar>
              <w:top w:w="0" w:type="dxa"/>
              <w:left w:w="105" w:type="dxa"/>
              <w:bottom w:w="0" w:type="dxa"/>
              <w:right w:w="105" w:type="dxa"/>
            </w:tcMar>
            <w:vAlign w:val="center"/>
          </w:tcPr>
          <w:p w14:paraId="728246BD">
            <w:pPr>
              <w:widowControl/>
              <w:spacing w:line="360" w:lineRule="auto"/>
              <w:jc w:val="left"/>
              <w:rPr>
                <w:rFonts w:ascii="宋体" w:hAnsi="宋体" w:cs="宋体"/>
                <w:color w:val="auto"/>
                <w:kern w:val="0"/>
                <w:sz w:val="24"/>
                <w:szCs w:val="24"/>
                <w:highlight w:val="none"/>
              </w:rPr>
            </w:pPr>
          </w:p>
        </w:tc>
      </w:tr>
      <w:tr w14:paraId="63B55BA5">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615" w:hRule="atLeast"/>
          <w:jc w:val="center"/>
        </w:trPr>
        <w:tc>
          <w:tcPr>
            <w:tcW w:w="692" w:type="dxa"/>
            <w:tcBorders>
              <w:top w:val="single" w:color="auto" w:sz="4" w:space="0"/>
              <w:left w:val="single" w:color="auto" w:sz="4" w:space="0"/>
              <w:bottom w:val="single" w:color="auto" w:sz="4" w:space="0"/>
              <w:right w:val="single" w:color="auto" w:sz="4" w:space="0"/>
            </w:tcBorders>
            <w:shd w:val="clear" w:color="auto" w:fill="FFFFFF"/>
            <w:tcMar>
              <w:top w:w="0" w:type="dxa"/>
              <w:left w:w="105" w:type="dxa"/>
              <w:bottom w:w="0" w:type="dxa"/>
              <w:right w:w="105" w:type="dxa"/>
            </w:tcMar>
            <w:vAlign w:val="center"/>
          </w:tcPr>
          <w:p w14:paraId="4CAE3F24">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16</w:t>
            </w:r>
          </w:p>
        </w:tc>
        <w:tc>
          <w:tcPr>
            <w:tcW w:w="2977" w:type="dxa"/>
            <w:tcBorders>
              <w:top w:val="single" w:color="auto" w:sz="4" w:space="0"/>
              <w:left w:val="single" w:color="auto" w:sz="4" w:space="0"/>
              <w:bottom w:val="single" w:color="auto" w:sz="4" w:space="0"/>
              <w:right w:val="single" w:color="auto" w:sz="4" w:space="0"/>
            </w:tcBorders>
            <w:shd w:val="clear" w:color="auto" w:fill="FFFFFF"/>
            <w:tcMar>
              <w:top w:w="0" w:type="dxa"/>
              <w:left w:w="105" w:type="dxa"/>
              <w:bottom w:w="0" w:type="dxa"/>
              <w:right w:w="105" w:type="dxa"/>
            </w:tcMar>
            <w:vAlign w:val="center"/>
          </w:tcPr>
          <w:p w14:paraId="10AE89F7">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未按投标响应要求派遣项目经理的</w:t>
            </w:r>
          </w:p>
        </w:tc>
        <w:tc>
          <w:tcPr>
            <w:tcW w:w="844" w:type="dxa"/>
            <w:tcBorders>
              <w:top w:val="single" w:color="auto" w:sz="4" w:space="0"/>
              <w:left w:val="single" w:color="auto" w:sz="4" w:space="0"/>
              <w:bottom w:val="single" w:color="auto" w:sz="4" w:space="0"/>
              <w:right w:val="single" w:color="auto" w:sz="4" w:space="0"/>
            </w:tcBorders>
            <w:shd w:val="clear" w:color="auto" w:fill="FFFFFF"/>
            <w:tcMar>
              <w:top w:w="0" w:type="dxa"/>
              <w:left w:w="105" w:type="dxa"/>
              <w:bottom w:w="0" w:type="dxa"/>
              <w:right w:w="105" w:type="dxa"/>
            </w:tcMar>
            <w:vAlign w:val="center"/>
          </w:tcPr>
          <w:p w14:paraId="1092173E">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1天</w:t>
            </w:r>
          </w:p>
        </w:tc>
        <w:tc>
          <w:tcPr>
            <w:tcW w:w="878" w:type="dxa"/>
            <w:tcBorders>
              <w:top w:val="single" w:color="auto" w:sz="4" w:space="0"/>
              <w:left w:val="single" w:color="auto" w:sz="4" w:space="0"/>
              <w:bottom w:val="single" w:color="auto" w:sz="4" w:space="0"/>
              <w:right w:val="single" w:color="auto" w:sz="4" w:space="0"/>
            </w:tcBorders>
            <w:shd w:val="clear" w:color="auto" w:fill="FFFFFF"/>
            <w:tcMar>
              <w:top w:w="0" w:type="dxa"/>
              <w:left w:w="105" w:type="dxa"/>
              <w:bottom w:w="0" w:type="dxa"/>
              <w:right w:w="105" w:type="dxa"/>
            </w:tcMar>
            <w:vAlign w:val="center"/>
          </w:tcPr>
          <w:p w14:paraId="66663F4C">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5</w:t>
            </w:r>
          </w:p>
        </w:tc>
        <w:tc>
          <w:tcPr>
            <w:tcW w:w="3278" w:type="dxa"/>
            <w:tcBorders>
              <w:top w:val="single" w:color="auto" w:sz="4" w:space="0"/>
              <w:left w:val="single" w:color="auto" w:sz="4" w:space="0"/>
              <w:bottom w:val="single" w:color="auto" w:sz="4" w:space="0"/>
              <w:right w:val="single" w:color="auto" w:sz="4" w:space="0"/>
            </w:tcBorders>
            <w:shd w:val="clear" w:color="auto" w:fill="FFFFFF"/>
            <w:tcMar>
              <w:top w:w="0" w:type="dxa"/>
              <w:left w:w="105" w:type="dxa"/>
              <w:bottom w:w="0" w:type="dxa"/>
              <w:right w:w="105" w:type="dxa"/>
            </w:tcMar>
            <w:vAlign w:val="center"/>
          </w:tcPr>
          <w:p w14:paraId="6B8F3D55">
            <w:pPr>
              <w:widowControl/>
              <w:spacing w:line="360" w:lineRule="auto"/>
              <w:jc w:val="left"/>
              <w:rPr>
                <w:rFonts w:ascii="宋体" w:hAnsi="宋体" w:cs="宋体"/>
                <w:color w:val="auto"/>
                <w:kern w:val="0"/>
                <w:sz w:val="24"/>
                <w:szCs w:val="24"/>
                <w:highlight w:val="none"/>
              </w:rPr>
            </w:pPr>
          </w:p>
        </w:tc>
      </w:tr>
      <w:tr w14:paraId="76AA2F6F">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615" w:hRule="atLeast"/>
          <w:jc w:val="center"/>
        </w:trPr>
        <w:tc>
          <w:tcPr>
            <w:tcW w:w="692" w:type="dxa"/>
            <w:tcBorders>
              <w:top w:val="single" w:color="auto" w:sz="4" w:space="0"/>
              <w:left w:val="single" w:color="auto" w:sz="4" w:space="0"/>
              <w:bottom w:val="single" w:color="auto" w:sz="4" w:space="0"/>
              <w:right w:val="single" w:color="auto" w:sz="4" w:space="0"/>
            </w:tcBorders>
            <w:shd w:val="clear" w:color="auto" w:fill="FFFFFF"/>
            <w:tcMar>
              <w:top w:w="0" w:type="dxa"/>
              <w:left w:w="105" w:type="dxa"/>
              <w:bottom w:w="0" w:type="dxa"/>
              <w:right w:w="105" w:type="dxa"/>
            </w:tcMar>
            <w:vAlign w:val="center"/>
          </w:tcPr>
          <w:p w14:paraId="456BF238">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17</w:t>
            </w:r>
          </w:p>
        </w:tc>
        <w:tc>
          <w:tcPr>
            <w:tcW w:w="2977" w:type="dxa"/>
            <w:tcBorders>
              <w:top w:val="single" w:color="auto" w:sz="4" w:space="0"/>
              <w:left w:val="single" w:color="auto" w:sz="4" w:space="0"/>
              <w:bottom w:val="single" w:color="auto" w:sz="4" w:space="0"/>
              <w:right w:val="single" w:color="auto" w:sz="4" w:space="0"/>
            </w:tcBorders>
            <w:shd w:val="clear" w:color="auto" w:fill="FFFFFF"/>
            <w:tcMar>
              <w:top w:w="0" w:type="dxa"/>
              <w:left w:w="105" w:type="dxa"/>
              <w:bottom w:w="0" w:type="dxa"/>
              <w:right w:w="105" w:type="dxa"/>
            </w:tcMar>
            <w:vAlign w:val="center"/>
          </w:tcPr>
          <w:p w14:paraId="7E7926F4">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未按投标响应要求派遣厨师长和厨师的</w:t>
            </w:r>
          </w:p>
        </w:tc>
        <w:tc>
          <w:tcPr>
            <w:tcW w:w="844" w:type="dxa"/>
            <w:tcBorders>
              <w:top w:val="single" w:color="auto" w:sz="4" w:space="0"/>
              <w:left w:val="single" w:color="auto" w:sz="4" w:space="0"/>
              <w:bottom w:val="single" w:color="auto" w:sz="4" w:space="0"/>
              <w:right w:val="single" w:color="auto" w:sz="4" w:space="0"/>
            </w:tcBorders>
            <w:shd w:val="clear" w:color="auto" w:fill="FFFFFF"/>
            <w:tcMar>
              <w:top w:w="0" w:type="dxa"/>
              <w:left w:w="105" w:type="dxa"/>
              <w:bottom w:w="0" w:type="dxa"/>
              <w:right w:w="105" w:type="dxa"/>
            </w:tcMar>
            <w:vAlign w:val="center"/>
          </w:tcPr>
          <w:p w14:paraId="3934B375">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1天</w:t>
            </w:r>
          </w:p>
        </w:tc>
        <w:tc>
          <w:tcPr>
            <w:tcW w:w="878" w:type="dxa"/>
            <w:tcBorders>
              <w:top w:val="single" w:color="auto" w:sz="4" w:space="0"/>
              <w:left w:val="single" w:color="auto" w:sz="4" w:space="0"/>
              <w:bottom w:val="single" w:color="auto" w:sz="4" w:space="0"/>
              <w:right w:val="single" w:color="auto" w:sz="4" w:space="0"/>
            </w:tcBorders>
            <w:shd w:val="clear" w:color="auto" w:fill="FFFFFF"/>
            <w:tcMar>
              <w:top w:w="0" w:type="dxa"/>
              <w:left w:w="105" w:type="dxa"/>
              <w:bottom w:w="0" w:type="dxa"/>
              <w:right w:w="105" w:type="dxa"/>
            </w:tcMar>
            <w:vAlign w:val="center"/>
          </w:tcPr>
          <w:p w14:paraId="3D8EABC2">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5</w:t>
            </w:r>
          </w:p>
        </w:tc>
        <w:tc>
          <w:tcPr>
            <w:tcW w:w="3278" w:type="dxa"/>
            <w:tcBorders>
              <w:top w:val="single" w:color="auto" w:sz="4" w:space="0"/>
              <w:left w:val="single" w:color="auto" w:sz="4" w:space="0"/>
              <w:bottom w:val="single" w:color="auto" w:sz="4" w:space="0"/>
              <w:right w:val="single" w:color="auto" w:sz="4" w:space="0"/>
            </w:tcBorders>
            <w:shd w:val="clear" w:color="auto" w:fill="FFFFFF"/>
            <w:tcMar>
              <w:top w:w="0" w:type="dxa"/>
              <w:left w:w="105" w:type="dxa"/>
              <w:bottom w:w="0" w:type="dxa"/>
              <w:right w:w="105" w:type="dxa"/>
            </w:tcMar>
            <w:vAlign w:val="center"/>
          </w:tcPr>
          <w:p w14:paraId="22CFBB66">
            <w:pPr>
              <w:widowControl/>
              <w:spacing w:line="360" w:lineRule="auto"/>
              <w:jc w:val="left"/>
              <w:rPr>
                <w:rFonts w:ascii="宋体" w:hAnsi="宋体" w:cs="宋体"/>
                <w:color w:val="auto"/>
                <w:kern w:val="0"/>
                <w:sz w:val="24"/>
                <w:szCs w:val="24"/>
                <w:highlight w:val="none"/>
              </w:rPr>
            </w:pPr>
          </w:p>
        </w:tc>
      </w:tr>
      <w:tr w14:paraId="5A65376F">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615" w:hRule="atLeast"/>
          <w:jc w:val="center"/>
        </w:trPr>
        <w:tc>
          <w:tcPr>
            <w:tcW w:w="692" w:type="dxa"/>
            <w:tcBorders>
              <w:top w:val="single" w:color="auto" w:sz="4" w:space="0"/>
              <w:left w:val="single" w:color="auto" w:sz="4" w:space="0"/>
              <w:bottom w:val="single" w:color="auto" w:sz="4" w:space="0"/>
              <w:right w:val="single" w:color="auto" w:sz="4" w:space="0"/>
            </w:tcBorders>
            <w:shd w:val="clear" w:color="auto" w:fill="FFFFFF"/>
            <w:tcMar>
              <w:top w:w="0" w:type="dxa"/>
              <w:left w:w="105" w:type="dxa"/>
              <w:bottom w:w="0" w:type="dxa"/>
              <w:right w:w="105" w:type="dxa"/>
            </w:tcMar>
            <w:vAlign w:val="center"/>
          </w:tcPr>
          <w:p w14:paraId="68A6B974">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18</w:t>
            </w:r>
          </w:p>
        </w:tc>
        <w:tc>
          <w:tcPr>
            <w:tcW w:w="2977" w:type="dxa"/>
            <w:tcBorders>
              <w:top w:val="single" w:color="auto" w:sz="4" w:space="0"/>
              <w:left w:val="single" w:color="auto" w:sz="4" w:space="0"/>
              <w:bottom w:val="single" w:color="auto" w:sz="4" w:space="0"/>
              <w:right w:val="single" w:color="auto" w:sz="4" w:space="0"/>
            </w:tcBorders>
            <w:shd w:val="clear" w:color="auto" w:fill="FFFFFF"/>
            <w:tcMar>
              <w:top w:w="0" w:type="dxa"/>
              <w:left w:w="105" w:type="dxa"/>
              <w:bottom w:w="0" w:type="dxa"/>
              <w:right w:w="105" w:type="dxa"/>
            </w:tcMar>
            <w:vAlign w:val="center"/>
          </w:tcPr>
          <w:p w14:paraId="10BA35C2">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未按投标响应要求派遣面点师的</w:t>
            </w:r>
          </w:p>
        </w:tc>
        <w:tc>
          <w:tcPr>
            <w:tcW w:w="844" w:type="dxa"/>
            <w:tcBorders>
              <w:top w:val="single" w:color="auto" w:sz="4" w:space="0"/>
              <w:left w:val="single" w:color="auto" w:sz="4" w:space="0"/>
              <w:bottom w:val="single" w:color="auto" w:sz="4" w:space="0"/>
              <w:right w:val="single" w:color="auto" w:sz="4" w:space="0"/>
            </w:tcBorders>
            <w:shd w:val="clear" w:color="auto" w:fill="FFFFFF"/>
            <w:tcMar>
              <w:top w:w="0" w:type="dxa"/>
              <w:left w:w="105" w:type="dxa"/>
              <w:bottom w:w="0" w:type="dxa"/>
              <w:right w:w="105" w:type="dxa"/>
            </w:tcMar>
            <w:vAlign w:val="center"/>
          </w:tcPr>
          <w:p w14:paraId="04359006">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1天</w:t>
            </w:r>
          </w:p>
        </w:tc>
        <w:tc>
          <w:tcPr>
            <w:tcW w:w="878" w:type="dxa"/>
            <w:tcBorders>
              <w:top w:val="single" w:color="auto" w:sz="4" w:space="0"/>
              <w:left w:val="single" w:color="auto" w:sz="4" w:space="0"/>
              <w:bottom w:val="single" w:color="auto" w:sz="4" w:space="0"/>
              <w:right w:val="single" w:color="auto" w:sz="4" w:space="0"/>
            </w:tcBorders>
            <w:shd w:val="clear" w:color="auto" w:fill="FFFFFF"/>
            <w:tcMar>
              <w:top w:w="0" w:type="dxa"/>
              <w:left w:w="105" w:type="dxa"/>
              <w:bottom w:w="0" w:type="dxa"/>
              <w:right w:w="105" w:type="dxa"/>
            </w:tcMar>
            <w:vAlign w:val="center"/>
          </w:tcPr>
          <w:p w14:paraId="197D751E">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4</w:t>
            </w:r>
          </w:p>
        </w:tc>
        <w:tc>
          <w:tcPr>
            <w:tcW w:w="3278" w:type="dxa"/>
            <w:tcBorders>
              <w:top w:val="single" w:color="auto" w:sz="4" w:space="0"/>
              <w:left w:val="single" w:color="auto" w:sz="4" w:space="0"/>
              <w:bottom w:val="single" w:color="auto" w:sz="4" w:space="0"/>
              <w:right w:val="single" w:color="auto" w:sz="4" w:space="0"/>
            </w:tcBorders>
            <w:shd w:val="clear" w:color="auto" w:fill="FFFFFF"/>
            <w:tcMar>
              <w:top w:w="0" w:type="dxa"/>
              <w:left w:w="105" w:type="dxa"/>
              <w:bottom w:w="0" w:type="dxa"/>
              <w:right w:w="105" w:type="dxa"/>
            </w:tcMar>
            <w:vAlign w:val="center"/>
          </w:tcPr>
          <w:p w14:paraId="598DDDA9">
            <w:pPr>
              <w:widowControl/>
              <w:spacing w:line="360" w:lineRule="auto"/>
              <w:jc w:val="left"/>
              <w:rPr>
                <w:rFonts w:ascii="宋体" w:hAnsi="宋体" w:cs="宋体"/>
                <w:color w:val="auto"/>
                <w:kern w:val="0"/>
                <w:sz w:val="24"/>
                <w:szCs w:val="24"/>
                <w:highlight w:val="none"/>
              </w:rPr>
            </w:pPr>
          </w:p>
        </w:tc>
      </w:tr>
      <w:tr w14:paraId="4BC1FAB9">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615" w:hRule="atLeast"/>
          <w:jc w:val="center"/>
        </w:trPr>
        <w:tc>
          <w:tcPr>
            <w:tcW w:w="692" w:type="dxa"/>
            <w:tcBorders>
              <w:top w:val="single" w:color="auto" w:sz="4" w:space="0"/>
              <w:left w:val="single" w:color="auto" w:sz="4" w:space="0"/>
              <w:bottom w:val="single" w:color="auto" w:sz="4" w:space="0"/>
              <w:right w:val="single" w:color="auto" w:sz="4" w:space="0"/>
            </w:tcBorders>
            <w:shd w:val="clear" w:color="auto" w:fill="FFFFFF"/>
            <w:tcMar>
              <w:top w:w="0" w:type="dxa"/>
              <w:left w:w="105" w:type="dxa"/>
              <w:bottom w:w="0" w:type="dxa"/>
              <w:right w:w="105" w:type="dxa"/>
            </w:tcMar>
            <w:vAlign w:val="center"/>
          </w:tcPr>
          <w:p w14:paraId="0A70436A">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19</w:t>
            </w:r>
          </w:p>
        </w:tc>
        <w:tc>
          <w:tcPr>
            <w:tcW w:w="2977" w:type="dxa"/>
            <w:tcBorders>
              <w:top w:val="single" w:color="auto" w:sz="4" w:space="0"/>
              <w:left w:val="single" w:color="auto" w:sz="4" w:space="0"/>
              <w:bottom w:val="single" w:color="auto" w:sz="4" w:space="0"/>
              <w:right w:val="single" w:color="auto" w:sz="4" w:space="0"/>
            </w:tcBorders>
            <w:shd w:val="clear" w:color="auto" w:fill="FFFFFF"/>
            <w:tcMar>
              <w:top w:w="0" w:type="dxa"/>
              <w:left w:w="105" w:type="dxa"/>
              <w:bottom w:w="0" w:type="dxa"/>
              <w:right w:w="105" w:type="dxa"/>
            </w:tcMar>
            <w:vAlign w:val="center"/>
          </w:tcPr>
          <w:p w14:paraId="2F7B8FF2">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sz w:val="24"/>
                <w:szCs w:val="24"/>
                <w:highlight w:val="none"/>
              </w:rPr>
              <w:t>若提出更换派遣人员意见后，未在5个工作日内予以更换的</w:t>
            </w:r>
          </w:p>
        </w:tc>
        <w:tc>
          <w:tcPr>
            <w:tcW w:w="844" w:type="dxa"/>
            <w:tcBorders>
              <w:top w:val="single" w:color="auto" w:sz="4" w:space="0"/>
              <w:left w:val="single" w:color="auto" w:sz="4" w:space="0"/>
              <w:bottom w:val="single" w:color="auto" w:sz="4" w:space="0"/>
              <w:right w:val="single" w:color="auto" w:sz="4" w:space="0"/>
            </w:tcBorders>
            <w:shd w:val="clear" w:color="auto" w:fill="FFFFFF"/>
            <w:tcMar>
              <w:top w:w="0" w:type="dxa"/>
              <w:left w:w="105" w:type="dxa"/>
              <w:bottom w:w="0" w:type="dxa"/>
              <w:right w:w="105" w:type="dxa"/>
            </w:tcMar>
            <w:vAlign w:val="center"/>
          </w:tcPr>
          <w:p w14:paraId="7AF9BB09">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1次</w:t>
            </w:r>
          </w:p>
        </w:tc>
        <w:tc>
          <w:tcPr>
            <w:tcW w:w="878" w:type="dxa"/>
            <w:tcBorders>
              <w:top w:val="single" w:color="auto" w:sz="4" w:space="0"/>
              <w:left w:val="single" w:color="auto" w:sz="4" w:space="0"/>
              <w:bottom w:val="single" w:color="auto" w:sz="4" w:space="0"/>
              <w:right w:val="single" w:color="auto" w:sz="4" w:space="0"/>
            </w:tcBorders>
            <w:shd w:val="clear" w:color="auto" w:fill="FFFFFF"/>
            <w:tcMar>
              <w:top w:w="0" w:type="dxa"/>
              <w:left w:w="105" w:type="dxa"/>
              <w:bottom w:w="0" w:type="dxa"/>
              <w:right w:w="105" w:type="dxa"/>
            </w:tcMar>
            <w:vAlign w:val="center"/>
          </w:tcPr>
          <w:p w14:paraId="7E10E931">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4</w:t>
            </w:r>
          </w:p>
        </w:tc>
        <w:tc>
          <w:tcPr>
            <w:tcW w:w="3278" w:type="dxa"/>
            <w:tcBorders>
              <w:top w:val="single" w:color="auto" w:sz="4" w:space="0"/>
              <w:left w:val="single" w:color="auto" w:sz="4" w:space="0"/>
              <w:bottom w:val="single" w:color="auto" w:sz="4" w:space="0"/>
              <w:right w:val="single" w:color="auto" w:sz="4" w:space="0"/>
            </w:tcBorders>
            <w:shd w:val="clear" w:color="auto" w:fill="FFFFFF"/>
            <w:tcMar>
              <w:top w:w="0" w:type="dxa"/>
              <w:left w:w="105" w:type="dxa"/>
              <w:bottom w:w="0" w:type="dxa"/>
              <w:right w:w="105" w:type="dxa"/>
            </w:tcMar>
            <w:vAlign w:val="center"/>
          </w:tcPr>
          <w:p w14:paraId="0FA66A7B">
            <w:pPr>
              <w:widowControl/>
              <w:spacing w:line="360" w:lineRule="auto"/>
              <w:jc w:val="left"/>
              <w:rPr>
                <w:rFonts w:ascii="宋体" w:hAnsi="宋体" w:cs="宋体"/>
                <w:color w:val="auto"/>
                <w:kern w:val="0"/>
                <w:sz w:val="24"/>
                <w:szCs w:val="24"/>
                <w:highlight w:val="none"/>
              </w:rPr>
            </w:pPr>
          </w:p>
        </w:tc>
      </w:tr>
    </w:tbl>
    <w:p w14:paraId="3D14B6A5">
      <w:pPr>
        <w:widowControl/>
        <w:shd w:val="clear" w:color="auto" w:fill="FFFFFF"/>
        <w:spacing w:line="360" w:lineRule="auto"/>
        <w:ind w:firstLine="555"/>
        <w:jc w:val="left"/>
        <w:rPr>
          <w:rFonts w:ascii="宋体" w:hAnsi="宋体" w:cs="宋体"/>
          <w:b/>
          <w:bCs/>
          <w:color w:val="auto"/>
          <w:kern w:val="0"/>
          <w:sz w:val="24"/>
          <w:szCs w:val="24"/>
          <w:highlight w:val="none"/>
        </w:rPr>
      </w:pPr>
    </w:p>
    <w:p w14:paraId="559D796A">
      <w:pPr>
        <w:widowControl/>
        <w:shd w:val="clear" w:color="auto" w:fill="FFFFFF"/>
        <w:spacing w:line="360" w:lineRule="auto"/>
        <w:ind w:firstLine="555"/>
        <w:jc w:val="left"/>
        <w:rPr>
          <w:rFonts w:ascii="宋体" w:hAnsi="宋体" w:cs="宋体"/>
          <w:b/>
          <w:bCs/>
          <w:color w:val="auto"/>
          <w:kern w:val="0"/>
          <w:sz w:val="24"/>
          <w:szCs w:val="24"/>
          <w:highlight w:val="none"/>
        </w:rPr>
      </w:pPr>
      <w:r>
        <w:rPr>
          <w:rFonts w:hint="eastAsia" w:ascii="宋体" w:hAnsi="宋体" w:cs="宋体"/>
          <w:b/>
          <w:bCs/>
          <w:color w:val="auto"/>
          <w:kern w:val="0"/>
          <w:sz w:val="24"/>
          <w:szCs w:val="24"/>
          <w:highlight w:val="none"/>
        </w:rPr>
        <w:t>附件3： 就餐者满意度调查表</w:t>
      </w:r>
    </w:p>
    <w:p w14:paraId="3110098B">
      <w:pPr>
        <w:widowControl/>
        <w:shd w:val="clear" w:color="auto" w:fill="FFFFFF"/>
        <w:spacing w:line="360" w:lineRule="auto"/>
        <w:ind w:firstLine="555"/>
        <w:jc w:val="center"/>
        <w:rPr>
          <w:rFonts w:ascii="宋体" w:hAnsi="宋体" w:cs="宋体"/>
          <w:b/>
          <w:bCs/>
          <w:color w:val="auto"/>
          <w:kern w:val="0"/>
          <w:sz w:val="24"/>
          <w:szCs w:val="24"/>
          <w:highlight w:val="none"/>
        </w:rPr>
      </w:pPr>
      <w:r>
        <w:rPr>
          <w:rFonts w:hint="eastAsia" w:ascii="宋体" w:hAnsi="宋体" w:cs="宋体"/>
          <w:color w:val="auto"/>
          <w:sz w:val="24"/>
          <w:szCs w:val="24"/>
          <w:highlight w:val="none"/>
          <w:shd w:val="clear" w:color="auto" w:fill="FFFFFF"/>
        </w:rPr>
        <w:t>厦门市分行职工食堂外包服务团队满意度调查</w:t>
      </w:r>
    </w:p>
    <w:p w14:paraId="3F463A31">
      <w:pPr>
        <w:pStyle w:val="18"/>
        <w:spacing w:before="0" w:beforeAutospacing="0" w:after="0" w:afterAutospacing="0" w:line="360" w:lineRule="auto"/>
        <w:ind w:firstLine="480" w:firstLineChars="200"/>
        <w:rPr>
          <w:color w:val="auto"/>
          <w:highlight w:val="none"/>
        </w:rPr>
      </w:pPr>
      <w:r>
        <w:rPr>
          <w:rFonts w:hint="eastAsia"/>
          <w:color w:val="auto"/>
          <w:highlight w:val="none"/>
          <w:shd w:val="clear" w:color="auto" w:fill="FFFFFF"/>
        </w:rPr>
        <w:t>为进一步提高职工食堂服务质量，现对食堂的菜肴、餐厅卫生及服务情况开展问卷调查，感谢您的积极参与！</w:t>
      </w:r>
    </w:p>
    <w:tbl>
      <w:tblPr>
        <w:tblStyle w:val="21"/>
        <w:tblW w:w="9429" w:type="dxa"/>
        <w:jc w:val="center"/>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Layout w:type="autofit"/>
        <w:tblCellMar>
          <w:top w:w="15" w:type="dxa"/>
          <w:left w:w="15" w:type="dxa"/>
          <w:bottom w:w="15" w:type="dxa"/>
          <w:right w:w="15" w:type="dxa"/>
        </w:tblCellMar>
      </w:tblPr>
      <w:tblGrid>
        <w:gridCol w:w="559"/>
        <w:gridCol w:w="866"/>
        <w:gridCol w:w="1410"/>
        <w:gridCol w:w="1410"/>
        <w:gridCol w:w="1275"/>
        <w:gridCol w:w="7"/>
        <w:gridCol w:w="1418"/>
        <w:gridCol w:w="1275"/>
        <w:gridCol w:w="7"/>
        <w:gridCol w:w="1202"/>
      </w:tblGrid>
      <w:tr w14:paraId="60D68D96">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390" w:hRule="atLeast"/>
          <w:tblHeader/>
          <w:jc w:val="center"/>
        </w:trPr>
        <w:tc>
          <w:tcPr>
            <w:tcW w:w="1425" w:type="dxa"/>
            <w:gridSpan w:val="2"/>
            <w:vMerge w:val="restart"/>
            <w:tcBorders>
              <w:top w:val="outset" w:color="000000" w:sz="6" w:space="0"/>
              <w:left w:val="outset" w:color="000000" w:sz="6" w:space="0"/>
              <w:bottom w:val="outset" w:color="000000" w:sz="6" w:space="0"/>
              <w:right w:val="single" w:color="auto" w:sz="4" w:space="0"/>
            </w:tcBorders>
            <w:shd w:val="clear" w:color="auto" w:fill="FFFFFF"/>
            <w:tcMar>
              <w:top w:w="0" w:type="dxa"/>
              <w:left w:w="105" w:type="dxa"/>
              <w:bottom w:w="0" w:type="dxa"/>
              <w:right w:w="105" w:type="dxa"/>
            </w:tcMar>
            <w:vAlign w:val="center"/>
          </w:tcPr>
          <w:p w14:paraId="795B3593">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分值</w:t>
            </w:r>
          </w:p>
          <w:p w14:paraId="313AA625">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项目</w:t>
            </w:r>
          </w:p>
        </w:tc>
        <w:tc>
          <w:tcPr>
            <w:tcW w:w="1410" w:type="dxa"/>
            <w:vMerge w:val="restart"/>
            <w:tcBorders>
              <w:top w:val="single" w:color="auto" w:sz="4" w:space="0"/>
              <w:left w:val="single" w:color="auto" w:sz="4" w:space="0"/>
              <w:right w:val="single" w:color="auto" w:sz="4" w:space="0"/>
            </w:tcBorders>
            <w:shd w:val="clear" w:color="auto" w:fill="FFFFFF"/>
            <w:vAlign w:val="center"/>
          </w:tcPr>
          <w:p w14:paraId="12867DD7">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评价内容</w:t>
            </w:r>
          </w:p>
        </w:tc>
        <w:tc>
          <w:tcPr>
            <w:tcW w:w="1410" w:type="dxa"/>
            <w:tcBorders>
              <w:top w:val="outset" w:color="000000" w:sz="6" w:space="0"/>
              <w:left w:val="single" w:color="auto" w:sz="4"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2EE04C07">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非常满意</w:t>
            </w:r>
          </w:p>
        </w:tc>
        <w:tc>
          <w:tcPr>
            <w:tcW w:w="1282" w:type="dxa"/>
            <w:gridSpan w:val="2"/>
            <w:tcBorders>
              <w:top w:val="outset" w:color="000000" w:sz="6"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707ECC61">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满意</w:t>
            </w:r>
          </w:p>
        </w:tc>
        <w:tc>
          <w:tcPr>
            <w:tcW w:w="1418" w:type="dxa"/>
            <w:tcBorders>
              <w:top w:val="outset" w:color="000000" w:sz="6"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5E2C5FF0">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基本满意</w:t>
            </w:r>
          </w:p>
        </w:tc>
        <w:tc>
          <w:tcPr>
            <w:tcW w:w="1282" w:type="dxa"/>
            <w:gridSpan w:val="2"/>
            <w:tcBorders>
              <w:top w:val="outset" w:color="000000" w:sz="6"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215EC7C5">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不满意</w:t>
            </w:r>
          </w:p>
        </w:tc>
        <w:tc>
          <w:tcPr>
            <w:tcW w:w="1202" w:type="dxa"/>
            <w:vMerge w:val="restart"/>
            <w:tcBorders>
              <w:top w:val="outset" w:color="000000" w:sz="6"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3646F0E4">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存在问题和建议</w:t>
            </w:r>
          </w:p>
        </w:tc>
      </w:tr>
      <w:tr w14:paraId="1BDCCAE3">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480" w:hRule="atLeast"/>
          <w:tblHeader/>
          <w:jc w:val="center"/>
        </w:trPr>
        <w:tc>
          <w:tcPr>
            <w:tcW w:w="1425" w:type="dxa"/>
            <w:gridSpan w:val="2"/>
            <w:vMerge w:val="continue"/>
            <w:tcBorders>
              <w:top w:val="outset" w:color="000000" w:sz="6" w:space="0"/>
              <w:left w:val="outset" w:color="000000" w:sz="6" w:space="0"/>
              <w:bottom w:val="outset" w:color="000000" w:sz="6" w:space="0"/>
              <w:right w:val="single" w:color="auto" w:sz="4" w:space="0"/>
            </w:tcBorders>
            <w:shd w:val="clear" w:color="auto" w:fill="auto"/>
            <w:vAlign w:val="center"/>
          </w:tcPr>
          <w:p w14:paraId="329BBA14">
            <w:pPr>
              <w:widowControl/>
              <w:spacing w:line="360" w:lineRule="auto"/>
              <w:jc w:val="left"/>
              <w:rPr>
                <w:rFonts w:ascii="宋体" w:hAnsi="宋体" w:cs="宋体"/>
                <w:color w:val="auto"/>
                <w:kern w:val="0"/>
                <w:sz w:val="24"/>
                <w:szCs w:val="24"/>
                <w:highlight w:val="none"/>
              </w:rPr>
            </w:pPr>
          </w:p>
        </w:tc>
        <w:tc>
          <w:tcPr>
            <w:tcW w:w="1410" w:type="dxa"/>
            <w:vMerge w:val="continue"/>
            <w:tcBorders>
              <w:left w:val="single" w:color="auto" w:sz="4" w:space="0"/>
              <w:bottom w:val="single" w:color="auto" w:sz="4" w:space="0"/>
              <w:right w:val="single" w:color="auto" w:sz="4" w:space="0"/>
            </w:tcBorders>
            <w:shd w:val="clear" w:color="auto" w:fill="auto"/>
          </w:tcPr>
          <w:p w14:paraId="3F8EEDDF">
            <w:pPr>
              <w:widowControl/>
              <w:spacing w:line="360" w:lineRule="auto"/>
              <w:jc w:val="center"/>
              <w:rPr>
                <w:rFonts w:ascii="宋体" w:hAnsi="宋体" w:cs="宋体"/>
                <w:color w:val="auto"/>
                <w:kern w:val="0"/>
                <w:sz w:val="24"/>
                <w:szCs w:val="24"/>
                <w:highlight w:val="none"/>
              </w:rPr>
            </w:pPr>
          </w:p>
        </w:tc>
        <w:tc>
          <w:tcPr>
            <w:tcW w:w="1410" w:type="dxa"/>
            <w:tcBorders>
              <w:top w:val="single" w:color="auto" w:sz="0" w:space="0"/>
              <w:left w:val="single" w:color="auto" w:sz="4"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5B1CFB12">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（100分）</w:t>
            </w:r>
          </w:p>
        </w:tc>
        <w:tc>
          <w:tcPr>
            <w:tcW w:w="1282" w:type="dxa"/>
            <w:gridSpan w:val="2"/>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11686255">
            <w:pPr>
              <w:widowControl/>
              <w:spacing w:after="150"/>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（80分）</w:t>
            </w:r>
          </w:p>
        </w:tc>
        <w:tc>
          <w:tcPr>
            <w:tcW w:w="1418" w:type="dxa"/>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188CF033">
            <w:pPr>
              <w:widowControl/>
              <w:spacing w:after="150"/>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（60分）</w:t>
            </w:r>
          </w:p>
        </w:tc>
        <w:tc>
          <w:tcPr>
            <w:tcW w:w="1282" w:type="dxa"/>
            <w:gridSpan w:val="2"/>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1BC212BA">
            <w:pPr>
              <w:widowControl/>
              <w:spacing w:after="150"/>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（40分）</w:t>
            </w:r>
          </w:p>
        </w:tc>
        <w:tc>
          <w:tcPr>
            <w:tcW w:w="1202" w:type="dxa"/>
            <w:vMerge w:val="continue"/>
            <w:tcBorders>
              <w:top w:val="outset" w:color="000000" w:sz="6" w:space="0"/>
              <w:left w:val="single" w:color="auto" w:sz="0" w:space="0"/>
              <w:bottom w:val="outset" w:color="000000" w:sz="6" w:space="0"/>
              <w:right w:val="outset" w:color="000000" w:sz="6" w:space="0"/>
            </w:tcBorders>
            <w:vAlign w:val="center"/>
          </w:tcPr>
          <w:p w14:paraId="4A0E25E9">
            <w:pPr>
              <w:widowControl/>
              <w:spacing w:line="360" w:lineRule="auto"/>
              <w:jc w:val="left"/>
              <w:rPr>
                <w:rFonts w:ascii="宋体" w:hAnsi="宋体" w:cs="宋体"/>
                <w:color w:val="auto"/>
                <w:kern w:val="0"/>
                <w:sz w:val="24"/>
                <w:szCs w:val="24"/>
                <w:highlight w:val="none"/>
              </w:rPr>
            </w:pPr>
          </w:p>
        </w:tc>
      </w:tr>
      <w:tr w14:paraId="0ED82E00">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690" w:hRule="atLeast"/>
          <w:jc w:val="center"/>
        </w:trPr>
        <w:tc>
          <w:tcPr>
            <w:tcW w:w="559" w:type="dxa"/>
            <w:vMerge w:val="restart"/>
            <w:tcBorders>
              <w:top w:val="single" w:color="auto" w:sz="0" w:space="0"/>
              <w:left w:val="outset" w:color="000000" w:sz="6"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42389179">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菜</w:t>
            </w:r>
          </w:p>
          <w:p w14:paraId="4056BDCF">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肴</w:t>
            </w:r>
          </w:p>
          <w:p w14:paraId="77B30906">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情</w:t>
            </w:r>
          </w:p>
          <w:p w14:paraId="0A916BF5">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况</w:t>
            </w:r>
          </w:p>
        </w:tc>
        <w:tc>
          <w:tcPr>
            <w:tcW w:w="866" w:type="dxa"/>
            <w:tcBorders>
              <w:top w:val="single" w:color="auto" w:sz="0" w:space="0"/>
              <w:left w:val="single" w:color="auto" w:sz="0" w:space="0"/>
              <w:bottom w:val="outset" w:color="000000" w:sz="6" w:space="0"/>
              <w:right w:val="single" w:color="auto" w:sz="4" w:space="0"/>
            </w:tcBorders>
            <w:shd w:val="clear" w:color="auto" w:fill="FFFFFF"/>
            <w:tcMar>
              <w:top w:w="0" w:type="dxa"/>
              <w:left w:w="105" w:type="dxa"/>
              <w:bottom w:w="0" w:type="dxa"/>
              <w:right w:w="105" w:type="dxa"/>
            </w:tcMar>
            <w:vAlign w:val="center"/>
          </w:tcPr>
          <w:p w14:paraId="26EBAA41">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数量</w:t>
            </w:r>
          </w:p>
        </w:tc>
        <w:tc>
          <w:tcPr>
            <w:tcW w:w="1410" w:type="dxa"/>
            <w:tcBorders>
              <w:top w:val="single" w:color="auto" w:sz="4" w:space="0"/>
              <w:left w:val="single" w:color="auto" w:sz="4" w:space="0"/>
              <w:bottom w:val="single" w:color="auto" w:sz="4" w:space="0"/>
              <w:right w:val="single" w:color="auto" w:sz="4" w:space="0"/>
            </w:tcBorders>
            <w:shd w:val="clear" w:color="auto" w:fill="FFFFFF"/>
          </w:tcPr>
          <w:p w14:paraId="4039BFE7">
            <w:pPr>
              <w:widowControl/>
              <w:spacing w:line="360" w:lineRule="auto"/>
              <w:jc w:val="left"/>
              <w:rPr>
                <w:rFonts w:ascii="宋体" w:hAnsi="宋体" w:cs="宋体"/>
                <w:color w:val="auto"/>
                <w:kern w:val="0"/>
                <w:sz w:val="24"/>
                <w:szCs w:val="24"/>
                <w:highlight w:val="none"/>
              </w:rPr>
            </w:pPr>
            <w:r>
              <w:rPr>
                <w:rFonts w:hint="eastAsia" w:ascii="宋体" w:hAnsi="宋体" w:cs="宋体"/>
                <w:color w:val="auto"/>
                <w:kern w:val="0"/>
                <w:sz w:val="24"/>
                <w:szCs w:val="24"/>
                <w:highlight w:val="none"/>
              </w:rPr>
              <w:t>是否按要求的数量搭配</w:t>
            </w:r>
          </w:p>
        </w:tc>
        <w:tc>
          <w:tcPr>
            <w:tcW w:w="1410" w:type="dxa"/>
            <w:tcBorders>
              <w:top w:val="single" w:color="auto" w:sz="0" w:space="0"/>
              <w:left w:val="single" w:color="auto" w:sz="4" w:space="0"/>
              <w:bottom w:val="outset" w:color="000000" w:sz="6" w:space="0"/>
              <w:right w:val="outset" w:color="000000" w:sz="6" w:space="0"/>
            </w:tcBorders>
            <w:shd w:val="clear" w:color="auto" w:fill="FFFFFF"/>
            <w:tcMar>
              <w:top w:w="0" w:type="dxa"/>
              <w:left w:w="105" w:type="dxa"/>
              <w:bottom w:w="0" w:type="dxa"/>
              <w:right w:w="105" w:type="dxa"/>
            </w:tcMar>
          </w:tcPr>
          <w:p w14:paraId="1BE85F1D">
            <w:pPr>
              <w:widowControl/>
              <w:spacing w:line="360" w:lineRule="auto"/>
              <w:jc w:val="left"/>
              <w:rPr>
                <w:rFonts w:ascii="宋体" w:hAnsi="宋体" w:cs="宋体"/>
                <w:color w:val="auto"/>
                <w:kern w:val="0"/>
                <w:sz w:val="24"/>
                <w:szCs w:val="24"/>
                <w:highlight w:val="none"/>
              </w:rPr>
            </w:pPr>
          </w:p>
        </w:tc>
        <w:tc>
          <w:tcPr>
            <w:tcW w:w="1275" w:type="dxa"/>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tcPr>
          <w:p w14:paraId="00DA11B5">
            <w:pPr>
              <w:widowControl/>
              <w:spacing w:line="360" w:lineRule="auto"/>
              <w:jc w:val="left"/>
              <w:rPr>
                <w:rFonts w:ascii="宋体" w:hAnsi="宋体" w:cs="宋体"/>
                <w:color w:val="auto"/>
                <w:kern w:val="0"/>
                <w:sz w:val="24"/>
                <w:szCs w:val="24"/>
                <w:highlight w:val="none"/>
              </w:rPr>
            </w:pPr>
          </w:p>
        </w:tc>
        <w:tc>
          <w:tcPr>
            <w:tcW w:w="1425" w:type="dxa"/>
            <w:gridSpan w:val="2"/>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tcPr>
          <w:p w14:paraId="0F33B2AE">
            <w:pPr>
              <w:widowControl/>
              <w:spacing w:line="360" w:lineRule="auto"/>
              <w:jc w:val="left"/>
              <w:rPr>
                <w:rFonts w:ascii="宋体" w:hAnsi="宋体" w:cs="宋体"/>
                <w:color w:val="auto"/>
                <w:kern w:val="0"/>
                <w:sz w:val="24"/>
                <w:szCs w:val="24"/>
                <w:highlight w:val="none"/>
              </w:rPr>
            </w:pPr>
          </w:p>
        </w:tc>
        <w:tc>
          <w:tcPr>
            <w:tcW w:w="1275" w:type="dxa"/>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tcPr>
          <w:p w14:paraId="5B7B0889">
            <w:pPr>
              <w:widowControl/>
              <w:spacing w:line="360" w:lineRule="auto"/>
              <w:jc w:val="left"/>
              <w:rPr>
                <w:rFonts w:ascii="宋体" w:hAnsi="宋体" w:cs="宋体"/>
                <w:color w:val="auto"/>
                <w:kern w:val="0"/>
                <w:sz w:val="24"/>
                <w:szCs w:val="24"/>
                <w:highlight w:val="none"/>
              </w:rPr>
            </w:pPr>
          </w:p>
        </w:tc>
        <w:tc>
          <w:tcPr>
            <w:tcW w:w="1209" w:type="dxa"/>
            <w:gridSpan w:val="2"/>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tcPr>
          <w:p w14:paraId="635861CA">
            <w:pPr>
              <w:widowControl/>
              <w:spacing w:line="360" w:lineRule="auto"/>
              <w:jc w:val="left"/>
              <w:rPr>
                <w:rFonts w:ascii="宋体" w:hAnsi="宋体" w:cs="宋体"/>
                <w:color w:val="auto"/>
                <w:kern w:val="0"/>
                <w:sz w:val="24"/>
                <w:szCs w:val="24"/>
                <w:highlight w:val="none"/>
              </w:rPr>
            </w:pPr>
          </w:p>
        </w:tc>
      </w:tr>
      <w:tr w14:paraId="437A8DFD">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660" w:hRule="atLeast"/>
          <w:jc w:val="center"/>
        </w:trPr>
        <w:tc>
          <w:tcPr>
            <w:tcW w:w="559" w:type="dxa"/>
            <w:vMerge w:val="continue"/>
            <w:tcBorders>
              <w:top w:val="single" w:color="auto" w:sz="0" w:space="0"/>
              <w:left w:val="outset" w:color="000000" w:sz="6" w:space="0"/>
              <w:bottom w:val="outset" w:color="000000" w:sz="6" w:space="0"/>
              <w:right w:val="outset" w:color="000000" w:sz="6" w:space="0"/>
            </w:tcBorders>
            <w:shd w:val="clear" w:color="auto" w:fill="auto"/>
            <w:vAlign w:val="center"/>
          </w:tcPr>
          <w:p w14:paraId="01386CFA">
            <w:pPr>
              <w:widowControl/>
              <w:spacing w:line="360" w:lineRule="auto"/>
              <w:jc w:val="left"/>
              <w:rPr>
                <w:rFonts w:ascii="宋体" w:hAnsi="宋体" w:cs="宋体"/>
                <w:color w:val="auto"/>
                <w:kern w:val="0"/>
                <w:sz w:val="24"/>
                <w:szCs w:val="24"/>
                <w:highlight w:val="none"/>
              </w:rPr>
            </w:pPr>
          </w:p>
        </w:tc>
        <w:tc>
          <w:tcPr>
            <w:tcW w:w="866" w:type="dxa"/>
            <w:tcBorders>
              <w:top w:val="single" w:color="auto" w:sz="0" w:space="0"/>
              <w:left w:val="single" w:color="auto" w:sz="0" w:space="0"/>
              <w:bottom w:val="outset" w:color="000000" w:sz="6" w:space="0"/>
              <w:right w:val="single" w:color="auto" w:sz="4" w:space="0"/>
            </w:tcBorders>
            <w:shd w:val="clear" w:color="auto" w:fill="FFFFFF"/>
            <w:tcMar>
              <w:top w:w="0" w:type="dxa"/>
              <w:left w:w="105" w:type="dxa"/>
              <w:bottom w:w="0" w:type="dxa"/>
              <w:right w:w="105" w:type="dxa"/>
            </w:tcMar>
            <w:vAlign w:val="center"/>
          </w:tcPr>
          <w:p w14:paraId="7742490D">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质量</w:t>
            </w:r>
          </w:p>
        </w:tc>
        <w:tc>
          <w:tcPr>
            <w:tcW w:w="1410" w:type="dxa"/>
            <w:tcBorders>
              <w:top w:val="single" w:color="auto" w:sz="4" w:space="0"/>
              <w:left w:val="single" w:color="auto" w:sz="4" w:space="0"/>
              <w:bottom w:val="single" w:color="auto" w:sz="4" w:space="0"/>
              <w:right w:val="single" w:color="auto" w:sz="4" w:space="0"/>
            </w:tcBorders>
            <w:shd w:val="clear" w:color="auto" w:fill="FFFFFF"/>
          </w:tcPr>
          <w:p w14:paraId="0949577F">
            <w:pPr>
              <w:widowControl/>
              <w:spacing w:line="360" w:lineRule="auto"/>
              <w:jc w:val="left"/>
              <w:rPr>
                <w:rFonts w:ascii="宋体" w:hAnsi="宋体" w:cs="宋体"/>
                <w:color w:val="auto"/>
                <w:kern w:val="0"/>
                <w:sz w:val="24"/>
                <w:szCs w:val="24"/>
                <w:highlight w:val="none"/>
              </w:rPr>
            </w:pPr>
            <w:r>
              <w:rPr>
                <w:rFonts w:hint="eastAsia" w:ascii="宋体" w:hAnsi="宋体" w:cs="宋体"/>
                <w:color w:val="auto"/>
                <w:kern w:val="0"/>
                <w:sz w:val="24"/>
                <w:szCs w:val="24"/>
                <w:highlight w:val="none"/>
              </w:rPr>
              <w:t>菜肴口感、是否有异味异物变质情况</w:t>
            </w:r>
          </w:p>
        </w:tc>
        <w:tc>
          <w:tcPr>
            <w:tcW w:w="1410" w:type="dxa"/>
            <w:tcBorders>
              <w:top w:val="single" w:color="auto" w:sz="0" w:space="0"/>
              <w:left w:val="single" w:color="auto" w:sz="4" w:space="0"/>
              <w:bottom w:val="outset" w:color="000000" w:sz="6" w:space="0"/>
              <w:right w:val="outset" w:color="000000" w:sz="6" w:space="0"/>
            </w:tcBorders>
            <w:shd w:val="clear" w:color="auto" w:fill="FFFFFF"/>
            <w:tcMar>
              <w:top w:w="0" w:type="dxa"/>
              <w:left w:w="105" w:type="dxa"/>
              <w:bottom w:w="0" w:type="dxa"/>
              <w:right w:w="105" w:type="dxa"/>
            </w:tcMar>
          </w:tcPr>
          <w:p w14:paraId="3DF9AA76">
            <w:pPr>
              <w:widowControl/>
              <w:spacing w:line="360" w:lineRule="auto"/>
              <w:jc w:val="left"/>
              <w:rPr>
                <w:rFonts w:ascii="宋体" w:hAnsi="宋体" w:cs="宋体"/>
                <w:color w:val="auto"/>
                <w:kern w:val="0"/>
                <w:sz w:val="24"/>
                <w:szCs w:val="24"/>
                <w:highlight w:val="none"/>
              </w:rPr>
            </w:pPr>
          </w:p>
        </w:tc>
        <w:tc>
          <w:tcPr>
            <w:tcW w:w="1275" w:type="dxa"/>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tcPr>
          <w:p w14:paraId="1520D219">
            <w:pPr>
              <w:widowControl/>
              <w:spacing w:line="360" w:lineRule="auto"/>
              <w:jc w:val="left"/>
              <w:rPr>
                <w:rFonts w:ascii="宋体" w:hAnsi="宋体" w:cs="宋体"/>
                <w:color w:val="auto"/>
                <w:kern w:val="0"/>
                <w:sz w:val="24"/>
                <w:szCs w:val="24"/>
                <w:highlight w:val="none"/>
              </w:rPr>
            </w:pPr>
          </w:p>
        </w:tc>
        <w:tc>
          <w:tcPr>
            <w:tcW w:w="1425" w:type="dxa"/>
            <w:gridSpan w:val="2"/>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tcPr>
          <w:p w14:paraId="6A8AD0C2">
            <w:pPr>
              <w:widowControl/>
              <w:spacing w:line="360" w:lineRule="auto"/>
              <w:jc w:val="left"/>
              <w:rPr>
                <w:rFonts w:ascii="宋体" w:hAnsi="宋体" w:cs="宋体"/>
                <w:color w:val="auto"/>
                <w:kern w:val="0"/>
                <w:sz w:val="24"/>
                <w:szCs w:val="24"/>
                <w:highlight w:val="none"/>
              </w:rPr>
            </w:pPr>
          </w:p>
        </w:tc>
        <w:tc>
          <w:tcPr>
            <w:tcW w:w="1275" w:type="dxa"/>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tcPr>
          <w:p w14:paraId="63A24A53">
            <w:pPr>
              <w:widowControl/>
              <w:spacing w:line="360" w:lineRule="auto"/>
              <w:jc w:val="left"/>
              <w:rPr>
                <w:rFonts w:ascii="宋体" w:hAnsi="宋体" w:cs="宋体"/>
                <w:color w:val="auto"/>
                <w:kern w:val="0"/>
                <w:sz w:val="24"/>
                <w:szCs w:val="24"/>
                <w:highlight w:val="none"/>
              </w:rPr>
            </w:pPr>
          </w:p>
        </w:tc>
        <w:tc>
          <w:tcPr>
            <w:tcW w:w="1209" w:type="dxa"/>
            <w:gridSpan w:val="2"/>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tcPr>
          <w:p w14:paraId="662A23A7">
            <w:pPr>
              <w:widowControl/>
              <w:spacing w:line="360" w:lineRule="auto"/>
              <w:jc w:val="left"/>
              <w:rPr>
                <w:rFonts w:ascii="宋体" w:hAnsi="宋体" w:cs="宋体"/>
                <w:color w:val="auto"/>
                <w:kern w:val="0"/>
                <w:sz w:val="24"/>
                <w:szCs w:val="24"/>
                <w:highlight w:val="none"/>
              </w:rPr>
            </w:pPr>
          </w:p>
        </w:tc>
      </w:tr>
      <w:tr w14:paraId="7C188D22">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435" w:hRule="atLeast"/>
          <w:jc w:val="center"/>
        </w:trPr>
        <w:tc>
          <w:tcPr>
            <w:tcW w:w="1425" w:type="dxa"/>
            <w:gridSpan w:val="2"/>
            <w:tcBorders>
              <w:top w:val="single" w:color="auto" w:sz="0" w:space="0"/>
              <w:left w:val="outset" w:color="000000" w:sz="6" w:space="0"/>
              <w:bottom w:val="outset" w:color="000000" w:sz="6" w:space="0"/>
              <w:right w:val="single" w:color="auto" w:sz="4" w:space="0"/>
            </w:tcBorders>
            <w:shd w:val="clear" w:color="auto" w:fill="FFFFFF"/>
            <w:tcMar>
              <w:top w:w="0" w:type="dxa"/>
              <w:left w:w="105" w:type="dxa"/>
              <w:bottom w:w="0" w:type="dxa"/>
              <w:right w:w="105" w:type="dxa"/>
            </w:tcMar>
            <w:vAlign w:val="center"/>
          </w:tcPr>
          <w:p w14:paraId="3147FFB4">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卫生情况</w:t>
            </w:r>
          </w:p>
        </w:tc>
        <w:tc>
          <w:tcPr>
            <w:tcW w:w="1410" w:type="dxa"/>
            <w:tcBorders>
              <w:top w:val="single" w:color="auto" w:sz="4" w:space="0"/>
              <w:left w:val="single" w:color="auto" w:sz="4" w:space="0"/>
              <w:bottom w:val="single" w:color="auto" w:sz="4" w:space="0"/>
              <w:right w:val="single" w:color="auto" w:sz="4" w:space="0"/>
            </w:tcBorders>
            <w:shd w:val="clear" w:color="auto" w:fill="FFFFFF"/>
          </w:tcPr>
          <w:p w14:paraId="504FD9E1">
            <w:pPr>
              <w:widowControl/>
              <w:spacing w:line="360" w:lineRule="auto"/>
              <w:jc w:val="left"/>
              <w:rPr>
                <w:rFonts w:ascii="宋体" w:hAnsi="宋体" w:cs="宋体"/>
                <w:color w:val="auto"/>
                <w:kern w:val="0"/>
                <w:sz w:val="24"/>
                <w:szCs w:val="24"/>
                <w:highlight w:val="none"/>
              </w:rPr>
            </w:pPr>
            <w:r>
              <w:rPr>
                <w:rFonts w:hint="eastAsia" w:ascii="宋体" w:hAnsi="宋体" w:cs="宋体"/>
                <w:color w:val="auto"/>
                <w:kern w:val="0"/>
                <w:sz w:val="24"/>
                <w:szCs w:val="24"/>
                <w:highlight w:val="none"/>
              </w:rPr>
              <w:t>是否提供过期或变质产品，餐器具卫生，食堂操作环境及就餐环境是否整洁卫生等</w:t>
            </w:r>
          </w:p>
        </w:tc>
        <w:tc>
          <w:tcPr>
            <w:tcW w:w="1410" w:type="dxa"/>
            <w:tcBorders>
              <w:top w:val="single" w:color="auto" w:sz="0" w:space="0"/>
              <w:left w:val="single" w:color="auto" w:sz="4" w:space="0"/>
              <w:bottom w:val="outset" w:color="000000" w:sz="6" w:space="0"/>
              <w:right w:val="outset" w:color="000000" w:sz="6" w:space="0"/>
            </w:tcBorders>
            <w:shd w:val="clear" w:color="auto" w:fill="FFFFFF"/>
            <w:tcMar>
              <w:top w:w="0" w:type="dxa"/>
              <w:left w:w="105" w:type="dxa"/>
              <w:bottom w:w="0" w:type="dxa"/>
              <w:right w:w="105" w:type="dxa"/>
            </w:tcMar>
          </w:tcPr>
          <w:p w14:paraId="5776B9C7">
            <w:pPr>
              <w:widowControl/>
              <w:spacing w:line="360" w:lineRule="auto"/>
              <w:jc w:val="left"/>
              <w:rPr>
                <w:rFonts w:ascii="宋体" w:hAnsi="宋体" w:cs="宋体"/>
                <w:color w:val="auto"/>
                <w:kern w:val="0"/>
                <w:sz w:val="24"/>
                <w:szCs w:val="24"/>
                <w:highlight w:val="none"/>
              </w:rPr>
            </w:pPr>
          </w:p>
        </w:tc>
        <w:tc>
          <w:tcPr>
            <w:tcW w:w="1282" w:type="dxa"/>
            <w:gridSpan w:val="2"/>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tcPr>
          <w:p w14:paraId="5BF024C3">
            <w:pPr>
              <w:widowControl/>
              <w:spacing w:line="360" w:lineRule="auto"/>
              <w:jc w:val="left"/>
              <w:rPr>
                <w:rFonts w:ascii="宋体" w:hAnsi="宋体" w:cs="宋体"/>
                <w:color w:val="auto"/>
                <w:kern w:val="0"/>
                <w:sz w:val="24"/>
                <w:szCs w:val="24"/>
                <w:highlight w:val="none"/>
              </w:rPr>
            </w:pPr>
          </w:p>
        </w:tc>
        <w:tc>
          <w:tcPr>
            <w:tcW w:w="1418" w:type="dxa"/>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tcPr>
          <w:p w14:paraId="4F7B74E8">
            <w:pPr>
              <w:widowControl/>
              <w:spacing w:line="360" w:lineRule="auto"/>
              <w:jc w:val="left"/>
              <w:rPr>
                <w:rFonts w:ascii="宋体" w:hAnsi="宋体" w:cs="宋体"/>
                <w:color w:val="auto"/>
                <w:kern w:val="0"/>
                <w:sz w:val="24"/>
                <w:szCs w:val="24"/>
                <w:highlight w:val="none"/>
              </w:rPr>
            </w:pPr>
          </w:p>
        </w:tc>
        <w:tc>
          <w:tcPr>
            <w:tcW w:w="1282" w:type="dxa"/>
            <w:gridSpan w:val="2"/>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tcPr>
          <w:p w14:paraId="1C5DAEE9">
            <w:pPr>
              <w:widowControl/>
              <w:spacing w:line="360" w:lineRule="auto"/>
              <w:jc w:val="left"/>
              <w:rPr>
                <w:rFonts w:ascii="宋体" w:hAnsi="宋体" w:cs="宋体"/>
                <w:color w:val="auto"/>
                <w:kern w:val="0"/>
                <w:sz w:val="24"/>
                <w:szCs w:val="24"/>
                <w:highlight w:val="none"/>
              </w:rPr>
            </w:pPr>
          </w:p>
        </w:tc>
        <w:tc>
          <w:tcPr>
            <w:tcW w:w="1202" w:type="dxa"/>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tcPr>
          <w:p w14:paraId="27E4F635">
            <w:pPr>
              <w:widowControl/>
              <w:spacing w:line="360" w:lineRule="auto"/>
              <w:jc w:val="left"/>
              <w:rPr>
                <w:rFonts w:ascii="宋体" w:hAnsi="宋体" w:cs="宋体"/>
                <w:color w:val="auto"/>
                <w:kern w:val="0"/>
                <w:sz w:val="24"/>
                <w:szCs w:val="24"/>
                <w:highlight w:val="none"/>
              </w:rPr>
            </w:pPr>
          </w:p>
        </w:tc>
      </w:tr>
      <w:tr w14:paraId="0C64425A">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540" w:hRule="atLeast"/>
          <w:jc w:val="center"/>
        </w:trPr>
        <w:tc>
          <w:tcPr>
            <w:tcW w:w="1425" w:type="dxa"/>
            <w:gridSpan w:val="2"/>
            <w:tcBorders>
              <w:top w:val="single" w:color="auto" w:sz="0" w:space="0"/>
              <w:left w:val="outset" w:color="000000" w:sz="6" w:space="0"/>
              <w:bottom w:val="outset" w:color="000000" w:sz="6" w:space="0"/>
              <w:right w:val="single" w:color="auto" w:sz="4" w:space="0"/>
            </w:tcBorders>
            <w:shd w:val="clear" w:color="auto" w:fill="FFFFFF"/>
            <w:tcMar>
              <w:top w:w="0" w:type="dxa"/>
              <w:left w:w="105" w:type="dxa"/>
              <w:bottom w:w="0" w:type="dxa"/>
              <w:right w:w="105" w:type="dxa"/>
            </w:tcMar>
            <w:vAlign w:val="center"/>
          </w:tcPr>
          <w:p w14:paraId="59963868">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服务情况</w:t>
            </w:r>
          </w:p>
        </w:tc>
        <w:tc>
          <w:tcPr>
            <w:tcW w:w="1410" w:type="dxa"/>
            <w:tcBorders>
              <w:top w:val="single" w:color="auto" w:sz="4" w:space="0"/>
              <w:left w:val="single" w:color="auto" w:sz="4" w:space="0"/>
              <w:bottom w:val="single" w:color="auto" w:sz="4" w:space="0"/>
              <w:right w:val="single" w:color="auto" w:sz="4" w:space="0"/>
            </w:tcBorders>
            <w:shd w:val="clear" w:color="auto" w:fill="FFFFFF"/>
          </w:tcPr>
          <w:p w14:paraId="69C2A0BB">
            <w:pPr>
              <w:widowControl/>
              <w:spacing w:line="360" w:lineRule="auto"/>
              <w:jc w:val="left"/>
              <w:rPr>
                <w:rFonts w:ascii="宋体" w:hAnsi="宋体" w:cs="宋体"/>
                <w:color w:val="auto"/>
                <w:kern w:val="0"/>
                <w:sz w:val="24"/>
                <w:szCs w:val="24"/>
                <w:highlight w:val="none"/>
              </w:rPr>
            </w:pPr>
            <w:r>
              <w:rPr>
                <w:rFonts w:hint="eastAsia" w:ascii="宋体" w:hAnsi="宋体" w:cs="宋体"/>
                <w:color w:val="auto"/>
                <w:kern w:val="0"/>
                <w:sz w:val="24"/>
                <w:szCs w:val="24"/>
                <w:highlight w:val="none"/>
              </w:rPr>
              <w:t>工作人员着装，文明用语，按时供餐、回收餐具等</w:t>
            </w:r>
          </w:p>
        </w:tc>
        <w:tc>
          <w:tcPr>
            <w:tcW w:w="1410" w:type="dxa"/>
            <w:tcBorders>
              <w:top w:val="single" w:color="auto" w:sz="0" w:space="0"/>
              <w:left w:val="single" w:color="auto" w:sz="4" w:space="0"/>
              <w:bottom w:val="outset" w:color="000000" w:sz="6" w:space="0"/>
              <w:right w:val="outset" w:color="000000" w:sz="6" w:space="0"/>
            </w:tcBorders>
            <w:shd w:val="clear" w:color="auto" w:fill="FFFFFF"/>
            <w:tcMar>
              <w:top w:w="0" w:type="dxa"/>
              <w:left w:w="105" w:type="dxa"/>
              <w:bottom w:w="0" w:type="dxa"/>
              <w:right w:w="105" w:type="dxa"/>
            </w:tcMar>
          </w:tcPr>
          <w:p w14:paraId="68BB8CF8">
            <w:pPr>
              <w:widowControl/>
              <w:spacing w:line="360" w:lineRule="auto"/>
              <w:jc w:val="left"/>
              <w:rPr>
                <w:rFonts w:ascii="宋体" w:hAnsi="宋体" w:cs="宋体"/>
                <w:color w:val="auto"/>
                <w:kern w:val="0"/>
                <w:sz w:val="24"/>
                <w:szCs w:val="24"/>
                <w:highlight w:val="none"/>
              </w:rPr>
            </w:pPr>
          </w:p>
        </w:tc>
        <w:tc>
          <w:tcPr>
            <w:tcW w:w="1282" w:type="dxa"/>
            <w:gridSpan w:val="2"/>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tcPr>
          <w:p w14:paraId="715AA28E">
            <w:pPr>
              <w:widowControl/>
              <w:spacing w:line="360" w:lineRule="auto"/>
              <w:jc w:val="left"/>
              <w:rPr>
                <w:rFonts w:ascii="宋体" w:hAnsi="宋体" w:cs="宋体"/>
                <w:color w:val="auto"/>
                <w:kern w:val="0"/>
                <w:sz w:val="24"/>
                <w:szCs w:val="24"/>
                <w:highlight w:val="none"/>
              </w:rPr>
            </w:pPr>
          </w:p>
        </w:tc>
        <w:tc>
          <w:tcPr>
            <w:tcW w:w="1418" w:type="dxa"/>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tcPr>
          <w:p w14:paraId="1AB26315">
            <w:pPr>
              <w:widowControl/>
              <w:spacing w:line="360" w:lineRule="auto"/>
              <w:jc w:val="left"/>
              <w:rPr>
                <w:rFonts w:ascii="宋体" w:hAnsi="宋体" w:cs="宋体"/>
                <w:color w:val="auto"/>
                <w:kern w:val="0"/>
                <w:sz w:val="24"/>
                <w:szCs w:val="24"/>
                <w:highlight w:val="none"/>
              </w:rPr>
            </w:pPr>
          </w:p>
        </w:tc>
        <w:tc>
          <w:tcPr>
            <w:tcW w:w="1282" w:type="dxa"/>
            <w:gridSpan w:val="2"/>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tcPr>
          <w:p w14:paraId="7AB55D3A">
            <w:pPr>
              <w:widowControl/>
              <w:spacing w:line="360" w:lineRule="auto"/>
              <w:jc w:val="left"/>
              <w:rPr>
                <w:rFonts w:ascii="宋体" w:hAnsi="宋体" w:cs="宋体"/>
                <w:color w:val="auto"/>
                <w:kern w:val="0"/>
                <w:sz w:val="24"/>
                <w:szCs w:val="24"/>
                <w:highlight w:val="none"/>
              </w:rPr>
            </w:pPr>
          </w:p>
        </w:tc>
        <w:tc>
          <w:tcPr>
            <w:tcW w:w="1202" w:type="dxa"/>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tcPr>
          <w:p w14:paraId="2673AB63">
            <w:pPr>
              <w:widowControl/>
              <w:spacing w:line="360" w:lineRule="auto"/>
              <w:jc w:val="left"/>
              <w:rPr>
                <w:rFonts w:ascii="宋体" w:hAnsi="宋体" w:cs="宋体"/>
                <w:color w:val="auto"/>
                <w:kern w:val="0"/>
                <w:sz w:val="24"/>
                <w:szCs w:val="24"/>
                <w:highlight w:val="none"/>
              </w:rPr>
            </w:pPr>
          </w:p>
        </w:tc>
      </w:tr>
      <w:tr w14:paraId="2357E723">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540" w:hRule="atLeast"/>
          <w:jc w:val="center"/>
        </w:trPr>
        <w:tc>
          <w:tcPr>
            <w:tcW w:w="1425" w:type="dxa"/>
            <w:gridSpan w:val="2"/>
            <w:tcBorders>
              <w:top w:val="single" w:color="auto" w:sz="0" w:space="0"/>
              <w:left w:val="outset" w:color="000000" w:sz="6" w:space="0"/>
              <w:bottom w:val="outset" w:color="000000" w:sz="6" w:space="0"/>
              <w:right w:val="single" w:color="auto" w:sz="4" w:space="0"/>
            </w:tcBorders>
            <w:shd w:val="clear" w:color="auto" w:fill="FFFFFF"/>
            <w:tcMar>
              <w:top w:w="0" w:type="dxa"/>
              <w:left w:w="105" w:type="dxa"/>
              <w:bottom w:w="0" w:type="dxa"/>
              <w:right w:w="105" w:type="dxa"/>
            </w:tcMar>
            <w:vAlign w:val="center"/>
          </w:tcPr>
          <w:p w14:paraId="610AAB0E">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整体服务满意情况</w:t>
            </w:r>
          </w:p>
        </w:tc>
        <w:tc>
          <w:tcPr>
            <w:tcW w:w="1410" w:type="dxa"/>
            <w:tcBorders>
              <w:top w:val="single" w:color="auto" w:sz="4" w:space="0"/>
              <w:left w:val="single" w:color="auto" w:sz="4" w:space="0"/>
              <w:bottom w:val="single" w:color="auto" w:sz="4" w:space="0"/>
              <w:right w:val="single" w:color="auto" w:sz="4" w:space="0"/>
            </w:tcBorders>
            <w:shd w:val="clear" w:color="auto" w:fill="FFFFFF"/>
          </w:tcPr>
          <w:p w14:paraId="2F520D5D">
            <w:pPr>
              <w:widowControl/>
              <w:spacing w:line="360" w:lineRule="auto"/>
              <w:jc w:val="left"/>
              <w:rPr>
                <w:rFonts w:ascii="宋体" w:hAnsi="宋体" w:cs="宋体"/>
                <w:color w:val="auto"/>
                <w:kern w:val="0"/>
                <w:sz w:val="24"/>
                <w:szCs w:val="24"/>
                <w:highlight w:val="none"/>
              </w:rPr>
            </w:pPr>
          </w:p>
        </w:tc>
        <w:tc>
          <w:tcPr>
            <w:tcW w:w="1410" w:type="dxa"/>
            <w:tcBorders>
              <w:top w:val="single" w:color="auto" w:sz="0" w:space="0"/>
              <w:left w:val="single" w:color="auto" w:sz="4" w:space="0"/>
              <w:bottom w:val="outset" w:color="000000" w:sz="6" w:space="0"/>
              <w:right w:val="outset" w:color="000000" w:sz="6" w:space="0"/>
            </w:tcBorders>
            <w:shd w:val="clear" w:color="auto" w:fill="FFFFFF"/>
            <w:tcMar>
              <w:top w:w="0" w:type="dxa"/>
              <w:left w:w="105" w:type="dxa"/>
              <w:bottom w:w="0" w:type="dxa"/>
              <w:right w:w="105" w:type="dxa"/>
            </w:tcMar>
          </w:tcPr>
          <w:p w14:paraId="095E16A9">
            <w:pPr>
              <w:widowControl/>
              <w:spacing w:line="360" w:lineRule="auto"/>
              <w:jc w:val="left"/>
              <w:rPr>
                <w:rFonts w:ascii="宋体" w:hAnsi="宋体" w:cs="宋体"/>
                <w:color w:val="auto"/>
                <w:kern w:val="0"/>
                <w:sz w:val="24"/>
                <w:szCs w:val="24"/>
                <w:highlight w:val="none"/>
              </w:rPr>
            </w:pPr>
          </w:p>
        </w:tc>
        <w:tc>
          <w:tcPr>
            <w:tcW w:w="1282" w:type="dxa"/>
            <w:gridSpan w:val="2"/>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tcPr>
          <w:p w14:paraId="3EF45F4D">
            <w:pPr>
              <w:widowControl/>
              <w:spacing w:line="360" w:lineRule="auto"/>
              <w:jc w:val="left"/>
              <w:rPr>
                <w:rFonts w:ascii="宋体" w:hAnsi="宋体" w:cs="宋体"/>
                <w:color w:val="auto"/>
                <w:kern w:val="0"/>
                <w:sz w:val="24"/>
                <w:szCs w:val="24"/>
                <w:highlight w:val="none"/>
              </w:rPr>
            </w:pPr>
          </w:p>
        </w:tc>
        <w:tc>
          <w:tcPr>
            <w:tcW w:w="1418" w:type="dxa"/>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tcPr>
          <w:p w14:paraId="491B1E29">
            <w:pPr>
              <w:widowControl/>
              <w:spacing w:line="360" w:lineRule="auto"/>
              <w:jc w:val="left"/>
              <w:rPr>
                <w:rFonts w:ascii="宋体" w:hAnsi="宋体" w:cs="宋体"/>
                <w:color w:val="auto"/>
                <w:kern w:val="0"/>
                <w:sz w:val="24"/>
                <w:szCs w:val="24"/>
                <w:highlight w:val="none"/>
              </w:rPr>
            </w:pPr>
          </w:p>
        </w:tc>
        <w:tc>
          <w:tcPr>
            <w:tcW w:w="1282" w:type="dxa"/>
            <w:gridSpan w:val="2"/>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tcPr>
          <w:p w14:paraId="12568EDD">
            <w:pPr>
              <w:widowControl/>
              <w:spacing w:line="360" w:lineRule="auto"/>
              <w:jc w:val="left"/>
              <w:rPr>
                <w:rFonts w:ascii="宋体" w:hAnsi="宋体" w:cs="宋体"/>
                <w:color w:val="auto"/>
                <w:kern w:val="0"/>
                <w:sz w:val="24"/>
                <w:szCs w:val="24"/>
                <w:highlight w:val="none"/>
              </w:rPr>
            </w:pPr>
          </w:p>
        </w:tc>
        <w:tc>
          <w:tcPr>
            <w:tcW w:w="1202" w:type="dxa"/>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tcPr>
          <w:p w14:paraId="6BB8A117">
            <w:pPr>
              <w:widowControl/>
              <w:spacing w:line="360" w:lineRule="auto"/>
              <w:jc w:val="left"/>
              <w:rPr>
                <w:rFonts w:ascii="宋体" w:hAnsi="宋体" w:cs="宋体"/>
                <w:color w:val="auto"/>
                <w:kern w:val="0"/>
                <w:sz w:val="24"/>
                <w:szCs w:val="24"/>
                <w:highlight w:val="none"/>
              </w:rPr>
            </w:pPr>
          </w:p>
        </w:tc>
      </w:tr>
    </w:tbl>
    <w:p w14:paraId="7C50489E">
      <w:pPr>
        <w:spacing w:line="360" w:lineRule="auto"/>
        <w:ind w:firstLine="480" w:firstLineChars="200"/>
        <w:rPr>
          <w:rFonts w:ascii="宋体" w:hAnsi="宋体" w:cs="宋体"/>
          <w:iCs/>
          <w:color w:val="auto"/>
          <w:sz w:val="24"/>
          <w:szCs w:val="24"/>
          <w:highlight w:val="none"/>
        </w:rPr>
      </w:pPr>
    </w:p>
    <w:p w14:paraId="4CBCBBB5">
      <w:pPr>
        <w:spacing w:line="360" w:lineRule="auto"/>
        <w:ind w:firstLine="482" w:firstLineChars="200"/>
        <w:jc w:val="left"/>
        <w:rPr>
          <w:rFonts w:ascii="宋体" w:hAnsi="宋体" w:cs="宋体"/>
          <w:b/>
          <w:bCs/>
          <w:color w:val="auto"/>
          <w:sz w:val="24"/>
          <w:szCs w:val="24"/>
          <w:highlight w:val="none"/>
        </w:rPr>
      </w:pPr>
    </w:p>
    <w:p w14:paraId="0B873ADA">
      <w:pPr>
        <w:spacing w:line="360" w:lineRule="auto"/>
        <w:ind w:firstLine="482" w:firstLineChars="200"/>
        <w:jc w:val="left"/>
        <w:outlineLvl w:val="2"/>
        <w:rPr>
          <w:rFonts w:ascii="宋体" w:hAnsi="宋体" w:cs="宋体"/>
          <w:b/>
          <w:bCs/>
          <w:color w:val="auto"/>
          <w:sz w:val="24"/>
          <w:szCs w:val="24"/>
          <w:highlight w:val="none"/>
        </w:rPr>
      </w:pPr>
      <w:bookmarkStart w:id="108" w:name="_Toc31312"/>
      <w:r>
        <w:rPr>
          <w:rFonts w:hint="eastAsia" w:ascii="宋体" w:hAnsi="宋体" w:cs="宋体"/>
          <w:b/>
          <w:bCs/>
          <w:color w:val="auto"/>
          <w:sz w:val="24"/>
          <w:szCs w:val="24"/>
          <w:highlight w:val="none"/>
        </w:rPr>
        <w:t>2.商务要求</w:t>
      </w:r>
      <w:bookmarkEnd w:id="108"/>
    </w:p>
    <w:p w14:paraId="7339761C">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（1）服务地点：福建省厦门市思明区展鸿路100号、翔安区黎林路1699号。</w:t>
      </w:r>
    </w:p>
    <w:p w14:paraId="6619FE00">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（2）服务期限：一年，预计服务时间为2026年7月1日至2027年6月30日</w:t>
      </w:r>
      <w:r>
        <w:rPr>
          <w:rFonts w:ascii="宋体" w:hAnsi="宋体" w:cs="宋体"/>
          <w:color w:val="auto"/>
          <w:sz w:val="24"/>
          <w:szCs w:val="24"/>
          <w:highlight w:val="none"/>
        </w:rPr>
        <w:t>。</w:t>
      </w:r>
    </w:p>
    <w:p w14:paraId="30646FF6">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一年服务期满后，在预算资金有保障、服务价格不提高的前提下，采购人对中标人进行年度考核，考核得分在80分（含）以上的，合同续签；考核得分在60分（含）-80分之间的，由中标人书面承诺新年度的整改办法，并经采购人审核同意后方可续签下一年度服务外包合同。最多续签2次。考核得分在60分以下（不含60分），则采购人有权提前解除合同并相应扣除履约保证金。</w:t>
      </w:r>
    </w:p>
    <w:p w14:paraId="3E353781">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付款方式：服务费按月支付，每月10日前由中标人提供上个月相关发票、采购人食堂管理部门审核意见等资料，采购人原则上自接收到完整资料后10个工作日内支付上个月服务费。涉及到奖惩的，其奖惩结果直接作为上个月服务费增减支付的依据。中标人须知悉采购人财政资金的属性，如由于采购人财政资金拨付不到位等财政方面的原因导致采购人付款逾期的，则中标方同意不视为采购人违约，不追究采购人的违约责任，且不得以此为由拒绝履行约定义务。</w:t>
      </w:r>
    </w:p>
    <w:p w14:paraId="7432A985">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4）是否收取履约保证金：是。履约保证金百分比：10%。中标供应商应按照合同一年费用的10%缴纳履约保证金，用于履约保证和年度考核、合同违约情形的扣取。如因发生扣取事项导致履约保证金不足时，中标供应商应于</w:t>
      </w:r>
      <w:r>
        <w:rPr>
          <w:rFonts w:hint="eastAsia" w:ascii="宋体" w:hAnsi="宋体"/>
          <w:color w:val="auto"/>
          <w:sz w:val="24"/>
          <w:szCs w:val="24"/>
          <w:highlight w:val="none"/>
        </w:rPr>
        <w:t>10</w:t>
      </w:r>
      <w:r>
        <w:rPr>
          <w:rFonts w:hint="eastAsia" w:ascii="宋体" w:hAnsi="宋体" w:cs="宋体"/>
          <w:color w:val="auto"/>
          <w:sz w:val="24"/>
          <w:szCs w:val="24"/>
          <w:highlight w:val="none"/>
        </w:rPr>
        <w:t>个工作日内向采购人补足相应款项，否则采购人有权从应付的结算费用中直接扣除；如未发生应扣取事项则相应款项继续留存作为下一年度履约保证金；待续签期限届满后，双方对合同履约情况不存在争议的情况下，采购人在20个工作日内将履约保证金全额无息返还给中标供应商。说明：允许供应商通过保函等非现金方式提供履约保证金。中标人为中小企业的履约保证金减半收取。</w:t>
      </w:r>
    </w:p>
    <w:p w14:paraId="3EE4C6EA">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（5）是否邀请投标人参与验收：否</w:t>
      </w:r>
    </w:p>
    <w:p w14:paraId="3945BC84">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（6）投标报价</w:t>
      </w:r>
    </w:p>
    <w:p w14:paraId="01F5F8FA">
      <w:pPr>
        <w:widowControl/>
        <w:tabs>
          <w:tab w:val="left" w:pos="0"/>
        </w:tabs>
        <w:spacing w:line="360" w:lineRule="auto"/>
        <w:ind w:firstLine="480" w:firstLineChars="200"/>
        <w:jc w:val="left"/>
        <w:rPr>
          <w:rFonts w:ascii="宋体" w:hAnsi="宋体" w:cs="宋体"/>
          <w:color w:val="auto"/>
          <w:kern w:val="0"/>
          <w:sz w:val="24"/>
          <w:szCs w:val="24"/>
          <w:highlight w:val="none"/>
        </w:rPr>
      </w:pPr>
      <w:r>
        <w:rPr>
          <w:rFonts w:hint="eastAsia" w:ascii="宋体" w:hAnsi="宋体" w:cs="宋体"/>
          <w:color w:val="auto"/>
          <w:kern w:val="0"/>
          <w:sz w:val="24"/>
          <w:szCs w:val="24"/>
          <w:highlight w:val="none"/>
        </w:rPr>
        <w:t>6.1本次招标为整体招标，投标人必须对招标项目的所有内容进行报价响应。</w:t>
      </w:r>
    </w:p>
    <w:p w14:paraId="0C65D693">
      <w:pPr>
        <w:widowControl/>
        <w:tabs>
          <w:tab w:val="left" w:pos="0"/>
        </w:tabs>
        <w:spacing w:line="360" w:lineRule="auto"/>
        <w:ind w:firstLine="480" w:firstLineChars="200"/>
        <w:jc w:val="left"/>
        <w:rPr>
          <w:rFonts w:ascii="宋体" w:hAnsi="宋体" w:cs="宋体"/>
          <w:color w:val="auto"/>
          <w:kern w:val="0"/>
          <w:sz w:val="24"/>
          <w:szCs w:val="24"/>
          <w:highlight w:val="none"/>
        </w:rPr>
      </w:pPr>
      <w:r>
        <w:rPr>
          <w:rFonts w:hint="eastAsia" w:ascii="宋体" w:hAnsi="宋体" w:cs="宋体"/>
          <w:color w:val="auto"/>
          <w:kern w:val="0"/>
          <w:sz w:val="24"/>
          <w:szCs w:val="24"/>
          <w:highlight w:val="none"/>
        </w:rPr>
        <w:t>6.2报价以人民币为货币单位。投标人报价应以月为单价计算并汇总总价，以开标一览表中的投标报价计算价格因素得分。</w:t>
      </w:r>
    </w:p>
    <w:p w14:paraId="5A0C1D3D">
      <w:pPr>
        <w:widowControl/>
        <w:tabs>
          <w:tab w:val="left" w:pos="0"/>
        </w:tabs>
        <w:spacing w:line="360" w:lineRule="auto"/>
        <w:ind w:firstLine="480" w:firstLineChars="200"/>
        <w:jc w:val="left"/>
        <w:rPr>
          <w:rFonts w:ascii="宋体" w:hAnsi="宋体" w:cs="宋体"/>
          <w:color w:val="auto"/>
          <w:kern w:val="0"/>
          <w:sz w:val="24"/>
          <w:szCs w:val="24"/>
          <w:highlight w:val="none"/>
        </w:rPr>
      </w:pPr>
      <w:r>
        <w:rPr>
          <w:rFonts w:hint="eastAsia" w:ascii="宋体" w:hAnsi="宋体" w:cs="宋体"/>
          <w:color w:val="auto"/>
          <w:kern w:val="0"/>
          <w:sz w:val="24"/>
          <w:szCs w:val="24"/>
          <w:highlight w:val="none"/>
        </w:rPr>
        <w:t>6.3投标报价为完成项目服务所有可能发生的一切费用，包括人员成本（含五险一金、工作服、人员培训、劳保用品等）、食堂管理费、利润、税收、招标代理服务费等。</w:t>
      </w:r>
    </w:p>
    <w:p w14:paraId="0979BB52">
      <w:pPr>
        <w:widowControl/>
        <w:tabs>
          <w:tab w:val="left" w:pos="0"/>
        </w:tabs>
        <w:spacing w:line="360" w:lineRule="auto"/>
        <w:ind w:firstLine="480" w:firstLineChars="200"/>
        <w:jc w:val="left"/>
        <w:rPr>
          <w:rFonts w:ascii="宋体" w:hAnsi="宋体" w:cs="宋体"/>
          <w:color w:val="auto"/>
          <w:kern w:val="0"/>
          <w:sz w:val="24"/>
          <w:szCs w:val="24"/>
          <w:highlight w:val="none"/>
        </w:rPr>
      </w:pPr>
      <w:r>
        <w:rPr>
          <w:rFonts w:hint="eastAsia" w:ascii="宋体" w:hAnsi="宋体" w:cs="宋体"/>
          <w:color w:val="auto"/>
          <w:kern w:val="0"/>
          <w:sz w:val="24"/>
          <w:szCs w:val="24"/>
          <w:highlight w:val="none"/>
        </w:rPr>
        <w:t>6.4投标人对本项目投标只能有一个报价，采购单位不接受有选择的报价。</w:t>
      </w:r>
    </w:p>
    <w:p w14:paraId="5F1FD005">
      <w:pPr>
        <w:widowControl/>
        <w:tabs>
          <w:tab w:val="left" w:pos="0"/>
        </w:tabs>
        <w:spacing w:line="360" w:lineRule="auto"/>
        <w:ind w:firstLine="480" w:firstLineChars="200"/>
        <w:jc w:val="left"/>
        <w:rPr>
          <w:rFonts w:ascii="宋体" w:hAnsi="宋体" w:cs="宋体"/>
          <w:b/>
          <w:bCs/>
          <w:color w:val="auto"/>
          <w:kern w:val="0"/>
          <w:sz w:val="24"/>
          <w:szCs w:val="24"/>
          <w:highlight w:val="none"/>
        </w:rPr>
      </w:pPr>
      <w:r>
        <w:rPr>
          <w:rFonts w:hint="eastAsia" w:ascii="宋体" w:hAnsi="宋体" w:cs="宋体"/>
          <w:iCs/>
          <w:color w:val="auto"/>
          <w:sz w:val="24"/>
          <w:szCs w:val="24"/>
          <w:highlight w:val="none"/>
        </w:rPr>
        <w:t>★</w:t>
      </w:r>
      <w:r>
        <w:rPr>
          <w:rFonts w:hint="eastAsia" w:ascii="宋体" w:hAnsi="宋体" w:cs="宋体"/>
          <w:b/>
          <w:bCs/>
          <w:color w:val="auto"/>
          <w:kern w:val="0"/>
          <w:sz w:val="24"/>
          <w:szCs w:val="24"/>
          <w:highlight w:val="none"/>
        </w:rPr>
        <w:t>6.5投标人必须书面承诺其人员用工成本应满足厦门市政府每年公布的最低标准及相关社保缴交基数、公积金以及法律规定的福利待遇，若未书面承诺或低于法定要求及招标要求的，视为无效投标。</w:t>
      </w:r>
    </w:p>
    <w:p w14:paraId="7C2B311B">
      <w:pPr>
        <w:widowControl/>
        <w:tabs>
          <w:tab w:val="left" w:pos="0"/>
        </w:tabs>
        <w:spacing w:line="360" w:lineRule="auto"/>
        <w:ind w:firstLine="480" w:firstLineChars="200"/>
        <w:jc w:val="left"/>
        <w:rPr>
          <w:rFonts w:ascii="宋体" w:hAnsi="宋体" w:cs="宋体"/>
          <w:color w:val="auto"/>
          <w:kern w:val="0"/>
          <w:sz w:val="24"/>
          <w:szCs w:val="24"/>
          <w:highlight w:val="none"/>
        </w:rPr>
      </w:pPr>
      <w:r>
        <w:rPr>
          <w:rFonts w:hint="eastAsia" w:ascii="宋体" w:hAnsi="宋体" w:cs="宋体"/>
          <w:color w:val="auto"/>
          <w:kern w:val="0"/>
          <w:sz w:val="24"/>
          <w:szCs w:val="24"/>
          <w:highlight w:val="none"/>
        </w:rPr>
        <w:t>6.6投标人的用工人员工资、社会保险、公积金等必须按照法定要求及标准执行，并在投标文件中体现。</w:t>
      </w:r>
    </w:p>
    <w:p w14:paraId="7A138EE5">
      <w:pPr>
        <w:widowControl/>
        <w:tabs>
          <w:tab w:val="left" w:pos="0"/>
        </w:tabs>
        <w:spacing w:line="360" w:lineRule="auto"/>
        <w:ind w:firstLine="482" w:firstLineChars="200"/>
        <w:jc w:val="left"/>
        <w:rPr>
          <w:rFonts w:ascii="宋体" w:hAnsi="宋体" w:cs="宋体"/>
          <w:b/>
          <w:bCs/>
          <w:color w:val="auto"/>
          <w:kern w:val="0"/>
          <w:sz w:val="24"/>
          <w:szCs w:val="24"/>
          <w:highlight w:val="none"/>
        </w:rPr>
      </w:pPr>
      <w:r>
        <w:rPr>
          <w:rFonts w:hint="eastAsia" w:ascii="宋体" w:hAnsi="宋体" w:cs="宋体"/>
          <w:b/>
          <w:bCs/>
          <w:iCs/>
          <w:color w:val="auto"/>
          <w:sz w:val="24"/>
          <w:szCs w:val="24"/>
          <w:highlight w:val="none"/>
        </w:rPr>
        <w:t>★6.7本项目的采购预算为175万元。本项目采购预算即最高限价，投标人的投标报价超出最高限价的，视为无效投标。</w:t>
      </w:r>
    </w:p>
    <w:p w14:paraId="7BA6A672">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（7）</w:t>
      </w:r>
      <w:r>
        <w:rPr>
          <w:rFonts w:hint="eastAsia" w:ascii="宋体" w:hAnsi="宋体" w:cs="宋体"/>
          <w:color w:val="auto"/>
          <w:sz w:val="24"/>
          <w:szCs w:val="24"/>
          <w:highlight w:val="none"/>
          <w:lang w:eastAsia="zh-CN"/>
        </w:rPr>
        <w:t>其他</w:t>
      </w:r>
      <w:r>
        <w:rPr>
          <w:rFonts w:hint="eastAsia" w:ascii="宋体" w:hAnsi="宋体" w:cs="宋体"/>
          <w:color w:val="auto"/>
          <w:sz w:val="24"/>
          <w:szCs w:val="24"/>
          <w:highlight w:val="none"/>
        </w:rPr>
        <w:t>事项</w:t>
      </w:r>
    </w:p>
    <w:p w14:paraId="7058820E">
      <w:pPr>
        <w:tabs>
          <w:tab w:val="left" w:pos="0"/>
          <w:tab w:val="left" w:pos="426"/>
          <w:tab w:val="left" w:pos="851"/>
        </w:tabs>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7.1投标人应尽可能地提供2023年至今的企业信誉及财务状况等相关证明材料的有效复印件。</w:t>
      </w:r>
    </w:p>
    <w:p w14:paraId="28EC4734">
      <w:pPr>
        <w:tabs>
          <w:tab w:val="left" w:pos="0"/>
          <w:tab w:val="left" w:pos="426"/>
          <w:tab w:val="left" w:pos="851"/>
        </w:tabs>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7.2投标人应提供2023年至今（以合同签订时间为准）与所投合同包品目内容类似项目的经营业绩、经验、好评的有效证明文件，原件备查。</w:t>
      </w:r>
    </w:p>
    <w:p w14:paraId="3B5A80B5">
      <w:pPr>
        <w:tabs>
          <w:tab w:val="left" w:pos="0"/>
          <w:tab w:val="left" w:pos="426"/>
          <w:tab w:val="left" w:pos="851"/>
        </w:tabs>
        <w:spacing w:line="360" w:lineRule="auto"/>
        <w:ind w:firstLine="480" w:firstLineChars="200"/>
        <w:rPr>
          <w:rFonts w:ascii="宋体" w:hAnsi="宋体" w:cs="宋体"/>
          <w:color w:val="auto"/>
          <w:sz w:val="24"/>
          <w:szCs w:val="24"/>
          <w:highlight w:val="none"/>
        </w:rPr>
      </w:pPr>
      <w:bookmarkStart w:id="109" w:name="_Hlk132789053"/>
      <w:bookmarkStart w:id="110" w:name="_Hlk132810603"/>
      <w:r>
        <w:rPr>
          <w:rFonts w:hint="eastAsia" w:ascii="宋体" w:hAnsi="宋体" w:cs="宋体"/>
          <w:color w:val="auto"/>
          <w:sz w:val="24"/>
          <w:szCs w:val="24"/>
          <w:highlight w:val="none"/>
        </w:rPr>
        <w:t>7.3投标人应尽可能提供食品安全管理体系认证、质量管理体系认证、环境管理体系认证、职业健康安全管理体系认证、危害分析与关键控制点(HACCP)体系认证、食品可追溯管理体系认证。</w:t>
      </w:r>
    </w:p>
    <w:p w14:paraId="1724F90E">
      <w:pPr>
        <w:tabs>
          <w:tab w:val="left" w:pos="0"/>
          <w:tab w:val="left" w:pos="426"/>
          <w:tab w:val="left" w:pos="851"/>
        </w:tabs>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7.4投标人应尽可能提供与餐饮行业、食品安全追溯相关的奖项资料。</w:t>
      </w:r>
    </w:p>
    <w:p w14:paraId="6E7376DE">
      <w:pPr>
        <w:tabs>
          <w:tab w:val="left" w:pos="0"/>
          <w:tab w:val="left" w:pos="426"/>
          <w:tab w:val="left" w:pos="851"/>
        </w:tabs>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7.5投标人应尽可能地投保员工团体意外险、雇主责任险、餐饮场所责任保险、食品安全责任保险。</w:t>
      </w:r>
    </w:p>
    <w:bookmarkEnd w:id="109"/>
    <w:bookmarkEnd w:id="110"/>
    <w:p w14:paraId="5E808DA3">
      <w:pPr>
        <w:tabs>
          <w:tab w:val="left" w:pos="0"/>
          <w:tab w:val="left" w:pos="426"/>
          <w:tab w:val="left" w:pos="851"/>
        </w:tabs>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7.6投标人须根据本项目的特点提供以下材料（包括但不限于）投标书、开标一览表、分项报价明细表、资格证明材料、“★”号条款逐条响应情况表及承诺书、服务方案及质量保证措施、技术规格和商务响应表等。</w:t>
      </w:r>
      <w:bookmarkStart w:id="111" w:name="_Toc495686415"/>
      <w:bookmarkStart w:id="112" w:name="_Toc531597922"/>
    </w:p>
    <w:p w14:paraId="5EFE85DD">
      <w:pPr>
        <w:tabs>
          <w:tab w:val="left" w:pos="0"/>
          <w:tab w:val="left" w:pos="426"/>
          <w:tab w:val="left" w:pos="851"/>
        </w:tabs>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7.7风险承担与责任认定机制</w:t>
      </w:r>
      <w:bookmarkEnd w:id="111"/>
      <w:bookmarkEnd w:id="112"/>
    </w:p>
    <w:p w14:paraId="4415ABA2">
      <w:pPr>
        <w:spacing w:line="360" w:lineRule="auto"/>
        <w:ind w:firstLine="480" w:firstLineChars="200"/>
        <w:jc w:val="left"/>
        <w:rPr>
          <w:rFonts w:ascii="宋体" w:hAnsi="宋体" w:cs="宋体"/>
          <w:color w:val="auto"/>
          <w:kern w:val="0"/>
          <w:sz w:val="24"/>
          <w:szCs w:val="24"/>
          <w:highlight w:val="none"/>
        </w:rPr>
      </w:pPr>
      <w:r>
        <w:rPr>
          <w:rFonts w:hint="eastAsia" w:ascii="宋体" w:hAnsi="宋体" w:cs="宋体"/>
          <w:color w:val="auto"/>
          <w:kern w:val="0"/>
          <w:sz w:val="24"/>
          <w:szCs w:val="24"/>
          <w:highlight w:val="none"/>
        </w:rPr>
        <w:t>7.7.1中标方的服务人员工伤风险，由中标方自行承担。</w:t>
      </w:r>
    </w:p>
    <w:p w14:paraId="57C83261">
      <w:pPr>
        <w:widowControl/>
        <w:tabs>
          <w:tab w:val="left" w:pos="0"/>
        </w:tabs>
        <w:spacing w:line="360" w:lineRule="auto"/>
        <w:ind w:firstLine="480" w:firstLineChars="200"/>
        <w:jc w:val="left"/>
        <w:rPr>
          <w:rFonts w:ascii="宋体" w:hAnsi="宋体" w:cs="宋体"/>
          <w:color w:val="auto"/>
          <w:kern w:val="0"/>
          <w:sz w:val="24"/>
          <w:szCs w:val="24"/>
          <w:highlight w:val="none"/>
        </w:rPr>
      </w:pPr>
      <w:r>
        <w:rPr>
          <w:rFonts w:hint="eastAsia" w:ascii="宋体" w:hAnsi="宋体" w:cs="宋体"/>
          <w:color w:val="auto"/>
          <w:kern w:val="0"/>
          <w:sz w:val="24"/>
          <w:szCs w:val="24"/>
          <w:highlight w:val="none"/>
        </w:rPr>
        <w:t>7.7.2因意外事故或作业安全问题引发的人身伤亡和财产损失，中标方依法承担赔偿责任。</w:t>
      </w:r>
    </w:p>
    <w:p w14:paraId="69AAAAA5">
      <w:pPr>
        <w:widowControl/>
        <w:tabs>
          <w:tab w:val="left" w:pos="0"/>
        </w:tabs>
        <w:spacing w:line="360" w:lineRule="auto"/>
        <w:ind w:firstLine="480" w:firstLineChars="200"/>
        <w:jc w:val="left"/>
        <w:rPr>
          <w:rFonts w:ascii="宋体" w:hAnsi="宋体" w:cs="宋体"/>
          <w:color w:val="auto"/>
          <w:kern w:val="0"/>
          <w:sz w:val="24"/>
          <w:szCs w:val="24"/>
          <w:highlight w:val="none"/>
        </w:rPr>
      </w:pPr>
      <w:r>
        <w:rPr>
          <w:rFonts w:hint="eastAsia" w:ascii="宋体" w:hAnsi="宋体" w:cs="宋体"/>
          <w:color w:val="auto"/>
          <w:kern w:val="0"/>
          <w:sz w:val="24"/>
          <w:szCs w:val="24"/>
          <w:highlight w:val="none"/>
        </w:rPr>
        <w:t>7.7.3治安事件的责任认定，以公安部门裁定为准；非治安事件的责任认定，由双方协商，协商不成的，以诉讼方式认定。</w:t>
      </w:r>
    </w:p>
    <w:p w14:paraId="79487F3F">
      <w:pPr>
        <w:widowControl/>
        <w:tabs>
          <w:tab w:val="left" w:pos="0"/>
        </w:tabs>
        <w:spacing w:line="360" w:lineRule="auto"/>
        <w:ind w:firstLine="480" w:firstLineChars="200"/>
        <w:jc w:val="left"/>
        <w:rPr>
          <w:rFonts w:ascii="宋体" w:hAnsi="宋体" w:cs="宋体"/>
          <w:color w:val="auto"/>
          <w:kern w:val="0"/>
          <w:sz w:val="24"/>
          <w:szCs w:val="24"/>
          <w:highlight w:val="none"/>
        </w:rPr>
      </w:pPr>
      <w:r>
        <w:rPr>
          <w:rFonts w:hint="eastAsia" w:ascii="宋体" w:hAnsi="宋体" w:cs="宋体"/>
          <w:color w:val="auto"/>
          <w:kern w:val="0"/>
          <w:sz w:val="24"/>
          <w:szCs w:val="24"/>
          <w:highlight w:val="none"/>
        </w:rPr>
        <w:t>7.7.4中标方聘请的所有人员由中标方全权负责，人员于合同终止后自动撤离，采购人对中标方聘请人员不负任何义务。</w:t>
      </w:r>
    </w:p>
    <w:p w14:paraId="21E6D7FB">
      <w:pPr>
        <w:widowControl/>
        <w:tabs>
          <w:tab w:val="left" w:pos="0"/>
        </w:tabs>
        <w:spacing w:line="360" w:lineRule="auto"/>
        <w:ind w:firstLine="480" w:firstLineChars="200"/>
        <w:jc w:val="left"/>
        <w:rPr>
          <w:rFonts w:ascii="宋体" w:hAnsi="宋体" w:cs="宋体"/>
          <w:color w:val="auto"/>
          <w:kern w:val="0"/>
          <w:sz w:val="24"/>
          <w:szCs w:val="24"/>
          <w:highlight w:val="none"/>
        </w:rPr>
      </w:pPr>
      <w:r>
        <w:rPr>
          <w:rFonts w:hint="eastAsia" w:ascii="宋体" w:hAnsi="宋体" w:cs="宋体"/>
          <w:color w:val="auto"/>
          <w:kern w:val="0"/>
          <w:sz w:val="24"/>
          <w:szCs w:val="24"/>
          <w:highlight w:val="none"/>
        </w:rPr>
        <w:t>7.7.5中标方的用工计划、员工薪酬待遇等须符合劳动法等法律法规规定。若中标人与其雇员发生劳动纠纷或其他不符合劳动法等法律法规规定的，一切责任由中标方自行承担，造成采购人负面影响的，采购人有权解除合同并追究中标方的违约责任。</w:t>
      </w:r>
    </w:p>
    <w:p w14:paraId="4CF1CA61">
      <w:pPr>
        <w:widowControl/>
        <w:tabs>
          <w:tab w:val="left" w:pos="0"/>
        </w:tabs>
        <w:spacing w:line="360" w:lineRule="auto"/>
        <w:ind w:firstLine="480" w:firstLineChars="200"/>
        <w:jc w:val="left"/>
        <w:rPr>
          <w:rFonts w:ascii="宋体" w:hAnsi="宋体" w:cs="宋体"/>
          <w:color w:val="auto"/>
          <w:kern w:val="0"/>
          <w:sz w:val="24"/>
          <w:szCs w:val="24"/>
          <w:highlight w:val="none"/>
        </w:rPr>
      </w:pPr>
      <w:r>
        <w:rPr>
          <w:rFonts w:hint="eastAsia" w:ascii="宋体" w:hAnsi="宋体" w:cs="宋体"/>
          <w:color w:val="auto"/>
          <w:kern w:val="0"/>
          <w:sz w:val="24"/>
          <w:szCs w:val="24"/>
          <w:highlight w:val="none"/>
        </w:rPr>
        <w:t>7.7.6中标方对采购人移交的食堂设施设备，在日常维护、保养、保洁过程中，因中标方过失造成损坏的，中标方应赔偿相应的损失。</w:t>
      </w:r>
    </w:p>
    <w:p w14:paraId="31B5A2B8">
      <w:pPr>
        <w:widowControl/>
        <w:tabs>
          <w:tab w:val="left" w:pos="0"/>
        </w:tabs>
        <w:spacing w:line="360" w:lineRule="auto"/>
        <w:ind w:firstLine="480" w:firstLineChars="200"/>
        <w:jc w:val="left"/>
        <w:rPr>
          <w:rFonts w:ascii="宋体" w:hAnsi="宋体" w:cs="宋体"/>
          <w:color w:val="auto"/>
          <w:kern w:val="0"/>
          <w:sz w:val="24"/>
          <w:szCs w:val="24"/>
          <w:highlight w:val="none"/>
        </w:rPr>
      </w:pPr>
      <w:r>
        <w:rPr>
          <w:rFonts w:hint="eastAsia" w:ascii="宋体" w:hAnsi="宋体" w:cs="宋体"/>
          <w:color w:val="auto"/>
          <w:kern w:val="0"/>
          <w:sz w:val="24"/>
          <w:szCs w:val="24"/>
          <w:highlight w:val="none"/>
        </w:rPr>
        <w:t>7.7.7供应商须书面承诺：中标后严格依据投标文件所做承诺履行职责，如有违约，采购人有权根据协议、合同采取相应措施，并相应追究其违约责任。一旦有诉讼事实时，中标方与采购人签订的合同自动终止，中标方应在3天内撤走所有人员，且采购人有权没收履约保证金，履约保证金不足赔偿采购人损失的，采购人有权要求中标方支付不足部分。</w:t>
      </w:r>
    </w:p>
    <w:p w14:paraId="65F7E36C">
      <w:pPr>
        <w:spacing w:line="360" w:lineRule="auto"/>
        <w:ind w:firstLine="482" w:firstLineChars="200"/>
        <w:rPr>
          <w:rFonts w:ascii="宋体" w:hAnsi="宋体" w:cs="宋体"/>
          <w:b/>
          <w:bCs/>
          <w:color w:val="auto"/>
          <w:sz w:val="24"/>
          <w:szCs w:val="24"/>
          <w:highlight w:val="none"/>
        </w:rPr>
      </w:pPr>
      <w:r>
        <w:rPr>
          <w:rFonts w:hint="eastAsia" w:ascii="宋体" w:hAnsi="宋体" w:cs="宋体"/>
          <w:b/>
          <w:bCs/>
          <w:color w:val="auto"/>
          <w:sz w:val="24"/>
          <w:szCs w:val="24"/>
          <w:highlight w:val="none"/>
        </w:rPr>
        <w:t>以上要求投标人应提供书面承诺，并加盖投标人公章。</w:t>
      </w:r>
    </w:p>
    <w:p w14:paraId="1D42393F">
      <w:pPr>
        <w:pStyle w:val="9"/>
        <w:jc w:val="center"/>
        <w:rPr>
          <w:rFonts w:hAnsi="宋体"/>
          <w:b/>
          <w:bCs/>
          <w:color w:val="auto"/>
          <w:sz w:val="32"/>
          <w:highlight w:val="none"/>
        </w:rPr>
      </w:pPr>
      <w:r>
        <w:rPr>
          <w:rFonts w:hint="eastAsia" w:hAnsi="宋体" w:cs="宋体"/>
          <w:b/>
          <w:bCs/>
          <w:color w:val="auto"/>
          <w:sz w:val="24"/>
          <w:szCs w:val="24"/>
          <w:highlight w:val="none"/>
        </w:rPr>
        <w:t xml:space="preserve">  </w:t>
      </w:r>
      <w:bookmarkStart w:id="113" w:name="_Toc24970"/>
      <w:bookmarkStart w:id="114" w:name="_Toc28004"/>
      <w:bookmarkStart w:id="115" w:name="_Toc21503"/>
      <w:bookmarkStart w:id="116" w:name="_Toc17680"/>
      <w:bookmarkStart w:id="117" w:name="_Toc16058"/>
    </w:p>
    <w:p w14:paraId="7EF08FDE">
      <w:pPr>
        <w:pStyle w:val="9"/>
        <w:spacing w:line="360" w:lineRule="auto"/>
        <w:jc w:val="center"/>
        <w:outlineLvl w:val="0"/>
        <w:rPr>
          <w:rFonts w:hAnsi="宋体"/>
          <w:b/>
          <w:bCs/>
          <w:color w:val="auto"/>
          <w:sz w:val="32"/>
          <w:highlight w:val="none"/>
        </w:rPr>
        <w:sectPr>
          <w:headerReference r:id="rId9" w:type="default"/>
          <w:footerReference r:id="rId10" w:type="default"/>
          <w:pgSz w:w="11907" w:h="16840"/>
          <w:pgMar w:top="1361" w:right="1752" w:bottom="1440" w:left="1752" w:header="851" w:footer="992" w:gutter="0"/>
          <w:cols w:space="720" w:num="1"/>
        </w:sectPr>
      </w:pPr>
      <w:bookmarkStart w:id="118" w:name="_Toc30940"/>
    </w:p>
    <w:p w14:paraId="0FFF2F17">
      <w:pPr>
        <w:pStyle w:val="9"/>
        <w:spacing w:line="360" w:lineRule="auto"/>
        <w:jc w:val="center"/>
        <w:outlineLvl w:val="0"/>
        <w:rPr>
          <w:rFonts w:hAnsi="宋体" w:cs="宋体"/>
          <w:b/>
          <w:bCs/>
          <w:color w:val="auto"/>
          <w:sz w:val="32"/>
          <w:szCs w:val="32"/>
          <w:highlight w:val="none"/>
        </w:rPr>
      </w:pPr>
      <w:r>
        <w:rPr>
          <w:rFonts w:hint="eastAsia" w:hAnsi="宋体"/>
          <w:b/>
          <w:bCs/>
          <w:color w:val="auto"/>
          <w:sz w:val="32"/>
          <w:highlight w:val="none"/>
        </w:rPr>
        <w:t>第四章  政府采购合同</w:t>
      </w:r>
      <w:bookmarkEnd w:id="113"/>
      <w:bookmarkEnd w:id="114"/>
      <w:bookmarkEnd w:id="115"/>
      <w:bookmarkEnd w:id="116"/>
      <w:bookmarkEnd w:id="117"/>
      <w:bookmarkEnd w:id="118"/>
    </w:p>
    <w:tbl>
      <w:tblPr>
        <w:tblStyle w:val="21"/>
        <w:tblW w:w="0" w:type="auto"/>
        <w:tblInd w:w="4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99"/>
      </w:tblGrid>
      <w:tr w14:paraId="210D6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80" w:hRule="atLeast"/>
        </w:trPr>
        <w:tc>
          <w:tcPr>
            <w:tcW w:w="8099" w:type="dxa"/>
          </w:tcPr>
          <w:p w14:paraId="56D9B466">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 xml:space="preserve">注释： </w:t>
            </w:r>
          </w:p>
          <w:p w14:paraId="60FBA263">
            <w:pPr>
              <w:widowControl/>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本格式条款仅作为双方签订合同的参考，为阐明各方的权利和义务，经协商可增加新的条款、修改相关条款， 但不得与招标文件、投标文件的实质性内容相背离。</w:t>
            </w:r>
          </w:p>
        </w:tc>
      </w:tr>
    </w:tbl>
    <w:p w14:paraId="50F10A04">
      <w:pPr>
        <w:spacing w:line="360" w:lineRule="auto"/>
        <w:ind w:left="-284"/>
        <w:rPr>
          <w:rFonts w:ascii="宋体" w:hAnsi="宋体" w:cs="宋体"/>
          <w:color w:val="auto"/>
          <w:sz w:val="24"/>
          <w:szCs w:val="24"/>
          <w:highlight w:val="none"/>
        </w:rPr>
      </w:pPr>
      <w:r>
        <w:rPr>
          <w:rFonts w:hint="eastAsia" w:ascii="宋体" w:hAnsi="宋体" w:cs="宋体"/>
          <w:b/>
          <w:bCs/>
          <w:color w:val="auto"/>
          <w:sz w:val="24"/>
          <w:szCs w:val="24"/>
          <w:highlight w:val="none"/>
        </w:rPr>
        <w:t xml:space="preserve">  </w:t>
      </w:r>
      <w:r>
        <w:rPr>
          <w:rFonts w:hint="eastAsia" w:ascii="宋体" w:hAnsi="宋体" w:cs="宋体"/>
          <w:color w:val="auto"/>
          <w:sz w:val="24"/>
          <w:szCs w:val="24"/>
          <w:highlight w:val="none"/>
        </w:rPr>
        <w:t xml:space="preserve">   </w:t>
      </w:r>
    </w:p>
    <w:p w14:paraId="0DD2D9FD">
      <w:pPr>
        <w:widowControl/>
        <w:jc w:val="center"/>
        <w:rPr>
          <w:rFonts w:ascii="仿宋_GB2312" w:hAnsi="Times New Roman" w:eastAsia="仿宋_GB2312"/>
          <w:b/>
          <w:bCs/>
          <w:color w:val="auto"/>
          <w:kern w:val="0"/>
          <w:sz w:val="36"/>
          <w:szCs w:val="36"/>
          <w:highlight w:val="none"/>
        </w:rPr>
      </w:pPr>
      <w:r>
        <w:rPr>
          <w:rFonts w:hint="eastAsia" w:ascii="仿宋_GB2312" w:hAnsi="Times New Roman" w:eastAsia="仿宋_GB2312"/>
          <w:b/>
          <w:bCs/>
          <w:color w:val="auto"/>
          <w:kern w:val="0"/>
          <w:sz w:val="36"/>
          <w:szCs w:val="36"/>
          <w:highlight w:val="none"/>
        </w:rPr>
        <w:t>中国人民银行厦门市分行</w:t>
      </w:r>
    </w:p>
    <w:p w14:paraId="17793756">
      <w:pPr>
        <w:widowControl/>
        <w:jc w:val="center"/>
        <w:rPr>
          <w:rFonts w:ascii="仿宋_GB2312" w:hAnsi="Times New Roman" w:eastAsia="仿宋_GB2312"/>
          <w:b/>
          <w:bCs/>
          <w:color w:val="auto"/>
          <w:kern w:val="0"/>
          <w:sz w:val="36"/>
          <w:szCs w:val="36"/>
          <w:highlight w:val="none"/>
        </w:rPr>
      </w:pPr>
      <w:r>
        <w:rPr>
          <w:rFonts w:hint="eastAsia" w:ascii="仿宋_GB2312" w:hAnsi="Times New Roman" w:eastAsia="仿宋_GB2312"/>
          <w:b/>
          <w:bCs/>
          <w:color w:val="auto"/>
          <w:kern w:val="0"/>
          <w:sz w:val="36"/>
          <w:szCs w:val="36"/>
          <w:highlight w:val="none"/>
        </w:rPr>
        <w:t>食堂服务外包合同</w:t>
      </w:r>
    </w:p>
    <w:p w14:paraId="6A3FCC08">
      <w:pPr>
        <w:widowControl/>
        <w:spacing w:line="360" w:lineRule="auto"/>
        <w:rPr>
          <w:rFonts w:ascii="仿宋_GB2312" w:hAnsi="Times New Roman" w:eastAsia="仿宋_GB2312"/>
          <w:b/>
          <w:bCs/>
          <w:color w:val="auto"/>
          <w:kern w:val="0"/>
          <w:sz w:val="32"/>
          <w:szCs w:val="32"/>
          <w:highlight w:val="none"/>
        </w:rPr>
      </w:pPr>
    </w:p>
    <w:p w14:paraId="7DC6927C">
      <w:pPr>
        <w:widowControl/>
        <w:spacing w:line="360" w:lineRule="auto"/>
        <w:rPr>
          <w:rFonts w:ascii="仿宋_GB2312" w:hAnsi="Times New Roman" w:eastAsia="仿宋_GB2312"/>
          <w:b/>
          <w:bCs/>
          <w:color w:val="auto"/>
          <w:kern w:val="0"/>
          <w:sz w:val="28"/>
          <w:szCs w:val="28"/>
          <w:highlight w:val="none"/>
        </w:rPr>
      </w:pPr>
      <w:r>
        <w:rPr>
          <w:rFonts w:hint="eastAsia" w:ascii="仿宋_GB2312" w:hAnsi="Times New Roman" w:eastAsia="仿宋_GB2312"/>
          <w:b/>
          <w:bCs/>
          <w:color w:val="auto"/>
          <w:kern w:val="0"/>
          <w:sz w:val="28"/>
          <w:szCs w:val="28"/>
          <w:highlight w:val="none"/>
        </w:rPr>
        <w:t>甲 方：</w:t>
      </w:r>
      <w:r>
        <w:rPr>
          <w:rFonts w:hint="eastAsia" w:ascii="仿宋_GB2312" w:hAnsi="Times New Roman" w:eastAsia="仿宋_GB2312"/>
          <w:b/>
          <w:bCs/>
          <w:color w:val="auto"/>
          <w:kern w:val="0"/>
          <w:sz w:val="28"/>
          <w:szCs w:val="28"/>
          <w:highlight w:val="none"/>
          <w:u w:val="single"/>
        </w:rPr>
        <w:t xml:space="preserve">                          （采购人名称）</w:t>
      </w:r>
    </w:p>
    <w:p w14:paraId="6AEC5858">
      <w:pPr>
        <w:widowControl/>
        <w:spacing w:line="360" w:lineRule="auto"/>
        <w:rPr>
          <w:rFonts w:ascii="仿宋_GB2312" w:hAnsi="Times New Roman" w:eastAsia="仿宋_GB2312"/>
          <w:color w:val="auto"/>
          <w:kern w:val="0"/>
          <w:sz w:val="28"/>
          <w:szCs w:val="28"/>
          <w:highlight w:val="none"/>
        </w:rPr>
      </w:pPr>
      <w:r>
        <w:rPr>
          <w:rFonts w:hint="eastAsia" w:ascii="仿宋_GB2312" w:hAnsi="Times New Roman" w:eastAsia="仿宋_GB2312"/>
          <w:b/>
          <w:bCs/>
          <w:color w:val="auto"/>
          <w:kern w:val="0"/>
          <w:sz w:val="28"/>
          <w:szCs w:val="28"/>
          <w:highlight w:val="none"/>
        </w:rPr>
        <w:t>乙 方：</w:t>
      </w:r>
      <w:r>
        <w:rPr>
          <w:rFonts w:hint="eastAsia" w:ascii="仿宋_GB2312" w:hAnsi="Times New Roman" w:eastAsia="仿宋_GB2312"/>
          <w:b/>
          <w:bCs/>
          <w:color w:val="auto"/>
          <w:kern w:val="0"/>
          <w:sz w:val="28"/>
          <w:szCs w:val="28"/>
          <w:highlight w:val="none"/>
          <w:u w:val="single"/>
        </w:rPr>
        <w:t xml:space="preserve">                          （中标人名称）</w:t>
      </w:r>
    </w:p>
    <w:p w14:paraId="6C7FFE92">
      <w:pPr>
        <w:widowControl/>
        <w:spacing w:line="360" w:lineRule="auto"/>
        <w:rPr>
          <w:rFonts w:ascii="仿宋_GB2312" w:hAnsi="Times New Roman" w:eastAsia="仿宋_GB2312"/>
          <w:color w:val="auto"/>
          <w:kern w:val="0"/>
          <w:sz w:val="28"/>
          <w:szCs w:val="28"/>
          <w:highlight w:val="none"/>
        </w:rPr>
      </w:pPr>
    </w:p>
    <w:p w14:paraId="74507CC0">
      <w:pPr>
        <w:widowControl/>
        <w:spacing w:line="360" w:lineRule="auto"/>
        <w:ind w:firstLine="560"/>
        <w:rPr>
          <w:rFonts w:ascii="仿宋_GB2312" w:hAnsi="Times New Roman" w:eastAsia="仿宋_GB2312"/>
          <w:color w:val="auto"/>
          <w:kern w:val="0"/>
          <w:sz w:val="28"/>
          <w:szCs w:val="28"/>
          <w:highlight w:val="none"/>
        </w:rPr>
      </w:pPr>
      <w:r>
        <w:rPr>
          <w:rFonts w:hint="eastAsia" w:ascii="仿宋_GB2312" w:hAnsi="Times New Roman" w:eastAsia="仿宋_GB2312"/>
          <w:color w:val="auto"/>
          <w:kern w:val="0"/>
          <w:sz w:val="28"/>
          <w:szCs w:val="28"/>
          <w:highlight w:val="none"/>
        </w:rPr>
        <w:t>甲方通过公开招标将甲方位于厦门市思明区展鸿路100号和翔安区黎林路1699号的职工食堂（以下简称“职工食堂”）委托乙方进行管理服务。为了在委托管理服务期间双方严格履行各自职责，遵照《中华人民共和国民法典》及相关法律法规，甲、乙双方在平等、自愿、协商一致的基础上，订立本合同。</w:t>
      </w:r>
    </w:p>
    <w:p w14:paraId="563FC58F">
      <w:pPr>
        <w:widowControl/>
        <w:spacing w:line="360" w:lineRule="auto"/>
        <w:jc w:val="center"/>
        <w:rPr>
          <w:rFonts w:ascii="仿宋_GB2312" w:hAnsi="Times New Roman" w:eastAsia="仿宋_GB2312"/>
          <w:b/>
          <w:bCs/>
          <w:color w:val="auto"/>
          <w:kern w:val="0"/>
          <w:sz w:val="28"/>
          <w:szCs w:val="28"/>
          <w:highlight w:val="none"/>
        </w:rPr>
      </w:pPr>
      <w:r>
        <w:rPr>
          <w:rFonts w:hint="eastAsia" w:ascii="仿宋_GB2312" w:hAnsi="Times New Roman" w:eastAsia="仿宋_GB2312"/>
          <w:b/>
          <w:bCs/>
          <w:color w:val="auto"/>
          <w:kern w:val="0"/>
          <w:sz w:val="28"/>
          <w:szCs w:val="28"/>
          <w:highlight w:val="none"/>
        </w:rPr>
        <w:t>第一章 服务范围及要求</w:t>
      </w:r>
    </w:p>
    <w:p w14:paraId="33C54E2E">
      <w:pPr>
        <w:widowControl/>
        <w:spacing w:line="360" w:lineRule="auto"/>
        <w:ind w:firstLine="500"/>
        <w:rPr>
          <w:rFonts w:ascii="仿宋_GB2312" w:hAnsi="Times New Roman" w:eastAsia="仿宋_GB2312"/>
          <w:color w:val="auto"/>
          <w:kern w:val="0"/>
          <w:sz w:val="28"/>
          <w:szCs w:val="28"/>
          <w:highlight w:val="none"/>
        </w:rPr>
      </w:pPr>
      <w:r>
        <w:rPr>
          <w:rFonts w:hint="eastAsia" w:ascii="仿宋_GB2312" w:hAnsi="Times New Roman" w:eastAsia="仿宋_GB2312"/>
          <w:b/>
          <w:bCs/>
          <w:color w:val="auto"/>
          <w:kern w:val="0"/>
          <w:sz w:val="28"/>
          <w:szCs w:val="28"/>
          <w:highlight w:val="none"/>
        </w:rPr>
        <w:t xml:space="preserve">第一条  </w:t>
      </w:r>
      <w:r>
        <w:rPr>
          <w:rFonts w:hint="eastAsia" w:ascii="仿宋_GB2312" w:hAnsi="Times New Roman" w:eastAsia="仿宋_GB2312"/>
          <w:color w:val="auto"/>
          <w:kern w:val="0"/>
          <w:sz w:val="28"/>
          <w:szCs w:val="28"/>
          <w:highlight w:val="none"/>
        </w:rPr>
        <w:t>乙方应根据本合同规定向甲方提供以下服务。</w:t>
      </w:r>
    </w:p>
    <w:p w14:paraId="62CC3B3C">
      <w:pPr>
        <w:widowControl/>
        <w:spacing w:line="360" w:lineRule="auto"/>
        <w:ind w:firstLine="500"/>
        <w:rPr>
          <w:rFonts w:ascii="仿宋_GB2312" w:hAnsi="Times New Roman" w:eastAsia="仿宋_GB2312"/>
          <w:color w:val="auto"/>
          <w:kern w:val="0"/>
          <w:sz w:val="28"/>
          <w:szCs w:val="28"/>
          <w:highlight w:val="none"/>
        </w:rPr>
      </w:pPr>
      <w:r>
        <w:rPr>
          <w:rFonts w:hint="eastAsia" w:ascii="仿宋_GB2312" w:hAnsi="Times New Roman" w:eastAsia="仿宋_GB2312"/>
          <w:color w:val="auto"/>
          <w:kern w:val="0"/>
          <w:sz w:val="28"/>
          <w:szCs w:val="28"/>
          <w:highlight w:val="none"/>
        </w:rPr>
        <w:t>1. 根据甲方的要求保障工作日职工餐饮三餐正点、足量供应，且标准不得低于招标文件和乙方投标文件的要求。</w:t>
      </w:r>
    </w:p>
    <w:p w14:paraId="568121C2">
      <w:pPr>
        <w:widowControl/>
        <w:spacing w:line="360" w:lineRule="auto"/>
        <w:ind w:firstLine="500"/>
        <w:rPr>
          <w:rFonts w:ascii="仿宋_GB2312" w:hAnsi="Times New Roman" w:eastAsia="仿宋_GB2312"/>
          <w:color w:val="auto"/>
          <w:kern w:val="0"/>
          <w:sz w:val="28"/>
          <w:szCs w:val="28"/>
          <w:highlight w:val="none"/>
        </w:rPr>
      </w:pPr>
      <w:r>
        <w:rPr>
          <w:rFonts w:hint="eastAsia" w:ascii="仿宋_GB2312" w:hAnsi="Times New Roman" w:eastAsia="仿宋_GB2312"/>
          <w:color w:val="auto"/>
          <w:kern w:val="0"/>
          <w:sz w:val="28"/>
          <w:szCs w:val="28"/>
          <w:highlight w:val="none"/>
        </w:rPr>
        <w:t>2. 甲方位于思明区展鸿路100号的职工食堂配设仓库、厨房、餐厅、售卖区和吧台等5个工作区域，位于翔安区黎林路1699号的职工食堂配设食品储存区、食品加工区、食品售卖区（含面档）、就餐区等4个工作区域，乙方就以上区域提供相应服务。</w:t>
      </w:r>
    </w:p>
    <w:p w14:paraId="57219705">
      <w:pPr>
        <w:widowControl/>
        <w:spacing w:line="360" w:lineRule="auto"/>
        <w:ind w:firstLine="500"/>
        <w:rPr>
          <w:rFonts w:ascii="仿宋_GB2312" w:hAnsi="Times New Roman" w:eastAsia="仿宋_GB2312"/>
          <w:color w:val="auto"/>
          <w:kern w:val="0"/>
          <w:sz w:val="28"/>
          <w:szCs w:val="28"/>
          <w:highlight w:val="none"/>
        </w:rPr>
      </w:pPr>
      <w:r>
        <w:rPr>
          <w:rFonts w:hint="eastAsia" w:ascii="仿宋_GB2312" w:hAnsi="Times New Roman" w:eastAsia="仿宋_GB2312"/>
          <w:color w:val="auto"/>
          <w:kern w:val="0"/>
          <w:sz w:val="28"/>
          <w:szCs w:val="28"/>
          <w:highlight w:val="none"/>
        </w:rPr>
        <w:t>3.服务时间：保障工作日职工餐饮三餐正点供应，早餐：7:00－8:30；中餐：11:45－13:00；晚餐：16:45-18:30。</w:t>
      </w:r>
    </w:p>
    <w:p w14:paraId="372C0868">
      <w:pPr>
        <w:widowControl/>
        <w:spacing w:line="360" w:lineRule="auto"/>
        <w:ind w:firstLine="500"/>
        <w:rPr>
          <w:rFonts w:ascii="仿宋_GB2312" w:hAnsi="Times New Roman" w:eastAsia="仿宋_GB2312"/>
          <w:color w:val="auto"/>
          <w:kern w:val="0"/>
          <w:sz w:val="28"/>
          <w:szCs w:val="28"/>
          <w:highlight w:val="none"/>
        </w:rPr>
      </w:pPr>
      <w:r>
        <w:rPr>
          <w:rFonts w:hint="eastAsia" w:ascii="仿宋_GB2312" w:hAnsi="Times New Roman" w:eastAsia="仿宋_GB2312"/>
          <w:color w:val="auto"/>
          <w:kern w:val="0"/>
          <w:sz w:val="28"/>
          <w:szCs w:val="28"/>
          <w:highlight w:val="none"/>
        </w:rPr>
        <w:t>4.服务要求：在满足安全合规管理的要求下，应做到以下要求：</w:t>
      </w:r>
    </w:p>
    <w:p w14:paraId="2683C1FB">
      <w:pPr>
        <w:widowControl/>
        <w:spacing w:line="360" w:lineRule="auto"/>
        <w:ind w:firstLine="500"/>
        <w:rPr>
          <w:rFonts w:ascii="仿宋_GB2312" w:hAnsi="Times New Roman" w:eastAsia="仿宋_GB2312"/>
          <w:color w:val="auto"/>
          <w:kern w:val="0"/>
          <w:sz w:val="28"/>
          <w:szCs w:val="28"/>
          <w:highlight w:val="none"/>
        </w:rPr>
      </w:pPr>
      <w:r>
        <w:rPr>
          <w:rFonts w:hint="eastAsia" w:ascii="仿宋_GB2312" w:hAnsi="Times New Roman" w:eastAsia="仿宋_GB2312"/>
          <w:color w:val="auto"/>
          <w:kern w:val="0"/>
          <w:sz w:val="28"/>
          <w:szCs w:val="28"/>
          <w:highlight w:val="none"/>
        </w:rPr>
        <w:t>4.1食堂服务由乙方负责管理，不得转包，不得利用业主资产进行经营活动。</w:t>
      </w:r>
    </w:p>
    <w:p w14:paraId="1C49046F">
      <w:pPr>
        <w:widowControl/>
        <w:spacing w:line="360" w:lineRule="auto"/>
        <w:ind w:firstLine="500"/>
        <w:rPr>
          <w:rFonts w:ascii="仿宋_GB2312" w:hAnsi="Times New Roman" w:eastAsia="仿宋_GB2312"/>
          <w:color w:val="auto"/>
          <w:kern w:val="0"/>
          <w:sz w:val="28"/>
          <w:szCs w:val="28"/>
          <w:highlight w:val="none"/>
        </w:rPr>
      </w:pPr>
      <w:r>
        <w:rPr>
          <w:rFonts w:hint="eastAsia" w:ascii="仿宋_GB2312" w:hAnsi="Times New Roman" w:eastAsia="仿宋_GB2312"/>
          <w:color w:val="auto"/>
          <w:kern w:val="0"/>
          <w:sz w:val="28"/>
          <w:szCs w:val="28"/>
          <w:highlight w:val="none"/>
        </w:rPr>
        <w:t>4.2食堂工作人员由乙方自行安排，但均必须持有健康证，并保持相对稳定，若更换工作人员等情况须满足食堂人员的配置及要求，且经甲方确认后方可更换，更换的工作人员在更换前须提供健康证、行政主管部门出具的无犯罪记录证明；卫生检疫、工作人员体检、伤残疾病等费用均由乙方自理。</w:t>
      </w:r>
    </w:p>
    <w:p w14:paraId="096F45B7">
      <w:pPr>
        <w:widowControl/>
        <w:spacing w:line="360" w:lineRule="auto"/>
        <w:ind w:firstLine="500"/>
        <w:rPr>
          <w:rFonts w:ascii="仿宋_GB2312" w:hAnsi="Times New Roman" w:eastAsia="仿宋_GB2312"/>
          <w:color w:val="auto"/>
          <w:kern w:val="0"/>
          <w:sz w:val="28"/>
          <w:szCs w:val="28"/>
          <w:highlight w:val="none"/>
        </w:rPr>
      </w:pPr>
      <w:r>
        <w:rPr>
          <w:rFonts w:hint="eastAsia" w:ascii="仿宋_GB2312" w:hAnsi="Times New Roman" w:eastAsia="仿宋_GB2312"/>
          <w:color w:val="auto"/>
          <w:kern w:val="0"/>
          <w:sz w:val="28"/>
          <w:szCs w:val="28"/>
          <w:highlight w:val="none"/>
        </w:rPr>
        <w:t>4.3按不同季节，分早中晚安排适度的主、副食品种，花色品种应经常变化，根据每个季节的不同需求提供适合当季的菜品满足干部职工就餐需求。</w:t>
      </w:r>
    </w:p>
    <w:p w14:paraId="336E0711">
      <w:pPr>
        <w:widowControl/>
        <w:spacing w:line="360" w:lineRule="auto"/>
        <w:ind w:firstLine="500"/>
        <w:rPr>
          <w:rFonts w:ascii="仿宋_GB2312" w:hAnsi="Times New Roman" w:eastAsia="仿宋_GB2312"/>
          <w:color w:val="auto"/>
          <w:kern w:val="0"/>
          <w:sz w:val="28"/>
          <w:szCs w:val="28"/>
          <w:highlight w:val="none"/>
        </w:rPr>
      </w:pPr>
      <w:r>
        <w:rPr>
          <w:rFonts w:hint="eastAsia" w:ascii="仿宋_GB2312" w:hAnsi="Times New Roman" w:eastAsia="仿宋_GB2312"/>
          <w:color w:val="auto"/>
          <w:kern w:val="0"/>
          <w:sz w:val="28"/>
          <w:szCs w:val="28"/>
          <w:highlight w:val="none"/>
        </w:rPr>
        <w:t>4.4根据甲方的要求在夏季期间，为职工免费提供凉茶。</w:t>
      </w:r>
    </w:p>
    <w:p w14:paraId="706A40AB">
      <w:pPr>
        <w:widowControl/>
        <w:spacing w:line="360" w:lineRule="auto"/>
        <w:ind w:firstLine="500"/>
        <w:rPr>
          <w:rFonts w:ascii="仿宋_GB2312" w:hAnsi="Times New Roman" w:eastAsia="仿宋_GB2312"/>
          <w:color w:val="auto"/>
          <w:kern w:val="0"/>
          <w:sz w:val="28"/>
          <w:szCs w:val="28"/>
          <w:highlight w:val="none"/>
        </w:rPr>
      </w:pPr>
      <w:r>
        <w:rPr>
          <w:rFonts w:hint="eastAsia" w:ascii="仿宋_GB2312" w:hAnsi="Times New Roman" w:eastAsia="仿宋_GB2312"/>
          <w:color w:val="auto"/>
          <w:kern w:val="0"/>
          <w:sz w:val="28"/>
          <w:szCs w:val="28"/>
          <w:highlight w:val="none"/>
        </w:rPr>
        <w:t>4.5特殊情况服务要求：</w:t>
      </w:r>
    </w:p>
    <w:p w14:paraId="36C237FD">
      <w:pPr>
        <w:widowControl/>
        <w:spacing w:line="360" w:lineRule="auto"/>
        <w:ind w:firstLine="500"/>
        <w:rPr>
          <w:rFonts w:ascii="仿宋_GB2312" w:hAnsi="Times New Roman" w:eastAsia="仿宋_GB2312"/>
          <w:color w:val="auto"/>
          <w:kern w:val="0"/>
          <w:sz w:val="28"/>
          <w:szCs w:val="28"/>
          <w:highlight w:val="none"/>
        </w:rPr>
      </w:pPr>
      <w:r>
        <w:rPr>
          <w:rFonts w:hint="eastAsia" w:ascii="仿宋_GB2312" w:hAnsi="Times New Roman" w:eastAsia="仿宋_GB2312"/>
          <w:color w:val="auto"/>
          <w:kern w:val="0"/>
          <w:sz w:val="28"/>
          <w:szCs w:val="28"/>
          <w:highlight w:val="none"/>
        </w:rPr>
        <w:t>4.5.1节假日工作用餐及各类工作用餐，乙方应根据甲方的要求提供服务，接受甲方的监督与指导。</w:t>
      </w:r>
    </w:p>
    <w:p w14:paraId="107FD801">
      <w:pPr>
        <w:widowControl/>
        <w:spacing w:line="360" w:lineRule="auto"/>
        <w:ind w:firstLine="500"/>
        <w:rPr>
          <w:rFonts w:ascii="仿宋_GB2312" w:hAnsi="Times New Roman" w:eastAsia="仿宋_GB2312"/>
          <w:color w:val="auto"/>
          <w:kern w:val="0"/>
          <w:sz w:val="28"/>
          <w:szCs w:val="28"/>
          <w:highlight w:val="none"/>
        </w:rPr>
      </w:pPr>
      <w:r>
        <w:rPr>
          <w:rFonts w:hint="eastAsia" w:ascii="仿宋_GB2312" w:hAnsi="Times New Roman" w:eastAsia="仿宋_GB2312"/>
          <w:color w:val="auto"/>
          <w:kern w:val="0"/>
          <w:sz w:val="28"/>
          <w:szCs w:val="28"/>
          <w:highlight w:val="none"/>
        </w:rPr>
        <w:t>4.5.2乙方应在元宵节、端午节、中秋节等传统节日期间应提前准备对应的传统节日特色食品，向职工提供服务。</w:t>
      </w:r>
    </w:p>
    <w:p w14:paraId="507A7ED7">
      <w:pPr>
        <w:widowControl/>
        <w:spacing w:line="360" w:lineRule="auto"/>
        <w:ind w:firstLine="500"/>
        <w:rPr>
          <w:rFonts w:ascii="仿宋_GB2312" w:hAnsi="Times New Roman" w:eastAsia="仿宋_GB2312"/>
          <w:color w:val="auto"/>
          <w:kern w:val="0"/>
          <w:sz w:val="28"/>
          <w:szCs w:val="28"/>
          <w:highlight w:val="none"/>
        </w:rPr>
      </w:pPr>
      <w:r>
        <w:rPr>
          <w:rFonts w:hint="eastAsia" w:ascii="仿宋_GB2312" w:hAnsi="Times New Roman" w:eastAsia="仿宋_GB2312"/>
          <w:color w:val="auto"/>
          <w:kern w:val="0"/>
          <w:sz w:val="28"/>
          <w:szCs w:val="28"/>
          <w:highlight w:val="none"/>
        </w:rPr>
        <w:t>4.5.3若出现临时性突发情况需乙方配合，乙方应无条件积极配合甲方应对突发情况。</w:t>
      </w:r>
    </w:p>
    <w:p w14:paraId="0178017E">
      <w:pPr>
        <w:widowControl/>
        <w:spacing w:line="360" w:lineRule="auto"/>
        <w:ind w:firstLine="500"/>
        <w:rPr>
          <w:rFonts w:ascii="仿宋_GB2312" w:hAnsi="Times New Roman" w:eastAsia="仿宋_GB2312"/>
          <w:color w:val="auto"/>
          <w:kern w:val="0"/>
          <w:sz w:val="28"/>
          <w:szCs w:val="28"/>
          <w:highlight w:val="none"/>
        </w:rPr>
      </w:pPr>
      <w:r>
        <w:rPr>
          <w:rFonts w:hint="eastAsia" w:ascii="仿宋_GB2312" w:hAnsi="Times New Roman" w:eastAsia="仿宋_GB2312"/>
          <w:color w:val="auto"/>
          <w:kern w:val="0"/>
          <w:sz w:val="28"/>
          <w:szCs w:val="28"/>
          <w:highlight w:val="none"/>
        </w:rPr>
        <w:t>4.5.4出现食物中毒的紧急预案及处理措施。</w:t>
      </w:r>
    </w:p>
    <w:p w14:paraId="0CF349EE">
      <w:pPr>
        <w:widowControl/>
        <w:spacing w:line="360" w:lineRule="auto"/>
        <w:ind w:firstLine="500"/>
        <w:rPr>
          <w:rFonts w:ascii="仿宋_GB2312" w:hAnsi="Times New Roman" w:eastAsia="仿宋_GB2312"/>
          <w:color w:val="auto"/>
          <w:kern w:val="0"/>
          <w:sz w:val="28"/>
          <w:szCs w:val="28"/>
          <w:highlight w:val="none"/>
        </w:rPr>
      </w:pPr>
      <w:r>
        <w:rPr>
          <w:rFonts w:hint="eastAsia" w:ascii="仿宋_GB2312" w:hAnsi="Times New Roman" w:eastAsia="仿宋_GB2312"/>
          <w:color w:val="auto"/>
          <w:kern w:val="0"/>
          <w:sz w:val="28"/>
          <w:szCs w:val="28"/>
          <w:highlight w:val="none"/>
        </w:rPr>
        <w:t>5. 用餐要求：</w:t>
      </w:r>
    </w:p>
    <w:p w14:paraId="50BDC3F3">
      <w:pPr>
        <w:widowControl/>
        <w:spacing w:line="360" w:lineRule="auto"/>
        <w:ind w:firstLine="500"/>
        <w:rPr>
          <w:rFonts w:ascii="仿宋_GB2312" w:hAnsi="Times New Roman" w:eastAsia="仿宋_GB2312"/>
          <w:color w:val="auto"/>
          <w:kern w:val="0"/>
          <w:sz w:val="28"/>
          <w:szCs w:val="28"/>
          <w:highlight w:val="none"/>
          <w:lang w:val="zh-CN"/>
        </w:rPr>
      </w:pPr>
      <w:r>
        <w:rPr>
          <w:rFonts w:hint="eastAsia" w:ascii="仿宋_GB2312" w:hAnsi="Times New Roman" w:eastAsia="仿宋_GB2312"/>
          <w:color w:val="auto"/>
          <w:kern w:val="0"/>
          <w:sz w:val="28"/>
          <w:szCs w:val="28"/>
          <w:highlight w:val="none"/>
        </w:rPr>
        <w:t>用餐方式要求：</w:t>
      </w:r>
      <w:r>
        <w:rPr>
          <w:rFonts w:hint="eastAsia" w:ascii="仿宋_GB2312" w:hAnsi="Times New Roman" w:eastAsia="仿宋_GB2312"/>
          <w:color w:val="auto"/>
          <w:kern w:val="0"/>
          <w:sz w:val="28"/>
          <w:szCs w:val="28"/>
          <w:highlight w:val="none"/>
          <w:lang w:val="zh-CN"/>
        </w:rPr>
        <w:t>目前</w:t>
      </w:r>
      <w:r>
        <w:rPr>
          <w:rFonts w:hint="eastAsia" w:ascii="仿宋_GB2312" w:hAnsi="Times New Roman" w:eastAsia="仿宋_GB2312"/>
          <w:color w:val="auto"/>
          <w:kern w:val="0"/>
          <w:sz w:val="28"/>
          <w:szCs w:val="28"/>
          <w:highlight w:val="none"/>
        </w:rPr>
        <w:t>甲方</w:t>
      </w:r>
      <w:r>
        <w:rPr>
          <w:rFonts w:hint="eastAsia" w:ascii="仿宋_GB2312" w:hAnsi="Times New Roman" w:eastAsia="仿宋_GB2312"/>
          <w:color w:val="auto"/>
          <w:kern w:val="0"/>
          <w:sz w:val="28"/>
          <w:szCs w:val="28"/>
          <w:highlight w:val="none"/>
          <w:lang w:val="zh-CN"/>
        </w:rPr>
        <w:t>就餐方式为点餐与套餐结合。食堂销售的各类主、副食品，必须符合规定的质量标准，做到质量高、分量足、热菜、热饭，注重食品的营养搭配，最大限度满足不同地区人群的口味，要求做到以下要求：</w:t>
      </w:r>
    </w:p>
    <w:p w14:paraId="48D57BC7">
      <w:pPr>
        <w:widowControl/>
        <w:spacing w:line="360" w:lineRule="auto"/>
        <w:ind w:firstLine="500"/>
        <w:rPr>
          <w:rFonts w:ascii="仿宋_GB2312" w:hAnsi="Times New Roman" w:eastAsia="仿宋_GB2312"/>
          <w:color w:val="auto"/>
          <w:kern w:val="0"/>
          <w:sz w:val="28"/>
          <w:szCs w:val="28"/>
          <w:highlight w:val="none"/>
          <w:lang w:val="zh-CN"/>
        </w:rPr>
      </w:pPr>
      <w:r>
        <w:rPr>
          <w:rFonts w:hint="eastAsia" w:ascii="仿宋_GB2312" w:hAnsi="Times New Roman" w:eastAsia="仿宋_GB2312"/>
          <w:color w:val="auto"/>
          <w:kern w:val="0"/>
          <w:sz w:val="28"/>
          <w:szCs w:val="28"/>
          <w:highlight w:val="none"/>
        </w:rPr>
        <w:t>5.1</w:t>
      </w:r>
      <w:r>
        <w:rPr>
          <w:rFonts w:hint="eastAsia" w:ascii="仿宋_GB2312" w:hAnsi="Times New Roman" w:eastAsia="仿宋_GB2312"/>
          <w:color w:val="auto"/>
          <w:kern w:val="0"/>
          <w:sz w:val="28"/>
          <w:szCs w:val="28"/>
          <w:highlight w:val="none"/>
          <w:lang w:val="zh-CN"/>
        </w:rPr>
        <w:t>早餐：二荤菜（鸡蛋、鱼、肉类）、四种蔬菜、咸菜若干；二种粥、面线糊、豆浆等；馒头、包子、粗粮、面包、蛋糕等主食糕点。</w:t>
      </w:r>
    </w:p>
    <w:p w14:paraId="5E1DAF13">
      <w:pPr>
        <w:widowControl/>
        <w:spacing w:line="360" w:lineRule="auto"/>
        <w:ind w:firstLine="500"/>
        <w:rPr>
          <w:rFonts w:ascii="仿宋_GB2312" w:hAnsi="Times New Roman" w:eastAsia="仿宋_GB2312"/>
          <w:color w:val="auto"/>
          <w:kern w:val="0"/>
          <w:sz w:val="28"/>
          <w:szCs w:val="28"/>
          <w:highlight w:val="none"/>
          <w:lang w:val="zh-CN"/>
        </w:rPr>
      </w:pPr>
      <w:r>
        <w:rPr>
          <w:rFonts w:hint="eastAsia" w:ascii="仿宋_GB2312" w:hAnsi="Times New Roman" w:eastAsia="仿宋_GB2312"/>
          <w:color w:val="auto"/>
          <w:kern w:val="0"/>
          <w:sz w:val="28"/>
          <w:szCs w:val="28"/>
          <w:highlight w:val="none"/>
        </w:rPr>
        <w:t>5.2</w:t>
      </w:r>
      <w:r>
        <w:rPr>
          <w:rFonts w:hint="eastAsia" w:ascii="仿宋_GB2312" w:hAnsi="Times New Roman" w:eastAsia="仿宋_GB2312"/>
          <w:color w:val="auto"/>
          <w:kern w:val="0"/>
          <w:sz w:val="28"/>
          <w:szCs w:val="28"/>
          <w:highlight w:val="none"/>
          <w:lang w:val="zh-CN"/>
        </w:rPr>
        <w:t>中餐：三主荤（鱼、肉类）、三副荤、两种蔬菜、两种汤类、水果、糕点等。其中翔安食堂中餐为二主荤、二副荤、一素。</w:t>
      </w:r>
    </w:p>
    <w:p w14:paraId="6C614215">
      <w:pPr>
        <w:widowControl/>
        <w:spacing w:line="360" w:lineRule="auto"/>
        <w:ind w:firstLine="500"/>
        <w:rPr>
          <w:rFonts w:ascii="仿宋_GB2312" w:hAnsi="Times New Roman" w:eastAsia="仿宋_GB2312"/>
          <w:color w:val="auto"/>
          <w:kern w:val="0"/>
          <w:sz w:val="28"/>
          <w:szCs w:val="28"/>
          <w:highlight w:val="none"/>
          <w:lang w:val="zh-CN"/>
        </w:rPr>
      </w:pPr>
      <w:r>
        <w:rPr>
          <w:rFonts w:hint="eastAsia" w:ascii="仿宋_GB2312" w:hAnsi="Times New Roman" w:eastAsia="仿宋_GB2312"/>
          <w:color w:val="auto"/>
          <w:kern w:val="0"/>
          <w:sz w:val="28"/>
          <w:szCs w:val="28"/>
          <w:highlight w:val="none"/>
        </w:rPr>
        <w:t>5.3</w:t>
      </w:r>
      <w:r>
        <w:rPr>
          <w:rFonts w:hint="eastAsia" w:ascii="仿宋_GB2312" w:hAnsi="Times New Roman" w:eastAsia="仿宋_GB2312"/>
          <w:color w:val="auto"/>
          <w:kern w:val="0"/>
          <w:sz w:val="28"/>
          <w:szCs w:val="28"/>
          <w:highlight w:val="none"/>
          <w:lang w:val="zh-CN"/>
        </w:rPr>
        <w:t>晚餐：四荤四素，米饭、稀饭、糕点等。</w:t>
      </w:r>
    </w:p>
    <w:p w14:paraId="385BFB2C">
      <w:pPr>
        <w:widowControl/>
        <w:spacing w:line="360" w:lineRule="auto"/>
        <w:ind w:firstLine="500"/>
        <w:rPr>
          <w:rFonts w:ascii="仿宋_GB2312" w:hAnsi="Times New Roman" w:eastAsia="仿宋_GB2312"/>
          <w:color w:val="auto"/>
          <w:kern w:val="0"/>
          <w:sz w:val="28"/>
          <w:szCs w:val="28"/>
          <w:highlight w:val="none"/>
          <w:lang w:val="zh-CN"/>
        </w:rPr>
      </w:pPr>
      <w:r>
        <w:rPr>
          <w:rFonts w:hint="eastAsia" w:ascii="仿宋_GB2312" w:hAnsi="Times New Roman" w:eastAsia="仿宋_GB2312"/>
          <w:color w:val="auto"/>
          <w:kern w:val="0"/>
          <w:sz w:val="28"/>
          <w:szCs w:val="28"/>
          <w:highlight w:val="none"/>
        </w:rPr>
        <w:t>5.4</w:t>
      </w:r>
      <w:r>
        <w:rPr>
          <w:rFonts w:hint="eastAsia" w:ascii="仿宋_GB2312" w:hAnsi="Times New Roman" w:eastAsia="仿宋_GB2312"/>
          <w:color w:val="auto"/>
          <w:kern w:val="0"/>
          <w:sz w:val="28"/>
          <w:szCs w:val="28"/>
          <w:highlight w:val="none"/>
          <w:lang w:val="zh-CN"/>
        </w:rPr>
        <w:t>每天提供馒头、包子、面包、蛋糕等外带糕点食品。</w:t>
      </w:r>
    </w:p>
    <w:p w14:paraId="48D680AA">
      <w:pPr>
        <w:widowControl/>
        <w:spacing w:line="360" w:lineRule="auto"/>
        <w:ind w:firstLine="500"/>
        <w:rPr>
          <w:rFonts w:ascii="仿宋_GB2312" w:hAnsi="Times New Roman" w:eastAsia="仿宋_GB2312"/>
          <w:color w:val="auto"/>
          <w:kern w:val="0"/>
          <w:sz w:val="28"/>
          <w:szCs w:val="28"/>
          <w:highlight w:val="none"/>
          <w:lang w:val="zh-CN"/>
        </w:rPr>
      </w:pPr>
      <w:r>
        <w:rPr>
          <w:rFonts w:hint="eastAsia" w:ascii="仿宋_GB2312" w:hAnsi="Times New Roman" w:eastAsia="仿宋_GB2312"/>
          <w:color w:val="auto"/>
          <w:kern w:val="0"/>
          <w:sz w:val="28"/>
          <w:szCs w:val="28"/>
          <w:highlight w:val="none"/>
        </w:rPr>
        <w:t>5.5</w:t>
      </w:r>
      <w:r>
        <w:rPr>
          <w:rFonts w:hint="eastAsia" w:ascii="仿宋_GB2312" w:hAnsi="Times New Roman" w:eastAsia="仿宋_GB2312"/>
          <w:color w:val="auto"/>
          <w:kern w:val="0"/>
          <w:sz w:val="28"/>
          <w:szCs w:val="28"/>
          <w:highlight w:val="none"/>
          <w:lang w:val="zh-CN"/>
        </w:rPr>
        <w:t>提供外带食品的打包服务（无须配送）。</w:t>
      </w:r>
    </w:p>
    <w:p w14:paraId="0DA500BF">
      <w:pPr>
        <w:widowControl/>
        <w:spacing w:line="360" w:lineRule="auto"/>
        <w:ind w:firstLine="500"/>
        <w:rPr>
          <w:rFonts w:ascii="仿宋_GB2312" w:hAnsi="Times New Roman" w:eastAsia="仿宋_GB2312"/>
          <w:color w:val="auto"/>
          <w:kern w:val="0"/>
          <w:sz w:val="28"/>
          <w:szCs w:val="28"/>
          <w:highlight w:val="none"/>
          <w:lang w:val="zh-CN"/>
        </w:rPr>
      </w:pPr>
      <w:r>
        <w:rPr>
          <w:rFonts w:hint="eastAsia" w:ascii="仿宋_GB2312" w:hAnsi="Times New Roman" w:eastAsia="仿宋_GB2312"/>
          <w:color w:val="auto"/>
          <w:kern w:val="0"/>
          <w:sz w:val="28"/>
          <w:szCs w:val="28"/>
          <w:highlight w:val="none"/>
        </w:rPr>
        <w:t>5.6</w:t>
      </w:r>
      <w:r>
        <w:rPr>
          <w:rFonts w:hint="eastAsia" w:ascii="仿宋_GB2312" w:hAnsi="Times New Roman" w:eastAsia="仿宋_GB2312"/>
          <w:color w:val="auto"/>
          <w:kern w:val="0"/>
          <w:sz w:val="28"/>
          <w:szCs w:val="28"/>
          <w:highlight w:val="none"/>
          <w:lang w:val="zh-CN"/>
        </w:rPr>
        <w:t>吧台提供咖啡、甜汤、香肠、冰淇淋之类辅助食品。</w:t>
      </w:r>
    </w:p>
    <w:p w14:paraId="26721800">
      <w:pPr>
        <w:widowControl/>
        <w:spacing w:line="360" w:lineRule="auto"/>
        <w:ind w:firstLine="500"/>
        <w:rPr>
          <w:rFonts w:ascii="仿宋_GB2312" w:hAnsi="Times New Roman" w:eastAsia="仿宋_GB2312"/>
          <w:color w:val="auto"/>
          <w:kern w:val="0"/>
          <w:sz w:val="28"/>
          <w:szCs w:val="28"/>
          <w:highlight w:val="none"/>
        </w:rPr>
      </w:pPr>
      <w:r>
        <w:rPr>
          <w:rFonts w:ascii="仿宋_GB2312" w:hAnsi="Times New Roman" w:eastAsia="仿宋_GB2312"/>
          <w:color w:val="auto"/>
          <w:kern w:val="0"/>
          <w:sz w:val="28"/>
          <w:szCs w:val="28"/>
          <w:highlight w:val="none"/>
        </w:rPr>
        <w:t>6.</w:t>
      </w:r>
      <w:r>
        <w:rPr>
          <w:rFonts w:hint="eastAsia" w:ascii="仿宋_GB2312" w:hAnsi="Times New Roman" w:eastAsia="仿宋_GB2312"/>
          <w:color w:val="auto"/>
          <w:kern w:val="0"/>
          <w:sz w:val="28"/>
          <w:szCs w:val="28"/>
          <w:highlight w:val="none"/>
        </w:rPr>
        <w:t>卫生安全要求</w:t>
      </w:r>
    </w:p>
    <w:p w14:paraId="0ADA6725">
      <w:pPr>
        <w:widowControl/>
        <w:spacing w:line="360" w:lineRule="auto"/>
        <w:ind w:firstLine="500"/>
        <w:rPr>
          <w:rFonts w:ascii="仿宋_GB2312" w:hAnsi="Times New Roman" w:eastAsia="仿宋_GB2312"/>
          <w:color w:val="auto"/>
          <w:kern w:val="0"/>
          <w:sz w:val="28"/>
          <w:szCs w:val="28"/>
          <w:highlight w:val="none"/>
        </w:rPr>
      </w:pPr>
      <w:r>
        <w:rPr>
          <w:rFonts w:hint="eastAsia" w:ascii="仿宋_GB2312" w:hAnsi="Times New Roman" w:eastAsia="仿宋_GB2312"/>
          <w:color w:val="auto"/>
          <w:kern w:val="0"/>
          <w:sz w:val="28"/>
          <w:szCs w:val="28"/>
          <w:highlight w:val="none"/>
        </w:rPr>
        <w:t>6.1严格执行食品安全法，搞好食品卫生、个人卫生和环境卫生。做好消毒工作，把住病从口入关，严防食物中毒和食源性病源。严格执行安全生产制度，做好防火、防盗，加强设备维修，杜绝重大事故：</w:t>
      </w:r>
    </w:p>
    <w:p w14:paraId="341CD887">
      <w:pPr>
        <w:widowControl/>
        <w:spacing w:line="360" w:lineRule="auto"/>
        <w:ind w:firstLine="500"/>
        <w:rPr>
          <w:rFonts w:ascii="仿宋_GB2312" w:hAnsi="Times New Roman" w:eastAsia="仿宋_GB2312"/>
          <w:color w:val="auto"/>
          <w:kern w:val="0"/>
          <w:sz w:val="28"/>
          <w:szCs w:val="28"/>
          <w:highlight w:val="none"/>
        </w:rPr>
      </w:pPr>
      <w:r>
        <w:rPr>
          <w:rFonts w:hint="eastAsia" w:ascii="仿宋_GB2312" w:hAnsi="Times New Roman" w:eastAsia="仿宋_GB2312"/>
          <w:color w:val="auto"/>
          <w:kern w:val="0"/>
          <w:sz w:val="28"/>
          <w:szCs w:val="28"/>
          <w:highlight w:val="none"/>
        </w:rPr>
        <w:t>6.1.1设备和容器、餐具卫生。设备和容器一餐一清洗和消毒，清洗消毒后的餐具严禁落地，洗消后的餐具必须摆放整齐。餐具存放备用时间夏季超过24小时、冬季超过48小时的，必须重新进行洗消处理。</w:t>
      </w:r>
    </w:p>
    <w:p w14:paraId="7270AAD4">
      <w:pPr>
        <w:widowControl/>
        <w:spacing w:line="360" w:lineRule="auto"/>
        <w:ind w:firstLine="500"/>
        <w:rPr>
          <w:rFonts w:ascii="仿宋_GB2312" w:hAnsi="Times New Roman" w:eastAsia="仿宋_GB2312"/>
          <w:color w:val="auto"/>
          <w:kern w:val="0"/>
          <w:sz w:val="28"/>
          <w:szCs w:val="28"/>
          <w:highlight w:val="none"/>
        </w:rPr>
      </w:pPr>
      <w:r>
        <w:rPr>
          <w:rFonts w:hint="eastAsia" w:ascii="仿宋_GB2312" w:hAnsi="Times New Roman" w:eastAsia="仿宋_GB2312"/>
          <w:color w:val="auto"/>
          <w:kern w:val="0"/>
          <w:sz w:val="28"/>
          <w:szCs w:val="28"/>
          <w:highlight w:val="none"/>
        </w:rPr>
        <w:t>6.1.2食品卫生。洗菜时，蔬菜要去掉老皮、黄叶和菜头，瓜果要去皮洗净，不能留有沙、虫及其他杂质，但不能因过分出现浪费的情况。投标人须按采购人要求将各类食材送检。</w:t>
      </w:r>
    </w:p>
    <w:p w14:paraId="6D5D115D">
      <w:pPr>
        <w:widowControl/>
        <w:spacing w:line="360" w:lineRule="auto"/>
        <w:ind w:firstLine="500"/>
        <w:rPr>
          <w:rFonts w:ascii="仿宋_GB2312" w:hAnsi="Times New Roman" w:eastAsia="仿宋_GB2312"/>
          <w:color w:val="auto"/>
          <w:kern w:val="0"/>
          <w:sz w:val="28"/>
          <w:szCs w:val="28"/>
          <w:highlight w:val="none"/>
        </w:rPr>
      </w:pPr>
      <w:r>
        <w:rPr>
          <w:rFonts w:hint="eastAsia" w:ascii="仿宋_GB2312" w:hAnsi="Times New Roman" w:eastAsia="仿宋_GB2312"/>
          <w:color w:val="auto"/>
          <w:kern w:val="0"/>
          <w:sz w:val="28"/>
          <w:szCs w:val="28"/>
          <w:highlight w:val="none"/>
        </w:rPr>
        <w:t>6.1.3环境卫生。食堂餐厅室内外清洁卫生是指内到厨房卫生，外到餐厅卫生及粗加工区卫生，均由乙方负责。所有餐饮各项标准（含除四害）都应达到量化分级A级标准要求。</w:t>
      </w:r>
    </w:p>
    <w:p w14:paraId="5A3D5286">
      <w:pPr>
        <w:widowControl/>
        <w:spacing w:line="360" w:lineRule="auto"/>
        <w:ind w:firstLine="500"/>
        <w:rPr>
          <w:rFonts w:ascii="仿宋_GB2312" w:hAnsi="Times New Roman" w:eastAsia="仿宋_GB2312"/>
          <w:color w:val="auto"/>
          <w:kern w:val="0"/>
          <w:sz w:val="28"/>
          <w:szCs w:val="28"/>
          <w:highlight w:val="none"/>
        </w:rPr>
      </w:pPr>
      <w:r>
        <w:rPr>
          <w:rFonts w:hint="eastAsia" w:ascii="仿宋_GB2312" w:hAnsi="Times New Roman" w:eastAsia="仿宋_GB2312"/>
          <w:color w:val="auto"/>
          <w:kern w:val="0"/>
          <w:sz w:val="28"/>
          <w:szCs w:val="28"/>
          <w:highlight w:val="none"/>
        </w:rPr>
        <w:t>6.1.4个人健康。食堂工作人员每年体检一次，取得“健康证”并经培训后方可上岗。</w:t>
      </w:r>
    </w:p>
    <w:p w14:paraId="0346DD8E">
      <w:pPr>
        <w:widowControl/>
        <w:spacing w:line="360" w:lineRule="auto"/>
        <w:ind w:firstLine="500"/>
        <w:rPr>
          <w:rFonts w:ascii="仿宋_GB2312" w:hAnsi="Times New Roman" w:eastAsia="仿宋_GB2312"/>
          <w:color w:val="auto"/>
          <w:kern w:val="0"/>
          <w:sz w:val="28"/>
          <w:szCs w:val="28"/>
          <w:highlight w:val="none"/>
        </w:rPr>
      </w:pPr>
      <w:r>
        <w:rPr>
          <w:rFonts w:hint="eastAsia" w:ascii="仿宋_GB2312" w:hAnsi="Times New Roman" w:eastAsia="仿宋_GB2312"/>
          <w:color w:val="auto"/>
          <w:kern w:val="0"/>
          <w:sz w:val="28"/>
          <w:szCs w:val="28"/>
          <w:highlight w:val="none"/>
        </w:rPr>
        <w:t>7. 免费为甲方提供职工食堂文化升级改造设计方案；配合甲方开展职工食堂创新工作等其他增值服务，如产生本合同约定之外的成本费用由甲方承担。</w:t>
      </w:r>
    </w:p>
    <w:p w14:paraId="4A71B712">
      <w:pPr>
        <w:widowControl/>
        <w:spacing w:line="360" w:lineRule="auto"/>
        <w:ind w:firstLine="500"/>
        <w:rPr>
          <w:rFonts w:ascii="仿宋_GB2312" w:hAnsi="Times New Roman" w:eastAsia="仿宋_GB2312"/>
          <w:color w:val="auto"/>
          <w:kern w:val="0"/>
          <w:sz w:val="28"/>
          <w:szCs w:val="28"/>
          <w:highlight w:val="none"/>
        </w:rPr>
      </w:pPr>
      <w:r>
        <w:rPr>
          <w:rFonts w:hint="eastAsia" w:ascii="仿宋_GB2312" w:hAnsi="Times New Roman" w:eastAsia="仿宋_GB2312"/>
          <w:color w:val="auto"/>
          <w:kern w:val="0"/>
          <w:sz w:val="28"/>
          <w:szCs w:val="28"/>
          <w:highlight w:val="none"/>
        </w:rPr>
        <w:t>8. 乙方应保障食品原材料采购安全，有长期合作的具备相关检测资质的第三方检测机构，并承诺</w:t>
      </w:r>
      <w:r>
        <w:rPr>
          <w:rFonts w:hint="eastAsia" w:ascii="仿宋_GB2312" w:hAnsi="Times New Roman" w:eastAsia="仿宋_GB2312"/>
          <w:color w:val="auto"/>
          <w:kern w:val="0"/>
          <w:sz w:val="28"/>
          <w:szCs w:val="28"/>
          <w:highlight w:val="none"/>
          <w:lang w:val="en-US" w:eastAsia="zh-CN"/>
        </w:rPr>
        <w:t>在</w:t>
      </w:r>
      <w:r>
        <w:rPr>
          <w:rFonts w:hint="eastAsia" w:ascii="仿宋_GB2312" w:hAnsi="Times New Roman" w:eastAsia="仿宋_GB2312"/>
          <w:color w:val="auto"/>
          <w:kern w:val="0"/>
          <w:sz w:val="28"/>
          <w:szCs w:val="28"/>
          <w:highlight w:val="none"/>
        </w:rPr>
        <w:t>服务期内</w:t>
      </w:r>
      <w:r>
        <w:rPr>
          <w:rFonts w:hint="eastAsia" w:ascii="仿宋_GB2312" w:hAnsi="Times New Roman" w:eastAsia="仿宋_GB2312"/>
          <w:color w:val="auto"/>
          <w:kern w:val="0"/>
          <w:sz w:val="28"/>
          <w:szCs w:val="28"/>
          <w:highlight w:val="none"/>
          <w:lang w:val="en-US" w:eastAsia="zh-CN"/>
        </w:rPr>
        <w:t>每季度至少对</w:t>
      </w:r>
      <w:r>
        <w:rPr>
          <w:rFonts w:hint="eastAsia" w:ascii="仿宋_GB2312" w:hAnsi="Times New Roman" w:eastAsia="仿宋_GB2312"/>
          <w:color w:val="auto"/>
          <w:kern w:val="0"/>
          <w:sz w:val="28"/>
          <w:szCs w:val="28"/>
          <w:highlight w:val="none"/>
        </w:rPr>
        <w:t>各类食材送检</w:t>
      </w:r>
      <w:r>
        <w:rPr>
          <w:rFonts w:hint="eastAsia" w:ascii="仿宋_GB2312" w:hAnsi="Times New Roman" w:eastAsia="仿宋_GB2312"/>
          <w:color w:val="auto"/>
          <w:kern w:val="0"/>
          <w:sz w:val="28"/>
          <w:szCs w:val="28"/>
          <w:highlight w:val="none"/>
          <w:lang w:val="en-US" w:eastAsia="zh-CN"/>
        </w:rPr>
        <w:t>1次</w:t>
      </w:r>
      <w:r>
        <w:rPr>
          <w:rFonts w:hint="eastAsia" w:ascii="仿宋_GB2312" w:hAnsi="Times New Roman" w:eastAsia="仿宋_GB2312"/>
          <w:color w:val="auto"/>
          <w:kern w:val="0"/>
          <w:sz w:val="28"/>
          <w:szCs w:val="28"/>
          <w:highlight w:val="none"/>
        </w:rPr>
        <w:t>。</w:t>
      </w:r>
    </w:p>
    <w:p w14:paraId="6089C69F">
      <w:pPr>
        <w:widowControl/>
        <w:spacing w:line="360" w:lineRule="auto"/>
        <w:ind w:firstLine="500"/>
        <w:rPr>
          <w:color w:val="auto"/>
          <w:highlight w:val="none"/>
        </w:rPr>
      </w:pPr>
      <w:r>
        <w:rPr>
          <w:rFonts w:hint="eastAsia" w:ascii="仿宋_GB2312" w:hAnsi="Times New Roman" w:eastAsia="仿宋_GB2312"/>
          <w:color w:val="auto"/>
          <w:kern w:val="0"/>
          <w:sz w:val="28"/>
          <w:szCs w:val="28"/>
          <w:highlight w:val="none"/>
        </w:rPr>
        <w:t>9. 乙方应提供相关卫生管理及措施，包括但不限于（1）有卫生管理制度和各区域管理标准。（2）有定期卫生检查记录并与奖惩挂钩。（3）有必备的工作台帐（卫生检查记录、食品采购索证档案、食谱登记、健康证、卫生许可证等）。（4）食堂厨房25米内无污染源；保证后厨和餐厅外环境卫生良好。（5）厨房和餐厅内墙面清洁，无霉斑、无脱落、无积尘、污物及时处理。（6）下水道及阴沟畅通，排油烟机清洁不滴油；厕所清洁、有洗手池。（7）设置食品留样、专用冰箱、盛器及刀、墩板、抹布。（8）蒸饭器、消毒柜、保洁柜、绞肉机、案板、食品容器等摆放有序、清洁卫生。（9）公用餐具消毒经清洗消毒后的餐具符合国家卫生标准。（10）冷藏设施定期清理保洁，无臭无异味，不存放杂物和个人物品。</w:t>
      </w:r>
    </w:p>
    <w:p w14:paraId="10BD6F5E">
      <w:pPr>
        <w:widowControl/>
        <w:spacing w:line="360" w:lineRule="auto"/>
        <w:ind w:firstLine="500"/>
        <w:rPr>
          <w:rFonts w:ascii="仿宋_GB2312" w:hAnsi="Times New Roman" w:eastAsia="仿宋_GB2312"/>
          <w:color w:val="auto"/>
          <w:kern w:val="0"/>
          <w:sz w:val="28"/>
          <w:szCs w:val="28"/>
          <w:highlight w:val="none"/>
        </w:rPr>
      </w:pPr>
      <w:r>
        <w:rPr>
          <w:rFonts w:hint="eastAsia" w:ascii="仿宋_GB2312" w:hAnsi="Times New Roman" w:eastAsia="仿宋_GB2312"/>
          <w:color w:val="auto"/>
          <w:kern w:val="0"/>
          <w:sz w:val="28"/>
          <w:szCs w:val="28"/>
          <w:highlight w:val="none"/>
        </w:rPr>
        <w:t>10. 招投标文件确定的其他服务内容。</w:t>
      </w:r>
    </w:p>
    <w:p w14:paraId="246B7B49">
      <w:pPr>
        <w:widowControl/>
        <w:spacing w:line="360" w:lineRule="auto"/>
        <w:rPr>
          <w:rFonts w:ascii="仿宋_GB2312" w:hAnsi="Times New Roman" w:eastAsia="仿宋_GB2312"/>
          <w:color w:val="auto"/>
          <w:kern w:val="0"/>
          <w:sz w:val="28"/>
          <w:szCs w:val="28"/>
          <w:highlight w:val="none"/>
        </w:rPr>
      </w:pPr>
    </w:p>
    <w:p w14:paraId="6384B0A8">
      <w:pPr>
        <w:widowControl/>
        <w:spacing w:line="360" w:lineRule="auto"/>
        <w:jc w:val="center"/>
        <w:rPr>
          <w:rFonts w:ascii="仿宋_GB2312" w:hAnsi="Times New Roman" w:eastAsia="仿宋_GB2312"/>
          <w:b/>
          <w:bCs/>
          <w:color w:val="auto"/>
          <w:kern w:val="0"/>
          <w:sz w:val="28"/>
          <w:szCs w:val="28"/>
          <w:highlight w:val="none"/>
        </w:rPr>
      </w:pPr>
      <w:r>
        <w:rPr>
          <w:rFonts w:hint="eastAsia" w:ascii="仿宋_GB2312" w:hAnsi="Times New Roman" w:eastAsia="仿宋_GB2312"/>
          <w:b/>
          <w:bCs/>
          <w:color w:val="auto"/>
          <w:kern w:val="0"/>
          <w:sz w:val="28"/>
          <w:szCs w:val="28"/>
          <w:highlight w:val="none"/>
        </w:rPr>
        <w:t>第二章 甲方职责</w:t>
      </w:r>
    </w:p>
    <w:p w14:paraId="2E99BA96">
      <w:pPr>
        <w:widowControl/>
        <w:spacing w:line="360" w:lineRule="auto"/>
        <w:ind w:firstLine="560"/>
        <w:rPr>
          <w:rFonts w:ascii="仿宋_GB2312" w:hAnsi="Times New Roman" w:eastAsia="仿宋_GB2312"/>
          <w:color w:val="auto"/>
          <w:kern w:val="0"/>
          <w:sz w:val="28"/>
          <w:szCs w:val="28"/>
          <w:highlight w:val="none"/>
        </w:rPr>
      </w:pPr>
      <w:r>
        <w:rPr>
          <w:rFonts w:hint="eastAsia" w:ascii="仿宋_GB2312" w:hAnsi="Times New Roman" w:eastAsia="仿宋_GB2312"/>
          <w:b/>
          <w:bCs/>
          <w:color w:val="auto"/>
          <w:kern w:val="0"/>
          <w:sz w:val="28"/>
          <w:szCs w:val="28"/>
          <w:highlight w:val="none"/>
        </w:rPr>
        <w:t xml:space="preserve">第二条  </w:t>
      </w:r>
      <w:r>
        <w:rPr>
          <w:rFonts w:hint="eastAsia" w:ascii="仿宋_GB2312" w:hAnsi="Times New Roman" w:eastAsia="仿宋_GB2312"/>
          <w:color w:val="auto"/>
          <w:kern w:val="0"/>
          <w:sz w:val="28"/>
          <w:szCs w:val="28"/>
          <w:highlight w:val="none"/>
        </w:rPr>
        <w:t>为乙方提供必要的工作环境，为服务团队办理出入门禁等必要手续。</w:t>
      </w:r>
    </w:p>
    <w:p w14:paraId="252EAFA1">
      <w:pPr>
        <w:widowControl/>
        <w:spacing w:line="360" w:lineRule="auto"/>
        <w:ind w:firstLine="560"/>
        <w:rPr>
          <w:rFonts w:ascii="仿宋_GB2312" w:hAnsi="Times New Roman" w:eastAsia="仿宋_GB2312"/>
          <w:color w:val="auto"/>
          <w:kern w:val="0"/>
          <w:sz w:val="28"/>
          <w:szCs w:val="28"/>
          <w:highlight w:val="none"/>
        </w:rPr>
      </w:pPr>
      <w:r>
        <w:rPr>
          <w:rFonts w:hint="eastAsia" w:ascii="仿宋_GB2312" w:hAnsi="Times New Roman" w:eastAsia="仿宋_GB2312"/>
          <w:b/>
          <w:bCs/>
          <w:color w:val="auto"/>
          <w:kern w:val="0"/>
          <w:sz w:val="28"/>
          <w:szCs w:val="28"/>
          <w:highlight w:val="none"/>
        </w:rPr>
        <w:t xml:space="preserve">第三条  </w:t>
      </w:r>
      <w:r>
        <w:rPr>
          <w:rFonts w:hint="eastAsia" w:ascii="仿宋_GB2312" w:hAnsi="Times New Roman" w:eastAsia="仿宋_GB2312"/>
          <w:color w:val="auto"/>
          <w:kern w:val="0"/>
          <w:sz w:val="28"/>
          <w:szCs w:val="28"/>
          <w:highlight w:val="none"/>
        </w:rPr>
        <w:t>审定乙方制定的服务管理方案，根据实际情况进行适时调整和安排。</w:t>
      </w:r>
    </w:p>
    <w:p w14:paraId="34A4AA60">
      <w:pPr>
        <w:widowControl/>
        <w:spacing w:line="360" w:lineRule="auto"/>
        <w:ind w:firstLine="560"/>
        <w:rPr>
          <w:rFonts w:ascii="仿宋_GB2312" w:hAnsi="Times New Roman" w:eastAsia="仿宋_GB2312"/>
          <w:color w:val="auto"/>
          <w:kern w:val="0"/>
          <w:sz w:val="28"/>
          <w:szCs w:val="28"/>
          <w:highlight w:val="none"/>
        </w:rPr>
      </w:pPr>
      <w:r>
        <w:rPr>
          <w:rFonts w:hint="eastAsia" w:ascii="仿宋_GB2312" w:hAnsi="Times New Roman" w:eastAsia="仿宋_GB2312"/>
          <w:b/>
          <w:bCs/>
          <w:color w:val="auto"/>
          <w:kern w:val="0"/>
          <w:sz w:val="28"/>
          <w:szCs w:val="28"/>
          <w:highlight w:val="none"/>
        </w:rPr>
        <w:t xml:space="preserve">第四条  </w:t>
      </w:r>
      <w:r>
        <w:rPr>
          <w:rFonts w:hint="eastAsia" w:ascii="仿宋_GB2312" w:hAnsi="Times New Roman" w:eastAsia="仿宋_GB2312"/>
          <w:color w:val="auto"/>
          <w:kern w:val="0"/>
          <w:sz w:val="28"/>
          <w:szCs w:val="28"/>
          <w:highlight w:val="none"/>
        </w:rPr>
        <w:t>监督乙方各项工作的实施及制度的执行情况；发现问题有权要求乙方及时整改，整改不力或相同情况发生两次及以上，甲方有权要求乙方撤换项目经理等人员或终止合同。</w:t>
      </w:r>
    </w:p>
    <w:p w14:paraId="61920DD8">
      <w:pPr>
        <w:widowControl/>
        <w:spacing w:line="360" w:lineRule="auto"/>
        <w:ind w:firstLine="560"/>
        <w:rPr>
          <w:rFonts w:ascii="仿宋_GB2312" w:hAnsi="Times New Roman" w:eastAsia="仿宋_GB2312"/>
          <w:color w:val="auto"/>
          <w:kern w:val="0"/>
          <w:sz w:val="28"/>
          <w:szCs w:val="28"/>
          <w:highlight w:val="none"/>
        </w:rPr>
      </w:pPr>
      <w:r>
        <w:rPr>
          <w:rFonts w:hint="eastAsia" w:ascii="仿宋_GB2312" w:hAnsi="Times New Roman" w:eastAsia="仿宋_GB2312"/>
          <w:b/>
          <w:bCs/>
          <w:color w:val="auto"/>
          <w:kern w:val="0"/>
          <w:sz w:val="28"/>
          <w:szCs w:val="28"/>
          <w:highlight w:val="none"/>
        </w:rPr>
        <w:t xml:space="preserve">第五条  </w:t>
      </w:r>
      <w:r>
        <w:rPr>
          <w:rFonts w:hint="eastAsia" w:ascii="仿宋_GB2312" w:hAnsi="Times New Roman" w:eastAsia="仿宋_GB2312"/>
          <w:color w:val="auto"/>
          <w:kern w:val="0"/>
          <w:sz w:val="28"/>
          <w:szCs w:val="28"/>
          <w:highlight w:val="none"/>
        </w:rPr>
        <w:t>指定联系人，负责转达甲方的指示和要求；甲方更换联系人时应及时通知乙方项目经理。</w:t>
      </w:r>
    </w:p>
    <w:p w14:paraId="38662FA8">
      <w:pPr>
        <w:widowControl/>
        <w:spacing w:line="360" w:lineRule="auto"/>
        <w:ind w:firstLine="560"/>
        <w:rPr>
          <w:rFonts w:ascii="仿宋_GB2312" w:hAnsi="Times New Roman" w:eastAsia="仿宋_GB2312"/>
          <w:color w:val="auto"/>
          <w:kern w:val="0"/>
          <w:sz w:val="28"/>
          <w:szCs w:val="28"/>
          <w:highlight w:val="none"/>
          <w:shd w:val="clear" w:color="auto" w:fill="FFFF00"/>
        </w:rPr>
      </w:pPr>
      <w:r>
        <w:rPr>
          <w:rFonts w:hint="eastAsia" w:ascii="仿宋_GB2312" w:hAnsi="Times New Roman" w:eastAsia="仿宋_GB2312"/>
          <w:b/>
          <w:bCs/>
          <w:color w:val="auto"/>
          <w:kern w:val="0"/>
          <w:sz w:val="28"/>
          <w:szCs w:val="28"/>
          <w:highlight w:val="none"/>
        </w:rPr>
        <w:t xml:space="preserve">第六条  </w:t>
      </w:r>
      <w:r>
        <w:rPr>
          <w:rFonts w:hint="eastAsia" w:ascii="仿宋_GB2312" w:hAnsi="Times New Roman" w:eastAsia="仿宋_GB2312"/>
          <w:color w:val="auto"/>
          <w:kern w:val="0"/>
          <w:sz w:val="28"/>
          <w:szCs w:val="28"/>
          <w:highlight w:val="none"/>
        </w:rPr>
        <w:t>监督乙方履行保障服务团队的工资待遇、福利等员工保障内容，不定期对职工食堂服务团队工资及福利落实情况进行抽查。</w:t>
      </w:r>
    </w:p>
    <w:p w14:paraId="663D2376">
      <w:pPr>
        <w:widowControl/>
        <w:spacing w:line="360" w:lineRule="auto"/>
        <w:ind w:firstLine="560"/>
        <w:rPr>
          <w:rFonts w:ascii="仿宋_GB2312" w:hAnsi="Times New Roman" w:eastAsia="仿宋_GB2312"/>
          <w:color w:val="auto"/>
          <w:kern w:val="0"/>
          <w:sz w:val="28"/>
          <w:szCs w:val="28"/>
          <w:highlight w:val="none"/>
        </w:rPr>
      </w:pPr>
      <w:r>
        <w:rPr>
          <w:rFonts w:hint="eastAsia" w:ascii="仿宋_GB2312" w:hAnsi="Times New Roman" w:eastAsia="仿宋_GB2312"/>
          <w:b/>
          <w:bCs/>
          <w:color w:val="auto"/>
          <w:kern w:val="0"/>
          <w:sz w:val="28"/>
          <w:szCs w:val="28"/>
          <w:highlight w:val="none"/>
        </w:rPr>
        <w:t>第七条  在乙方按照本合同约定提供服务并经甲方考核、验收合格的前提下，</w:t>
      </w:r>
      <w:r>
        <w:rPr>
          <w:rFonts w:hint="eastAsia" w:ascii="仿宋_GB2312" w:hAnsi="Times New Roman" w:eastAsia="仿宋_GB2312"/>
          <w:color w:val="auto"/>
          <w:kern w:val="0"/>
          <w:sz w:val="28"/>
          <w:szCs w:val="28"/>
          <w:highlight w:val="none"/>
        </w:rPr>
        <w:t>甲方应当足额向乙方支付服务费用；承担职工食堂运营过程中产生的成本费用，包括水电、物业、洗洁用品、垃圾袋、洗手液、肥皂、卷纸、擦手纸等厨房用品；承担设备管理、维护及耗材、部件更换等责任。甲方有权根据双方确认的扣款事项及扣款金额</w:t>
      </w:r>
      <w:r>
        <w:rPr>
          <w:rFonts w:hint="eastAsia" w:ascii="仿宋_GB2312" w:hAnsi="Times New Roman" w:eastAsia="仿宋_GB2312"/>
          <w:color w:val="auto"/>
          <w:kern w:val="0"/>
          <w:sz w:val="28"/>
          <w:szCs w:val="28"/>
          <w:highlight w:val="none"/>
          <w:lang w:bidi="ar"/>
        </w:rPr>
        <w:t>，从应付乙方的服务费及/或</w:t>
      </w:r>
      <w:r>
        <w:rPr>
          <w:rFonts w:hint="eastAsia" w:ascii="仿宋_GB2312" w:hAnsi="Times New Roman" w:eastAsia="仿宋_GB2312"/>
          <w:color w:val="auto"/>
          <w:kern w:val="0"/>
          <w:sz w:val="28"/>
          <w:szCs w:val="28"/>
          <w:highlight w:val="none"/>
        </w:rPr>
        <w:t>乙方的履约保证金中直接扣减。除法律法规或本合同另有规定外，甲方无义务为乙方垫付其应自行承担的任何费用。</w:t>
      </w:r>
    </w:p>
    <w:p w14:paraId="36BE6574">
      <w:pPr>
        <w:widowControl/>
        <w:spacing w:line="360" w:lineRule="auto"/>
        <w:ind w:firstLine="560"/>
        <w:rPr>
          <w:rFonts w:ascii="仿宋_GB2312" w:hAnsi="Times New Roman" w:eastAsia="仿宋_GB2312"/>
          <w:color w:val="auto"/>
          <w:kern w:val="0"/>
          <w:sz w:val="28"/>
          <w:szCs w:val="28"/>
          <w:highlight w:val="none"/>
        </w:rPr>
      </w:pPr>
      <w:r>
        <w:rPr>
          <w:rFonts w:hint="eastAsia" w:ascii="仿宋_GB2312" w:hAnsi="Times New Roman" w:eastAsia="仿宋_GB2312"/>
          <w:b/>
          <w:bCs/>
          <w:color w:val="auto"/>
          <w:kern w:val="0"/>
          <w:sz w:val="28"/>
          <w:szCs w:val="28"/>
          <w:highlight w:val="none"/>
        </w:rPr>
        <w:t xml:space="preserve">第八条  </w:t>
      </w:r>
      <w:r>
        <w:rPr>
          <w:rFonts w:hint="eastAsia" w:ascii="仿宋_GB2312" w:hAnsi="Times New Roman" w:eastAsia="仿宋_GB2312"/>
          <w:color w:val="auto"/>
          <w:kern w:val="0"/>
          <w:sz w:val="28"/>
          <w:szCs w:val="28"/>
          <w:highlight w:val="none"/>
        </w:rPr>
        <w:t>选定食材供应商并监督乙方进行食材验收，甲方有权对乙方验收情况进行抽查。</w:t>
      </w:r>
    </w:p>
    <w:p w14:paraId="1412B619">
      <w:pPr>
        <w:widowControl/>
        <w:spacing w:line="360" w:lineRule="auto"/>
        <w:ind w:firstLine="560"/>
        <w:rPr>
          <w:rFonts w:ascii="仿宋_GB2312" w:hAnsi="Times New Roman" w:eastAsia="仿宋_GB2312"/>
          <w:color w:val="auto"/>
          <w:kern w:val="0"/>
          <w:sz w:val="28"/>
          <w:szCs w:val="28"/>
          <w:highlight w:val="none"/>
        </w:rPr>
      </w:pPr>
    </w:p>
    <w:p w14:paraId="1E4DC018">
      <w:pPr>
        <w:widowControl/>
        <w:spacing w:line="360" w:lineRule="auto"/>
        <w:jc w:val="center"/>
        <w:rPr>
          <w:rFonts w:ascii="仿宋_GB2312" w:hAnsi="Times New Roman" w:eastAsia="仿宋_GB2312"/>
          <w:b/>
          <w:bCs/>
          <w:color w:val="auto"/>
          <w:kern w:val="0"/>
          <w:sz w:val="28"/>
          <w:szCs w:val="28"/>
          <w:highlight w:val="none"/>
        </w:rPr>
      </w:pPr>
      <w:r>
        <w:rPr>
          <w:rFonts w:hint="eastAsia" w:ascii="仿宋_GB2312" w:hAnsi="Times New Roman" w:eastAsia="仿宋_GB2312"/>
          <w:b/>
          <w:bCs/>
          <w:color w:val="auto"/>
          <w:kern w:val="0"/>
          <w:sz w:val="28"/>
          <w:szCs w:val="28"/>
          <w:highlight w:val="none"/>
        </w:rPr>
        <w:t>第三章 乙方职责</w:t>
      </w:r>
    </w:p>
    <w:p w14:paraId="0FCB8B13">
      <w:pPr>
        <w:widowControl/>
        <w:spacing w:line="360" w:lineRule="auto"/>
        <w:ind w:firstLine="560"/>
        <w:rPr>
          <w:rFonts w:ascii="仿宋_GB2312" w:hAnsi="Times New Roman" w:eastAsia="仿宋_GB2312"/>
          <w:color w:val="auto"/>
          <w:kern w:val="0"/>
          <w:sz w:val="28"/>
          <w:szCs w:val="28"/>
          <w:highlight w:val="none"/>
        </w:rPr>
      </w:pPr>
      <w:r>
        <w:rPr>
          <w:rFonts w:hint="eastAsia" w:ascii="仿宋_GB2312" w:hAnsi="Times New Roman" w:eastAsia="仿宋_GB2312"/>
          <w:b/>
          <w:bCs/>
          <w:color w:val="auto"/>
          <w:kern w:val="0"/>
          <w:sz w:val="28"/>
          <w:szCs w:val="28"/>
          <w:highlight w:val="none"/>
        </w:rPr>
        <w:t xml:space="preserve">第九条  </w:t>
      </w:r>
      <w:r>
        <w:rPr>
          <w:rFonts w:hint="eastAsia" w:ascii="仿宋_GB2312" w:hAnsi="Times New Roman" w:eastAsia="仿宋_GB2312"/>
          <w:color w:val="auto"/>
          <w:kern w:val="0"/>
          <w:sz w:val="28"/>
          <w:szCs w:val="28"/>
          <w:highlight w:val="none"/>
        </w:rPr>
        <w:t>职工食堂不得转让或委托他人经营，未经甲方同意不得利用甲方场地及物资便利从事与委托服务事项无关的活动。</w:t>
      </w:r>
    </w:p>
    <w:p w14:paraId="29BB5475">
      <w:pPr>
        <w:widowControl/>
        <w:spacing w:line="360" w:lineRule="auto"/>
        <w:ind w:firstLine="560"/>
        <w:rPr>
          <w:rFonts w:ascii="仿宋_GB2312" w:hAnsi="Times New Roman" w:eastAsia="仿宋_GB2312"/>
          <w:color w:val="auto"/>
          <w:kern w:val="0"/>
          <w:sz w:val="28"/>
          <w:szCs w:val="28"/>
          <w:highlight w:val="none"/>
        </w:rPr>
      </w:pPr>
      <w:r>
        <w:rPr>
          <w:rFonts w:hint="eastAsia" w:ascii="仿宋_GB2312" w:hAnsi="Times New Roman" w:eastAsia="仿宋_GB2312"/>
          <w:b/>
          <w:bCs/>
          <w:color w:val="auto"/>
          <w:kern w:val="0"/>
          <w:sz w:val="28"/>
          <w:szCs w:val="28"/>
          <w:highlight w:val="none"/>
        </w:rPr>
        <w:t xml:space="preserve">第十条  </w:t>
      </w:r>
      <w:r>
        <w:rPr>
          <w:rFonts w:hint="eastAsia" w:ascii="仿宋_GB2312" w:hAnsi="Times New Roman" w:eastAsia="仿宋_GB2312"/>
          <w:color w:val="auto"/>
          <w:kern w:val="0"/>
          <w:sz w:val="28"/>
          <w:szCs w:val="28"/>
          <w:highlight w:val="none"/>
        </w:rPr>
        <w:t>组建并负责管理服务团队，指派一名管理服务团队项目经理与甲方保持沟通联系、处理职工食堂现场事务；提供岗位操作所必须的技能培训，包括但不限于消防安全培训等；保证服务团队</w:t>
      </w:r>
      <w:r>
        <w:rPr>
          <w:rFonts w:hint="eastAsia" w:ascii="仿宋_GB2312" w:hAnsi="Times New Roman" w:eastAsia="仿宋_GB2312"/>
          <w:color w:val="auto"/>
          <w:kern w:val="0"/>
          <w:sz w:val="28"/>
          <w:szCs w:val="28"/>
          <w:highlight w:val="none"/>
          <w:lang w:val="zh-CN"/>
        </w:rPr>
        <w:t>每年体检一次</w:t>
      </w:r>
      <w:r>
        <w:rPr>
          <w:rFonts w:hint="eastAsia" w:ascii="仿宋_GB2312" w:hAnsi="Times New Roman" w:eastAsia="仿宋_GB2312"/>
          <w:color w:val="auto"/>
          <w:kern w:val="0"/>
          <w:sz w:val="28"/>
          <w:szCs w:val="28"/>
          <w:highlight w:val="none"/>
        </w:rPr>
        <w:t>；落实岗位职责要求，严格操作流程标准。</w:t>
      </w:r>
    </w:p>
    <w:p w14:paraId="4B27A8CC">
      <w:pPr>
        <w:widowControl/>
        <w:spacing w:line="360" w:lineRule="auto"/>
        <w:ind w:firstLine="562" w:firstLineChars="200"/>
        <w:jc w:val="left"/>
        <w:rPr>
          <w:rFonts w:ascii="仿宋_GB2312" w:hAnsi="Times New Roman" w:eastAsia="仿宋_GB2312"/>
          <w:color w:val="auto"/>
          <w:kern w:val="0"/>
          <w:sz w:val="28"/>
          <w:szCs w:val="28"/>
          <w:highlight w:val="none"/>
        </w:rPr>
      </w:pPr>
      <w:r>
        <w:rPr>
          <w:rFonts w:hint="eastAsia" w:ascii="仿宋_GB2312" w:hAnsi="Times New Roman" w:eastAsia="仿宋_GB2312"/>
          <w:b/>
          <w:bCs/>
          <w:color w:val="auto"/>
          <w:kern w:val="0"/>
          <w:sz w:val="28"/>
          <w:szCs w:val="28"/>
          <w:highlight w:val="none"/>
        </w:rPr>
        <w:t xml:space="preserve">第十一条  </w:t>
      </w:r>
      <w:r>
        <w:rPr>
          <w:rFonts w:hint="eastAsia" w:ascii="仿宋_GB2312" w:hAnsi="Times New Roman" w:eastAsia="仿宋_GB2312"/>
          <w:color w:val="auto"/>
          <w:kern w:val="0"/>
          <w:sz w:val="28"/>
          <w:szCs w:val="28"/>
          <w:highlight w:val="none"/>
        </w:rPr>
        <w:t>乙方应按照招标文件的要求配备团队成员，保证服务团队在上岗前已经具备相应资质及健康证。同时乙方承诺在甲方临时开展的大型活动、会议（培训）等公务活动时，如岗位原配置的人数不能满足需要，乙方应随时从本公司内抽调具备相应服务能力和素质的人员加强力量，以保证正常业务的开展。部分工作内容及岗位职责如下：</w:t>
      </w:r>
    </w:p>
    <w:p w14:paraId="473927AE">
      <w:pPr>
        <w:widowControl/>
        <w:spacing w:line="360" w:lineRule="auto"/>
        <w:jc w:val="center"/>
        <w:rPr>
          <w:rFonts w:ascii="仿宋_GB2312" w:hAnsi="Times New Roman" w:eastAsia="仿宋_GB2312"/>
          <w:b/>
          <w:bCs/>
          <w:color w:val="auto"/>
          <w:kern w:val="0"/>
          <w:sz w:val="24"/>
          <w:szCs w:val="24"/>
          <w:highlight w:val="none"/>
        </w:rPr>
      </w:pPr>
      <w:r>
        <w:rPr>
          <w:rFonts w:hint="eastAsia" w:ascii="仿宋_GB2312" w:hAnsi="Times New Roman" w:eastAsia="仿宋_GB2312"/>
          <w:b/>
          <w:bCs/>
          <w:color w:val="auto"/>
          <w:kern w:val="0"/>
          <w:sz w:val="24"/>
          <w:szCs w:val="24"/>
          <w:highlight w:val="none"/>
          <w:lang w:val="zh-CN"/>
        </w:rPr>
        <w:t>表</w:t>
      </w:r>
      <w:r>
        <w:rPr>
          <w:rFonts w:hint="eastAsia" w:ascii="仿宋_GB2312" w:hAnsi="Times New Roman" w:eastAsia="仿宋_GB2312"/>
          <w:b/>
          <w:bCs/>
          <w:color w:val="auto"/>
          <w:kern w:val="0"/>
          <w:sz w:val="24"/>
          <w:szCs w:val="24"/>
          <w:highlight w:val="none"/>
        </w:rPr>
        <w:t xml:space="preserve">1  </w:t>
      </w:r>
      <w:r>
        <w:rPr>
          <w:rFonts w:hint="eastAsia" w:ascii="仿宋_GB2312" w:hAnsi="Times New Roman" w:eastAsia="仿宋_GB2312"/>
          <w:b/>
          <w:bCs/>
          <w:color w:val="auto"/>
          <w:kern w:val="0"/>
          <w:sz w:val="24"/>
          <w:szCs w:val="24"/>
          <w:highlight w:val="none"/>
          <w:lang w:val="zh-CN"/>
        </w:rPr>
        <w:t>思明区展鸿路100号食堂运营服务人员</w:t>
      </w:r>
    </w:p>
    <w:tbl>
      <w:tblPr>
        <w:tblStyle w:val="21"/>
        <w:tblW w:w="8149" w:type="dxa"/>
        <w:jc w:val="center"/>
        <w:tblLayout w:type="fixed"/>
        <w:tblCellMar>
          <w:top w:w="0" w:type="dxa"/>
          <w:left w:w="108" w:type="dxa"/>
          <w:bottom w:w="0" w:type="dxa"/>
          <w:right w:w="108" w:type="dxa"/>
        </w:tblCellMar>
      </w:tblPr>
      <w:tblGrid>
        <w:gridCol w:w="1675"/>
        <w:gridCol w:w="1284"/>
        <w:gridCol w:w="5190"/>
      </w:tblGrid>
      <w:tr w14:paraId="56FDB689">
        <w:tblPrEx>
          <w:tblCellMar>
            <w:top w:w="0" w:type="dxa"/>
            <w:left w:w="108" w:type="dxa"/>
            <w:bottom w:w="0" w:type="dxa"/>
            <w:right w:w="108" w:type="dxa"/>
          </w:tblCellMar>
        </w:tblPrEx>
        <w:trPr>
          <w:trHeight w:val="284" w:hRule="atLeast"/>
          <w:jc w:val="center"/>
        </w:trPr>
        <w:tc>
          <w:tcPr>
            <w:tcW w:w="1675" w:type="dxa"/>
            <w:tcBorders>
              <w:top w:val="single" w:color="000000" w:sz="4" w:space="0"/>
              <w:left w:val="single" w:color="000000" w:sz="4" w:space="0"/>
              <w:bottom w:val="single" w:color="000000" w:sz="4" w:space="0"/>
              <w:right w:val="single" w:color="000000" w:sz="4" w:space="0"/>
            </w:tcBorders>
            <w:vAlign w:val="center"/>
          </w:tcPr>
          <w:p w14:paraId="54A72830">
            <w:pPr>
              <w:widowControl/>
              <w:spacing w:line="360" w:lineRule="auto"/>
              <w:ind w:firstLine="480"/>
              <w:rPr>
                <w:rFonts w:ascii="仿宋_GB2312" w:hAnsi="Times New Roman" w:eastAsia="仿宋_GB2312"/>
                <w:b/>
                <w:bCs/>
                <w:color w:val="auto"/>
                <w:kern w:val="0"/>
                <w:sz w:val="24"/>
                <w:szCs w:val="24"/>
                <w:highlight w:val="none"/>
              </w:rPr>
            </w:pPr>
            <w:r>
              <w:rPr>
                <w:rFonts w:hint="eastAsia" w:ascii="仿宋_GB2312" w:hAnsi="Times New Roman" w:eastAsia="仿宋_GB2312"/>
                <w:b/>
                <w:bCs/>
                <w:color w:val="auto"/>
                <w:kern w:val="0"/>
                <w:sz w:val="24"/>
                <w:szCs w:val="24"/>
                <w:highlight w:val="none"/>
              </w:rPr>
              <w:t>职 位</w:t>
            </w:r>
          </w:p>
        </w:tc>
        <w:tc>
          <w:tcPr>
            <w:tcW w:w="1284" w:type="dxa"/>
            <w:tcBorders>
              <w:top w:val="single" w:color="000000" w:sz="4" w:space="0"/>
              <w:left w:val="nil"/>
              <w:bottom w:val="single" w:color="000000" w:sz="4" w:space="0"/>
              <w:right w:val="single" w:color="000000" w:sz="4" w:space="0"/>
            </w:tcBorders>
            <w:vAlign w:val="center"/>
          </w:tcPr>
          <w:p w14:paraId="71EA628F">
            <w:pPr>
              <w:widowControl/>
              <w:spacing w:line="360" w:lineRule="auto"/>
              <w:rPr>
                <w:rFonts w:ascii="仿宋_GB2312" w:hAnsi="Times New Roman" w:eastAsia="仿宋_GB2312"/>
                <w:b/>
                <w:bCs/>
                <w:color w:val="auto"/>
                <w:kern w:val="0"/>
                <w:sz w:val="24"/>
                <w:szCs w:val="24"/>
                <w:highlight w:val="none"/>
              </w:rPr>
            </w:pPr>
            <w:r>
              <w:rPr>
                <w:rFonts w:hint="eastAsia" w:ascii="仿宋_GB2312" w:hAnsi="Times New Roman" w:eastAsia="仿宋_GB2312"/>
                <w:b/>
                <w:bCs/>
                <w:color w:val="auto"/>
                <w:kern w:val="0"/>
                <w:sz w:val="24"/>
                <w:szCs w:val="24"/>
                <w:highlight w:val="none"/>
              </w:rPr>
              <w:t>职数（名）</w:t>
            </w:r>
          </w:p>
        </w:tc>
        <w:tc>
          <w:tcPr>
            <w:tcW w:w="5190" w:type="dxa"/>
            <w:tcBorders>
              <w:top w:val="single" w:color="000000" w:sz="4" w:space="0"/>
              <w:left w:val="nil"/>
              <w:bottom w:val="single" w:color="000000" w:sz="4" w:space="0"/>
              <w:right w:val="single" w:color="000000" w:sz="4" w:space="0"/>
            </w:tcBorders>
            <w:vAlign w:val="center"/>
          </w:tcPr>
          <w:p w14:paraId="162FA470">
            <w:pPr>
              <w:widowControl/>
              <w:spacing w:line="360" w:lineRule="auto"/>
              <w:jc w:val="center"/>
              <w:rPr>
                <w:rFonts w:ascii="仿宋_GB2312" w:hAnsi="Times New Roman" w:eastAsia="仿宋_GB2312"/>
                <w:b/>
                <w:bCs/>
                <w:color w:val="auto"/>
                <w:kern w:val="0"/>
                <w:sz w:val="24"/>
                <w:szCs w:val="24"/>
                <w:highlight w:val="none"/>
              </w:rPr>
            </w:pPr>
            <w:r>
              <w:rPr>
                <w:rFonts w:hint="eastAsia" w:ascii="仿宋_GB2312" w:hAnsi="Times New Roman" w:eastAsia="仿宋_GB2312"/>
                <w:b/>
                <w:bCs/>
                <w:color w:val="auto"/>
                <w:kern w:val="0"/>
                <w:sz w:val="24"/>
                <w:szCs w:val="24"/>
                <w:highlight w:val="none"/>
              </w:rPr>
              <w:t>工作内容、岗位职责及配备要求</w:t>
            </w:r>
          </w:p>
        </w:tc>
      </w:tr>
      <w:tr w14:paraId="5E913340">
        <w:tblPrEx>
          <w:tblCellMar>
            <w:top w:w="0" w:type="dxa"/>
            <w:left w:w="108" w:type="dxa"/>
            <w:bottom w:w="0" w:type="dxa"/>
            <w:right w:w="108" w:type="dxa"/>
          </w:tblCellMar>
        </w:tblPrEx>
        <w:trPr>
          <w:trHeight w:val="454" w:hRule="atLeast"/>
          <w:jc w:val="center"/>
        </w:trPr>
        <w:tc>
          <w:tcPr>
            <w:tcW w:w="1675" w:type="dxa"/>
            <w:tcBorders>
              <w:top w:val="single" w:color="000000" w:sz="4" w:space="0"/>
              <w:left w:val="single" w:color="000000" w:sz="4" w:space="0"/>
              <w:bottom w:val="single" w:color="000000" w:sz="4" w:space="0"/>
              <w:right w:val="single" w:color="000000" w:sz="4" w:space="0"/>
            </w:tcBorders>
            <w:vAlign w:val="center"/>
          </w:tcPr>
          <w:p w14:paraId="6761F74D">
            <w:pPr>
              <w:widowControl/>
              <w:spacing w:line="360" w:lineRule="auto"/>
              <w:jc w:val="center"/>
              <w:rPr>
                <w:rFonts w:ascii="仿宋_GB2312" w:hAnsi="Times New Roman" w:eastAsia="仿宋_GB2312"/>
                <w:color w:val="auto"/>
                <w:kern w:val="0"/>
                <w:sz w:val="24"/>
                <w:szCs w:val="24"/>
                <w:highlight w:val="none"/>
              </w:rPr>
            </w:pPr>
            <w:r>
              <w:rPr>
                <w:rFonts w:hint="eastAsia" w:ascii="仿宋_GB2312" w:hAnsi="Times New Roman" w:eastAsia="仿宋_GB2312"/>
                <w:color w:val="auto"/>
                <w:kern w:val="0"/>
                <w:sz w:val="24"/>
                <w:szCs w:val="24"/>
                <w:highlight w:val="none"/>
              </w:rPr>
              <w:t>项目经理</w:t>
            </w:r>
          </w:p>
        </w:tc>
        <w:tc>
          <w:tcPr>
            <w:tcW w:w="1284" w:type="dxa"/>
            <w:tcBorders>
              <w:top w:val="single" w:color="000000" w:sz="4" w:space="0"/>
              <w:left w:val="nil"/>
              <w:bottom w:val="single" w:color="000000" w:sz="4" w:space="0"/>
              <w:right w:val="single" w:color="000000" w:sz="4" w:space="0"/>
            </w:tcBorders>
            <w:vAlign w:val="center"/>
          </w:tcPr>
          <w:p w14:paraId="1B05C413">
            <w:pPr>
              <w:widowControl/>
              <w:spacing w:line="360" w:lineRule="auto"/>
              <w:jc w:val="center"/>
              <w:rPr>
                <w:rFonts w:ascii="仿宋_GB2312" w:hAnsi="Times New Roman" w:eastAsia="仿宋_GB2312"/>
                <w:color w:val="auto"/>
                <w:kern w:val="0"/>
                <w:sz w:val="24"/>
                <w:szCs w:val="24"/>
                <w:highlight w:val="none"/>
              </w:rPr>
            </w:pPr>
            <w:r>
              <w:rPr>
                <w:rFonts w:hint="eastAsia" w:ascii="仿宋_GB2312" w:hAnsi="Times New Roman" w:eastAsia="仿宋_GB2312"/>
                <w:color w:val="auto"/>
                <w:kern w:val="0"/>
                <w:sz w:val="24"/>
                <w:szCs w:val="24"/>
                <w:highlight w:val="none"/>
              </w:rPr>
              <w:t>1</w:t>
            </w:r>
          </w:p>
        </w:tc>
        <w:tc>
          <w:tcPr>
            <w:tcW w:w="5190" w:type="dxa"/>
            <w:tcBorders>
              <w:top w:val="single" w:color="000000" w:sz="4" w:space="0"/>
              <w:left w:val="nil"/>
              <w:bottom w:val="single" w:color="000000" w:sz="4" w:space="0"/>
              <w:right w:val="single" w:color="000000" w:sz="4" w:space="0"/>
            </w:tcBorders>
            <w:vAlign w:val="center"/>
          </w:tcPr>
          <w:p w14:paraId="2687152C">
            <w:pPr>
              <w:widowControl/>
              <w:spacing w:line="360" w:lineRule="auto"/>
              <w:jc w:val="left"/>
              <w:rPr>
                <w:rFonts w:ascii="仿宋_GB2312" w:hAnsi="Times New Roman" w:eastAsia="仿宋_GB2312"/>
                <w:color w:val="auto"/>
                <w:kern w:val="0"/>
                <w:sz w:val="24"/>
                <w:szCs w:val="24"/>
                <w:highlight w:val="none"/>
              </w:rPr>
            </w:pPr>
            <w:r>
              <w:rPr>
                <w:rFonts w:hint="eastAsia" w:ascii="仿宋_GB2312" w:hAnsi="Times New Roman" w:eastAsia="仿宋_GB2312"/>
                <w:color w:val="auto"/>
                <w:kern w:val="0"/>
                <w:sz w:val="24"/>
                <w:szCs w:val="24"/>
                <w:highlight w:val="none"/>
              </w:rPr>
              <w:t>负责与甲方保持沟通联系，全面负责食堂餐饮服务管理工作。编制项目预算、工作计划、培训计划、采购计划，并按规定及周期向甲方汇报。在乙方单位服务一年以上；具有同类项目、同等职位任职三年以上资历；具备良好的沟通和团队管理能力。</w:t>
            </w:r>
          </w:p>
        </w:tc>
      </w:tr>
      <w:tr w14:paraId="711D35A9">
        <w:tblPrEx>
          <w:tblCellMar>
            <w:top w:w="0" w:type="dxa"/>
            <w:left w:w="108" w:type="dxa"/>
            <w:bottom w:w="0" w:type="dxa"/>
            <w:right w:w="108" w:type="dxa"/>
          </w:tblCellMar>
        </w:tblPrEx>
        <w:trPr>
          <w:trHeight w:val="454" w:hRule="atLeast"/>
          <w:jc w:val="center"/>
        </w:trPr>
        <w:tc>
          <w:tcPr>
            <w:tcW w:w="1675" w:type="dxa"/>
            <w:tcBorders>
              <w:top w:val="single" w:color="000000" w:sz="4" w:space="0"/>
              <w:left w:val="single" w:color="000000" w:sz="4" w:space="0"/>
              <w:bottom w:val="single" w:color="000000" w:sz="4" w:space="0"/>
              <w:right w:val="single" w:color="000000" w:sz="4" w:space="0"/>
            </w:tcBorders>
            <w:vAlign w:val="center"/>
          </w:tcPr>
          <w:p w14:paraId="2A47B8C6">
            <w:pPr>
              <w:widowControl/>
              <w:spacing w:line="360" w:lineRule="auto"/>
              <w:jc w:val="center"/>
              <w:rPr>
                <w:rFonts w:ascii="仿宋_GB2312" w:hAnsi="Times New Roman" w:eastAsia="仿宋_GB2312"/>
                <w:color w:val="auto"/>
                <w:kern w:val="0"/>
                <w:sz w:val="24"/>
                <w:szCs w:val="24"/>
                <w:highlight w:val="none"/>
              </w:rPr>
            </w:pPr>
            <w:r>
              <w:rPr>
                <w:rFonts w:hint="eastAsia" w:ascii="仿宋_GB2312" w:hAnsi="Times New Roman" w:eastAsia="仿宋_GB2312"/>
                <w:color w:val="auto"/>
                <w:kern w:val="0"/>
                <w:sz w:val="24"/>
                <w:szCs w:val="24"/>
                <w:highlight w:val="none"/>
              </w:rPr>
              <w:t>仓管员（兼记账）</w:t>
            </w:r>
          </w:p>
        </w:tc>
        <w:tc>
          <w:tcPr>
            <w:tcW w:w="1284" w:type="dxa"/>
            <w:tcBorders>
              <w:top w:val="single" w:color="000000" w:sz="4" w:space="0"/>
              <w:left w:val="nil"/>
              <w:bottom w:val="single" w:color="000000" w:sz="4" w:space="0"/>
              <w:right w:val="single" w:color="000000" w:sz="4" w:space="0"/>
            </w:tcBorders>
            <w:vAlign w:val="center"/>
          </w:tcPr>
          <w:p w14:paraId="1F62CB72">
            <w:pPr>
              <w:widowControl/>
              <w:spacing w:line="360" w:lineRule="auto"/>
              <w:jc w:val="center"/>
              <w:rPr>
                <w:rFonts w:ascii="仿宋_GB2312" w:hAnsi="Times New Roman" w:eastAsia="仿宋_GB2312"/>
                <w:color w:val="auto"/>
                <w:kern w:val="0"/>
                <w:sz w:val="24"/>
                <w:szCs w:val="24"/>
                <w:highlight w:val="none"/>
              </w:rPr>
            </w:pPr>
            <w:r>
              <w:rPr>
                <w:rFonts w:hint="eastAsia" w:ascii="仿宋_GB2312" w:hAnsi="Times New Roman" w:eastAsia="仿宋_GB2312"/>
                <w:color w:val="auto"/>
                <w:kern w:val="0"/>
                <w:sz w:val="24"/>
                <w:szCs w:val="24"/>
                <w:highlight w:val="none"/>
              </w:rPr>
              <w:t>1</w:t>
            </w:r>
          </w:p>
        </w:tc>
        <w:tc>
          <w:tcPr>
            <w:tcW w:w="5190" w:type="dxa"/>
            <w:tcBorders>
              <w:top w:val="single" w:color="000000" w:sz="4" w:space="0"/>
              <w:left w:val="nil"/>
              <w:bottom w:val="single" w:color="000000" w:sz="4" w:space="0"/>
              <w:right w:val="single" w:color="000000" w:sz="4" w:space="0"/>
            </w:tcBorders>
            <w:vAlign w:val="center"/>
          </w:tcPr>
          <w:p w14:paraId="6BF194B3">
            <w:pPr>
              <w:widowControl/>
              <w:spacing w:line="360" w:lineRule="auto"/>
              <w:jc w:val="left"/>
              <w:rPr>
                <w:rFonts w:ascii="仿宋_GB2312" w:hAnsi="Times New Roman" w:eastAsia="仿宋_GB2312"/>
                <w:color w:val="auto"/>
                <w:kern w:val="0"/>
                <w:sz w:val="24"/>
                <w:szCs w:val="24"/>
                <w:highlight w:val="none"/>
              </w:rPr>
            </w:pPr>
            <w:r>
              <w:rPr>
                <w:rFonts w:hint="eastAsia" w:ascii="仿宋_GB2312" w:hAnsi="Times New Roman" w:eastAsia="仿宋_GB2312"/>
                <w:color w:val="auto"/>
                <w:kern w:val="0"/>
                <w:sz w:val="24"/>
                <w:szCs w:val="24"/>
                <w:highlight w:val="none"/>
              </w:rPr>
              <w:t>负责报账、对账、整理账目、充现等账务工作。按财务管理要求记账，责任心强，具有二年的工作经验。</w:t>
            </w:r>
          </w:p>
        </w:tc>
      </w:tr>
      <w:tr w14:paraId="096C3FC3">
        <w:tblPrEx>
          <w:tblCellMar>
            <w:top w:w="0" w:type="dxa"/>
            <w:left w:w="108" w:type="dxa"/>
            <w:bottom w:w="0" w:type="dxa"/>
            <w:right w:w="108" w:type="dxa"/>
          </w:tblCellMar>
        </w:tblPrEx>
        <w:trPr>
          <w:trHeight w:val="454" w:hRule="atLeast"/>
          <w:jc w:val="center"/>
        </w:trPr>
        <w:tc>
          <w:tcPr>
            <w:tcW w:w="1675" w:type="dxa"/>
            <w:tcBorders>
              <w:top w:val="single" w:color="000000" w:sz="4" w:space="0"/>
              <w:left w:val="single" w:color="000000" w:sz="4" w:space="0"/>
              <w:bottom w:val="single" w:color="000000" w:sz="4" w:space="0"/>
              <w:right w:val="single" w:color="000000" w:sz="4" w:space="0"/>
            </w:tcBorders>
            <w:vAlign w:val="center"/>
          </w:tcPr>
          <w:p w14:paraId="7FE1BDAF">
            <w:pPr>
              <w:widowControl/>
              <w:spacing w:line="360" w:lineRule="auto"/>
              <w:jc w:val="center"/>
              <w:rPr>
                <w:rFonts w:ascii="仿宋_GB2312" w:hAnsi="Times New Roman" w:eastAsia="仿宋_GB2312"/>
                <w:color w:val="auto"/>
                <w:kern w:val="0"/>
                <w:sz w:val="24"/>
                <w:szCs w:val="24"/>
                <w:highlight w:val="none"/>
              </w:rPr>
            </w:pPr>
            <w:r>
              <w:rPr>
                <w:rFonts w:hint="eastAsia" w:ascii="仿宋_GB2312" w:hAnsi="Times New Roman" w:eastAsia="仿宋_GB2312"/>
                <w:color w:val="auto"/>
                <w:kern w:val="0"/>
                <w:sz w:val="24"/>
                <w:szCs w:val="24"/>
                <w:highlight w:val="none"/>
              </w:rPr>
              <w:t>厨师长</w:t>
            </w:r>
          </w:p>
        </w:tc>
        <w:tc>
          <w:tcPr>
            <w:tcW w:w="1284" w:type="dxa"/>
            <w:tcBorders>
              <w:top w:val="single" w:color="000000" w:sz="4" w:space="0"/>
              <w:left w:val="nil"/>
              <w:bottom w:val="single" w:color="000000" w:sz="4" w:space="0"/>
              <w:right w:val="single" w:color="000000" w:sz="4" w:space="0"/>
            </w:tcBorders>
            <w:vAlign w:val="center"/>
          </w:tcPr>
          <w:p w14:paraId="1B4D02D4">
            <w:pPr>
              <w:widowControl/>
              <w:spacing w:line="360" w:lineRule="auto"/>
              <w:jc w:val="center"/>
              <w:rPr>
                <w:rFonts w:ascii="仿宋_GB2312" w:hAnsi="Times New Roman" w:eastAsia="仿宋_GB2312"/>
                <w:color w:val="auto"/>
                <w:kern w:val="0"/>
                <w:sz w:val="24"/>
                <w:szCs w:val="24"/>
                <w:highlight w:val="none"/>
              </w:rPr>
            </w:pPr>
            <w:r>
              <w:rPr>
                <w:rFonts w:hint="eastAsia" w:ascii="仿宋_GB2312" w:hAnsi="Times New Roman" w:eastAsia="仿宋_GB2312"/>
                <w:color w:val="auto"/>
                <w:kern w:val="0"/>
                <w:sz w:val="24"/>
                <w:szCs w:val="24"/>
                <w:highlight w:val="none"/>
              </w:rPr>
              <w:t>1</w:t>
            </w:r>
          </w:p>
        </w:tc>
        <w:tc>
          <w:tcPr>
            <w:tcW w:w="5190" w:type="dxa"/>
            <w:tcBorders>
              <w:top w:val="single" w:color="000000" w:sz="4" w:space="0"/>
              <w:left w:val="nil"/>
              <w:bottom w:val="single" w:color="000000" w:sz="4" w:space="0"/>
              <w:right w:val="single" w:color="000000" w:sz="4" w:space="0"/>
            </w:tcBorders>
            <w:vAlign w:val="center"/>
          </w:tcPr>
          <w:p w14:paraId="0F43190B">
            <w:pPr>
              <w:widowControl/>
              <w:spacing w:line="360" w:lineRule="auto"/>
              <w:jc w:val="left"/>
              <w:rPr>
                <w:rFonts w:ascii="仿宋_GB2312" w:hAnsi="Times New Roman" w:eastAsia="仿宋_GB2312"/>
                <w:color w:val="auto"/>
                <w:kern w:val="0"/>
                <w:sz w:val="24"/>
                <w:szCs w:val="24"/>
                <w:highlight w:val="none"/>
              </w:rPr>
            </w:pPr>
            <w:r>
              <w:rPr>
                <w:rFonts w:hint="eastAsia" w:ascii="仿宋_GB2312" w:hAnsi="Times New Roman" w:eastAsia="仿宋_GB2312"/>
                <w:color w:val="auto"/>
                <w:kern w:val="0"/>
                <w:sz w:val="24"/>
                <w:szCs w:val="24"/>
                <w:highlight w:val="none"/>
              </w:rPr>
              <w:t>负责制定菜谱，控制菜肴的分量和质量，协助采购人控制成本。精通烹饪知识，具备一级（高级技师）中式烹调师或三级（高级）及以上中餐厨师长（或行政总厨或酒店管理）职业资格（或技能等级）证书，具有同类项目、同等职位任职三年以上的工作经验</w:t>
            </w:r>
            <w:r>
              <w:rPr>
                <w:rFonts w:hint="eastAsia" w:ascii="仿宋_GB2312" w:hAnsi="Times New Roman" w:eastAsia="仿宋_GB2312"/>
                <w:color w:val="auto"/>
                <w:kern w:val="0"/>
                <w:sz w:val="24"/>
                <w:szCs w:val="24"/>
                <w:highlight w:val="none"/>
                <w:lang w:eastAsia="zh-CN"/>
              </w:rPr>
              <w:t>，</w:t>
            </w:r>
            <w:r>
              <w:rPr>
                <w:rFonts w:hint="eastAsia" w:ascii="仿宋_GB2312" w:hAnsi="Times New Roman" w:eastAsia="仿宋_GB2312"/>
                <w:color w:val="auto"/>
                <w:kern w:val="0"/>
                <w:sz w:val="24"/>
                <w:szCs w:val="24"/>
                <w:highlight w:val="none"/>
                <w:lang w:val="en-US" w:eastAsia="zh-CN"/>
              </w:rPr>
              <w:t>具备</w:t>
            </w:r>
            <w:r>
              <w:rPr>
                <w:rFonts w:hint="eastAsia" w:ascii="仿宋_GB2312" w:hAnsi="Times New Roman" w:eastAsia="仿宋_GB2312"/>
                <w:color w:val="auto"/>
                <w:kern w:val="0"/>
                <w:sz w:val="24"/>
                <w:szCs w:val="24"/>
                <w:highlight w:val="none"/>
              </w:rPr>
              <w:t>公共营养师</w:t>
            </w:r>
            <w:r>
              <w:rPr>
                <w:rFonts w:hint="eastAsia" w:ascii="仿宋_GB2312" w:hAnsi="Times New Roman" w:eastAsia="仿宋_GB2312"/>
                <w:color w:val="auto"/>
                <w:kern w:val="0"/>
                <w:sz w:val="24"/>
                <w:szCs w:val="24"/>
                <w:highlight w:val="none"/>
                <w:lang w:val="en-US" w:eastAsia="zh-CN"/>
              </w:rPr>
              <w:t>证书（如有）。</w:t>
            </w:r>
          </w:p>
        </w:tc>
      </w:tr>
      <w:tr w14:paraId="0D083BB1">
        <w:tblPrEx>
          <w:tblCellMar>
            <w:top w:w="0" w:type="dxa"/>
            <w:left w:w="108" w:type="dxa"/>
            <w:bottom w:w="0" w:type="dxa"/>
            <w:right w:w="108" w:type="dxa"/>
          </w:tblCellMar>
        </w:tblPrEx>
        <w:trPr>
          <w:trHeight w:val="454" w:hRule="atLeast"/>
          <w:jc w:val="center"/>
        </w:trPr>
        <w:tc>
          <w:tcPr>
            <w:tcW w:w="1675" w:type="dxa"/>
            <w:tcBorders>
              <w:top w:val="single" w:color="000000" w:sz="4" w:space="0"/>
              <w:left w:val="single" w:color="000000" w:sz="4" w:space="0"/>
              <w:bottom w:val="single" w:color="000000" w:sz="4" w:space="0"/>
              <w:right w:val="single" w:color="000000" w:sz="4" w:space="0"/>
            </w:tcBorders>
            <w:vAlign w:val="center"/>
          </w:tcPr>
          <w:p w14:paraId="6FCA22DB">
            <w:pPr>
              <w:widowControl/>
              <w:spacing w:line="360" w:lineRule="auto"/>
              <w:jc w:val="center"/>
              <w:rPr>
                <w:rFonts w:ascii="仿宋_GB2312" w:hAnsi="Times New Roman" w:eastAsia="仿宋_GB2312"/>
                <w:color w:val="auto"/>
                <w:kern w:val="0"/>
                <w:sz w:val="24"/>
                <w:szCs w:val="24"/>
                <w:highlight w:val="none"/>
              </w:rPr>
            </w:pPr>
            <w:r>
              <w:rPr>
                <w:rFonts w:hint="eastAsia" w:ascii="仿宋_GB2312" w:hAnsi="Times New Roman" w:eastAsia="仿宋_GB2312"/>
                <w:color w:val="auto"/>
                <w:kern w:val="0"/>
                <w:sz w:val="24"/>
                <w:szCs w:val="24"/>
                <w:highlight w:val="none"/>
              </w:rPr>
              <w:t>面点师</w:t>
            </w:r>
          </w:p>
        </w:tc>
        <w:tc>
          <w:tcPr>
            <w:tcW w:w="1284" w:type="dxa"/>
            <w:tcBorders>
              <w:top w:val="single" w:color="000000" w:sz="4" w:space="0"/>
              <w:left w:val="nil"/>
              <w:bottom w:val="single" w:color="000000" w:sz="4" w:space="0"/>
              <w:right w:val="single" w:color="000000" w:sz="4" w:space="0"/>
            </w:tcBorders>
            <w:vAlign w:val="center"/>
          </w:tcPr>
          <w:p w14:paraId="28B78FB5">
            <w:pPr>
              <w:widowControl/>
              <w:spacing w:line="360" w:lineRule="auto"/>
              <w:jc w:val="center"/>
              <w:rPr>
                <w:rFonts w:ascii="仿宋_GB2312" w:hAnsi="Times New Roman" w:eastAsia="仿宋_GB2312"/>
                <w:color w:val="auto"/>
                <w:kern w:val="0"/>
                <w:sz w:val="24"/>
                <w:szCs w:val="24"/>
                <w:highlight w:val="none"/>
              </w:rPr>
            </w:pPr>
            <w:r>
              <w:rPr>
                <w:rFonts w:hint="eastAsia" w:ascii="仿宋_GB2312" w:hAnsi="Times New Roman" w:eastAsia="仿宋_GB2312"/>
                <w:color w:val="auto"/>
                <w:kern w:val="0"/>
                <w:sz w:val="24"/>
                <w:szCs w:val="24"/>
                <w:highlight w:val="none"/>
              </w:rPr>
              <w:t>1</w:t>
            </w:r>
          </w:p>
        </w:tc>
        <w:tc>
          <w:tcPr>
            <w:tcW w:w="5190" w:type="dxa"/>
            <w:tcBorders>
              <w:top w:val="single" w:color="000000" w:sz="4" w:space="0"/>
              <w:left w:val="nil"/>
              <w:bottom w:val="single" w:color="000000" w:sz="4" w:space="0"/>
              <w:right w:val="single" w:color="000000" w:sz="4" w:space="0"/>
            </w:tcBorders>
            <w:vAlign w:val="center"/>
          </w:tcPr>
          <w:p w14:paraId="613E48FE">
            <w:pPr>
              <w:widowControl/>
              <w:spacing w:line="360" w:lineRule="auto"/>
              <w:jc w:val="left"/>
              <w:rPr>
                <w:rFonts w:ascii="仿宋_GB2312" w:hAnsi="Times New Roman" w:eastAsia="仿宋_GB2312"/>
                <w:color w:val="auto"/>
                <w:kern w:val="0"/>
                <w:sz w:val="24"/>
                <w:szCs w:val="24"/>
                <w:highlight w:val="none"/>
              </w:rPr>
            </w:pPr>
            <w:r>
              <w:rPr>
                <w:rFonts w:hint="eastAsia" w:ascii="仿宋_GB2312" w:hAnsi="Times New Roman" w:eastAsia="仿宋_GB2312"/>
                <w:color w:val="auto"/>
                <w:kern w:val="0"/>
                <w:sz w:val="24"/>
                <w:szCs w:val="24"/>
                <w:highlight w:val="none"/>
              </w:rPr>
              <w:t>持有三级（高级）及以上中式面点师证书</w:t>
            </w:r>
            <w:r>
              <w:rPr>
                <w:rFonts w:hint="eastAsia" w:ascii="仿宋_GB2312" w:hAnsi="Times New Roman" w:eastAsia="仿宋_GB2312"/>
                <w:color w:val="auto"/>
                <w:kern w:val="0"/>
                <w:sz w:val="24"/>
                <w:szCs w:val="24"/>
                <w:highlight w:val="none"/>
                <w:lang w:eastAsia="zh-CN"/>
              </w:rPr>
              <w:t>、</w:t>
            </w:r>
            <w:r>
              <w:rPr>
                <w:rFonts w:hint="eastAsia" w:ascii="仿宋_GB2312" w:hAnsi="Times New Roman" w:eastAsia="仿宋_GB2312"/>
                <w:color w:val="auto"/>
                <w:kern w:val="0"/>
                <w:sz w:val="24"/>
                <w:szCs w:val="24"/>
                <w:highlight w:val="none"/>
              </w:rPr>
              <w:t>四级（中级）及以上西式面点师证书</w:t>
            </w:r>
            <w:r>
              <w:rPr>
                <w:rFonts w:hint="eastAsia" w:ascii="仿宋_GB2312" w:hAnsi="Times New Roman" w:eastAsia="仿宋_GB2312"/>
                <w:color w:val="auto"/>
                <w:kern w:val="0"/>
                <w:sz w:val="24"/>
                <w:szCs w:val="24"/>
                <w:highlight w:val="none"/>
                <w:lang w:eastAsia="zh-CN"/>
              </w:rPr>
              <w:t>（</w:t>
            </w:r>
            <w:r>
              <w:rPr>
                <w:rFonts w:hint="eastAsia" w:ascii="仿宋_GB2312" w:hAnsi="Times New Roman" w:eastAsia="仿宋_GB2312"/>
                <w:color w:val="auto"/>
                <w:kern w:val="0"/>
                <w:sz w:val="24"/>
                <w:szCs w:val="24"/>
                <w:highlight w:val="none"/>
                <w:lang w:val="en-US" w:eastAsia="zh-CN"/>
              </w:rPr>
              <w:t>如有）</w:t>
            </w:r>
            <w:r>
              <w:rPr>
                <w:rFonts w:hint="eastAsia" w:ascii="仿宋_GB2312" w:hAnsi="Times New Roman" w:eastAsia="仿宋_GB2312"/>
                <w:color w:val="auto"/>
                <w:kern w:val="0"/>
                <w:sz w:val="24"/>
                <w:szCs w:val="24"/>
                <w:highlight w:val="none"/>
              </w:rPr>
              <w:t>，熟悉和掌握各类面点的制作工艺，负责早餐、午餐、晚餐中、西式点心的制作，每日可制作面点不少于500个。</w:t>
            </w:r>
          </w:p>
        </w:tc>
      </w:tr>
      <w:tr w14:paraId="0860E8B8">
        <w:tblPrEx>
          <w:tblCellMar>
            <w:top w:w="0" w:type="dxa"/>
            <w:left w:w="108" w:type="dxa"/>
            <w:bottom w:w="0" w:type="dxa"/>
            <w:right w:w="108" w:type="dxa"/>
          </w:tblCellMar>
        </w:tblPrEx>
        <w:trPr>
          <w:trHeight w:val="454" w:hRule="atLeast"/>
          <w:jc w:val="center"/>
        </w:trPr>
        <w:tc>
          <w:tcPr>
            <w:tcW w:w="1675" w:type="dxa"/>
            <w:tcBorders>
              <w:top w:val="single" w:color="000000" w:sz="4" w:space="0"/>
              <w:left w:val="single" w:color="000000" w:sz="4" w:space="0"/>
              <w:bottom w:val="single" w:color="000000" w:sz="4" w:space="0"/>
              <w:right w:val="single" w:color="000000" w:sz="4" w:space="0"/>
            </w:tcBorders>
            <w:vAlign w:val="center"/>
          </w:tcPr>
          <w:p w14:paraId="49A42450">
            <w:pPr>
              <w:widowControl/>
              <w:spacing w:line="360" w:lineRule="auto"/>
              <w:jc w:val="center"/>
              <w:rPr>
                <w:rFonts w:ascii="仿宋_GB2312" w:hAnsi="Times New Roman" w:eastAsia="仿宋_GB2312"/>
                <w:color w:val="auto"/>
                <w:kern w:val="0"/>
                <w:sz w:val="24"/>
                <w:szCs w:val="24"/>
                <w:highlight w:val="none"/>
              </w:rPr>
            </w:pPr>
            <w:r>
              <w:rPr>
                <w:rFonts w:hint="eastAsia" w:ascii="仿宋_GB2312" w:hAnsi="Times New Roman" w:eastAsia="仿宋_GB2312"/>
                <w:color w:val="auto"/>
                <w:kern w:val="0"/>
                <w:sz w:val="24"/>
                <w:szCs w:val="24"/>
                <w:highlight w:val="none"/>
              </w:rPr>
              <w:t>锅台师傅</w:t>
            </w:r>
          </w:p>
        </w:tc>
        <w:tc>
          <w:tcPr>
            <w:tcW w:w="1284" w:type="dxa"/>
            <w:tcBorders>
              <w:top w:val="single" w:color="000000" w:sz="4" w:space="0"/>
              <w:left w:val="nil"/>
              <w:bottom w:val="single" w:color="000000" w:sz="4" w:space="0"/>
              <w:right w:val="single" w:color="000000" w:sz="4" w:space="0"/>
            </w:tcBorders>
            <w:vAlign w:val="center"/>
          </w:tcPr>
          <w:p w14:paraId="0F41F727">
            <w:pPr>
              <w:widowControl/>
              <w:spacing w:line="360" w:lineRule="auto"/>
              <w:jc w:val="center"/>
              <w:rPr>
                <w:rFonts w:ascii="仿宋_GB2312" w:hAnsi="Times New Roman" w:eastAsia="仿宋_GB2312"/>
                <w:color w:val="auto"/>
                <w:kern w:val="0"/>
                <w:sz w:val="24"/>
                <w:szCs w:val="24"/>
                <w:highlight w:val="none"/>
              </w:rPr>
            </w:pPr>
            <w:r>
              <w:rPr>
                <w:rFonts w:hint="eastAsia" w:ascii="仿宋_GB2312" w:hAnsi="Times New Roman" w:eastAsia="仿宋_GB2312"/>
                <w:color w:val="auto"/>
                <w:kern w:val="0"/>
                <w:sz w:val="24"/>
                <w:szCs w:val="24"/>
                <w:highlight w:val="none"/>
              </w:rPr>
              <w:t>2</w:t>
            </w:r>
          </w:p>
        </w:tc>
        <w:tc>
          <w:tcPr>
            <w:tcW w:w="5190" w:type="dxa"/>
            <w:tcBorders>
              <w:top w:val="single" w:color="000000" w:sz="4" w:space="0"/>
              <w:left w:val="nil"/>
              <w:bottom w:val="single" w:color="000000" w:sz="4" w:space="0"/>
              <w:right w:val="single" w:color="000000" w:sz="4" w:space="0"/>
            </w:tcBorders>
            <w:vAlign w:val="center"/>
          </w:tcPr>
          <w:p w14:paraId="13E098F5">
            <w:pPr>
              <w:widowControl/>
              <w:spacing w:line="360" w:lineRule="auto"/>
              <w:jc w:val="left"/>
              <w:rPr>
                <w:rFonts w:ascii="仿宋_GB2312" w:hAnsi="Times New Roman" w:eastAsia="仿宋_GB2312"/>
                <w:color w:val="auto"/>
                <w:kern w:val="0"/>
                <w:sz w:val="24"/>
                <w:szCs w:val="24"/>
                <w:highlight w:val="none"/>
              </w:rPr>
            </w:pPr>
            <w:r>
              <w:rPr>
                <w:rFonts w:hint="eastAsia" w:ascii="仿宋_GB2312" w:hAnsi="Times New Roman" w:eastAsia="仿宋_GB2312"/>
                <w:color w:val="auto"/>
                <w:kern w:val="0"/>
                <w:sz w:val="24"/>
                <w:szCs w:val="24"/>
                <w:highlight w:val="none"/>
              </w:rPr>
              <w:t>负责制作早、中、晚餐菜谱上的菜肴。持有国家认证的相关厨师中式烹调师资格证书，具有切配各式菜肴及刻花技术。</w:t>
            </w:r>
          </w:p>
        </w:tc>
      </w:tr>
      <w:tr w14:paraId="294236A0">
        <w:tblPrEx>
          <w:tblCellMar>
            <w:top w:w="0" w:type="dxa"/>
            <w:left w:w="108" w:type="dxa"/>
            <w:bottom w:w="0" w:type="dxa"/>
            <w:right w:w="108" w:type="dxa"/>
          </w:tblCellMar>
        </w:tblPrEx>
        <w:trPr>
          <w:trHeight w:val="454" w:hRule="atLeast"/>
          <w:jc w:val="center"/>
        </w:trPr>
        <w:tc>
          <w:tcPr>
            <w:tcW w:w="1675" w:type="dxa"/>
            <w:tcBorders>
              <w:top w:val="single" w:color="000000" w:sz="4" w:space="0"/>
              <w:left w:val="single" w:color="000000" w:sz="4" w:space="0"/>
              <w:bottom w:val="single" w:color="000000" w:sz="4" w:space="0"/>
              <w:right w:val="single" w:color="000000" w:sz="4" w:space="0"/>
            </w:tcBorders>
            <w:vAlign w:val="center"/>
          </w:tcPr>
          <w:p w14:paraId="2D926787">
            <w:pPr>
              <w:widowControl/>
              <w:spacing w:line="360" w:lineRule="auto"/>
              <w:jc w:val="center"/>
              <w:rPr>
                <w:rFonts w:ascii="仿宋_GB2312" w:hAnsi="Times New Roman" w:eastAsia="仿宋_GB2312"/>
                <w:color w:val="auto"/>
                <w:kern w:val="0"/>
                <w:sz w:val="24"/>
                <w:szCs w:val="24"/>
                <w:highlight w:val="none"/>
              </w:rPr>
            </w:pPr>
            <w:r>
              <w:rPr>
                <w:rFonts w:hint="eastAsia" w:ascii="仿宋_GB2312" w:hAnsi="Times New Roman" w:eastAsia="仿宋_GB2312"/>
                <w:color w:val="auto"/>
                <w:kern w:val="0"/>
                <w:sz w:val="24"/>
                <w:szCs w:val="24"/>
                <w:highlight w:val="none"/>
              </w:rPr>
              <w:t>餐厅服务员</w:t>
            </w:r>
          </w:p>
        </w:tc>
        <w:tc>
          <w:tcPr>
            <w:tcW w:w="1284" w:type="dxa"/>
            <w:tcBorders>
              <w:top w:val="single" w:color="000000" w:sz="4" w:space="0"/>
              <w:left w:val="nil"/>
              <w:bottom w:val="single" w:color="000000" w:sz="4" w:space="0"/>
              <w:right w:val="single" w:color="000000" w:sz="4" w:space="0"/>
            </w:tcBorders>
            <w:vAlign w:val="center"/>
          </w:tcPr>
          <w:p w14:paraId="24C485FE">
            <w:pPr>
              <w:widowControl/>
              <w:spacing w:line="360" w:lineRule="auto"/>
              <w:jc w:val="center"/>
              <w:rPr>
                <w:rFonts w:ascii="仿宋_GB2312" w:hAnsi="Times New Roman" w:eastAsia="仿宋_GB2312"/>
                <w:color w:val="auto"/>
                <w:kern w:val="0"/>
                <w:sz w:val="24"/>
                <w:szCs w:val="24"/>
                <w:highlight w:val="none"/>
              </w:rPr>
            </w:pPr>
            <w:r>
              <w:rPr>
                <w:rFonts w:hint="eastAsia" w:ascii="仿宋_GB2312" w:hAnsi="Times New Roman" w:eastAsia="仿宋_GB2312"/>
                <w:color w:val="auto"/>
                <w:kern w:val="0"/>
                <w:sz w:val="24"/>
                <w:szCs w:val="24"/>
                <w:highlight w:val="none"/>
              </w:rPr>
              <w:t>5</w:t>
            </w:r>
          </w:p>
        </w:tc>
        <w:tc>
          <w:tcPr>
            <w:tcW w:w="5190" w:type="dxa"/>
            <w:tcBorders>
              <w:top w:val="single" w:color="000000" w:sz="4" w:space="0"/>
              <w:left w:val="nil"/>
              <w:bottom w:val="single" w:color="000000" w:sz="4" w:space="0"/>
              <w:right w:val="single" w:color="000000" w:sz="4" w:space="0"/>
            </w:tcBorders>
            <w:vAlign w:val="center"/>
          </w:tcPr>
          <w:p w14:paraId="34B96FE2">
            <w:pPr>
              <w:widowControl/>
              <w:spacing w:line="360" w:lineRule="auto"/>
              <w:jc w:val="left"/>
              <w:rPr>
                <w:rFonts w:ascii="仿宋_GB2312" w:hAnsi="Times New Roman" w:eastAsia="仿宋_GB2312"/>
                <w:color w:val="auto"/>
                <w:kern w:val="0"/>
                <w:sz w:val="24"/>
                <w:szCs w:val="24"/>
                <w:highlight w:val="none"/>
              </w:rPr>
            </w:pPr>
            <w:r>
              <w:rPr>
                <w:rFonts w:hint="eastAsia" w:ascii="仿宋_GB2312" w:hAnsi="Times New Roman" w:eastAsia="仿宋_GB2312"/>
                <w:color w:val="auto"/>
                <w:kern w:val="0"/>
                <w:sz w:val="24"/>
                <w:szCs w:val="24"/>
                <w:highlight w:val="none"/>
              </w:rPr>
              <w:t>50周岁以下，负责餐厅服务保障，做好开餐前的准备、食物的销售，食具的清洗和消毒、餐厅的卫生打扫工作，吧台辅助食品的提供。</w:t>
            </w:r>
          </w:p>
        </w:tc>
      </w:tr>
      <w:tr w14:paraId="05EDF560">
        <w:tblPrEx>
          <w:tblCellMar>
            <w:top w:w="0" w:type="dxa"/>
            <w:left w:w="108" w:type="dxa"/>
            <w:bottom w:w="0" w:type="dxa"/>
            <w:right w:w="108" w:type="dxa"/>
          </w:tblCellMar>
        </w:tblPrEx>
        <w:trPr>
          <w:trHeight w:val="454" w:hRule="atLeast"/>
          <w:jc w:val="center"/>
        </w:trPr>
        <w:tc>
          <w:tcPr>
            <w:tcW w:w="1675" w:type="dxa"/>
            <w:tcBorders>
              <w:top w:val="single" w:color="000000" w:sz="4" w:space="0"/>
              <w:left w:val="single" w:color="000000" w:sz="4" w:space="0"/>
              <w:bottom w:val="single" w:color="000000" w:sz="4" w:space="0"/>
              <w:right w:val="single" w:color="000000" w:sz="4" w:space="0"/>
            </w:tcBorders>
            <w:vAlign w:val="center"/>
          </w:tcPr>
          <w:p w14:paraId="2846D71A">
            <w:pPr>
              <w:widowControl/>
              <w:spacing w:line="360" w:lineRule="auto"/>
              <w:jc w:val="center"/>
              <w:rPr>
                <w:rFonts w:ascii="仿宋_GB2312" w:hAnsi="Times New Roman" w:eastAsia="仿宋_GB2312"/>
                <w:color w:val="auto"/>
                <w:kern w:val="0"/>
                <w:sz w:val="24"/>
                <w:szCs w:val="24"/>
                <w:highlight w:val="none"/>
              </w:rPr>
            </w:pPr>
            <w:r>
              <w:rPr>
                <w:rFonts w:hint="eastAsia" w:ascii="仿宋_GB2312" w:hAnsi="Times New Roman" w:eastAsia="仿宋_GB2312"/>
                <w:color w:val="auto"/>
                <w:kern w:val="0"/>
                <w:sz w:val="24"/>
                <w:szCs w:val="24"/>
                <w:highlight w:val="none"/>
              </w:rPr>
              <w:t>厨工</w:t>
            </w:r>
          </w:p>
        </w:tc>
        <w:tc>
          <w:tcPr>
            <w:tcW w:w="1284" w:type="dxa"/>
            <w:tcBorders>
              <w:top w:val="single" w:color="000000" w:sz="4" w:space="0"/>
              <w:left w:val="nil"/>
              <w:bottom w:val="single" w:color="000000" w:sz="4" w:space="0"/>
              <w:right w:val="single" w:color="000000" w:sz="4" w:space="0"/>
            </w:tcBorders>
            <w:vAlign w:val="center"/>
          </w:tcPr>
          <w:p w14:paraId="2FCF849F">
            <w:pPr>
              <w:widowControl/>
              <w:spacing w:line="360" w:lineRule="auto"/>
              <w:jc w:val="center"/>
              <w:rPr>
                <w:rFonts w:ascii="仿宋_GB2312" w:hAnsi="Times New Roman" w:eastAsia="仿宋_GB2312"/>
                <w:color w:val="auto"/>
                <w:kern w:val="0"/>
                <w:sz w:val="24"/>
                <w:szCs w:val="24"/>
                <w:highlight w:val="none"/>
              </w:rPr>
            </w:pPr>
            <w:r>
              <w:rPr>
                <w:rFonts w:hint="eastAsia" w:ascii="仿宋_GB2312" w:hAnsi="Times New Roman" w:eastAsia="仿宋_GB2312"/>
                <w:color w:val="auto"/>
                <w:kern w:val="0"/>
                <w:sz w:val="24"/>
                <w:szCs w:val="24"/>
                <w:highlight w:val="none"/>
              </w:rPr>
              <w:t>3</w:t>
            </w:r>
          </w:p>
        </w:tc>
        <w:tc>
          <w:tcPr>
            <w:tcW w:w="5190" w:type="dxa"/>
            <w:tcBorders>
              <w:top w:val="single" w:color="000000" w:sz="4" w:space="0"/>
              <w:left w:val="nil"/>
              <w:bottom w:val="single" w:color="000000" w:sz="4" w:space="0"/>
              <w:right w:val="single" w:color="000000" w:sz="4" w:space="0"/>
            </w:tcBorders>
            <w:vAlign w:val="center"/>
          </w:tcPr>
          <w:p w14:paraId="0DCAF513">
            <w:pPr>
              <w:widowControl/>
              <w:spacing w:line="360" w:lineRule="auto"/>
              <w:jc w:val="left"/>
              <w:rPr>
                <w:rFonts w:ascii="仿宋_GB2312" w:hAnsi="Times New Roman" w:eastAsia="仿宋_GB2312"/>
                <w:color w:val="auto"/>
                <w:kern w:val="0"/>
                <w:sz w:val="24"/>
                <w:szCs w:val="24"/>
                <w:highlight w:val="none"/>
              </w:rPr>
            </w:pPr>
            <w:r>
              <w:rPr>
                <w:rFonts w:hint="eastAsia" w:ascii="仿宋_GB2312" w:hAnsi="Times New Roman" w:eastAsia="仿宋_GB2312"/>
                <w:color w:val="auto"/>
                <w:kern w:val="0"/>
                <w:sz w:val="24"/>
                <w:szCs w:val="24"/>
                <w:highlight w:val="none"/>
              </w:rPr>
              <w:t>负责每天原材料的杀、斩、剪、洗工作。</w:t>
            </w:r>
          </w:p>
        </w:tc>
      </w:tr>
      <w:tr w14:paraId="45CD0E6C">
        <w:tblPrEx>
          <w:tblCellMar>
            <w:top w:w="0" w:type="dxa"/>
            <w:left w:w="108" w:type="dxa"/>
            <w:bottom w:w="0" w:type="dxa"/>
            <w:right w:w="108" w:type="dxa"/>
          </w:tblCellMar>
        </w:tblPrEx>
        <w:trPr>
          <w:trHeight w:val="663" w:hRule="atLeast"/>
          <w:jc w:val="center"/>
        </w:trPr>
        <w:tc>
          <w:tcPr>
            <w:tcW w:w="1675" w:type="dxa"/>
            <w:tcBorders>
              <w:top w:val="single" w:color="000000" w:sz="4" w:space="0"/>
              <w:left w:val="single" w:color="000000" w:sz="4" w:space="0"/>
              <w:bottom w:val="single" w:color="000000" w:sz="4" w:space="0"/>
              <w:right w:val="single" w:color="000000" w:sz="4" w:space="0"/>
            </w:tcBorders>
            <w:vAlign w:val="center"/>
          </w:tcPr>
          <w:p w14:paraId="2F755F50">
            <w:pPr>
              <w:widowControl/>
              <w:spacing w:line="360" w:lineRule="auto"/>
              <w:jc w:val="center"/>
              <w:rPr>
                <w:rFonts w:ascii="仿宋_GB2312" w:hAnsi="Times New Roman" w:eastAsia="仿宋_GB2312"/>
                <w:color w:val="auto"/>
                <w:kern w:val="0"/>
                <w:sz w:val="24"/>
                <w:szCs w:val="24"/>
                <w:highlight w:val="none"/>
              </w:rPr>
            </w:pPr>
            <w:r>
              <w:rPr>
                <w:rFonts w:hint="eastAsia" w:ascii="仿宋_GB2312" w:hAnsi="Times New Roman" w:eastAsia="仿宋_GB2312"/>
                <w:color w:val="auto"/>
                <w:kern w:val="0"/>
                <w:sz w:val="24"/>
                <w:szCs w:val="24"/>
                <w:highlight w:val="none"/>
              </w:rPr>
              <w:t>共计</w:t>
            </w:r>
          </w:p>
        </w:tc>
        <w:tc>
          <w:tcPr>
            <w:tcW w:w="1284" w:type="dxa"/>
            <w:tcBorders>
              <w:top w:val="single" w:color="000000" w:sz="4" w:space="0"/>
              <w:left w:val="nil"/>
              <w:bottom w:val="single" w:color="000000" w:sz="4" w:space="0"/>
              <w:right w:val="single" w:color="000000" w:sz="4" w:space="0"/>
            </w:tcBorders>
            <w:vAlign w:val="center"/>
          </w:tcPr>
          <w:p w14:paraId="5109300D">
            <w:pPr>
              <w:widowControl/>
              <w:spacing w:line="360" w:lineRule="auto"/>
              <w:jc w:val="center"/>
              <w:rPr>
                <w:rFonts w:ascii="仿宋_GB2312" w:hAnsi="Times New Roman" w:eastAsia="仿宋_GB2312"/>
                <w:color w:val="auto"/>
                <w:kern w:val="0"/>
                <w:sz w:val="24"/>
                <w:szCs w:val="24"/>
                <w:highlight w:val="none"/>
              </w:rPr>
            </w:pPr>
            <w:r>
              <w:rPr>
                <w:rFonts w:hint="eastAsia" w:ascii="仿宋_GB2312" w:hAnsi="Times New Roman" w:eastAsia="仿宋_GB2312"/>
                <w:color w:val="auto"/>
                <w:kern w:val="0"/>
                <w:sz w:val="24"/>
                <w:szCs w:val="24"/>
                <w:highlight w:val="none"/>
              </w:rPr>
              <w:t>14</w:t>
            </w:r>
          </w:p>
        </w:tc>
        <w:tc>
          <w:tcPr>
            <w:tcW w:w="5190" w:type="dxa"/>
            <w:tcBorders>
              <w:top w:val="single" w:color="000000" w:sz="4" w:space="0"/>
              <w:left w:val="nil"/>
              <w:bottom w:val="single" w:color="000000" w:sz="4" w:space="0"/>
              <w:right w:val="single" w:color="000000" w:sz="4" w:space="0"/>
            </w:tcBorders>
            <w:vAlign w:val="center"/>
          </w:tcPr>
          <w:p w14:paraId="3F6B4B0A">
            <w:pPr>
              <w:widowControl/>
              <w:spacing w:line="360" w:lineRule="auto"/>
              <w:jc w:val="center"/>
              <w:rPr>
                <w:rFonts w:ascii="仿宋_GB2312" w:hAnsi="Times New Roman" w:eastAsia="仿宋_GB2312"/>
                <w:color w:val="auto"/>
                <w:kern w:val="0"/>
                <w:sz w:val="24"/>
                <w:szCs w:val="24"/>
                <w:highlight w:val="none"/>
              </w:rPr>
            </w:pPr>
          </w:p>
        </w:tc>
      </w:tr>
    </w:tbl>
    <w:p w14:paraId="07D24A78">
      <w:pPr>
        <w:tabs>
          <w:tab w:val="left" w:pos="0"/>
          <w:tab w:val="left" w:pos="851"/>
          <w:tab w:val="left" w:pos="938"/>
        </w:tabs>
        <w:spacing w:line="360" w:lineRule="auto"/>
        <w:jc w:val="center"/>
        <w:rPr>
          <w:rFonts w:ascii="宋体" w:hAnsi="宋体"/>
          <w:color w:val="auto"/>
          <w:sz w:val="24"/>
          <w:szCs w:val="24"/>
          <w:highlight w:val="none"/>
          <w:lang w:val="zh-CN"/>
        </w:rPr>
      </w:pPr>
    </w:p>
    <w:p w14:paraId="2AE2FAC9">
      <w:pPr>
        <w:widowControl/>
        <w:numPr>
          <w:ilvl w:val="255"/>
          <w:numId w:val="0"/>
        </w:numPr>
        <w:spacing w:line="360" w:lineRule="auto"/>
        <w:jc w:val="center"/>
        <w:rPr>
          <w:rFonts w:ascii="仿宋_GB2312" w:hAnsi="Times New Roman" w:eastAsia="仿宋_GB2312"/>
          <w:b/>
          <w:bCs/>
          <w:color w:val="auto"/>
          <w:kern w:val="0"/>
          <w:sz w:val="24"/>
          <w:szCs w:val="24"/>
          <w:highlight w:val="none"/>
          <w:lang w:val="zh-CN"/>
        </w:rPr>
      </w:pPr>
      <w:r>
        <w:rPr>
          <w:rFonts w:hint="eastAsia" w:ascii="仿宋_GB2312" w:hAnsi="Times New Roman" w:eastAsia="仿宋_GB2312"/>
          <w:b/>
          <w:bCs/>
          <w:color w:val="auto"/>
          <w:kern w:val="0"/>
          <w:sz w:val="24"/>
          <w:szCs w:val="24"/>
          <w:highlight w:val="none"/>
          <w:lang w:val="zh-CN"/>
        </w:rPr>
        <w:t>表</w:t>
      </w:r>
      <w:r>
        <w:rPr>
          <w:rFonts w:hint="eastAsia" w:ascii="仿宋_GB2312" w:hAnsi="Times New Roman" w:eastAsia="仿宋_GB2312"/>
          <w:b/>
          <w:bCs/>
          <w:color w:val="auto"/>
          <w:kern w:val="0"/>
          <w:sz w:val="24"/>
          <w:szCs w:val="24"/>
          <w:highlight w:val="none"/>
        </w:rPr>
        <w:t xml:space="preserve">2  </w:t>
      </w:r>
      <w:r>
        <w:rPr>
          <w:rFonts w:hint="eastAsia" w:ascii="仿宋_GB2312" w:hAnsi="Times New Roman" w:eastAsia="仿宋_GB2312"/>
          <w:b/>
          <w:bCs/>
          <w:color w:val="auto"/>
          <w:kern w:val="0"/>
          <w:sz w:val="24"/>
          <w:szCs w:val="24"/>
          <w:highlight w:val="none"/>
          <w:lang w:val="zh-CN"/>
        </w:rPr>
        <w:t>翔安区黎林路1699号食堂运营服务人员</w:t>
      </w:r>
    </w:p>
    <w:tbl>
      <w:tblPr>
        <w:tblStyle w:val="21"/>
        <w:tblW w:w="8232" w:type="dxa"/>
        <w:jc w:val="center"/>
        <w:tblLayout w:type="fixed"/>
        <w:tblCellMar>
          <w:top w:w="15" w:type="dxa"/>
          <w:left w:w="108" w:type="dxa"/>
          <w:bottom w:w="15" w:type="dxa"/>
          <w:right w:w="108" w:type="dxa"/>
        </w:tblCellMar>
      </w:tblPr>
      <w:tblGrid>
        <w:gridCol w:w="1709"/>
        <w:gridCol w:w="1500"/>
        <w:gridCol w:w="5023"/>
      </w:tblGrid>
      <w:tr w14:paraId="7293FF45">
        <w:tblPrEx>
          <w:tblCellMar>
            <w:top w:w="15" w:type="dxa"/>
            <w:left w:w="108" w:type="dxa"/>
            <w:bottom w:w="15" w:type="dxa"/>
            <w:right w:w="108" w:type="dxa"/>
          </w:tblCellMar>
        </w:tblPrEx>
        <w:trPr>
          <w:trHeight w:val="537" w:hRule="atLeast"/>
          <w:jc w:val="center"/>
        </w:trPr>
        <w:tc>
          <w:tcPr>
            <w:tcW w:w="1709" w:type="dxa"/>
            <w:tcBorders>
              <w:top w:val="single" w:color="auto" w:sz="4" w:space="0"/>
              <w:left w:val="single" w:color="000000" w:sz="4" w:space="0"/>
              <w:bottom w:val="single" w:color="000000" w:sz="4" w:space="0"/>
              <w:right w:val="single" w:color="000000" w:sz="4" w:space="0"/>
            </w:tcBorders>
            <w:vAlign w:val="center"/>
          </w:tcPr>
          <w:p w14:paraId="1B304DFB">
            <w:pPr>
              <w:widowControl/>
              <w:spacing w:line="440" w:lineRule="exact"/>
              <w:jc w:val="center"/>
              <w:rPr>
                <w:rFonts w:ascii="仿宋_GB2312" w:hAnsi="Times New Roman" w:eastAsia="仿宋_GB2312"/>
                <w:b/>
                <w:bCs/>
                <w:color w:val="auto"/>
                <w:kern w:val="0"/>
                <w:sz w:val="24"/>
                <w:szCs w:val="24"/>
                <w:highlight w:val="none"/>
              </w:rPr>
            </w:pPr>
            <w:r>
              <w:rPr>
                <w:rFonts w:hint="eastAsia" w:ascii="仿宋_GB2312" w:hAnsi="Times New Roman" w:eastAsia="仿宋_GB2312"/>
                <w:b/>
                <w:bCs/>
                <w:color w:val="auto"/>
                <w:kern w:val="0"/>
                <w:sz w:val="24"/>
                <w:szCs w:val="24"/>
                <w:highlight w:val="none"/>
              </w:rPr>
              <w:t>职位</w:t>
            </w:r>
          </w:p>
        </w:tc>
        <w:tc>
          <w:tcPr>
            <w:tcW w:w="1500" w:type="dxa"/>
            <w:tcBorders>
              <w:top w:val="single" w:color="auto" w:sz="4" w:space="0"/>
              <w:left w:val="single" w:color="000000" w:sz="4" w:space="0"/>
              <w:bottom w:val="single" w:color="000000" w:sz="4" w:space="0"/>
              <w:right w:val="single" w:color="000000" w:sz="4" w:space="0"/>
            </w:tcBorders>
            <w:vAlign w:val="center"/>
          </w:tcPr>
          <w:p w14:paraId="37E26F9F">
            <w:pPr>
              <w:widowControl/>
              <w:spacing w:line="440" w:lineRule="exact"/>
              <w:jc w:val="center"/>
              <w:rPr>
                <w:rFonts w:ascii="仿宋_GB2312" w:hAnsi="Times New Roman" w:eastAsia="仿宋_GB2312"/>
                <w:b/>
                <w:bCs/>
                <w:color w:val="auto"/>
                <w:kern w:val="0"/>
                <w:sz w:val="24"/>
                <w:szCs w:val="24"/>
                <w:highlight w:val="none"/>
              </w:rPr>
            </w:pPr>
            <w:r>
              <w:rPr>
                <w:rFonts w:hint="eastAsia" w:ascii="仿宋_GB2312" w:hAnsi="Times New Roman" w:eastAsia="仿宋_GB2312"/>
                <w:b/>
                <w:bCs/>
                <w:color w:val="auto"/>
                <w:kern w:val="0"/>
                <w:sz w:val="24"/>
                <w:szCs w:val="24"/>
                <w:highlight w:val="none"/>
              </w:rPr>
              <w:t>职数（名）</w:t>
            </w:r>
          </w:p>
        </w:tc>
        <w:tc>
          <w:tcPr>
            <w:tcW w:w="5023" w:type="dxa"/>
            <w:tcBorders>
              <w:top w:val="single" w:color="auto" w:sz="4" w:space="0"/>
              <w:left w:val="single" w:color="000000" w:sz="4" w:space="0"/>
              <w:bottom w:val="single" w:color="000000" w:sz="4" w:space="0"/>
              <w:right w:val="single" w:color="000000" w:sz="4" w:space="0"/>
            </w:tcBorders>
            <w:vAlign w:val="center"/>
          </w:tcPr>
          <w:p w14:paraId="7C5902CE">
            <w:pPr>
              <w:widowControl/>
              <w:spacing w:line="440" w:lineRule="exact"/>
              <w:jc w:val="center"/>
              <w:rPr>
                <w:rFonts w:ascii="宋体" w:hAnsi="宋体" w:cs="仿宋"/>
                <w:b/>
                <w:color w:val="auto"/>
                <w:kern w:val="0"/>
                <w:sz w:val="24"/>
                <w:szCs w:val="24"/>
                <w:highlight w:val="none"/>
              </w:rPr>
            </w:pPr>
            <w:r>
              <w:rPr>
                <w:rFonts w:hint="eastAsia" w:ascii="仿宋_GB2312" w:hAnsi="Times New Roman" w:eastAsia="仿宋_GB2312"/>
                <w:b/>
                <w:bCs/>
                <w:color w:val="auto"/>
                <w:kern w:val="0"/>
                <w:sz w:val="24"/>
                <w:szCs w:val="24"/>
                <w:highlight w:val="none"/>
              </w:rPr>
              <w:t>工作内容、岗位职责及配备要求</w:t>
            </w:r>
          </w:p>
        </w:tc>
      </w:tr>
      <w:tr w14:paraId="4A9E8DC2">
        <w:tblPrEx>
          <w:tblCellMar>
            <w:top w:w="15" w:type="dxa"/>
            <w:left w:w="108" w:type="dxa"/>
            <w:bottom w:w="15" w:type="dxa"/>
            <w:right w:w="108" w:type="dxa"/>
          </w:tblCellMar>
        </w:tblPrEx>
        <w:trPr>
          <w:trHeight w:val="855" w:hRule="atLeast"/>
          <w:jc w:val="center"/>
        </w:trPr>
        <w:tc>
          <w:tcPr>
            <w:tcW w:w="1709" w:type="dxa"/>
            <w:tcBorders>
              <w:top w:val="single" w:color="000000" w:sz="4" w:space="0"/>
              <w:left w:val="single" w:color="000000" w:sz="4" w:space="0"/>
              <w:bottom w:val="single" w:color="000000" w:sz="4" w:space="0"/>
              <w:right w:val="single" w:color="000000" w:sz="4" w:space="0"/>
            </w:tcBorders>
            <w:vAlign w:val="center"/>
          </w:tcPr>
          <w:p w14:paraId="72DAD853">
            <w:pPr>
              <w:widowControl/>
              <w:spacing w:line="360" w:lineRule="auto"/>
              <w:jc w:val="center"/>
              <w:rPr>
                <w:rFonts w:ascii="仿宋_GB2312" w:hAnsi="Times New Roman" w:eastAsia="仿宋_GB2312"/>
                <w:color w:val="auto"/>
                <w:kern w:val="0"/>
                <w:sz w:val="24"/>
                <w:szCs w:val="24"/>
                <w:highlight w:val="none"/>
              </w:rPr>
            </w:pPr>
            <w:r>
              <w:rPr>
                <w:rFonts w:hint="eastAsia" w:ascii="仿宋_GB2312" w:hAnsi="Times New Roman" w:eastAsia="仿宋_GB2312"/>
                <w:color w:val="auto"/>
                <w:kern w:val="0"/>
                <w:sz w:val="24"/>
                <w:szCs w:val="24"/>
                <w:highlight w:val="none"/>
              </w:rPr>
              <w:t>项目经理兼仓管员</w:t>
            </w:r>
          </w:p>
        </w:tc>
        <w:tc>
          <w:tcPr>
            <w:tcW w:w="1500" w:type="dxa"/>
            <w:tcBorders>
              <w:top w:val="single" w:color="000000" w:sz="4" w:space="0"/>
              <w:left w:val="single" w:color="000000" w:sz="4" w:space="0"/>
              <w:bottom w:val="single" w:color="000000" w:sz="4" w:space="0"/>
              <w:right w:val="single" w:color="000000" w:sz="4" w:space="0"/>
            </w:tcBorders>
            <w:vAlign w:val="center"/>
          </w:tcPr>
          <w:p w14:paraId="01792437">
            <w:pPr>
              <w:widowControl/>
              <w:spacing w:line="360" w:lineRule="auto"/>
              <w:jc w:val="center"/>
              <w:rPr>
                <w:rFonts w:ascii="仿宋_GB2312" w:hAnsi="Times New Roman" w:eastAsia="仿宋_GB2312"/>
                <w:color w:val="auto"/>
                <w:kern w:val="0"/>
                <w:sz w:val="24"/>
                <w:szCs w:val="24"/>
                <w:highlight w:val="none"/>
              </w:rPr>
            </w:pPr>
            <w:r>
              <w:rPr>
                <w:rFonts w:hint="eastAsia" w:ascii="仿宋_GB2312" w:hAnsi="Times New Roman" w:eastAsia="仿宋_GB2312"/>
                <w:color w:val="auto"/>
                <w:kern w:val="0"/>
                <w:sz w:val="24"/>
                <w:szCs w:val="24"/>
                <w:highlight w:val="none"/>
              </w:rPr>
              <w:t>1</w:t>
            </w:r>
          </w:p>
        </w:tc>
        <w:tc>
          <w:tcPr>
            <w:tcW w:w="5023" w:type="dxa"/>
            <w:tcBorders>
              <w:top w:val="single" w:color="000000" w:sz="4" w:space="0"/>
              <w:left w:val="single" w:color="000000" w:sz="4" w:space="0"/>
              <w:bottom w:val="single" w:color="000000" w:sz="4" w:space="0"/>
              <w:right w:val="single" w:color="000000" w:sz="4" w:space="0"/>
            </w:tcBorders>
            <w:vAlign w:val="center"/>
          </w:tcPr>
          <w:p w14:paraId="11C06E2C">
            <w:pPr>
              <w:widowControl/>
              <w:spacing w:line="360" w:lineRule="auto"/>
              <w:jc w:val="left"/>
              <w:rPr>
                <w:rFonts w:ascii="仿宋_GB2312" w:hAnsi="Times New Roman" w:eastAsia="仿宋_GB2312"/>
                <w:color w:val="auto"/>
                <w:kern w:val="0"/>
                <w:sz w:val="24"/>
                <w:szCs w:val="24"/>
                <w:highlight w:val="none"/>
              </w:rPr>
            </w:pPr>
            <w:r>
              <w:rPr>
                <w:rFonts w:hint="eastAsia" w:ascii="仿宋_GB2312" w:hAnsi="Times New Roman" w:eastAsia="仿宋_GB2312"/>
                <w:color w:val="auto"/>
                <w:kern w:val="0"/>
                <w:sz w:val="24"/>
                <w:szCs w:val="24"/>
                <w:highlight w:val="none"/>
              </w:rPr>
              <w:t>全面负责食堂餐饮服务管理工作，并负责报账、对账、整理账目、充现等账务工作。按财务管理要求记账，责任心强，在乙方单位服务一年以上；具有同类项目、同等职位任职一年以上资历；具备良好的沟通和团队管理能力。</w:t>
            </w:r>
          </w:p>
        </w:tc>
      </w:tr>
      <w:tr w14:paraId="02BA8665">
        <w:tblPrEx>
          <w:tblCellMar>
            <w:top w:w="15" w:type="dxa"/>
            <w:left w:w="108" w:type="dxa"/>
            <w:bottom w:w="15" w:type="dxa"/>
            <w:right w:w="108" w:type="dxa"/>
          </w:tblCellMar>
        </w:tblPrEx>
        <w:trPr>
          <w:trHeight w:val="855" w:hRule="atLeast"/>
          <w:jc w:val="center"/>
        </w:trPr>
        <w:tc>
          <w:tcPr>
            <w:tcW w:w="1709" w:type="dxa"/>
            <w:tcBorders>
              <w:top w:val="single" w:color="000000" w:sz="4" w:space="0"/>
              <w:left w:val="single" w:color="000000" w:sz="4" w:space="0"/>
              <w:bottom w:val="single" w:color="000000" w:sz="4" w:space="0"/>
              <w:right w:val="single" w:color="000000" w:sz="4" w:space="0"/>
            </w:tcBorders>
            <w:vAlign w:val="center"/>
          </w:tcPr>
          <w:p w14:paraId="37D48441">
            <w:pPr>
              <w:widowControl/>
              <w:spacing w:line="360" w:lineRule="auto"/>
              <w:jc w:val="center"/>
              <w:rPr>
                <w:rFonts w:ascii="仿宋_GB2312" w:hAnsi="Times New Roman" w:eastAsia="仿宋_GB2312"/>
                <w:color w:val="auto"/>
                <w:kern w:val="0"/>
                <w:sz w:val="24"/>
                <w:szCs w:val="24"/>
                <w:highlight w:val="none"/>
              </w:rPr>
            </w:pPr>
            <w:r>
              <w:rPr>
                <w:rFonts w:hint="eastAsia" w:ascii="仿宋_GB2312" w:hAnsi="Times New Roman" w:eastAsia="仿宋_GB2312"/>
                <w:color w:val="auto"/>
                <w:kern w:val="0"/>
                <w:sz w:val="24"/>
                <w:szCs w:val="24"/>
                <w:highlight w:val="none"/>
              </w:rPr>
              <w:t>厨师长</w:t>
            </w:r>
          </w:p>
        </w:tc>
        <w:tc>
          <w:tcPr>
            <w:tcW w:w="1500" w:type="dxa"/>
            <w:tcBorders>
              <w:top w:val="single" w:color="000000" w:sz="4" w:space="0"/>
              <w:left w:val="single" w:color="000000" w:sz="4" w:space="0"/>
              <w:bottom w:val="single" w:color="000000" w:sz="4" w:space="0"/>
              <w:right w:val="single" w:color="000000" w:sz="4" w:space="0"/>
            </w:tcBorders>
            <w:vAlign w:val="center"/>
          </w:tcPr>
          <w:p w14:paraId="2A613ACE">
            <w:pPr>
              <w:widowControl/>
              <w:spacing w:line="360" w:lineRule="auto"/>
              <w:jc w:val="center"/>
              <w:rPr>
                <w:rFonts w:ascii="仿宋_GB2312" w:hAnsi="Times New Roman" w:eastAsia="仿宋_GB2312"/>
                <w:color w:val="auto"/>
                <w:kern w:val="0"/>
                <w:sz w:val="24"/>
                <w:szCs w:val="24"/>
                <w:highlight w:val="none"/>
              </w:rPr>
            </w:pPr>
            <w:r>
              <w:rPr>
                <w:rFonts w:hint="eastAsia" w:ascii="仿宋_GB2312" w:hAnsi="Times New Roman" w:eastAsia="仿宋_GB2312"/>
                <w:color w:val="auto"/>
                <w:kern w:val="0"/>
                <w:sz w:val="24"/>
                <w:szCs w:val="24"/>
                <w:highlight w:val="none"/>
              </w:rPr>
              <w:t>1</w:t>
            </w:r>
          </w:p>
        </w:tc>
        <w:tc>
          <w:tcPr>
            <w:tcW w:w="5023" w:type="dxa"/>
            <w:tcBorders>
              <w:top w:val="single" w:color="000000" w:sz="4" w:space="0"/>
              <w:left w:val="single" w:color="000000" w:sz="4" w:space="0"/>
              <w:bottom w:val="single" w:color="000000" w:sz="4" w:space="0"/>
              <w:right w:val="single" w:color="000000" w:sz="4" w:space="0"/>
            </w:tcBorders>
            <w:vAlign w:val="center"/>
          </w:tcPr>
          <w:p w14:paraId="319C5E7A">
            <w:pPr>
              <w:widowControl/>
              <w:spacing w:line="360" w:lineRule="auto"/>
              <w:jc w:val="left"/>
              <w:rPr>
                <w:rFonts w:ascii="仿宋_GB2312" w:hAnsi="Times New Roman" w:eastAsia="仿宋_GB2312"/>
                <w:color w:val="auto"/>
                <w:kern w:val="0"/>
                <w:sz w:val="24"/>
                <w:szCs w:val="24"/>
                <w:highlight w:val="none"/>
              </w:rPr>
            </w:pPr>
            <w:r>
              <w:rPr>
                <w:rFonts w:hint="eastAsia" w:ascii="仿宋_GB2312" w:hAnsi="Times New Roman" w:eastAsia="仿宋_GB2312"/>
                <w:color w:val="auto"/>
                <w:kern w:val="0"/>
                <w:sz w:val="24"/>
                <w:szCs w:val="24"/>
                <w:highlight w:val="none"/>
              </w:rPr>
              <w:t>负责制定菜谱，控制菜肴的分量和质量，协助采购人控制成本。精通烹饪知识，持有国家认证的相关厨师职业资格证书，具有同类项目2年以上任职经历。</w:t>
            </w:r>
          </w:p>
        </w:tc>
      </w:tr>
      <w:tr w14:paraId="78C7BB52">
        <w:tblPrEx>
          <w:tblCellMar>
            <w:top w:w="15" w:type="dxa"/>
            <w:left w:w="108" w:type="dxa"/>
            <w:bottom w:w="15" w:type="dxa"/>
            <w:right w:w="108" w:type="dxa"/>
          </w:tblCellMar>
        </w:tblPrEx>
        <w:trPr>
          <w:trHeight w:val="855" w:hRule="atLeast"/>
          <w:jc w:val="center"/>
        </w:trPr>
        <w:tc>
          <w:tcPr>
            <w:tcW w:w="1709" w:type="dxa"/>
            <w:tcBorders>
              <w:top w:val="single" w:color="000000" w:sz="4" w:space="0"/>
              <w:left w:val="single" w:color="000000" w:sz="4" w:space="0"/>
              <w:bottom w:val="single" w:color="000000" w:sz="4" w:space="0"/>
              <w:right w:val="single" w:color="000000" w:sz="4" w:space="0"/>
            </w:tcBorders>
            <w:vAlign w:val="center"/>
          </w:tcPr>
          <w:p w14:paraId="09E1884C">
            <w:pPr>
              <w:widowControl/>
              <w:spacing w:line="360" w:lineRule="auto"/>
              <w:jc w:val="center"/>
              <w:rPr>
                <w:rFonts w:ascii="仿宋_GB2312" w:hAnsi="Times New Roman" w:eastAsia="仿宋_GB2312"/>
                <w:color w:val="auto"/>
                <w:kern w:val="0"/>
                <w:sz w:val="24"/>
                <w:szCs w:val="24"/>
                <w:highlight w:val="none"/>
              </w:rPr>
            </w:pPr>
            <w:r>
              <w:rPr>
                <w:rFonts w:hint="eastAsia" w:ascii="仿宋_GB2312" w:hAnsi="Times New Roman" w:eastAsia="仿宋_GB2312"/>
                <w:color w:val="auto"/>
                <w:kern w:val="0"/>
                <w:sz w:val="24"/>
                <w:szCs w:val="24"/>
                <w:highlight w:val="none"/>
              </w:rPr>
              <w:t>锅台师傅</w:t>
            </w:r>
          </w:p>
        </w:tc>
        <w:tc>
          <w:tcPr>
            <w:tcW w:w="1500" w:type="dxa"/>
            <w:tcBorders>
              <w:top w:val="single" w:color="000000" w:sz="4" w:space="0"/>
              <w:left w:val="single" w:color="000000" w:sz="4" w:space="0"/>
              <w:bottom w:val="single" w:color="000000" w:sz="4" w:space="0"/>
              <w:right w:val="single" w:color="000000" w:sz="4" w:space="0"/>
            </w:tcBorders>
            <w:vAlign w:val="center"/>
          </w:tcPr>
          <w:p w14:paraId="784300D1">
            <w:pPr>
              <w:widowControl/>
              <w:spacing w:line="360" w:lineRule="auto"/>
              <w:jc w:val="center"/>
              <w:rPr>
                <w:rFonts w:ascii="仿宋_GB2312" w:hAnsi="Times New Roman" w:eastAsia="仿宋_GB2312"/>
                <w:color w:val="auto"/>
                <w:kern w:val="0"/>
                <w:sz w:val="24"/>
                <w:szCs w:val="24"/>
                <w:highlight w:val="none"/>
              </w:rPr>
            </w:pPr>
            <w:r>
              <w:rPr>
                <w:rFonts w:hint="eastAsia" w:ascii="仿宋_GB2312" w:hAnsi="Times New Roman" w:eastAsia="仿宋_GB2312"/>
                <w:color w:val="auto"/>
                <w:kern w:val="0"/>
                <w:sz w:val="24"/>
                <w:szCs w:val="24"/>
                <w:highlight w:val="none"/>
              </w:rPr>
              <w:t>1</w:t>
            </w:r>
          </w:p>
        </w:tc>
        <w:tc>
          <w:tcPr>
            <w:tcW w:w="5023" w:type="dxa"/>
            <w:tcBorders>
              <w:top w:val="single" w:color="000000" w:sz="4" w:space="0"/>
              <w:left w:val="single" w:color="000000" w:sz="4" w:space="0"/>
              <w:bottom w:val="single" w:color="000000" w:sz="4" w:space="0"/>
              <w:right w:val="single" w:color="000000" w:sz="4" w:space="0"/>
            </w:tcBorders>
            <w:vAlign w:val="center"/>
          </w:tcPr>
          <w:p w14:paraId="1169C7C9">
            <w:pPr>
              <w:widowControl/>
              <w:spacing w:line="360" w:lineRule="auto"/>
              <w:jc w:val="left"/>
              <w:rPr>
                <w:rFonts w:ascii="仿宋_GB2312" w:hAnsi="Times New Roman" w:eastAsia="仿宋_GB2312"/>
                <w:color w:val="auto"/>
                <w:kern w:val="0"/>
                <w:sz w:val="24"/>
                <w:szCs w:val="24"/>
                <w:highlight w:val="none"/>
              </w:rPr>
            </w:pPr>
            <w:r>
              <w:rPr>
                <w:rFonts w:hint="eastAsia" w:ascii="仿宋_GB2312" w:hAnsi="Times New Roman" w:eastAsia="仿宋_GB2312"/>
                <w:color w:val="auto"/>
                <w:kern w:val="0"/>
                <w:sz w:val="24"/>
                <w:szCs w:val="24"/>
                <w:highlight w:val="none"/>
              </w:rPr>
              <w:t>负责制作早、中餐菜谱上的菜肴。持有国家认证的相关厨师中式烹调师资格证书， 具有切配各式菜肴及刻花技术。</w:t>
            </w:r>
          </w:p>
        </w:tc>
      </w:tr>
      <w:tr w14:paraId="66BAD0ED">
        <w:tblPrEx>
          <w:tblCellMar>
            <w:top w:w="15" w:type="dxa"/>
            <w:left w:w="108" w:type="dxa"/>
            <w:bottom w:w="15" w:type="dxa"/>
            <w:right w:w="108" w:type="dxa"/>
          </w:tblCellMar>
        </w:tblPrEx>
        <w:trPr>
          <w:trHeight w:val="600" w:hRule="atLeast"/>
          <w:jc w:val="center"/>
        </w:trPr>
        <w:tc>
          <w:tcPr>
            <w:tcW w:w="1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8C104">
            <w:pPr>
              <w:widowControl/>
              <w:spacing w:line="360" w:lineRule="auto"/>
              <w:jc w:val="center"/>
              <w:rPr>
                <w:rFonts w:ascii="仿宋_GB2312" w:hAnsi="Times New Roman" w:eastAsia="仿宋_GB2312"/>
                <w:color w:val="auto"/>
                <w:kern w:val="0"/>
                <w:sz w:val="24"/>
                <w:szCs w:val="24"/>
                <w:highlight w:val="none"/>
              </w:rPr>
            </w:pPr>
            <w:r>
              <w:rPr>
                <w:rFonts w:hint="eastAsia" w:ascii="仿宋_GB2312" w:hAnsi="Times New Roman" w:eastAsia="仿宋_GB2312"/>
                <w:color w:val="auto"/>
                <w:kern w:val="0"/>
                <w:sz w:val="24"/>
                <w:szCs w:val="24"/>
                <w:highlight w:val="none"/>
              </w:rPr>
              <w:t>厨工</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119D85">
            <w:pPr>
              <w:widowControl/>
              <w:spacing w:line="360" w:lineRule="auto"/>
              <w:jc w:val="center"/>
              <w:rPr>
                <w:rFonts w:ascii="仿宋_GB2312" w:hAnsi="Times New Roman" w:eastAsia="仿宋_GB2312"/>
                <w:color w:val="auto"/>
                <w:kern w:val="0"/>
                <w:sz w:val="24"/>
                <w:szCs w:val="24"/>
                <w:highlight w:val="none"/>
              </w:rPr>
            </w:pPr>
            <w:r>
              <w:rPr>
                <w:rFonts w:hint="eastAsia" w:ascii="仿宋_GB2312" w:hAnsi="Times New Roman" w:eastAsia="仿宋_GB2312"/>
                <w:color w:val="auto"/>
                <w:kern w:val="0"/>
                <w:sz w:val="24"/>
                <w:szCs w:val="24"/>
                <w:highlight w:val="none"/>
              </w:rPr>
              <w:t>2</w:t>
            </w:r>
          </w:p>
        </w:tc>
        <w:tc>
          <w:tcPr>
            <w:tcW w:w="5023" w:type="dxa"/>
            <w:tcBorders>
              <w:top w:val="single" w:color="000000" w:sz="4" w:space="0"/>
              <w:left w:val="single" w:color="000000" w:sz="4" w:space="0"/>
              <w:bottom w:val="single" w:color="000000" w:sz="4" w:space="0"/>
              <w:right w:val="single" w:color="000000" w:sz="4" w:space="0"/>
            </w:tcBorders>
            <w:vAlign w:val="center"/>
          </w:tcPr>
          <w:p w14:paraId="2C822DDD">
            <w:pPr>
              <w:widowControl/>
              <w:spacing w:line="360" w:lineRule="auto"/>
              <w:jc w:val="left"/>
              <w:rPr>
                <w:rFonts w:ascii="仿宋_GB2312" w:hAnsi="Times New Roman" w:eastAsia="仿宋_GB2312"/>
                <w:color w:val="auto"/>
                <w:kern w:val="0"/>
                <w:sz w:val="24"/>
                <w:szCs w:val="24"/>
                <w:highlight w:val="none"/>
              </w:rPr>
            </w:pPr>
            <w:r>
              <w:rPr>
                <w:rFonts w:hint="eastAsia" w:ascii="仿宋_GB2312" w:hAnsi="Times New Roman" w:eastAsia="仿宋_GB2312"/>
                <w:color w:val="auto"/>
                <w:kern w:val="0"/>
                <w:sz w:val="24"/>
                <w:szCs w:val="24"/>
                <w:highlight w:val="none"/>
              </w:rPr>
              <w:t>负责餐厅服务保障，做好开餐前准备、食物销售，食具清洗和消毒、餐厅卫生打扫工作；负责每天原材料的杀、斩、剪、洗工作。</w:t>
            </w:r>
          </w:p>
        </w:tc>
      </w:tr>
      <w:tr w14:paraId="3B8AEE16">
        <w:tblPrEx>
          <w:tblCellMar>
            <w:top w:w="15" w:type="dxa"/>
            <w:left w:w="108" w:type="dxa"/>
            <w:bottom w:w="15" w:type="dxa"/>
            <w:right w:w="108" w:type="dxa"/>
          </w:tblCellMar>
        </w:tblPrEx>
        <w:trPr>
          <w:trHeight w:val="600" w:hRule="atLeast"/>
          <w:jc w:val="center"/>
        </w:trPr>
        <w:tc>
          <w:tcPr>
            <w:tcW w:w="1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17F83">
            <w:pPr>
              <w:widowControl/>
              <w:spacing w:line="360" w:lineRule="auto"/>
              <w:jc w:val="center"/>
              <w:rPr>
                <w:rFonts w:ascii="仿宋_GB2312" w:hAnsi="Times New Roman" w:eastAsia="仿宋_GB2312"/>
                <w:color w:val="auto"/>
                <w:kern w:val="0"/>
                <w:sz w:val="24"/>
                <w:szCs w:val="24"/>
                <w:highlight w:val="none"/>
              </w:rPr>
            </w:pPr>
            <w:r>
              <w:rPr>
                <w:rFonts w:hint="eastAsia" w:ascii="仿宋_GB2312" w:hAnsi="Times New Roman" w:eastAsia="仿宋_GB2312"/>
                <w:color w:val="auto"/>
                <w:kern w:val="0"/>
                <w:sz w:val="24"/>
                <w:szCs w:val="24"/>
                <w:highlight w:val="none"/>
              </w:rPr>
              <w:t>共计</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11D7F6">
            <w:pPr>
              <w:widowControl/>
              <w:spacing w:line="360" w:lineRule="auto"/>
              <w:jc w:val="center"/>
              <w:rPr>
                <w:rFonts w:ascii="仿宋_GB2312" w:hAnsi="Times New Roman" w:eastAsia="仿宋_GB2312"/>
                <w:color w:val="auto"/>
                <w:kern w:val="0"/>
                <w:sz w:val="24"/>
                <w:szCs w:val="24"/>
                <w:highlight w:val="none"/>
              </w:rPr>
            </w:pPr>
            <w:r>
              <w:rPr>
                <w:rFonts w:hint="eastAsia" w:ascii="仿宋_GB2312" w:hAnsi="Times New Roman" w:eastAsia="仿宋_GB2312"/>
                <w:color w:val="auto"/>
                <w:kern w:val="0"/>
                <w:sz w:val="24"/>
                <w:szCs w:val="24"/>
                <w:highlight w:val="none"/>
              </w:rPr>
              <w:t>5</w:t>
            </w:r>
          </w:p>
        </w:tc>
        <w:tc>
          <w:tcPr>
            <w:tcW w:w="5023" w:type="dxa"/>
            <w:tcBorders>
              <w:top w:val="single" w:color="000000" w:sz="4" w:space="0"/>
              <w:left w:val="single" w:color="000000" w:sz="4" w:space="0"/>
              <w:bottom w:val="single" w:color="000000" w:sz="4" w:space="0"/>
              <w:right w:val="single" w:color="000000" w:sz="4" w:space="0"/>
            </w:tcBorders>
            <w:vAlign w:val="center"/>
          </w:tcPr>
          <w:p w14:paraId="290691FF">
            <w:pPr>
              <w:widowControl/>
              <w:spacing w:line="360" w:lineRule="auto"/>
              <w:jc w:val="left"/>
              <w:rPr>
                <w:rFonts w:ascii="仿宋_GB2312" w:hAnsi="Times New Roman" w:eastAsia="仿宋_GB2312"/>
                <w:color w:val="auto"/>
                <w:kern w:val="0"/>
                <w:sz w:val="24"/>
                <w:szCs w:val="24"/>
                <w:highlight w:val="none"/>
              </w:rPr>
            </w:pPr>
          </w:p>
        </w:tc>
      </w:tr>
    </w:tbl>
    <w:p w14:paraId="2314236E">
      <w:pPr>
        <w:widowControl/>
        <w:spacing w:line="360" w:lineRule="auto"/>
        <w:rPr>
          <w:rFonts w:ascii="仿宋_GB2312" w:hAnsi="Arial" w:eastAsia="仿宋_GB2312" w:cs="Arial"/>
          <w:color w:val="auto"/>
          <w:kern w:val="0"/>
          <w:sz w:val="28"/>
          <w:szCs w:val="28"/>
          <w:highlight w:val="none"/>
        </w:rPr>
      </w:pPr>
      <w:r>
        <w:rPr>
          <w:rFonts w:hint="eastAsia" w:ascii="仿宋_GB2312" w:hAnsi="Times New Roman" w:eastAsia="仿宋_GB2312"/>
          <w:color w:val="auto"/>
          <w:kern w:val="0"/>
          <w:sz w:val="28"/>
          <w:szCs w:val="28"/>
          <w:highlight w:val="none"/>
        </w:rPr>
        <w:t xml:space="preserve">    </w:t>
      </w:r>
      <w:r>
        <w:rPr>
          <w:rFonts w:hint="eastAsia" w:ascii="仿宋_GB2312" w:hAnsi="Arial" w:eastAsia="仿宋_GB2312" w:cs="Arial"/>
          <w:color w:val="auto"/>
          <w:kern w:val="0"/>
          <w:sz w:val="28"/>
          <w:szCs w:val="28"/>
          <w:highlight w:val="none"/>
        </w:rPr>
        <w:t>注：甲方认为乙方所派遣人员不能胜任其岗位职责的，提出更换意见后，乙方应在5个工作日内予以更换。上述表格未尽事宜参照乙方投标书中相应承诺执行。</w:t>
      </w:r>
    </w:p>
    <w:p w14:paraId="0758B311">
      <w:pPr>
        <w:tabs>
          <w:tab w:val="left" w:pos="0"/>
          <w:tab w:val="left" w:pos="851"/>
          <w:tab w:val="left" w:pos="938"/>
        </w:tabs>
        <w:spacing w:line="360" w:lineRule="auto"/>
        <w:ind w:firstLine="562" w:firstLineChars="200"/>
        <w:rPr>
          <w:rFonts w:ascii="宋体" w:hAnsi="宋体" w:cs="Arial"/>
          <w:color w:val="auto"/>
          <w:kern w:val="0"/>
          <w:sz w:val="24"/>
          <w:szCs w:val="24"/>
          <w:highlight w:val="none"/>
          <w:shd w:val="clear" w:color="auto" w:fill="FFFF00"/>
        </w:rPr>
      </w:pPr>
      <w:r>
        <w:rPr>
          <w:rFonts w:hint="eastAsia" w:ascii="仿宋_GB2312" w:hAnsi="Arial" w:eastAsia="仿宋_GB2312" w:cs="Arial"/>
          <w:b/>
          <w:bCs/>
          <w:color w:val="auto"/>
          <w:kern w:val="0"/>
          <w:sz w:val="28"/>
          <w:szCs w:val="28"/>
          <w:highlight w:val="none"/>
        </w:rPr>
        <w:t xml:space="preserve">第十二条  </w:t>
      </w:r>
      <w:r>
        <w:rPr>
          <w:rFonts w:hint="eastAsia" w:ascii="仿宋_GB2312" w:hAnsi="Arial" w:eastAsia="仿宋_GB2312" w:cs="Arial"/>
          <w:color w:val="auto"/>
          <w:kern w:val="0"/>
          <w:sz w:val="28"/>
          <w:szCs w:val="28"/>
          <w:highlight w:val="none"/>
        </w:rPr>
        <w:t>服务团队</w:t>
      </w:r>
      <w:r>
        <w:rPr>
          <w:rFonts w:hint="eastAsia" w:ascii="仿宋_GB2312" w:hAnsi="Arial" w:eastAsia="仿宋_GB2312" w:cs="Arial"/>
          <w:color w:val="auto"/>
          <w:kern w:val="0"/>
          <w:sz w:val="28"/>
          <w:szCs w:val="28"/>
          <w:highlight w:val="none"/>
          <w:lang w:val="zh-CN"/>
        </w:rPr>
        <w:t>所有人员必须遵守国家的法律、法规及甲方的各项规章制度，具有良好素养和上岗资质，政历清白，无不良记录及嗜好，爱岗敬业、工作勤快，礼貌待人、和蔼处事，相貌端正、身材适中、身体健康。男员工不准留胡须、蓄长发；女员工不准浓妆艳抹或佩戴过分的饰物，头发染色不能过艳。所有人员在工作时，统一着</w:t>
      </w:r>
      <w:r>
        <w:rPr>
          <w:rFonts w:hint="eastAsia" w:ascii="仿宋_GB2312" w:hAnsi="Arial" w:eastAsia="仿宋_GB2312" w:cs="Arial"/>
          <w:color w:val="auto"/>
          <w:kern w:val="0"/>
          <w:sz w:val="28"/>
          <w:szCs w:val="28"/>
          <w:highlight w:val="none"/>
        </w:rPr>
        <w:t>乙方</w:t>
      </w:r>
      <w:r>
        <w:rPr>
          <w:rFonts w:hint="eastAsia" w:ascii="仿宋_GB2312" w:hAnsi="Arial" w:eastAsia="仿宋_GB2312" w:cs="Arial"/>
          <w:color w:val="auto"/>
          <w:kern w:val="0"/>
          <w:sz w:val="28"/>
          <w:szCs w:val="28"/>
          <w:highlight w:val="none"/>
          <w:lang w:val="zh-CN"/>
        </w:rPr>
        <w:t>提供的工作服、工作帽，仪容仪表要符合厨房着装规范，</w:t>
      </w:r>
      <w:r>
        <w:rPr>
          <w:rFonts w:hint="eastAsia" w:ascii="仿宋_GB2312" w:hAnsi="Arial" w:eastAsia="仿宋_GB2312" w:cs="Arial"/>
          <w:color w:val="auto"/>
          <w:kern w:val="0"/>
          <w:sz w:val="28"/>
          <w:szCs w:val="28"/>
          <w:highlight w:val="none"/>
        </w:rPr>
        <w:t>厨房工作人员应佩戴厨房专用口罩，</w:t>
      </w:r>
      <w:r>
        <w:rPr>
          <w:rFonts w:hint="eastAsia" w:ascii="仿宋_GB2312" w:hAnsi="Arial" w:eastAsia="仿宋_GB2312" w:cs="Arial"/>
          <w:color w:val="auto"/>
          <w:kern w:val="0"/>
          <w:sz w:val="28"/>
          <w:szCs w:val="28"/>
          <w:highlight w:val="none"/>
          <w:lang w:val="zh-CN"/>
        </w:rPr>
        <w:t>不能着大衣和背心或敞胸露怀工作，不准带朋友、亲戚或与工作无关人员进入工作场所，不准在工作场所抽烟或吃零食、闲谈等；未经许可不得进入办公场所。若经发现，每次扣除乙方服务费用</w:t>
      </w:r>
      <w:r>
        <w:rPr>
          <w:rFonts w:hint="eastAsia" w:ascii="仿宋_GB2312" w:hAnsi="Arial" w:eastAsia="仿宋_GB2312" w:cs="Arial"/>
          <w:color w:val="auto"/>
          <w:kern w:val="0"/>
          <w:sz w:val="28"/>
          <w:szCs w:val="28"/>
          <w:highlight w:val="none"/>
        </w:rPr>
        <w:t>500</w:t>
      </w:r>
      <w:r>
        <w:rPr>
          <w:rFonts w:hint="eastAsia" w:ascii="仿宋_GB2312" w:hAnsi="Arial" w:eastAsia="仿宋_GB2312" w:cs="Arial"/>
          <w:color w:val="auto"/>
          <w:kern w:val="0"/>
          <w:sz w:val="28"/>
          <w:szCs w:val="28"/>
          <w:highlight w:val="none"/>
          <w:lang w:val="zh-CN"/>
        </w:rPr>
        <w:t>元。同一人员一年内发现上述情况累计超过3次的，</w:t>
      </w:r>
      <w:r>
        <w:rPr>
          <w:rFonts w:hint="eastAsia" w:ascii="仿宋_GB2312" w:hAnsi="Arial" w:eastAsia="仿宋_GB2312" w:cs="Arial"/>
          <w:color w:val="auto"/>
          <w:kern w:val="0"/>
          <w:sz w:val="28"/>
          <w:szCs w:val="28"/>
          <w:highlight w:val="none"/>
        </w:rPr>
        <w:t>甲方</w:t>
      </w:r>
      <w:r>
        <w:rPr>
          <w:rFonts w:hint="eastAsia" w:ascii="仿宋_GB2312" w:hAnsi="Arial" w:eastAsia="仿宋_GB2312" w:cs="Arial"/>
          <w:color w:val="auto"/>
          <w:kern w:val="0"/>
          <w:sz w:val="28"/>
          <w:szCs w:val="28"/>
          <w:highlight w:val="none"/>
          <w:lang w:val="zh-CN"/>
        </w:rPr>
        <w:t>有权要求</w:t>
      </w:r>
      <w:r>
        <w:rPr>
          <w:rFonts w:hint="eastAsia" w:ascii="仿宋_GB2312" w:hAnsi="Arial" w:eastAsia="仿宋_GB2312" w:cs="Arial"/>
          <w:color w:val="auto"/>
          <w:kern w:val="0"/>
          <w:sz w:val="28"/>
          <w:szCs w:val="28"/>
          <w:highlight w:val="none"/>
        </w:rPr>
        <w:t>乙方</w:t>
      </w:r>
      <w:r>
        <w:rPr>
          <w:rFonts w:hint="eastAsia" w:ascii="仿宋_GB2312" w:hAnsi="Arial" w:eastAsia="仿宋_GB2312" w:cs="Arial"/>
          <w:color w:val="auto"/>
          <w:kern w:val="0"/>
          <w:sz w:val="28"/>
          <w:szCs w:val="28"/>
          <w:highlight w:val="none"/>
          <w:lang w:val="zh-CN"/>
        </w:rPr>
        <w:t>更换该名人员。</w:t>
      </w:r>
    </w:p>
    <w:p w14:paraId="233C0C2F">
      <w:pPr>
        <w:widowControl/>
        <w:spacing w:line="360" w:lineRule="auto"/>
        <w:ind w:firstLine="560"/>
        <w:rPr>
          <w:rFonts w:ascii="仿宋_GB2312" w:hAnsi="Times New Roman" w:eastAsia="仿宋_GB2312"/>
          <w:color w:val="auto"/>
          <w:kern w:val="0"/>
          <w:sz w:val="28"/>
          <w:szCs w:val="28"/>
          <w:highlight w:val="none"/>
        </w:rPr>
      </w:pPr>
      <w:r>
        <w:rPr>
          <w:rFonts w:hint="eastAsia" w:ascii="仿宋_GB2312" w:hAnsi="Times New Roman" w:eastAsia="仿宋_GB2312"/>
          <w:b/>
          <w:bCs/>
          <w:color w:val="auto"/>
          <w:kern w:val="0"/>
          <w:sz w:val="28"/>
          <w:szCs w:val="28"/>
          <w:highlight w:val="none"/>
        </w:rPr>
        <w:t xml:space="preserve">第十三条  </w:t>
      </w:r>
      <w:r>
        <w:rPr>
          <w:rFonts w:hint="eastAsia" w:ascii="仿宋_GB2312" w:hAnsi="Times New Roman" w:eastAsia="仿宋_GB2312"/>
          <w:color w:val="auto"/>
          <w:kern w:val="0"/>
          <w:sz w:val="28"/>
          <w:szCs w:val="28"/>
          <w:highlight w:val="none"/>
        </w:rPr>
        <w:t>保持服务团队稳定性，遇有人员离职时应及时补充。乙方应提供符合投标文件要求的项目经理、厨师长、面点师、锅台师傅、仓管财务，如需更换项目经理、厨师长、面点师、锅台师傅、仓管财务等人员需书面告知甲方并征得甲方同意；若甲方提出服务团队人员调换要求，应征得乙方同意（但该人员多次违反本合同约定或不符合该岗位配置要求的除外），乙方应配合甲方进行相应工作。</w:t>
      </w:r>
    </w:p>
    <w:p w14:paraId="5C5A3BCD">
      <w:pPr>
        <w:widowControl/>
        <w:spacing w:line="360" w:lineRule="auto"/>
        <w:ind w:firstLine="560"/>
        <w:jc w:val="left"/>
        <w:rPr>
          <w:rFonts w:ascii="仿宋_GB2312" w:hAnsi="Times New Roman" w:eastAsia="仿宋_GB2312"/>
          <w:color w:val="auto"/>
          <w:kern w:val="0"/>
          <w:sz w:val="28"/>
          <w:szCs w:val="28"/>
          <w:highlight w:val="none"/>
        </w:rPr>
      </w:pPr>
      <w:r>
        <w:rPr>
          <w:rFonts w:hint="eastAsia" w:ascii="仿宋_GB2312" w:hAnsi="Times New Roman" w:eastAsia="仿宋_GB2312"/>
          <w:b/>
          <w:bCs/>
          <w:color w:val="auto"/>
          <w:kern w:val="0"/>
          <w:sz w:val="28"/>
          <w:szCs w:val="28"/>
          <w:highlight w:val="none"/>
        </w:rPr>
        <w:t xml:space="preserve">第十四条  </w:t>
      </w:r>
      <w:r>
        <w:rPr>
          <w:rFonts w:hint="eastAsia" w:ascii="仿宋_GB2312" w:hAnsi="Times New Roman" w:eastAsia="仿宋_GB2312"/>
          <w:color w:val="auto"/>
          <w:kern w:val="0"/>
          <w:sz w:val="28"/>
          <w:szCs w:val="28"/>
          <w:highlight w:val="none"/>
        </w:rPr>
        <w:t>乙方负责本项目所需服务团队的招聘、管理、考核以及所招聘服务团队的劳动保护和社会保险费用缴纳。对所招聘服务团队要严格审查，保证没有吸毒、赌博等不良行为，保证服务团队无刑事犯罪记录。乙方须及时与所招聘服务团队签订劳动合同，并对服务团队所发生的不法行为承担相应责任。</w:t>
      </w:r>
    </w:p>
    <w:p w14:paraId="0B10F425">
      <w:pPr>
        <w:widowControl/>
        <w:spacing w:line="360" w:lineRule="auto"/>
        <w:ind w:firstLine="560"/>
        <w:jc w:val="left"/>
        <w:rPr>
          <w:rFonts w:ascii="仿宋_GB2312" w:hAnsi="Times New Roman" w:eastAsia="仿宋_GB2312"/>
          <w:color w:val="auto"/>
          <w:kern w:val="0"/>
          <w:sz w:val="28"/>
          <w:szCs w:val="28"/>
          <w:highlight w:val="none"/>
        </w:rPr>
      </w:pPr>
      <w:r>
        <w:rPr>
          <w:rFonts w:hint="eastAsia" w:ascii="仿宋_GB2312" w:hAnsi="Times New Roman" w:eastAsia="仿宋_GB2312"/>
          <w:color w:val="auto"/>
          <w:kern w:val="0"/>
          <w:sz w:val="28"/>
          <w:szCs w:val="28"/>
          <w:highlight w:val="none"/>
        </w:rPr>
        <w:t>严格履行投标文件中的服务团队薪资承诺，按月向甲方提供服务团队员工社保缴交证明。如甲方发现乙方无正当理由却未能按照投标文件的承诺发放服务团队员工工资、福利，甲方有权按照相应的工资标准扣减乙方服务费或按照本合同的约定扣减履约保证金。</w:t>
      </w:r>
    </w:p>
    <w:p w14:paraId="60122A96">
      <w:pPr>
        <w:widowControl/>
        <w:spacing w:line="360" w:lineRule="auto"/>
        <w:ind w:firstLine="560"/>
        <w:jc w:val="left"/>
        <w:rPr>
          <w:rFonts w:ascii="仿宋_GB2312" w:hAnsi="Times New Roman" w:eastAsia="仿宋_GB2312"/>
          <w:color w:val="auto"/>
          <w:kern w:val="0"/>
          <w:sz w:val="28"/>
          <w:szCs w:val="28"/>
          <w:highlight w:val="none"/>
        </w:rPr>
      </w:pPr>
      <w:r>
        <w:rPr>
          <w:rFonts w:hint="eastAsia" w:ascii="仿宋_GB2312" w:hAnsi="Times New Roman" w:eastAsia="仿宋_GB2312"/>
          <w:b/>
          <w:bCs/>
          <w:color w:val="auto"/>
          <w:kern w:val="0"/>
          <w:sz w:val="28"/>
          <w:szCs w:val="28"/>
          <w:highlight w:val="none"/>
        </w:rPr>
        <w:t>第十五条</w:t>
      </w:r>
      <w:r>
        <w:rPr>
          <w:rFonts w:hint="eastAsia" w:ascii="仿宋_GB2312" w:hAnsi="Times New Roman" w:eastAsia="仿宋_GB2312"/>
          <w:color w:val="auto"/>
          <w:kern w:val="0"/>
          <w:sz w:val="28"/>
          <w:szCs w:val="28"/>
          <w:highlight w:val="none"/>
        </w:rPr>
        <w:t xml:space="preserve">  乙方所雇佣的服务团队与甲方不存在劳动关系，乙方应充分保障服务团队人身安全，在为甲方服务期间发生的个人意外伤害、工伤事故或其他事故均由乙方负责处理并承担责任及费用，并且乙方应承担培训费和劳保用品费用。</w:t>
      </w:r>
    </w:p>
    <w:p w14:paraId="6A65C4AA">
      <w:pPr>
        <w:widowControl/>
        <w:spacing w:line="360" w:lineRule="auto"/>
        <w:ind w:firstLine="562" w:firstLineChars="200"/>
        <w:rPr>
          <w:rFonts w:ascii="宋体" w:hAnsi="宋体"/>
          <w:color w:val="auto"/>
          <w:kern w:val="0"/>
          <w:sz w:val="28"/>
          <w:szCs w:val="28"/>
          <w:highlight w:val="none"/>
        </w:rPr>
      </w:pPr>
      <w:r>
        <w:rPr>
          <w:rFonts w:hint="eastAsia" w:ascii="仿宋_GB2312" w:hAnsi="Times New Roman" w:eastAsia="仿宋_GB2312"/>
          <w:b/>
          <w:bCs/>
          <w:color w:val="auto"/>
          <w:kern w:val="0"/>
          <w:sz w:val="28"/>
          <w:szCs w:val="28"/>
          <w:highlight w:val="none"/>
        </w:rPr>
        <w:t xml:space="preserve">第十六条  </w:t>
      </w:r>
      <w:r>
        <w:rPr>
          <w:rFonts w:hint="eastAsia" w:ascii="仿宋_GB2312" w:hAnsi="Times New Roman" w:eastAsia="仿宋_GB2312"/>
          <w:color w:val="auto"/>
          <w:kern w:val="0"/>
          <w:sz w:val="28"/>
          <w:szCs w:val="28"/>
          <w:highlight w:val="none"/>
        </w:rPr>
        <w:t>确保餐饮结构合理，提供的各类主、副食品应符合甲方需求，根据时令变换、营养需求科学搭配菜品，最大限度满足不同地区人群的口味需求。</w:t>
      </w:r>
    </w:p>
    <w:p w14:paraId="17743FBE">
      <w:pPr>
        <w:widowControl/>
        <w:spacing w:line="360" w:lineRule="auto"/>
        <w:ind w:firstLine="562" w:firstLineChars="200"/>
        <w:jc w:val="left"/>
        <w:rPr>
          <w:rFonts w:ascii="仿宋_GB2312" w:hAnsi="Times New Roman" w:eastAsia="仿宋_GB2312"/>
          <w:color w:val="auto"/>
          <w:kern w:val="0"/>
          <w:sz w:val="28"/>
          <w:szCs w:val="28"/>
          <w:highlight w:val="none"/>
        </w:rPr>
      </w:pPr>
      <w:r>
        <w:rPr>
          <w:rFonts w:hint="eastAsia" w:ascii="仿宋_GB2312" w:hAnsi="Times New Roman" w:eastAsia="仿宋_GB2312"/>
          <w:b/>
          <w:bCs/>
          <w:color w:val="auto"/>
          <w:kern w:val="0"/>
          <w:sz w:val="28"/>
          <w:szCs w:val="28"/>
          <w:highlight w:val="none"/>
        </w:rPr>
        <w:t xml:space="preserve">第十七条  </w:t>
      </w:r>
      <w:r>
        <w:rPr>
          <w:rFonts w:hint="eastAsia" w:ascii="仿宋_GB2312" w:hAnsi="Times New Roman" w:eastAsia="仿宋_GB2312"/>
          <w:color w:val="auto"/>
          <w:kern w:val="0"/>
          <w:sz w:val="28"/>
          <w:szCs w:val="28"/>
          <w:highlight w:val="none"/>
        </w:rPr>
        <w:t>严格执行生产工作安全及食品卫生相关规定，保证生产工作安全、食品卫生、个人卫生、环境卫生。依据法律、法规、餐饮业行业标准等做好职工食堂生产工作安全、食品安全管理与预防工作，环境达到安全生产工作标准、卫生标准，防止食物变质、中毒等，且各项生产安全、卫生工作均应依照投标文件中相关要求做好管理服务各项制度记录。</w:t>
      </w:r>
    </w:p>
    <w:p w14:paraId="176E1686">
      <w:pPr>
        <w:widowControl/>
        <w:spacing w:line="360" w:lineRule="auto"/>
        <w:ind w:firstLine="560"/>
        <w:rPr>
          <w:rFonts w:ascii="仿宋_GB2312" w:hAnsi="Times New Roman" w:eastAsia="仿宋_GB2312"/>
          <w:color w:val="auto"/>
          <w:kern w:val="0"/>
          <w:sz w:val="28"/>
          <w:szCs w:val="28"/>
          <w:highlight w:val="none"/>
        </w:rPr>
      </w:pPr>
      <w:r>
        <w:rPr>
          <w:rFonts w:hint="eastAsia" w:ascii="仿宋_GB2312" w:hAnsi="Times New Roman" w:eastAsia="仿宋_GB2312"/>
          <w:b/>
          <w:bCs/>
          <w:color w:val="auto"/>
          <w:kern w:val="0"/>
          <w:sz w:val="28"/>
          <w:szCs w:val="28"/>
          <w:highlight w:val="none"/>
        </w:rPr>
        <w:t xml:space="preserve">第十八条  </w:t>
      </w:r>
      <w:r>
        <w:rPr>
          <w:rFonts w:hint="eastAsia" w:ascii="仿宋_GB2312" w:hAnsi="Times New Roman" w:eastAsia="仿宋_GB2312"/>
          <w:color w:val="auto"/>
          <w:kern w:val="0"/>
          <w:sz w:val="28"/>
          <w:szCs w:val="28"/>
          <w:highlight w:val="none"/>
        </w:rPr>
        <w:t>消费结算方式由甲方确定，乙方应配合甲方完成消费结算工作；对甲方临时用餐需求，乙方负责费用的计算并报送甲方确认。</w:t>
      </w:r>
    </w:p>
    <w:p w14:paraId="62C2CF4C">
      <w:pPr>
        <w:widowControl/>
        <w:spacing w:line="360" w:lineRule="auto"/>
        <w:ind w:firstLine="560"/>
        <w:rPr>
          <w:rFonts w:ascii="仿宋_GB2312" w:hAnsi="Times New Roman" w:eastAsia="仿宋_GB2312"/>
          <w:color w:val="auto"/>
          <w:kern w:val="0"/>
          <w:sz w:val="28"/>
          <w:szCs w:val="28"/>
          <w:highlight w:val="none"/>
        </w:rPr>
      </w:pPr>
      <w:r>
        <w:rPr>
          <w:rFonts w:hint="eastAsia" w:ascii="仿宋_GB2312" w:hAnsi="Times New Roman" w:eastAsia="仿宋_GB2312"/>
          <w:b/>
          <w:bCs/>
          <w:color w:val="auto"/>
          <w:kern w:val="0"/>
          <w:sz w:val="28"/>
          <w:szCs w:val="28"/>
          <w:highlight w:val="none"/>
        </w:rPr>
        <w:t xml:space="preserve">第十九条  </w:t>
      </w:r>
      <w:r>
        <w:rPr>
          <w:rFonts w:hint="eastAsia" w:ascii="仿宋_GB2312" w:hAnsi="Times New Roman" w:eastAsia="仿宋_GB2312"/>
          <w:color w:val="auto"/>
          <w:kern w:val="0"/>
          <w:sz w:val="28"/>
          <w:szCs w:val="28"/>
          <w:highlight w:val="none"/>
        </w:rPr>
        <w:t>杜绝食材浪费，最大限度节约水、电、煤气等能源。</w:t>
      </w:r>
    </w:p>
    <w:p w14:paraId="6DCB9E7E">
      <w:pPr>
        <w:widowControl/>
        <w:spacing w:line="360" w:lineRule="auto"/>
        <w:ind w:firstLine="560"/>
        <w:rPr>
          <w:rFonts w:ascii="仿宋_GB2312" w:hAnsi="Times New Roman" w:eastAsia="仿宋_GB2312"/>
          <w:color w:val="auto"/>
          <w:kern w:val="0"/>
          <w:sz w:val="28"/>
          <w:szCs w:val="28"/>
          <w:highlight w:val="none"/>
        </w:rPr>
      </w:pPr>
      <w:r>
        <w:rPr>
          <w:rFonts w:hint="eastAsia" w:ascii="仿宋_GB2312" w:hAnsi="Times New Roman" w:eastAsia="仿宋_GB2312"/>
          <w:b/>
          <w:bCs/>
          <w:color w:val="auto"/>
          <w:kern w:val="0"/>
          <w:sz w:val="28"/>
          <w:szCs w:val="28"/>
          <w:highlight w:val="none"/>
        </w:rPr>
        <w:t xml:space="preserve">第二十条  </w:t>
      </w:r>
      <w:r>
        <w:rPr>
          <w:rFonts w:hint="eastAsia" w:ascii="仿宋_GB2312" w:hAnsi="Times New Roman" w:eastAsia="仿宋_GB2312"/>
          <w:color w:val="auto"/>
          <w:kern w:val="0"/>
          <w:sz w:val="28"/>
          <w:szCs w:val="28"/>
          <w:highlight w:val="none"/>
        </w:rPr>
        <w:t>如职工食堂设施、设备因使用不当等人为因素而导致损坏应按价赔偿；餐具等职工食堂用品必须妥善保管；厨具和餐具更新须征得甲方同意。</w:t>
      </w:r>
    </w:p>
    <w:p w14:paraId="0ADA74A5">
      <w:pPr>
        <w:widowControl/>
        <w:spacing w:line="360" w:lineRule="auto"/>
        <w:ind w:firstLine="560"/>
        <w:rPr>
          <w:rFonts w:ascii="仿宋_GB2312" w:hAnsi="Times New Roman" w:eastAsia="仿宋_GB2312"/>
          <w:color w:val="auto"/>
          <w:kern w:val="0"/>
          <w:sz w:val="28"/>
          <w:szCs w:val="28"/>
          <w:highlight w:val="none"/>
        </w:rPr>
      </w:pPr>
      <w:r>
        <w:rPr>
          <w:rFonts w:hint="eastAsia" w:ascii="仿宋_GB2312" w:hAnsi="Times New Roman" w:eastAsia="仿宋_GB2312"/>
          <w:b/>
          <w:bCs/>
          <w:color w:val="auto"/>
          <w:kern w:val="0"/>
          <w:sz w:val="28"/>
          <w:szCs w:val="28"/>
          <w:highlight w:val="none"/>
        </w:rPr>
        <w:t xml:space="preserve">第二十一条  </w:t>
      </w:r>
      <w:r>
        <w:rPr>
          <w:rFonts w:hint="eastAsia" w:ascii="仿宋_GB2312" w:hAnsi="Times New Roman" w:eastAsia="仿宋_GB2312"/>
          <w:color w:val="auto"/>
          <w:kern w:val="0"/>
          <w:sz w:val="28"/>
          <w:szCs w:val="28"/>
          <w:highlight w:val="none"/>
        </w:rPr>
        <w:t>当职工食堂发生停水、停电、设备故障、食材车辆无法及时到达等可能影响甲方职工正常就餐的特殊情况时，由乙方组织提供临时供餐，但需事先与甲方商定供餐标准。</w:t>
      </w:r>
    </w:p>
    <w:p w14:paraId="41A062FC">
      <w:pPr>
        <w:widowControl/>
        <w:spacing w:line="360" w:lineRule="auto"/>
        <w:ind w:firstLine="560"/>
        <w:rPr>
          <w:rFonts w:ascii="仿宋_GB2312" w:hAnsi="Times New Roman" w:eastAsia="仿宋_GB2312"/>
          <w:color w:val="auto"/>
          <w:kern w:val="0"/>
          <w:sz w:val="28"/>
          <w:szCs w:val="28"/>
          <w:highlight w:val="none"/>
        </w:rPr>
      </w:pPr>
      <w:r>
        <w:rPr>
          <w:rFonts w:hint="eastAsia" w:ascii="仿宋_GB2312" w:hAnsi="Times New Roman" w:eastAsia="仿宋_GB2312"/>
          <w:b/>
          <w:bCs/>
          <w:color w:val="auto"/>
          <w:kern w:val="0"/>
          <w:sz w:val="28"/>
          <w:szCs w:val="28"/>
          <w:highlight w:val="none"/>
        </w:rPr>
        <w:t xml:space="preserve">第二十二条  </w:t>
      </w:r>
      <w:r>
        <w:rPr>
          <w:rFonts w:hint="eastAsia" w:ascii="仿宋_GB2312" w:hAnsi="Times New Roman" w:eastAsia="仿宋_GB2312"/>
          <w:color w:val="auto"/>
          <w:kern w:val="0"/>
          <w:sz w:val="28"/>
          <w:szCs w:val="28"/>
          <w:highlight w:val="none"/>
        </w:rPr>
        <w:t>接受甲方的监督、指导与考核工作，根据甲方反馈问题及时改进服务。</w:t>
      </w:r>
    </w:p>
    <w:p w14:paraId="317500D8">
      <w:pPr>
        <w:widowControl/>
        <w:spacing w:line="360" w:lineRule="auto"/>
        <w:ind w:firstLine="560"/>
        <w:rPr>
          <w:rFonts w:ascii="仿宋_GB2312" w:hAnsi="Times New Roman" w:eastAsia="仿宋_GB2312"/>
          <w:color w:val="auto"/>
          <w:kern w:val="0"/>
          <w:sz w:val="28"/>
          <w:szCs w:val="28"/>
          <w:highlight w:val="none"/>
        </w:rPr>
      </w:pPr>
      <w:r>
        <w:rPr>
          <w:rFonts w:hint="eastAsia" w:ascii="仿宋_GB2312" w:hAnsi="Times New Roman" w:eastAsia="仿宋_GB2312"/>
          <w:b/>
          <w:bCs/>
          <w:color w:val="auto"/>
          <w:kern w:val="0"/>
          <w:sz w:val="28"/>
          <w:szCs w:val="28"/>
          <w:highlight w:val="none"/>
        </w:rPr>
        <w:t xml:space="preserve">第二十三条  </w:t>
      </w:r>
      <w:r>
        <w:rPr>
          <w:rFonts w:hint="eastAsia" w:ascii="仿宋_GB2312" w:hAnsi="Times New Roman" w:eastAsia="仿宋_GB2312"/>
          <w:color w:val="auto"/>
          <w:kern w:val="0"/>
          <w:sz w:val="28"/>
          <w:szCs w:val="28"/>
          <w:highlight w:val="none"/>
        </w:rPr>
        <w:t>进行食材货物验收，根据甲方要求不定期对采购的蔬菜进行二次农残检验，发现食材货物存在安全隐患时应及时告知甲方。</w:t>
      </w:r>
    </w:p>
    <w:p w14:paraId="210E55AB">
      <w:pPr>
        <w:widowControl/>
        <w:spacing w:line="360" w:lineRule="auto"/>
        <w:rPr>
          <w:rFonts w:ascii="仿宋_GB2312" w:hAnsi="Times New Roman" w:eastAsia="仿宋_GB2312"/>
          <w:color w:val="auto"/>
          <w:kern w:val="0"/>
          <w:sz w:val="28"/>
          <w:szCs w:val="28"/>
          <w:highlight w:val="none"/>
        </w:rPr>
      </w:pPr>
      <w:r>
        <w:rPr>
          <w:rFonts w:hint="eastAsia" w:ascii="仿宋_GB2312" w:hAnsi="Times New Roman" w:eastAsia="仿宋_GB2312"/>
          <w:b/>
          <w:bCs/>
          <w:color w:val="auto"/>
          <w:kern w:val="0"/>
          <w:sz w:val="28"/>
          <w:szCs w:val="28"/>
          <w:highlight w:val="none"/>
        </w:rPr>
        <w:t xml:space="preserve">    第二十四条  </w:t>
      </w:r>
      <w:r>
        <w:rPr>
          <w:rFonts w:hint="eastAsia" w:ascii="仿宋_GB2312" w:hAnsi="Times New Roman" w:eastAsia="仿宋_GB2312"/>
          <w:color w:val="auto"/>
          <w:kern w:val="0"/>
          <w:sz w:val="28"/>
          <w:szCs w:val="28"/>
          <w:highlight w:val="none"/>
        </w:rPr>
        <w:t>保证各项经营数据真实、完整记录、每月汇总编制报表报送甲方。</w:t>
      </w:r>
    </w:p>
    <w:p w14:paraId="476F2CF9">
      <w:pPr>
        <w:widowControl/>
        <w:spacing w:line="360" w:lineRule="auto"/>
        <w:ind w:firstLine="560"/>
        <w:rPr>
          <w:rFonts w:ascii="仿宋_GB2312" w:hAnsi="Times New Roman" w:eastAsia="仿宋_GB2312"/>
          <w:color w:val="auto"/>
          <w:kern w:val="0"/>
          <w:sz w:val="28"/>
          <w:szCs w:val="28"/>
          <w:highlight w:val="none"/>
        </w:rPr>
      </w:pPr>
      <w:r>
        <w:rPr>
          <w:rFonts w:hint="eastAsia" w:ascii="仿宋_GB2312" w:hAnsi="Times New Roman" w:eastAsia="仿宋_GB2312"/>
          <w:b/>
          <w:bCs/>
          <w:color w:val="auto"/>
          <w:kern w:val="0"/>
          <w:sz w:val="28"/>
          <w:szCs w:val="28"/>
          <w:highlight w:val="none"/>
        </w:rPr>
        <w:t xml:space="preserve">第二十五条  </w:t>
      </w:r>
      <w:r>
        <w:rPr>
          <w:rFonts w:hint="eastAsia" w:ascii="仿宋_GB2312" w:hAnsi="Times New Roman" w:eastAsia="仿宋_GB2312"/>
          <w:color w:val="auto"/>
          <w:kern w:val="0"/>
          <w:sz w:val="28"/>
          <w:szCs w:val="28"/>
          <w:highlight w:val="none"/>
        </w:rPr>
        <w:t>未经甲方事先书面同意，乙方不得使用甲方的单位名称、标识等。</w:t>
      </w:r>
    </w:p>
    <w:p w14:paraId="6EDB44F7">
      <w:pPr>
        <w:widowControl/>
        <w:spacing w:line="360" w:lineRule="auto"/>
        <w:ind w:firstLine="560"/>
        <w:rPr>
          <w:rFonts w:ascii="仿宋_GB2312" w:hAnsi="Times New Roman" w:eastAsia="仿宋_GB2312"/>
          <w:color w:val="auto"/>
          <w:kern w:val="0"/>
          <w:sz w:val="28"/>
          <w:szCs w:val="28"/>
          <w:highlight w:val="none"/>
        </w:rPr>
      </w:pPr>
      <w:r>
        <w:rPr>
          <w:rFonts w:hint="eastAsia" w:ascii="仿宋_GB2312" w:hAnsi="Times New Roman" w:eastAsia="仿宋_GB2312"/>
          <w:b/>
          <w:bCs/>
          <w:color w:val="auto"/>
          <w:kern w:val="0"/>
          <w:sz w:val="28"/>
          <w:szCs w:val="28"/>
          <w:highlight w:val="none"/>
        </w:rPr>
        <w:t xml:space="preserve">第二十六条  </w:t>
      </w:r>
      <w:r>
        <w:rPr>
          <w:rFonts w:hint="eastAsia" w:ascii="仿宋_GB2312" w:hAnsi="Times New Roman" w:eastAsia="仿宋_GB2312"/>
          <w:color w:val="auto"/>
          <w:kern w:val="0"/>
          <w:sz w:val="28"/>
          <w:szCs w:val="28"/>
          <w:highlight w:val="none"/>
        </w:rPr>
        <w:t>配合甲方接受内外部检查或第三方评估、巡查工作。</w:t>
      </w:r>
    </w:p>
    <w:p w14:paraId="16A31F46">
      <w:pPr>
        <w:widowControl/>
        <w:spacing w:line="360" w:lineRule="auto"/>
        <w:jc w:val="center"/>
        <w:rPr>
          <w:rFonts w:ascii="仿宋_GB2312" w:hAnsi="Times New Roman" w:eastAsia="仿宋_GB2312"/>
          <w:b/>
          <w:bCs/>
          <w:color w:val="auto"/>
          <w:kern w:val="0"/>
          <w:sz w:val="28"/>
          <w:szCs w:val="28"/>
          <w:highlight w:val="none"/>
        </w:rPr>
      </w:pPr>
      <w:r>
        <w:rPr>
          <w:rFonts w:hint="eastAsia" w:ascii="仿宋_GB2312" w:hAnsi="Times New Roman" w:eastAsia="仿宋_GB2312"/>
          <w:b/>
          <w:bCs/>
          <w:color w:val="auto"/>
          <w:kern w:val="0"/>
          <w:sz w:val="28"/>
          <w:szCs w:val="28"/>
          <w:highlight w:val="none"/>
        </w:rPr>
        <w:t>第四章 资产交接</w:t>
      </w:r>
    </w:p>
    <w:p w14:paraId="3EFE10D7">
      <w:pPr>
        <w:widowControl/>
        <w:spacing w:line="360" w:lineRule="auto"/>
        <w:ind w:firstLine="562" w:firstLineChars="200"/>
        <w:jc w:val="left"/>
        <w:rPr>
          <w:rFonts w:ascii="仿宋_GB2312" w:hAnsi="Times New Roman" w:eastAsia="仿宋_GB2312"/>
          <w:color w:val="auto"/>
          <w:kern w:val="0"/>
          <w:sz w:val="28"/>
          <w:szCs w:val="28"/>
          <w:highlight w:val="none"/>
        </w:rPr>
      </w:pPr>
      <w:r>
        <w:rPr>
          <w:rFonts w:hint="eastAsia" w:ascii="仿宋_GB2312" w:hAnsi="Times New Roman" w:eastAsia="仿宋_GB2312"/>
          <w:b/>
          <w:bCs/>
          <w:color w:val="auto"/>
          <w:kern w:val="0"/>
          <w:sz w:val="28"/>
          <w:szCs w:val="28"/>
          <w:highlight w:val="none"/>
        </w:rPr>
        <w:t xml:space="preserve">第二十七条  </w:t>
      </w:r>
      <w:r>
        <w:rPr>
          <w:rFonts w:hint="eastAsia" w:ascii="仿宋_GB2312" w:hAnsi="Times New Roman" w:eastAsia="仿宋_GB2312"/>
          <w:color w:val="auto"/>
          <w:kern w:val="0"/>
          <w:sz w:val="28"/>
          <w:szCs w:val="28"/>
          <w:highlight w:val="none"/>
        </w:rPr>
        <w:t>合同签订同时，双方应当签订《资产交接清单》，《资产交接清单》载明移交给乙方使用、管理的主要资产和相关文件资料。乙方应保证甲方提供给乙方使用资产的安全。本合同终止后</w:t>
      </w:r>
      <w:r>
        <w:rPr>
          <w:rFonts w:hint="eastAsia" w:ascii="仿宋_GB2312" w:hAnsi="Times New Roman" w:eastAsia="仿宋_GB2312"/>
          <w:color w:val="auto"/>
          <w:kern w:val="0"/>
          <w:sz w:val="28"/>
          <w:szCs w:val="28"/>
          <w:highlight w:val="none"/>
          <w:u w:val="single"/>
        </w:rPr>
        <w:t>十个工作日</w:t>
      </w:r>
      <w:r>
        <w:rPr>
          <w:rFonts w:hint="eastAsia" w:ascii="仿宋_GB2312" w:hAnsi="Times New Roman" w:eastAsia="仿宋_GB2312"/>
          <w:color w:val="auto"/>
          <w:kern w:val="0"/>
          <w:sz w:val="28"/>
          <w:szCs w:val="28"/>
          <w:highlight w:val="none"/>
        </w:rPr>
        <w:t>内，乙方必须向甲方返还、移交甲方提供的全部设备、设施、料耗品的备件（以资产交接清单为准）；损害的部分应当恢复和完善；如是乙方人为毁损部分应当按照实际设备新旧程度进行赔偿，自然损耗除外；乙方应当在本合同终止后</w:t>
      </w:r>
      <w:r>
        <w:rPr>
          <w:rFonts w:hint="eastAsia" w:ascii="仿宋_GB2312" w:hAnsi="Times New Roman" w:eastAsia="仿宋_GB2312"/>
          <w:color w:val="auto"/>
          <w:kern w:val="0"/>
          <w:sz w:val="28"/>
          <w:szCs w:val="28"/>
          <w:highlight w:val="none"/>
          <w:u w:val="single"/>
        </w:rPr>
        <w:t>十个工作日</w:t>
      </w:r>
      <w:r>
        <w:rPr>
          <w:rFonts w:hint="eastAsia" w:ascii="仿宋_GB2312" w:hAnsi="Times New Roman" w:eastAsia="仿宋_GB2312"/>
          <w:color w:val="auto"/>
          <w:kern w:val="0"/>
          <w:sz w:val="28"/>
          <w:szCs w:val="28"/>
          <w:highlight w:val="none"/>
        </w:rPr>
        <w:t>内清理撤场，撤场后乙方遗留的物品视为乙方放弃所有权，甲方有权自行处置该部分物品，处置遗留物产生的费用由乙方承担，甲方有权从履约保证金中扣除，不足以扣除的，有权向乙方继续追偿；乙方的添附或新增物乙方不得私自拆除，如经甲方同意的部分或甲方同意留用的，按约定的价款补偿乙方同时权属归属甲方。</w:t>
      </w:r>
    </w:p>
    <w:p w14:paraId="0214B8E2">
      <w:pPr>
        <w:widowControl/>
        <w:spacing w:line="360" w:lineRule="auto"/>
        <w:rPr>
          <w:rFonts w:ascii="仿宋_GB2312" w:hAnsi="Times New Roman" w:eastAsia="仿宋_GB2312"/>
          <w:color w:val="auto"/>
          <w:kern w:val="0"/>
          <w:sz w:val="28"/>
          <w:szCs w:val="28"/>
          <w:highlight w:val="none"/>
        </w:rPr>
      </w:pPr>
    </w:p>
    <w:p w14:paraId="4A576207">
      <w:pPr>
        <w:widowControl/>
        <w:spacing w:line="360" w:lineRule="auto"/>
        <w:jc w:val="center"/>
        <w:rPr>
          <w:rFonts w:ascii="仿宋_GB2312" w:hAnsi="Times New Roman" w:eastAsia="仿宋_GB2312"/>
          <w:b/>
          <w:bCs/>
          <w:color w:val="auto"/>
          <w:kern w:val="0"/>
          <w:sz w:val="28"/>
          <w:szCs w:val="28"/>
          <w:highlight w:val="none"/>
        </w:rPr>
      </w:pPr>
      <w:r>
        <w:rPr>
          <w:rFonts w:hint="eastAsia" w:ascii="仿宋_GB2312" w:hAnsi="Times New Roman" w:eastAsia="仿宋_GB2312"/>
          <w:b/>
          <w:bCs/>
          <w:color w:val="auto"/>
          <w:kern w:val="0"/>
          <w:sz w:val="28"/>
          <w:szCs w:val="28"/>
          <w:highlight w:val="none"/>
        </w:rPr>
        <w:t>第五章 合同执行监督</w:t>
      </w:r>
    </w:p>
    <w:p w14:paraId="299870CB">
      <w:pPr>
        <w:widowControl/>
        <w:spacing w:line="360" w:lineRule="auto"/>
        <w:ind w:firstLine="560"/>
        <w:rPr>
          <w:rFonts w:ascii="仿宋_GB2312" w:hAnsi="Times New Roman" w:eastAsia="仿宋_GB2312"/>
          <w:color w:val="auto"/>
          <w:kern w:val="0"/>
          <w:sz w:val="28"/>
          <w:szCs w:val="28"/>
          <w:highlight w:val="none"/>
        </w:rPr>
      </w:pPr>
      <w:r>
        <w:rPr>
          <w:rFonts w:hint="eastAsia" w:ascii="仿宋_GB2312" w:hAnsi="Times New Roman" w:eastAsia="仿宋_GB2312"/>
          <w:b/>
          <w:bCs/>
          <w:color w:val="auto"/>
          <w:kern w:val="0"/>
          <w:sz w:val="28"/>
          <w:szCs w:val="28"/>
          <w:highlight w:val="none"/>
        </w:rPr>
        <w:t xml:space="preserve">第二十八条  </w:t>
      </w:r>
      <w:r>
        <w:rPr>
          <w:rFonts w:hint="eastAsia" w:ascii="仿宋_GB2312" w:hAnsi="Times New Roman" w:eastAsia="仿宋_GB2312"/>
          <w:color w:val="auto"/>
          <w:kern w:val="0"/>
          <w:sz w:val="28"/>
          <w:szCs w:val="28"/>
          <w:highlight w:val="none"/>
        </w:rPr>
        <w:t>合同执行监督内容包含：食品质量、卫生情况、服务态度、管理水平、甲方职工投诉反馈等。</w:t>
      </w:r>
    </w:p>
    <w:p w14:paraId="2528DEBD">
      <w:pPr>
        <w:widowControl/>
        <w:spacing w:line="360" w:lineRule="auto"/>
        <w:ind w:firstLine="560"/>
        <w:rPr>
          <w:rFonts w:ascii="仿宋_GB2312" w:hAnsi="Times New Roman" w:eastAsia="仿宋_GB2312"/>
          <w:color w:val="auto"/>
          <w:kern w:val="0"/>
          <w:sz w:val="28"/>
          <w:szCs w:val="28"/>
          <w:highlight w:val="none"/>
        </w:rPr>
      </w:pPr>
      <w:r>
        <w:rPr>
          <w:rFonts w:hint="eastAsia" w:ascii="仿宋_GB2312" w:hAnsi="Times New Roman" w:eastAsia="仿宋_GB2312"/>
          <w:b/>
          <w:bCs/>
          <w:color w:val="auto"/>
          <w:kern w:val="0"/>
          <w:sz w:val="28"/>
          <w:szCs w:val="28"/>
          <w:highlight w:val="none"/>
        </w:rPr>
        <w:t xml:space="preserve">第二十九条  </w:t>
      </w:r>
      <w:r>
        <w:rPr>
          <w:rFonts w:hint="eastAsia" w:ascii="仿宋_GB2312" w:hAnsi="Times New Roman" w:eastAsia="仿宋_GB2312"/>
          <w:color w:val="auto"/>
          <w:kern w:val="0"/>
          <w:sz w:val="28"/>
          <w:szCs w:val="28"/>
          <w:highlight w:val="none"/>
        </w:rPr>
        <w:t>在合同执行期间，甲方将会同有关部门或引入第三方评估机构，对乙方的履约情况进行满意度调查。若发现乙方存在未履约或未完全履约情形，将对乙方采取警告、限期整改、根据情节轻重扣除履约保证金；发生两次及以上未履约或未完全履约情形，甲方有权终止合同并不予返还履约保证金。</w:t>
      </w:r>
    </w:p>
    <w:p w14:paraId="0BA90735">
      <w:pPr>
        <w:widowControl/>
        <w:spacing w:line="360" w:lineRule="auto"/>
        <w:ind w:firstLine="560"/>
        <w:rPr>
          <w:rFonts w:ascii="仿宋_GB2312" w:hAnsi="Times New Roman" w:eastAsia="仿宋_GB2312"/>
          <w:color w:val="auto"/>
          <w:kern w:val="0"/>
          <w:sz w:val="28"/>
          <w:szCs w:val="28"/>
          <w:highlight w:val="none"/>
        </w:rPr>
      </w:pPr>
      <w:r>
        <w:rPr>
          <w:rFonts w:hint="eastAsia" w:ascii="仿宋_GB2312" w:hAnsi="Times New Roman" w:eastAsia="仿宋_GB2312"/>
          <w:b/>
          <w:bCs/>
          <w:color w:val="auto"/>
          <w:kern w:val="0"/>
          <w:sz w:val="28"/>
          <w:szCs w:val="28"/>
          <w:highlight w:val="none"/>
        </w:rPr>
        <w:t xml:space="preserve">第三十条  </w:t>
      </w:r>
      <w:r>
        <w:rPr>
          <w:rFonts w:hint="eastAsia" w:ascii="仿宋_GB2312" w:hAnsi="Times New Roman" w:eastAsia="仿宋_GB2312"/>
          <w:color w:val="auto"/>
          <w:kern w:val="0"/>
          <w:sz w:val="28"/>
          <w:szCs w:val="28"/>
          <w:highlight w:val="none"/>
        </w:rPr>
        <w:t>若乙方存在故意克扣服务团队工资、未按承诺提供服务团队福利时，甲方将</w:t>
      </w:r>
      <w:r>
        <w:rPr>
          <w:rFonts w:hint="eastAsia" w:ascii="仿宋_GB2312" w:hAnsi="Times New Roman" w:eastAsia="仿宋_GB2312"/>
          <w:color w:val="auto"/>
          <w:kern w:val="0"/>
          <w:sz w:val="28"/>
          <w:szCs w:val="28"/>
          <w:highlight w:val="none"/>
          <w:lang w:val="zh-CN"/>
        </w:rPr>
        <w:t>每次扣除</w:t>
      </w:r>
      <w:r>
        <w:rPr>
          <w:rFonts w:hint="eastAsia" w:ascii="仿宋_GB2312" w:hAnsi="Times New Roman" w:eastAsia="仿宋_GB2312"/>
          <w:color w:val="auto"/>
          <w:kern w:val="0"/>
          <w:sz w:val="28"/>
          <w:szCs w:val="28"/>
          <w:highlight w:val="none"/>
        </w:rPr>
        <w:t>乙方</w:t>
      </w:r>
      <w:r>
        <w:rPr>
          <w:rFonts w:hint="eastAsia" w:ascii="仿宋_GB2312" w:hAnsi="Times New Roman" w:eastAsia="仿宋_GB2312"/>
          <w:color w:val="auto"/>
          <w:kern w:val="0"/>
          <w:sz w:val="28"/>
          <w:szCs w:val="28"/>
          <w:highlight w:val="none"/>
          <w:lang w:val="zh-CN"/>
        </w:rPr>
        <w:t>履约保证金的5%，逐次累加，连续出现</w:t>
      </w:r>
      <w:r>
        <w:rPr>
          <w:rFonts w:hint="eastAsia" w:ascii="仿宋_GB2312" w:hAnsi="Times New Roman" w:eastAsia="仿宋_GB2312"/>
          <w:color w:val="auto"/>
          <w:kern w:val="0"/>
          <w:sz w:val="28"/>
          <w:szCs w:val="28"/>
          <w:highlight w:val="none"/>
        </w:rPr>
        <w:t>2</w:t>
      </w:r>
      <w:r>
        <w:rPr>
          <w:rFonts w:hint="eastAsia" w:ascii="仿宋_GB2312" w:hAnsi="Times New Roman" w:eastAsia="仿宋_GB2312"/>
          <w:color w:val="auto"/>
          <w:kern w:val="0"/>
          <w:sz w:val="28"/>
          <w:szCs w:val="28"/>
          <w:highlight w:val="none"/>
          <w:lang w:val="zh-CN"/>
        </w:rPr>
        <w:t>次或累计出现</w:t>
      </w:r>
      <w:r>
        <w:rPr>
          <w:rFonts w:hint="eastAsia" w:ascii="仿宋_GB2312" w:hAnsi="Times New Roman" w:eastAsia="仿宋_GB2312"/>
          <w:color w:val="auto"/>
          <w:kern w:val="0"/>
          <w:sz w:val="28"/>
          <w:szCs w:val="28"/>
          <w:highlight w:val="none"/>
        </w:rPr>
        <w:t>3</w:t>
      </w:r>
      <w:r>
        <w:rPr>
          <w:rFonts w:hint="eastAsia" w:ascii="仿宋_GB2312" w:hAnsi="Times New Roman" w:eastAsia="仿宋_GB2312"/>
          <w:color w:val="auto"/>
          <w:kern w:val="0"/>
          <w:sz w:val="28"/>
          <w:szCs w:val="28"/>
          <w:highlight w:val="none"/>
          <w:lang w:val="zh-CN"/>
        </w:rPr>
        <w:t>次以上上述情况的，</w:t>
      </w:r>
      <w:r>
        <w:rPr>
          <w:rFonts w:hint="eastAsia" w:ascii="仿宋_GB2312" w:hAnsi="Times New Roman" w:eastAsia="仿宋_GB2312"/>
          <w:color w:val="auto"/>
          <w:kern w:val="0"/>
          <w:sz w:val="28"/>
          <w:szCs w:val="28"/>
          <w:highlight w:val="none"/>
        </w:rPr>
        <w:t>甲方</w:t>
      </w:r>
      <w:r>
        <w:rPr>
          <w:rFonts w:hint="eastAsia" w:ascii="仿宋_GB2312" w:hAnsi="Times New Roman" w:eastAsia="仿宋_GB2312"/>
          <w:color w:val="auto"/>
          <w:kern w:val="0"/>
          <w:sz w:val="28"/>
          <w:szCs w:val="28"/>
          <w:highlight w:val="none"/>
          <w:lang w:val="zh-CN"/>
        </w:rPr>
        <w:t>有权</w:t>
      </w:r>
      <w:r>
        <w:rPr>
          <w:rFonts w:hint="eastAsia" w:ascii="仿宋_GB2312" w:hAnsi="Times New Roman" w:eastAsia="仿宋_GB2312"/>
          <w:color w:val="auto"/>
          <w:kern w:val="0"/>
          <w:sz w:val="28"/>
          <w:szCs w:val="28"/>
          <w:highlight w:val="none"/>
        </w:rPr>
        <w:t>终止合同并不予返还</w:t>
      </w:r>
      <w:r>
        <w:rPr>
          <w:rFonts w:hint="eastAsia" w:ascii="仿宋_GB2312" w:hAnsi="Times New Roman" w:eastAsia="仿宋_GB2312"/>
          <w:color w:val="auto"/>
          <w:kern w:val="0"/>
          <w:sz w:val="28"/>
          <w:szCs w:val="28"/>
          <w:highlight w:val="none"/>
          <w:lang w:val="zh-CN"/>
        </w:rPr>
        <w:t>履约保证金</w:t>
      </w:r>
      <w:r>
        <w:rPr>
          <w:rFonts w:hint="eastAsia" w:ascii="仿宋_GB2312" w:hAnsi="Times New Roman" w:eastAsia="仿宋_GB2312"/>
          <w:color w:val="auto"/>
          <w:kern w:val="0"/>
          <w:sz w:val="28"/>
          <w:szCs w:val="28"/>
          <w:highlight w:val="none"/>
        </w:rPr>
        <w:t>。</w:t>
      </w:r>
    </w:p>
    <w:p w14:paraId="71E787F5">
      <w:pPr>
        <w:widowControl/>
        <w:spacing w:line="360" w:lineRule="auto"/>
        <w:ind w:firstLine="562"/>
        <w:rPr>
          <w:rFonts w:ascii="仿宋_GB2312" w:hAnsi="Arial" w:eastAsia="仿宋_GB2312" w:cs="Arial"/>
          <w:color w:val="auto"/>
          <w:kern w:val="0"/>
          <w:sz w:val="28"/>
          <w:szCs w:val="28"/>
          <w:highlight w:val="none"/>
        </w:rPr>
      </w:pPr>
      <w:r>
        <w:rPr>
          <w:rFonts w:hint="eastAsia" w:ascii="仿宋_GB2312" w:hAnsi="Arial" w:eastAsia="仿宋_GB2312" w:cs="Arial"/>
          <w:b/>
          <w:bCs/>
          <w:color w:val="auto"/>
          <w:kern w:val="0"/>
          <w:sz w:val="28"/>
          <w:szCs w:val="28"/>
          <w:highlight w:val="none"/>
        </w:rPr>
        <w:t>第三十一条</w:t>
      </w:r>
      <w:r>
        <w:rPr>
          <w:rFonts w:hint="eastAsia" w:ascii="仿宋_GB2312" w:hAnsi="Arial" w:eastAsia="仿宋_GB2312" w:cs="Arial"/>
          <w:color w:val="auto"/>
          <w:kern w:val="0"/>
          <w:sz w:val="28"/>
          <w:szCs w:val="28"/>
          <w:highlight w:val="none"/>
        </w:rPr>
        <w:t xml:space="preserve">  在合同执行期间，若由于乙方原因出现食品卫生、个人卫生和环境卫生问题，第一次将予以警告，并限期整改；发生两次及以上将视问题具体情形，甲方有权根据情节轻重每次从履约保证金中酌情扣除300-5000元/次，具体金额由甲方在幅度范围内自行确定；若乙方逾期未整改相关问题，甲方有权依据本合同第四十三条追究乙方法律责任。若因乙方原因发生重大食品安全问题，导致甲方职工群体性食品中毒等其他严重后果，应由乙方承担相应责任与费用，甲方</w:t>
      </w:r>
      <w:r>
        <w:rPr>
          <w:rFonts w:hint="eastAsia" w:ascii="仿宋_GB2312" w:hAnsi="Arial" w:eastAsia="仿宋_GB2312" w:cs="Arial"/>
          <w:color w:val="auto"/>
          <w:kern w:val="0"/>
          <w:sz w:val="28"/>
          <w:szCs w:val="28"/>
          <w:highlight w:val="none"/>
          <w:lang w:val="zh-CN"/>
        </w:rPr>
        <w:t>有权终止合同并没收履约保证金，</w:t>
      </w:r>
      <w:r>
        <w:rPr>
          <w:rFonts w:hint="eastAsia" w:ascii="仿宋_GB2312" w:hAnsi="Arial" w:eastAsia="仿宋_GB2312" w:cs="Arial"/>
          <w:color w:val="auto"/>
          <w:kern w:val="0"/>
          <w:sz w:val="28"/>
          <w:szCs w:val="28"/>
          <w:highlight w:val="none"/>
        </w:rPr>
        <w:t>并依法通过法律途径追究乙方其他相关责任。</w:t>
      </w:r>
    </w:p>
    <w:p w14:paraId="15A26E2A">
      <w:pPr>
        <w:widowControl/>
        <w:spacing w:line="360" w:lineRule="auto"/>
        <w:ind w:firstLine="560"/>
        <w:rPr>
          <w:rFonts w:ascii="仿宋_GB2312" w:hAnsi="Times New Roman" w:eastAsia="仿宋_GB2312"/>
          <w:color w:val="auto"/>
          <w:kern w:val="0"/>
          <w:sz w:val="28"/>
          <w:szCs w:val="28"/>
          <w:highlight w:val="none"/>
        </w:rPr>
      </w:pPr>
      <w:r>
        <w:rPr>
          <w:rFonts w:hint="eastAsia" w:ascii="仿宋_GB2312" w:hAnsi="Times New Roman" w:eastAsia="仿宋_GB2312"/>
          <w:b/>
          <w:bCs/>
          <w:color w:val="auto"/>
          <w:kern w:val="0"/>
          <w:sz w:val="28"/>
          <w:szCs w:val="28"/>
          <w:highlight w:val="none"/>
        </w:rPr>
        <w:t xml:space="preserve">第三十二条  </w:t>
      </w:r>
      <w:r>
        <w:rPr>
          <w:rFonts w:hint="eastAsia" w:ascii="仿宋_GB2312" w:hAnsi="Times New Roman" w:eastAsia="仿宋_GB2312"/>
          <w:color w:val="auto"/>
          <w:kern w:val="0"/>
          <w:sz w:val="28"/>
          <w:szCs w:val="28"/>
          <w:highlight w:val="none"/>
        </w:rPr>
        <w:t>月度验收考核方案</w:t>
      </w:r>
    </w:p>
    <w:p w14:paraId="020CCD59">
      <w:pPr>
        <w:widowControl/>
        <w:spacing w:line="360" w:lineRule="auto"/>
        <w:ind w:firstLine="560"/>
        <w:rPr>
          <w:rFonts w:ascii="仿宋_GB2312" w:hAnsi="Times New Roman" w:eastAsia="仿宋_GB2312"/>
          <w:color w:val="auto"/>
          <w:kern w:val="0"/>
          <w:sz w:val="28"/>
          <w:szCs w:val="28"/>
          <w:highlight w:val="none"/>
          <w:lang w:val="zh-CN"/>
        </w:rPr>
      </w:pPr>
      <w:r>
        <w:rPr>
          <w:rFonts w:hint="eastAsia" w:ascii="仿宋_GB2312" w:hAnsi="Times New Roman" w:eastAsia="仿宋_GB2312"/>
          <w:color w:val="auto"/>
          <w:kern w:val="0"/>
          <w:sz w:val="28"/>
          <w:szCs w:val="28"/>
          <w:highlight w:val="none"/>
        </w:rPr>
        <w:t>1.验收考核</w:t>
      </w:r>
      <w:r>
        <w:rPr>
          <w:rFonts w:hint="eastAsia" w:ascii="仿宋_GB2312" w:hAnsi="Times New Roman" w:eastAsia="仿宋_GB2312"/>
          <w:color w:val="auto"/>
          <w:kern w:val="0"/>
          <w:sz w:val="28"/>
          <w:szCs w:val="28"/>
          <w:highlight w:val="none"/>
          <w:lang w:val="zh-CN"/>
        </w:rPr>
        <w:t>方法：</w:t>
      </w:r>
    </w:p>
    <w:p w14:paraId="7A08449C">
      <w:pPr>
        <w:widowControl/>
        <w:spacing w:line="360" w:lineRule="auto"/>
        <w:ind w:firstLine="560"/>
        <w:rPr>
          <w:rFonts w:ascii="仿宋_GB2312" w:hAnsi="Times New Roman" w:eastAsia="仿宋_GB2312"/>
          <w:color w:val="auto"/>
          <w:kern w:val="0"/>
          <w:sz w:val="28"/>
          <w:szCs w:val="28"/>
          <w:highlight w:val="none"/>
          <w:lang w:val="zh-CN"/>
        </w:rPr>
      </w:pPr>
      <w:r>
        <w:rPr>
          <w:rFonts w:hint="eastAsia" w:ascii="仿宋_GB2312" w:hAnsi="Times New Roman" w:eastAsia="仿宋_GB2312"/>
          <w:color w:val="auto"/>
          <w:kern w:val="0"/>
          <w:sz w:val="28"/>
          <w:szCs w:val="28"/>
          <w:highlight w:val="none"/>
        </w:rPr>
        <w:t>1.1甲方不定期根据《日常经营管理考评表》（见附件1，总分30分）进行考评，由甲方抽调人员组成考评小组对乙方经营管理进行考评（不提前通知，每年不少于1次）。</w:t>
      </w:r>
    </w:p>
    <w:p w14:paraId="6FF7EC72">
      <w:pPr>
        <w:widowControl/>
        <w:spacing w:line="360" w:lineRule="auto"/>
        <w:ind w:firstLine="560"/>
        <w:rPr>
          <w:rFonts w:ascii="仿宋_GB2312" w:hAnsi="Times New Roman" w:eastAsia="仿宋_GB2312"/>
          <w:color w:val="auto"/>
          <w:kern w:val="0"/>
          <w:sz w:val="28"/>
          <w:szCs w:val="28"/>
          <w:highlight w:val="none"/>
          <w:lang w:val="zh-CN"/>
        </w:rPr>
      </w:pPr>
      <w:r>
        <w:rPr>
          <w:rFonts w:hint="eastAsia" w:ascii="仿宋_GB2312" w:hAnsi="Times New Roman" w:eastAsia="仿宋_GB2312"/>
          <w:color w:val="auto"/>
          <w:kern w:val="0"/>
          <w:sz w:val="28"/>
          <w:szCs w:val="28"/>
          <w:highlight w:val="none"/>
        </w:rPr>
        <w:t>1.2日常管理：甲方每月根据《日常管理扣罚项目表》（见附件2，总分100分）对乙方的违规行为进行记录并累计扣分。月度考核得分 = 100 - 当月累计扣分（最低计为0分）。</w:t>
      </w:r>
    </w:p>
    <w:p w14:paraId="07DB415E">
      <w:pPr>
        <w:widowControl/>
        <w:spacing w:line="360" w:lineRule="auto"/>
        <w:ind w:firstLine="560"/>
        <w:rPr>
          <w:rFonts w:ascii="仿宋_GB2312" w:hAnsi="Times New Roman" w:eastAsia="仿宋_GB2312"/>
          <w:color w:val="auto"/>
          <w:kern w:val="0"/>
          <w:sz w:val="28"/>
          <w:szCs w:val="28"/>
          <w:highlight w:val="none"/>
          <w:lang w:val="zh-CN"/>
        </w:rPr>
      </w:pPr>
      <w:r>
        <w:rPr>
          <w:rFonts w:hint="eastAsia" w:ascii="仿宋_GB2312" w:hAnsi="Times New Roman" w:eastAsia="仿宋_GB2312"/>
          <w:color w:val="auto"/>
          <w:kern w:val="0"/>
          <w:sz w:val="28"/>
          <w:szCs w:val="28"/>
          <w:highlight w:val="none"/>
        </w:rPr>
        <w:t>1.3</w:t>
      </w:r>
      <w:r>
        <w:rPr>
          <w:rFonts w:hint="eastAsia" w:ascii="仿宋_GB2312" w:hAnsi="Times New Roman" w:eastAsia="仿宋_GB2312"/>
          <w:color w:val="auto"/>
          <w:kern w:val="0"/>
          <w:sz w:val="28"/>
          <w:szCs w:val="28"/>
          <w:highlight w:val="none"/>
          <w:lang w:val="zh-CN"/>
        </w:rPr>
        <w:t>职工满意度：甲方不定期根据《就餐者满意度调查表》（见附件3）开展满意度调查，每年不少于1次。发放的调查表不少于100份。满意度＝有效《满意度调查表》实际得分（整体服务情况）÷有效《满意度调查表》数。</w:t>
      </w:r>
    </w:p>
    <w:p w14:paraId="5177BE57">
      <w:pPr>
        <w:widowControl/>
        <w:spacing w:line="360" w:lineRule="auto"/>
        <w:ind w:firstLine="560"/>
        <w:rPr>
          <w:rFonts w:ascii="仿宋_GB2312" w:hAnsi="Times New Roman" w:eastAsia="仿宋_GB2312"/>
          <w:color w:val="auto"/>
          <w:kern w:val="0"/>
          <w:sz w:val="28"/>
          <w:szCs w:val="28"/>
          <w:highlight w:val="none"/>
          <w:lang w:val="zh-CN"/>
        </w:rPr>
      </w:pPr>
      <w:r>
        <w:rPr>
          <w:rFonts w:hint="eastAsia" w:ascii="仿宋_GB2312" w:hAnsi="Times New Roman" w:eastAsia="仿宋_GB2312"/>
          <w:color w:val="auto"/>
          <w:kern w:val="0"/>
          <w:sz w:val="28"/>
          <w:szCs w:val="28"/>
          <w:highlight w:val="none"/>
        </w:rPr>
        <w:t>2.</w:t>
      </w:r>
      <w:r>
        <w:rPr>
          <w:rFonts w:hint="eastAsia" w:ascii="仿宋_GB2312" w:hAnsi="Times New Roman" w:eastAsia="仿宋_GB2312"/>
          <w:color w:val="auto"/>
          <w:kern w:val="0"/>
          <w:sz w:val="28"/>
          <w:szCs w:val="28"/>
          <w:highlight w:val="none"/>
          <w:lang w:val="zh-CN"/>
        </w:rPr>
        <w:t>验收</w:t>
      </w:r>
      <w:r>
        <w:rPr>
          <w:rFonts w:hint="eastAsia" w:ascii="仿宋_GB2312" w:hAnsi="Times New Roman" w:eastAsia="仿宋_GB2312"/>
          <w:color w:val="auto"/>
          <w:kern w:val="0"/>
          <w:sz w:val="28"/>
          <w:szCs w:val="28"/>
          <w:highlight w:val="none"/>
        </w:rPr>
        <w:t>考核</w:t>
      </w:r>
      <w:r>
        <w:rPr>
          <w:rFonts w:hint="eastAsia" w:ascii="仿宋_GB2312" w:hAnsi="Times New Roman" w:eastAsia="仿宋_GB2312"/>
          <w:color w:val="auto"/>
          <w:kern w:val="0"/>
          <w:sz w:val="28"/>
          <w:szCs w:val="28"/>
          <w:highlight w:val="none"/>
          <w:lang w:val="zh-CN"/>
        </w:rPr>
        <w:t>内容：《日常管理扣罚项目表》（每月）；《日常经营管理考评表》《就餐者满意度调查表》（不定期）</w:t>
      </w:r>
    </w:p>
    <w:p w14:paraId="13D9EB03">
      <w:pPr>
        <w:widowControl/>
        <w:spacing w:line="360" w:lineRule="auto"/>
        <w:ind w:firstLine="560"/>
        <w:rPr>
          <w:rFonts w:ascii="仿宋_GB2312" w:hAnsi="Times New Roman" w:eastAsia="仿宋_GB2312"/>
          <w:color w:val="auto"/>
          <w:kern w:val="0"/>
          <w:sz w:val="28"/>
          <w:szCs w:val="28"/>
          <w:highlight w:val="none"/>
          <w:lang w:val="zh-CN"/>
        </w:rPr>
      </w:pPr>
      <w:r>
        <w:rPr>
          <w:rFonts w:hint="eastAsia" w:ascii="仿宋_GB2312" w:hAnsi="Times New Roman" w:eastAsia="仿宋_GB2312"/>
          <w:color w:val="auto"/>
          <w:kern w:val="0"/>
          <w:sz w:val="28"/>
          <w:szCs w:val="28"/>
          <w:highlight w:val="none"/>
        </w:rPr>
        <w:t>3.</w:t>
      </w:r>
      <w:r>
        <w:rPr>
          <w:rFonts w:hint="eastAsia" w:ascii="仿宋_GB2312" w:hAnsi="Times New Roman" w:eastAsia="仿宋_GB2312"/>
          <w:color w:val="auto"/>
          <w:kern w:val="0"/>
          <w:sz w:val="28"/>
          <w:szCs w:val="28"/>
          <w:highlight w:val="none"/>
          <w:lang w:val="zh-CN"/>
        </w:rPr>
        <w:t>验收</w:t>
      </w:r>
      <w:r>
        <w:rPr>
          <w:rFonts w:hint="eastAsia" w:ascii="仿宋_GB2312" w:hAnsi="Times New Roman" w:eastAsia="仿宋_GB2312"/>
          <w:color w:val="auto"/>
          <w:kern w:val="0"/>
          <w:sz w:val="28"/>
          <w:szCs w:val="28"/>
          <w:highlight w:val="none"/>
        </w:rPr>
        <w:t>考核</w:t>
      </w:r>
      <w:r>
        <w:rPr>
          <w:rFonts w:hint="eastAsia" w:ascii="仿宋_GB2312" w:hAnsi="Times New Roman" w:eastAsia="仿宋_GB2312"/>
          <w:color w:val="auto"/>
          <w:kern w:val="0"/>
          <w:sz w:val="28"/>
          <w:szCs w:val="28"/>
          <w:highlight w:val="none"/>
          <w:lang w:val="zh-CN"/>
        </w:rPr>
        <w:t>标准：根据月度考核得分，考核分数＞85分，全额支付服务费用；70分＜考核分数≤85分，按月度基本服务费用的95%支付；考核分数≤70分，即考核不合格，按月度基本服务费用的85%支付。若一个服务期内累计三次月度考核不合格的，则甲方有权单方即行解除合同且不退还履约保证金。如发生违约事项的，还应按合同约定支付违约金。</w:t>
      </w:r>
    </w:p>
    <w:p w14:paraId="4DD13F30">
      <w:pPr>
        <w:widowControl/>
        <w:spacing w:line="360" w:lineRule="auto"/>
        <w:ind w:firstLine="560"/>
        <w:rPr>
          <w:rFonts w:ascii="仿宋_GB2312" w:hAnsi="Times New Roman" w:eastAsia="仿宋_GB2312"/>
          <w:color w:val="auto"/>
          <w:kern w:val="0"/>
          <w:sz w:val="28"/>
          <w:szCs w:val="28"/>
          <w:highlight w:val="none"/>
          <w:lang w:val="zh-CN"/>
        </w:rPr>
      </w:pPr>
      <w:r>
        <w:rPr>
          <w:rFonts w:hint="eastAsia" w:ascii="仿宋_GB2312" w:hAnsi="Times New Roman" w:eastAsia="仿宋_GB2312"/>
          <w:color w:val="auto"/>
          <w:kern w:val="0"/>
          <w:sz w:val="28"/>
          <w:szCs w:val="28"/>
          <w:highlight w:val="none"/>
        </w:rPr>
        <w:t>4.</w:t>
      </w:r>
      <w:r>
        <w:rPr>
          <w:rFonts w:hint="eastAsia" w:ascii="仿宋_GB2312" w:hAnsi="Times New Roman" w:eastAsia="仿宋_GB2312"/>
          <w:color w:val="auto"/>
          <w:kern w:val="0"/>
          <w:sz w:val="28"/>
          <w:szCs w:val="28"/>
          <w:highlight w:val="none"/>
          <w:lang w:val="zh-CN"/>
        </w:rPr>
        <w:t>其他事项：乙方在收到《</w:t>
      </w:r>
      <w:r>
        <w:rPr>
          <w:rFonts w:hint="eastAsia" w:ascii="仿宋_GB2312" w:hAnsi="Times New Roman" w:eastAsia="仿宋_GB2312"/>
          <w:color w:val="auto"/>
          <w:kern w:val="0"/>
          <w:sz w:val="28"/>
          <w:szCs w:val="28"/>
          <w:highlight w:val="none"/>
        </w:rPr>
        <w:t>日常管理扣罚项目表</w:t>
      </w:r>
      <w:r>
        <w:rPr>
          <w:rFonts w:hint="eastAsia" w:ascii="仿宋_GB2312" w:hAnsi="Times New Roman" w:eastAsia="仿宋_GB2312"/>
          <w:color w:val="auto"/>
          <w:kern w:val="0"/>
          <w:sz w:val="28"/>
          <w:szCs w:val="28"/>
          <w:highlight w:val="none"/>
          <w:lang w:val="zh-CN"/>
        </w:rPr>
        <w:t>》3个工作日内未提出异议的，视为完全同意验收小组考核评价结果；若乙方提出异议后未能与验收小组达成一致意见，最终以验收小组认定的考核评价结果为准。乙方应根据考核结果完成考核扣罚、人员更换、协调工作等事宜。</w:t>
      </w:r>
    </w:p>
    <w:p w14:paraId="6A78D488">
      <w:pPr>
        <w:widowControl/>
        <w:spacing w:line="360" w:lineRule="auto"/>
        <w:ind w:firstLine="560"/>
        <w:rPr>
          <w:rFonts w:ascii="仿宋_GB2312" w:hAnsi="Times New Roman" w:eastAsia="仿宋_GB2312"/>
          <w:b/>
          <w:bCs/>
          <w:color w:val="auto"/>
          <w:kern w:val="0"/>
          <w:sz w:val="28"/>
          <w:szCs w:val="28"/>
          <w:highlight w:val="none"/>
        </w:rPr>
      </w:pPr>
      <w:r>
        <w:rPr>
          <w:rFonts w:hint="eastAsia" w:ascii="仿宋_GB2312" w:hAnsi="Times New Roman" w:eastAsia="仿宋_GB2312"/>
          <w:b/>
          <w:bCs/>
          <w:color w:val="auto"/>
          <w:kern w:val="0"/>
          <w:sz w:val="28"/>
          <w:szCs w:val="28"/>
          <w:highlight w:val="none"/>
        </w:rPr>
        <w:t xml:space="preserve">第三十三条  </w:t>
      </w:r>
      <w:r>
        <w:rPr>
          <w:rFonts w:hint="eastAsia" w:ascii="仿宋_GB2312" w:hAnsi="Times New Roman" w:eastAsia="仿宋_GB2312"/>
          <w:color w:val="auto"/>
          <w:kern w:val="0"/>
          <w:sz w:val="28"/>
          <w:szCs w:val="28"/>
          <w:highlight w:val="none"/>
          <w:lang w:val="zh-CN"/>
        </w:rPr>
        <w:t>年度</w:t>
      </w:r>
      <w:r>
        <w:rPr>
          <w:rFonts w:hint="eastAsia" w:ascii="仿宋_GB2312" w:hAnsi="Times New Roman" w:eastAsia="仿宋_GB2312"/>
          <w:color w:val="auto"/>
          <w:kern w:val="0"/>
          <w:sz w:val="28"/>
          <w:szCs w:val="28"/>
          <w:highlight w:val="none"/>
        </w:rPr>
        <w:t>验收考核方案</w:t>
      </w:r>
    </w:p>
    <w:p w14:paraId="4D3EED34">
      <w:pPr>
        <w:widowControl/>
        <w:spacing w:line="360" w:lineRule="auto"/>
        <w:ind w:firstLine="560"/>
        <w:rPr>
          <w:rFonts w:ascii="仿宋_GB2312" w:hAnsi="Times New Roman" w:eastAsia="仿宋_GB2312"/>
          <w:color w:val="auto"/>
          <w:kern w:val="0"/>
          <w:sz w:val="28"/>
          <w:szCs w:val="28"/>
          <w:highlight w:val="none"/>
          <w:lang w:val="zh-CN"/>
        </w:rPr>
      </w:pPr>
      <w:r>
        <w:rPr>
          <w:rFonts w:hint="eastAsia" w:ascii="仿宋_GB2312" w:hAnsi="Times New Roman" w:eastAsia="仿宋_GB2312"/>
          <w:color w:val="auto"/>
          <w:kern w:val="0"/>
          <w:sz w:val="28"/>
          <w:szCs w:val="28"/>
          <w:highlight w:val="none"/>
        </w:rPr>
        <w:t>1.</w:t>
      </w:r>
      <w:r>
        <w:rPr>
          <w:rFonts w:hint="eastAsia" w:ascii="仿宋_GB2312" w:hAnsi="Times New Roman" w:eastAsia="仿宋_GB2312"/>
          <w:color w:val="auto"/>
          <w:kern w:val="0"/>
          <w:sz w:val="28"/>
          <w:szCs w:val="28"/>
          <w:highlight w:val="none"/>
          <w:lang w:val="zh-CN"/>
        </w:rPr>
        <w:t>计算方式：考核得分=日常经营管理考评得分-日常管理扣罚分+满意度得分*70%（每一部分多次评分的，按其平均值取分）。</w:t>
      </w:r>
    </w:p>
    <w:p w14:paraId="665DF23C">
      <w:pPr>
        <w:widowControl/>
        <w:numPr>
          <w:ilvl w:val="255"/>
          <w:numId w:val="0"/>
        </w:numPr>
        <w:spacing w:line="360" w:lineRule="auto"/>
        <w:ind w:firstLine="560"/>
        <w:rPr>
          <w:rFonts w:ascii="仿宋_GB2312" w:hAnsi="Times New Roman" w:eastAsia="仿宋_GB2312"/>
          <w:color w:val="auto"/>
          <w:kern w:val="0"/>
          <w:sz w:val="28"/>
          <w:szCs w:val="28"/>
          <w:highlight w:val="none"/>
          <w:lang w:val="zh-CN"/>
        </w:rPr>
      </w:pPr>
      <w:r>
        <w:rPr>
          <w:rFonts w:hint="eastAsia" w:ascii="仿宋_GB2312" w:hAnsi="Times New Roman" w:eastAsia="仿宋_GB2312"/>
          <w:color w:val="auto"/>
          <w:kern w:val="0"/>
          <w:sz w:val="28"/>
          <w:szCs w:val="28"/>
          <w:highlight w:val="none"/>
        </w:rPr>
        <w:t>2.</w:t>
      </w:r>
      <w:r>
        <w:rPr>
          <w:rFonts w:hint="eastAsia" w:ascii="仿宋_GB2312" w:hAnsi="Times New Roman" w:eastAsia="仿宋_GB2312"/>
          <w:color w:val="auto"/>
          <w:kern w:val="0"/>
          <w:sz w:val="28"/>
          <w:szCs w:val="28"/>
          <w:highlight w:val="none"/>
          <w:lang w:val="zh-CN"/>
        </w:rPr>
        <w:t>年度考核结果显示得分在80分（含）以上的，合同续签；得分在60分（含）-80分之间的，由乙方书面承诺新年度的整改办法，并经甲方审核同意后方可续签；得分在60分以下（不含60分），则甲方有权终止合同并相应扣除履约保证金。</w:t>
      </w:r>
    </w:p>
    <w:p w14:paraId="146D3B00">
      <w:pPr>
        <w:widowControl/>
        <w:spacing w:line="360" w:lineRule="auto"/>
        <w:rPr>
          <w:rFonts w:ascii="仿宋_GB2312" w:hAnsi="Times New Roman" w:eastAsia="仿宋_GB2312"/>
          <w:b/>
          <w:bCs/>
          <w:color w:val="auto"/>
          <w:kern w:val="0"/>
          <w:sz w:val="28"/>
          <w:szCs w:val="28"/>
          <w:highlight w:val="none"/>
        </w:rPr>
      </w:pPr>
    </w:p>
    <w:p w14:paraId="4A07DE10">
      <w:pPr>
        <w:widowControl/>
        <w:spacing w:line="360" w:lineRule="auto"/>
        <w:jc w:val="center"/>
        <w:rPr>
          <w:rFonts w:ascii="仿宋_GB2312" w:hAnsi="Times New Roman" w:eastAsia="仿宋_GB2312"/>
          <w:b/>
          <w:bCs/>
          <w:color w:val="auto"/>
          <w:kern w:val="0"/>
          <w:sz w:val="28"/>
          <w:szCs w:val="28"/>
          <w:highlight w:val="none"/>
        </w:rPr>
      </w:pPr>
      <w:r>
        <w:rPr>
          <w:rFonts w:hint="eastAsia" w:ascii="仿宋_GB2312" w:hAnsi="Times New Roman" w:eastAsia="仿宋_GB2312"/>
          <w:b/>
          <w:bCs/>
          <w:color w:val="auto"/>
          <w:kern w:val="0"/>
          <w:sz w:val="28"/>
          <w:szCs w:val="28"/>
          <w:highlight w:val="none"/>
        </w:rPr>
        <w:t>第六章 服务期限及服务费用</w:t>
      </w:r>
    </w:p>
    <w:p w14:paraId="221E5CC0">
      <w:pPr>
        <w:widowControl/>
        <w:spacing w:line="360" w:lineRule="auto"/>
        <w:ind w:firstLine="560"/>
        <w:rPr>
          <w:rFonts w:ascii="仿宋_GB2312" w:hAnsi="Times New Roman" w:eastAsia="仿宋_GB2312"/>
          <w:color w:val="auto"/>
          <w:kern w:val="0"/>
          <w:sz w:val="28"/>
          <w:szCs w:val="28"/>
          <w:highlight w:val="none"/>
        </w:rPr>
      </w:pPr>
      <w:r>
        <w:rPr>
          <w:rFonts w:hint="eastAsia" w:ascii="仿宋_GB2312" w:hAnsi="Times New Roman" w:eastAsia="仿宋_GB2312"/>
          <w:b/>
          <w:bCs/>
          <w:color w:val="auto"/>
          <w:kern w:val="0"/>
          <w:sz w:val="28"/>
          <w:szCs w:val="28"/>
          <w:highlight w:val="none"/>
        </w:rPr>
        <w:t xml:space="preserve">第三十四条  </w:t>
      </w:r>
      <w:r>
        <w:rPr>
          <w:rFonts w:hint="eastAsia" w:ascii="仿宋_GB2312" w:hAnsi="Times New Roman" w:eastAsia="仿宋_GB2312"/>
          <w:color w:val="auto"/>
          <w:kern w:val="0"/>
          <w:sz w:val="28"/>
          <w:szCs w:val="28"/>
          <w:highlight w:val="none"/>
        </w:rPr>
        <w:t>本合同服务期限自</w:t>
      </w:r>
      <w:r>
        <w:rPr>
          <w:rFonts w:hint="eastAsia" w:ascii="仿宋_GB2312" w:hAnsi="Times New Roman" w:eastAsia="仿宋_GB2312"/>
          <w:color w:val="auto"/>
          <w:kern w:val="0"/>
          <w:sz w:val="28"/>
          <w:szCs w:val="28"/>
          <w:highlight w:val="none"/>
          <w:u w:val="single"/>
        </w:rPr>
        <w:t xml:space="preserve">    </w:t>
      </w:r>
      <w:r>
        <w:rPr>
          <w:rFonts w:hint="eastAsia" w:ascii="仿宋_GB2312" w:hAnsi="Times New Roman" w:eastAsia="仿宋_GB2312"/>
          <w:color w:val="auto"/>
          <w:kern w:val="0"/>
          <w:sz w:val="28"/>
          <w:szCs w:val="28"/>
          <w:highlight w:val="none"/>
        </w:rPr>
        <w:t>年</w:t>
      </w:r>
      <w:r>
        <w:rPr>
          <w:rFonts w:hint="eastAsia" w:ascii="仿宋_GB2312" w:hAnsi="Times New Roman" w:eastAsia="仿宋_GB2312"/>
          <w:color w:val="auto"/>
          <w:kern w:val="0"/>
          <w:sz w:val="28"/>
          <w:szCs w:val="28"/>
          <w:highlight w:val="none"/>
          <w:u w:val="single"/>
        </w:rPr>
        <w:t xml:space="preserve">  </w:t>
      </w:r>
      <w:r>
        <w:rPr>
          <w:rFonts w:hint="eastAsia" w:ascii="仿宋_GB2312" w:hAnsi="Times New Roman" w:eastAsia="仿宋_GB2312"/>
          <w:color w:val="auto"/>
          <w:kern w:val="0"/>
          <w:sz w:val="28"/>
          <w:szCs w:val="28"/>
          <w:highlight w:val="none"/>
        </w:rPr>
        <w:t>月</w:t>
      </w:r>
      <w:r>
        <w:rPr>
          <w:rFonts w:hint="eastAsia" w:ascii="仿宋_GB2312" w:hAnsi="Times New Roman" w:eastAsia="仿宋_GB2312"/>
          <w:color w:val="auto"/>
          <w:kern w:val="0"/>
          <w:sz w:val="28"/>
          <w:szCs w:val="28"/>
          <w:highlight w:val="none"/>
          <w:u w:val="single"/>
        </w:rPr>
        <w:t xml:space="preserve">  </w:t>
      </w:r>
      <w:r>
        <w:rPr>
          <w:rFonts w:hint="eastAsia" w:ascii="仿宋_GB2312" w:hAnsi="Times New Roman" w:eastAsia="仿宋_GB2312"/>
          <w:color w:val="auto"/>
          <w:kern w:val="0"/>
          <w:sz w:val="28"/>
          <w:szCs w:val="28"/>
          <w:highlight w:val="none"/>
        </w:rPr>
        <w:t>日起至</w:t>
      </w:r>
      <w:r>
        <w:rPr>
          <w:rFonts w:hint="eastAsia" w:ascii="仿宋_GB2312" w:hAnsi="Times New Roman" w:eastAsia="仿宋_GB2312"/>
          <w:color w:val="auto"/>
          <w:kern w:val="0"/>
          <w:sz w:val="28"/>
          <w:szCs w:val="28"/>
          <w:highlight w:val="none"/>
          <w:u w:val="single"/>
        </w:rPr>
        <w:t xml:space="preserve">    </w:t>
      </w:r>
      <w:r>
        <w:rPr>
          <w:rFonts w:hint="eastAsia" w:ascii="仿宋_GB2312" w:hAnsi="Times New Roman" w:eastAsia="仿宋_GB2312"/>
          <w:color w:val="auto"/>
          <w:kern w:val="0"/>
          <w:sz w:val="28"/>
          <w:szCs w:val="28"/>
          <w:highlight w:val="none"/>
        </w:rPr>
        <w:t>年</w:t>
      </w:r>
      <w:r>
        <w:rPr>
          <w:rFonts w:hint="eastAsia" w:ascii="仿宋_GB2312" w:hAnsi="Times New Roman" w:eastAsia="仿宋_GB2312"/>
          <w:color w:val="auto"/>
          <w:kern w:val="0"/>
          <w:sz w:val="28"/>
          <w:szCs w:val="28"/>
          <w:highlight w:val="none"/>
          <w:u w:val="single"/>
        </w:rPr>
        <w:t xml:space="preserve">  </w:t>
      </w:r>
      <w:r>
        <w:rPr>
          <w:rFonts w:hint="eastAsia" w:ascii="仿宋_GB2312" w:hAnsi="Times New Roman" w:eastAsia="仿宋_GB2312"/>
          <w:color w:val="auto"/>
          <w:kern w:val="0"/>
          <w:sz w:val="28"/>
          <w:szCs w:val="28"/>
          <w:highlight w:val="none"/>
        </w:rPr>
        <w:t>月</w:t>
      </w:r>
      <w:r>
        <w:rPr>
          <w:rFonts w:hint="eastAsia" w:ascii="仿宋_GB2312" w:hAnsi="Times New Roman" w:eastAsia="仿宋_GB2312"/>
          <w:color w:val="auto"/>
          <w:kern w:val="0"/>
          <w:sz w:val="28"/>
          <w:szCs w:val="28"/>
          <w:highlight w:val="none"/>
          <w:u w:val="single"/>
        </w:rPr>
        <w:t xml:space="preserve">  </w:t>
      </w:r>
      <w:r>
        <w:rPr>
          <w:rFonts w:hint="eastAsia" w:ascii="仿宋_GB2312" w:hAnsi="Times New Roman" w:eastAsia="仿宋_GB2312"/>
          <w:color w:val="auto"/>
          <w:kern w:val="0"/>
          <w:sz w:val="28"/>
          <w:szCs w:val="28"/>
          <w:highlight w:val="none"/>
        </w:rPr>
        <w:t>日止。除双方书面另行约定外，合同期满自动终止。因乙方违约、服务质量不达标或其他依照本合同约定足以影响合同目的实现的情形，甲方有权提前解除本合同，且不视为甲方违约。</w:t>
      </w:r>
    </w:p>
    <w:p w14:paraId="0DEA342E">
      <w:pPr>
        <w:spacing w:line="360" w:lineRule="auto"/>
        <w:ind w:firstLine="551" w:firstLineChars="196"/>
        <w:rPr>
          <w:color w:val="auto"/>
          <w:highlight w:val="none"/>
        </w:rPr>
      </w:pPr>
      <w:r>
        <w:rPr>
          <w:rFonts w:hint="eastAsia" w:ascii="仿宋_GB2312" w:hAnsi="Times New Roman" w:eastAsia="仿宋_GB2312"/>
          <w:b/>
          <w:bCs/>
          <w:color w:val="auto"/>
          <w:kern w:val="0"/>
          <w:sz w:val="28"/>
          <w:szCs w:val="28"/>
          <w:highlight w:val="none"/>
        </w:rPr>
        <w:t xml:space="preserve">第三十五条  </w:t>
      </w:r>
      <w:r>
        <w:rPr>
          <w:rFonts w:hint="eastAsia" w:ascii="仿宋_GB2312" w:hAnsi="Times New Roman" w:eastAsia="仿宋_GB2312"/>
          <w:color w:val="auto"/>
          <w:kern w:val="0"/>
          <w:sz w:val="28"/>
          <w:szCs w:val="28"/>
          <w:highlight w:val="none"/>
        </w:rPr>
        <w:t>服务费全年合计（含税）：</w:t>
      </w:r>
      <w:r>
        <w:rPr>
          <w:rFonts w:hint="eastAsia" w:ascii="仿宋_GB2312" w:hAnsi="Times New Roman" w:eastAsia="仿宋_GB2312"/>
          <w:color w:val="auto"/>
          <w:kern w:val="0"/>
          <w:sz w:val="28"/>
          <w:szCs w:val="28"/>
          <w:highlight w:val="none"/>
          <w:u w:val="single"/>
        </w:rPr>
        <w:t>人民币              整（</w:t>
      </w:r>
      <w:r>
        <w:rPr>
          <w:rFonts w:hint="eastAsia" w:asciiTheme="minorEastAsia" w:hAnsiTheme="minorEastAsia"/>
          <w:color w:val="auto"/>
          <w:sz w:val="28"/>
          <w:szCs w:val="28"/>
          <w:highlight w:val="none"/>
          <w:u w:val="single"/>
        </w:rPr>
        <w:t>￥</w:t>
      </w:r>
      <w:r>
        <w:rPr>
          <w:rFonts w:hint="eastAsia" w:ascii="仿宋_GB2312" w:hAnsi="Times New Roman" w:eastAsia="仿宋_GB2312"/>
          <w:color w:val="auto"/>
          <w:kern w:val="0"/>
          <w:sz w:val="28"/>
          <w:szCs w:val="28"/>
          <w:highlight w:val="none"/>
          <w:u w:val="single"/>
        </w:rPr>
        <w:t xml:space="preserve">             ）</w:t>
      </w:r>
      <w:r>
        <w:rPr>
          <w:rFonts w:hint="eastAsia" w:ascii="仿宋_GB2312" w:hAnsi="Times New Roman" w:eastAsia="仿宋_GB2312"/>
          <w:color w:val="auto"/>
          <w:kern w:val="0"/>
          <w:sz w:val="28"/>
          <w:szCs w:val="28"/>
          <w:highlight w:val="none"/>
        </w:rPr>
        <w:t>。</w:t>
      </w:r>
    </w:p>
    <w:p w14:paraId="364FA725">
      <w:pPr>
        <w:widowControl/>
        <w:spacing w:line="360" w:lineRule="auto"/>
        <w:rPr>
          <w:rFonts w:ascii="仿宋_GB2312" w:hAnsi="Times New Roman" w:eastAsia="仿宋_GB2312"/>
          <w:b/>
          <w:bCs/>
          <w:color w:val="auto"/>
          <w:kern w:val="0"/>
          <w:sz w:val="28"/>
          <w:szCs w:val="28"/>
          <w:highlight w:val="none"/>
        </w:rPr>
      </w:pPr>
    </w:p>
    <w:p w14:paraId="61C44B93">
      <w:pPr>
        <w:widowControl/>
        <w:spacing w:line="360" w:lineRule="auto"/>
        <w:jc w:val="center"/>
        <w:rPr>
          <w:rFonts w:ascii="仿宋_GB2312" w:hAnsi="Times New Roman" w:eastAsia="仿宋_GB2312"/>
          <w:b/>
          <w:bCs/>
          <w:color w:val="auto"/>
          <w:kern w:val="0"/>
          <w:sz w:val="28"/>
          <w:szCs w:val="28"/>
          <w:highlight w:val="none"/>
        </w:rPr>
      </w:pPr>
      <w:r>
        <w:rPr>
          <w:rFonts w:hint="eastAsia" w:ascii="仿宋_GB2312" w:hAnsi="Times New Roman" w:eastAsia="仿宋_GB2312"/>
          <w:b/>
          <w:bCs/>
          <w:color w:val="auto"/>
          <w:kern w:val="0"/>
          <w:sz w:val="28"/>
          <w:szCs w:val="28"/>
          <w:highlight w:val="none"/>
        </w:rPr>
        <w:t>第七章 支付及履约保证金</w:t>
      </w:r>
    </w:p>
    <w:p w14:paraId="6CEB969F">
      <w:pPr>
        <w:widowControl/>
        <w:spacing w:line="360" w:lineRule="auto"/>
        <w:ind w:firstLine="560"/>
        <w:rPr>
          <w:rFonts w:ascii="仿宋_GB2312" w:hAnsi="Times New Roman" w:eastAsia="仿宋_GB2312"/>
          <w:color w:val="auto"/>
          <w:kern w:val="0"/>
          <w:sz w:val="28"/>
          <w:szCs w:val="28"/>
          <w:highlight w:val="none"/>
        </w:rPr>
      </w:pPr>
      <w:r>
        <w:rPr>
          <w:rFonts w:hint="eastAsia" w:ascii="仿宋_GB2312" w:hAnsi="Times New Roman" w:eastAsia="仿宋_GB2312"/>
          <w:b/>
          <w:bCs/>
          <w:color w:val="auto"/>
          <w:kern w:val="0"/>
          <w:sz w:val="28"/>
          <w:szCs w:val="28"/>
          <w:highlight w:val="none"/>
        </w:rPr>
        <w:t xml:space="preserve">第三十六条  </w:t>
      </w:r>
      <w:r>
        <w:rPr>
          <w:rFonts w:hint="eastAsia" w:ascii="仿宋_GB2312" w:hAnsi="Times New Roman" w:eastAsia="仿宋_GB2312"/>
          <w:color w:val="auto"/>
          <w:kern w:val="0"/>
          <w:sz w:val="28"/>
          <w:szCs w:val="28"/>
          <w:highlight w:val="none"/>
        </w:rPr>
        <w:t>乙方应配合甲方财务规定提供正规发票；若发生扣款事项，则双方需对扣款金额及内容进行书面确认，如乙方延迟或拒绝确认的，则以甲方膳食委员会或第三方评估确定的扣款事项为准；甲方将结合食堂管理部门审核意见及年度考核结果等资料确定实际支付费用；甲方原则上自收到上述资料后</w:t>
      </w:r>
      <w:r>
        <w:rPr>
          <w:rFonts w:hint="eastAsia" w:ascii="仿宋_GB2312" w:hAnsi="Times New Roman" w:eastAsia="仿宋_GB2312"/>
          <w:color w:val="auto"/>
          <w:kern w:val="0"/>
          <w:sz w:val="28"/>
          <w:szCs w:val="28"/>
          <w:highlight w:val="none"/>
          <w:u w:val="single"/>
        </w:rPr>
        <w:t>十个工作日</w:t>
      </w:r>
      <w:r>
        <w:rPr>
          <w:rFonts w:hint="eastAsia" w:ascii="仿宋_GB2312" w:hAnsi="Times New Roman" w:eastAsia="仿宋_GB2312"/>
          <w:color w:val="auto"/>
          <w:kern w:val="0"/>
          <w:sz w:val="28"/>
          <w:szCs w:val="28"/>
          <w:highlight w:val="none"/>
        </w:rPr>
        <w:t>内将服务费支付至乙方账户。乙方须知悉甲方财政资金的属性，如由于甲方财政资金拨付不到位等财政方面的原因导致甲方付款逾期的，则乙方同意不视为甲方违约，不追究甲方的违约责任，且不得以此为由拒绝履行约定义务。</w:t>
      </w:r>
    </w:p>
    <w:p w14:paraId="45E804D6">
      <w:pPr>
        <w:spacing w:line="360" w:lineRule="auto"/>
        <w:ind w:firstLine="551" w:firstLineChars="196"/>
        <w:rPr>
          <w:color w:val="auto"/>
          <w:highlight w:val="none"/>
        </w:rPr>
      </w:pPr>
      <w:r>
        <w:rPr>
          <w:rFonts w:hint="eastAsia" w:ascii="仿宋_GB2312" w:hAnsi="Times New Roman" w:eastAsia="仿宋_GB2312"/>
          <w:b/>
          <w:bCs/>
          <w:color w:val="auto"/>
          <w:kern w:val="0"/>
          <w:sz w:val="28"/>
          <w:szCs w:val="28"/>
          <w:highlight w:val="none"/>
        </w:rPr>
        <w:t xml:space="preserve">第三十七条  </w:t>
      </w:r>
      <w:r>
        <w:rPr>
          <w:rFonts w:hint="eastAsia" w:ascii="仿宋_GB2312" w:hAnsi="Times New Roman" w:eastAsia="仿宋_GB2312"/>
          <w:color w:val="auto"/>
          <w:kern w:val="0"/>
          <w:sz w:val="28"/>
          <w:szCs w:val="28"/>
          <w:highlight w:val="none"/>
        </w:rPr>
        <w:t>服务费按月支付，每月支付上月服务费（含税）：</w:t>
      </w:r>
      <w:r>
        <w:rPr>
          <w:rFonts w:hint="eastAsia" w:ascii="仿宋_GB2312" w:hAnsi="Times New Roman" w:eastAsia="仿宋_GB2312"/>
          <w:color w:val="auto"/>
          <w:kern w:val="0"/>
          <w:sz w:val="28"/>
          <w:szCs w:val="28"/>
          <w:highlight w:val="none"/>
          <w:u w:val="single"/>
        </w:rPr>
        <w:t>人民币              整（</w:t>
      </w:r>
      <w:r>
        <w:rPr>
          <w:rFonts w:hint="eastAsia" w:asciiTheme="minorEastAsia" w:hAnsiTheme="minorEastAsia"/>
          <w:color w:val="auto"/>
          <w:sz w:val="28"/>
          <w:szCs w:val="28"/>
          <w:highlight w:val="none"/>
          <w:u w:val="single"/>
        </w:rPr>
        <w:t>￥</w:t>
      </w:r>
      <w:r>
        <w:rPr>
          <w:rFonts w:hint="eastAsia" w:ascii="仿宋_GB2312" w:hAnsi="Times New Roman" w:eastAsia="仿宋_GB2312"/>
          <w:color w:val="auto"/>
          <w:kern w:val="0"/>
          <w:sz w:val="28"/>
          <w:szCs w:val="28"/>
          <w:highlight w:val="none"/>
          <w:u w:val="single"/>
        </w:rPr>
        <w:t xml:space="preserve">             ）</w:t>
      </w:r>
      <w:r>
        <w:rPr>
          <w:rFonts w:hint="eastAsia" w:ascii="仿宋_GB2312" w:hAnsi="Times New Roman" w:eastAsia="仿宋_GB2312"/>
          <w:color w:val="auto"/>
          <w:kern w:val="0"/>
          <w:sz w:val="28"/>
          <w:szCs w:val="28"/>
          <w:highlight w:val="none"/>
        </w:rPr>
        <w:t>。</w:t>
      </w:r>
    </w:p>
    <w:p w14:paraId="035B75C0">
      <w:pPr>
        <w:widowControl/>
        <w:spacing w:line="360" w:lineRule="auto"/>
        <w:ind w:firstLine="560"/>
        <w:rPr>
          <w:rFonts w:ascii="仿宋_GB2312" w:hAnsi="Times New Roman" w:eastAsia="仿宋_GB2312"/>
          <w:color w:val="auto"/>
          <w:kern w:val="0"/>
          <w:sz w:val="28"/>
          <w:szCs w:val="28"/>
          <w:highlight w:val="none"/>
        </w:rPr>
      </w:pPr>
      <w:r>
        <w:rPr>
          <w:rFonts w:hint="eastAsia" w:ascii="仿宋_GB2312" w:hAnsi="Times New Roman" w:eastAsia="仿宋_GB2312"/>
          <w:color w:val="auto"/>
          <w:kern w:val="0"/>
          <w:sz w:val="28"/>
          <w:szCs w:val="28"/>
          <w:highlight w:val="none"/>
        </w:rPr>
        <w:t>乙方账户信息：</w:t>
      </w:r>
    </w:p>
    <w:p w14:paraId="515411E8">
      <w:pPr>
        <w:widowControl/>
        <w:spacing w:line="360" w:lineRule="auto"/>
        <w:ind w:firstLine="560"/>
        <w:rPr>
          <w:rFonts w:ascii="仿宋_GB2312" w:hAnsi="Times New Roman" w:eastAsia="仿宋_GB2312"/>
          <w:color w:val="auto"/>
          <w:kern w:val="0"/>
          <w:sz w:val="28"/>
          <w:szCs w:val="28"/>
          <w:highlight w:val="none"/>
        </w:rPr>
      </w:pPr>
      <w:r>
        <w:rPr>
          <w:rFonts w:hint="eastAsia" w:ascii="仿宋_GB2312" w:hAnsi="Times New Roman" w:eastAsia="仿宋_GB2312"/>
          <w:color w:val="auto"/>
          <w:kern w:val="0"/>
          <w:sz w:val="28"/>
          <w:szCs w:val="28"/>
          <w:highlight w:val="none"/>
        </w:rPr>
        <w:t>开户名称：</w:t>
      </w:r>
      <w:r>
        <w:rPr>
          <w:rFonts w:hint="eastAsia" w:ascii="仿宋_GB2312" w:hAnsi="Times New Roman" w:eastAsia="仿宋_GB2312"/>
          <w:color w:val="auto"/>
          <w:kern w:val="0"/>
          <w:sz w:val="28"/>
          <w:szCs w:val="28"/>
          <w:highlight w:val="none"/>
          <w:u w:val="single"/>
        </w:rPr>
        <w:t xml:space="preserve">                            </w:t>
      </w:r>
    </w:p>
    <w:p w14:paraId="6FCDCD8C">
      <w:pPr>
        <w:widowControl/>
        <w:spacing w:line="360" w:lineRule="auto"/>
        <w:ind w:firstLine="560"/>
        <w:rPr>
          <w:rFonts w:ascii="仿宋_GB2312" w:hAnsi="Times New Roman" w:eastAsia="仿宋_GB2312"/>
          <w:color w:val="auto"/>
          <w:kern w:val="0"/>
          <w:sz w:val="28"/>
          <w:szCs w:val="28"/>
          <w:highlight w:val="none"/>
        </w:rPr>
      </w:pPr>
      <w:r>
        <w:rPr>
          <w:rFonts w:hint="eastAsia" w:ascii="仿宋_GB2312" w:hAnsi="Times New Roman" w:eastAsia="仿宋_GB2312"/>
          <w:color w:val="auto"/>
          <w:kern w:val="0"/>
          <w:sz w:val="28"/>
          <w:szCs w:val="28"/>
          <w:highlight w:val="none"/>
        </w:rPr>
        <w:t>开户银行：</w:t>
      </w:r>
      <w:r>
        <w:rPr>
          <w:rFonts w:hint="eastAsia" w:ascii="仿宋_GB2312" w:hAnsi="Times New Roman" w:eastAsia="仿宋_GB2312"/>
          <w:color w:val="auto"/>
          <w:kern w:val="0"/>
          <w:sz w:val="28"/>
          <w:szCs w:val="28"/>
          <w:highlight w:val="none"/>
          <w:u w:val="single"/>
        </w:rPr>
        <w:t xml:space="preserve">                            </w:t>
      </w:r>
    </w:p>
    <w:p w14:paraId="2BBCEDB3">
      <w:pPr>
        <w:widowControl/>
        <w:spacing w:line="360" w:lineRule="auto"/>
        <w:ind w:firstLine="560"/>
        <w:rPr>
          <w:rFonts w:ascii="仿宋_GB2312" w:hAnsi="Times New Roman" w:eastAsia="仿宋_GB2312"/>
          <w:color w:val="auto"/>
          <w:kern w:val="0"/>
          <w:sz w:val="28"/>
          <w:szCs w:val="28"/>
          <w:highlight w:val="none"/>
        </w:rPr>
      </w:pPr>
      <w:r>
        <w:rPr>
          <w:rFonts w:hint="eastAsia" w:ascii="仿宋_GB2312" w:hAnsi="Times New Roman" w:eastAsia="仿宋_GB2312"/>
          <w:color w:val="auto"/>
          <w:kern w:val="0"/>
          <w:sz w:val="28"/>
          <w:szCs w:val="28"/>
          <w:highlight w:val="none"/>
        </w:rPr>
        <w:t>银行账号</w:t>
      </w:r>
      <w:r>
        <w:rPr>
          <w:rFonts w:hint="eastAsia" w:ascii="仿宋_GB2312" w:hAnsi="Times New Roman" w:eastAsia="仿宋_GB2312"/>
          <w:color w:val="auto"/>
          <w:kern w:val="0"/>
          <w:sz w:val="28"/>
          <w:szCs w:val="28"/>
          <w:highlight w:val="none"/>
          <w:u w:val="single"/>
        </w:rPr>
        <w:t xml:space="preserve">                            </w:t>
      </w:r>
    </w:p>
    <w:p w14:paraId="66F963D5">
      <w:pPr>
        <w:spacing w:line="360" w:lineRule="auto"/>
        <w:ind w:firstLine="551" w:firstLineChars="196"/>
        <w:jc w:val="left"/>
        <w:rPr>
          <w:color w:val="auto"/>
          <w:highlight w:val="none"/>
        </w:rPr>
      </w:pPr>
      <w:r>
        <w:rPr>
          <w:rFonts w:hint="eastAsia" w:ascii="仿宋_GB2312" w:hAnsi="Times New Roman" w:eastAsia="仿宋_GB2312"/>
          <w:b/>
          <w:bCs/>
          <w:color w:val="auto"/>
          <w:kern w:val="0"/>
          <w:sz w:val="28"/>
          <w:szCs w:val="28"/>
          <w:highlight w:val="none"/>
        </w:rPr>
        <w:t xml:space="preserve">第三十八条 </w:t>
      </w:r>
      <w:r>
        <w:rPr>
          <w:rFonts w:hint="eastAsia" w:ascii="仿宋_GB2312" w:hAnsi="Times New Roman" w:eastAsia="仿宋_GB2312"/>
          <w:color w:val="auto"/>
          <w:kern w:val="0"/>
          <w:sz w:val="28"/>
          <w:szCs w:val="28"/>
          <w:highlight w:val="none"/>
        </w:rPr>
        <w:t>乙方应按照合同一年费用的10%缴纳履约保证金，履约保证金人民币</w:t>
      </w:r>
      <w:r>
        <w:rPr>
          <w:rFonts w:hint="eastAsia" w:ascii="仿宋_GB2312" w:hAnsi="Times New Roman" w:eastAsia="仿宋_GB2312"/>
          <w:color w:val="auto"/>
          <w:kern w:val="0"/>
          <w:sz w:val="28"/>
          <w:szCs w:val="28"/>
          <w:highlight w:val="none"/>
          <w:u w:val="single"/>
        </w:rPr>
        <w:t xml:space="preserve">        </w:t>
      </w:r>
      <w:r>
        <w:rPr>
          <w:rFonts w:hint="eastAsia" w:ascii="仿宋_GB2312" w:hAnsi="Times New Roman" w:eastAsia="仿宋_GB2312"/>
          <w:color w:val="auto"/>
          <w:kern w:val="0"/>
          <w:sz w:val="28"/>
          <w:szCs w:val="28"/>
          <w:highlight w:val="none"/>
        </w:rPr>
        <w:t>（</w:t>
      </w:r>
      <w:r>
        <w:rPr>
          <w:rFonts w:hint="eastAsia" w:asciiTheme="minorEastAsia" w:hAnsiTheme="minorEastAsia"/>
          <w:color w:val="auto"/>
          <w:sz w:val="28"/>
          <w:szCs w:val="28"/>
          <w:highlight w:val="none"/>
          <w:u w:val="single"/>
        </w:rPr>
        <w:t>￥</w:t>
      </w:r>
      <w:r>
        <w:rPr>
          <w:rFonts w:hint="eastAsia" w:ascii="仿宋_GB2312" w:hAnsi="Times New Roman" w:eastAsia="仿宋_GB2312"/>
          <w:color w:val="auto"/>
          <w:kern w:val="0"/>
          <w:sz w:val="28"/>
          <w:szCs w:val="28"/>
          <w:highlight w:val="none"/>
          <w:u w:val="single"/>
        </w:rPr>
        <w:t xml:space="preserve">           ）</w:t>
      </w:r>
      <w:r>
        <w:rPr>
          <w:rFonts w:hint="eastAsia" w:ascii="仿宋_GB2312" w:hAnsi="Times New Roman" w:eastAsia="仿宋_GB2312"/>
          <w:color w:val="auto"/>
          <w:kern w:val="0"/>
          <w:sz w:val="28"/>
          <w:szCs w:val="28"/>
          <w:highlight w:val="none"/>
        </w:rPr>
        <w:t>用于履约保证和年度考核、合同违约情形的扣取。【若乙方为中小企业，履约保证金按约定比例的50%支付】履约期间，若发生应扣款事项则从履约保证金中直接扣除，如因发生扣款事项导致履约保证金不足人民币</w:t>
      </w:r>
      <w:r>
        <w:rPr>
          <w:rFonts w:hint="eastAsia" w:ascii="仿宋_GB2312" w:hAnsi="Times New Roman" w:eastAsia="仿宋_GB2312"/>
          <w:color w:val="auto"/>
          <w:kern w:val="0"/>
          <w:sz w:val="28"/>
          <w:szCs w:val="28"/>
          <w:highlight w:val="none"/>
          <w:u w:val="single"/>
        </w:rPr>
        <w:t xml:space="preserve">          </w:t>
      </w:r>
      <w:r>
        <w:rPr>
          <w:rFonts w:hint="eastAsia" w:ascii="仿宋_GB2312" w:hAnsi="Times New Roman" w:eastAsia="仿宋_GB2312"/>
          <w:color w:val="auto"/>
          <w:kern w:val="0"/>
          <w:sz w:val="28"/>
          <w:szCs w:val="28"/>
          <w:highlight w:val="none"/>
        </w:rPr>
        <w:t>时，乙方应于十个工作日内向甲方补足相应款项，否则甲方有权从应付的服务费中直接扣除；如未发生应扣款事项则相应款项继续留存作为下一年度履约保证金；待续签期限届满后，经甲方监督、最终验收，未发生扣款事项，且双方对合同履约情况不存在争议的情况下，则甲方在20个工作日内将履约保证金全额无息返还至乙方账户。</w:t>
      </w:r>
    </w:p>
    <w:p w14:paraId="05D008F9">
      <w:pPr>
        <w:widowControl/>
        <w:spacing w:line="360" w:lineRule="auto"/>
        <w:ind w:firstLine="560"/>
        <w:rPr>
          <w:rFonts w:ascii="仿宋_GB2312" w:hAnsi="Times New Roman" w:eastAsia="仿宋_GB2312"/>
          <w:color w:val="auto"/>
          <w:kern w:val="0"/>
          <w:sz w:val="28"/>
          <w:szCs w:val="28"/>
          <w:highlight w:val="none"/>
        </w:rPr>
      </w:pPr>
      <w:r>
        <w:rPr>
          <w:rFonts w:hint="eastAsia" w:ascii="仿宋_GB2312" w:hAnsi="Times New Roman" w:eastAsia="仿宋_GB2312"/>
          <w:color w:val="auto"/>
          <w:kern w:val="0"/>
          <w:sz w:val="28"/>
          <w:szCs w:val="28"/>
          <w:highlight w:val="none"/>
        </w:rPr>
        <w:t>甲方账户信息：</w:t>
      </w:r>
    </w:p>
    <w:p w14:paraId="75010B94">
      <w:pPr>
        <w:widowControl/>
        <w:spacing w:line="360" w:lineRule="auto"/>
        <w:ind w:firstLine="560"/>
        <w:rPr>
          <w:rFonts w:ascii="仿宋_GB2312" w:hAnsi="Times New Roman" w:eastAsia="仿宋_GB2312"/>
          <w:color w:val="auto"/>
          <w:kern w:val="0"/>
          <w:sz w:val="28"/>
          <w:szCs w:val="28"/>
          <w:highlight w:val="none"/>
        </w:rPr>
      </w:pPr>
      <w:r>
        <w:rPr>
          <w:rFonts w:hint="eastAsia" w:ascii="仿宋_GB2312" w:hAnsi="Times New Roman" w:eastAsia="仿宋_GB2312"/>
          <w:color w:val="auto"/>
          <w:kern w:val="0"/>
          <w:sz w:val="28"/>
          <w:szCs w:val="28"/>
          <w:highlight w:val="none"/>
        </w:rPr>
        <w:t>开户名称：</w:t>
      </w:r>
      <w:r>
        <w:rPr>
          <w:rFonts w:hint="eastAsia" w:ascii="仿宋_GB2312" w:hAnsi="Times New Roman" w:eastAsia="仿宋_GB2312"/>
          <w:color w:val="auto"/>
          <w:kern w:val="0"/>
          <w:sz w:val="28"/>
          <w:szCs w:val="28"/>
          <w:highlight w:val="none"/>
          <w:u w:val="single"/>
        </w:rPr>
        <w:t xml:space="preserve">                            </w:t>
      </w:r>
    </w:p>
    <w:p w14:paraId="28F911F6">
      <w:pPr>
        <w:widowControl/>
        <w:spacing w:line="360" w:lineRule="auto"/>
        <w:ind w:firstLine="560"/>
        <w:rPr>
          <w:rFonts w:ascii="仿宋_GB2312" w:hAnsi="Times New Roman" w:eastAsia="仿宋_GB2312"/>
          <w:color w:val="auto"/>
          <w:kern w:val="0"/>
          <w:sz w:val="28"/>
          <w:szCs w:val="28"/>
          <w:highlight w:val="none"/>
        </w:rPr>
      </w:pPr>
      <w:r>
        <w:rPr>
          <w:rFonts w:hint="eastAsia" w:ascii="仿宋_GB2312" w:hAnsi="Times New Roman" w:eastAsia="仿宋_GB2312"/>
          <w:color w:val="auto"/>
          <w:kern w:val="0"/>
          <w:sz w:val="28"/>
          <w:szCs w:val="28"/>
          <w:highlight w:val="none"/>
        </w:rPr>
        <w:t>开户银行：</w:t>
      </w:r>
      <w:r>
        <w:rPr>
          <w:rFonts w:hint="eastAsia" w:ascii="仿宋_GB2312" w:hAnsi="Times New Roman" w:eastAsia="仿宋_GB2312"/>
          <w:color w:val="auto"/>
          <w:kern w:val="0"/>
          <w:sz w:val="28"/>
          <w:szCs w:val="28"/>
          <w:highlight w:val="none"/>
          <w:u w:val="single"/>
        </w:rPr>
        <w:t xml:space="preserve">                            </w:t>
      </w:r>
    </w:p>
    <w:p w14:paraId="04E19CE3">
      <w:pPr>
        <w:widowControl/>
        <w:spacing w:line="360" w:lineRule="auto"/>
        <w:ind w:firstLine="560"/>
        <w:rPr>
          <w:rFonts w:ascii="仿宋_GB2312" w:hAnsi="Times New Roman" w:eastAsia="仿宋_GB2312"/>
          <w:color w:val="auto"/>
          <w:kern w:val="0"/>
          <w:sz w:val="28"/>
          <w:szCs w:val="28"/>
          <w:highlight w:val="none"/>
        </w:rPr>
      </w:pPr>
      <w:r>
        <w:rPr>
          <w:rFonts w:hint="eastAsia" w:ascii="仿宋_GB2312" w:hAnsi="Times New Roman" w:eastAsia="仿宋_GB2312"/>
          <w:color w:val="auto"/>
          <w:kern w:val="0"/>
          <w:sz w:val="28"/>
          <w:szCs w:val="28"/>
          <w:highlight w:val="none"/>
        </w:rPr>
        <w:t>银行账号：</w:t>
      </w:r>
      <w:r>
        <w:rPr>
          <w:rFonts w:hint="eastAsia" w:ascii="仿宋_GB2312" w:hAnsi="Times New Roman" w:eastAsia="仿宋_GB2312"/>
          <w:color w:val="auto"/>
          <w:kern w:val="0"/>
          <w:sz w:val="28"/>
          <w:szCs w:val="28"/>
          <w:highlight w:val="none"/>
          <w:u w:val="single"/>
        </w:rPr>
        <w:t xml:space="preserve">                            </w:t>
      </w:r>
    </w:p>
    <w:p w14:paraId="4BDBD810">
      <w:pPr>
        <w:widowControl/>
        <w:spacing w:line="360" w:lineRule="auto"/>
        <w:rPr>
          <w:rFonts w:ascii="仿宋_GB2312" w:hAnsi="Times New Roman" w:eastAsia="仿宋_GB2312"/>
          <w:b/>
          <w:bCs/>
          <w:color w:val="auto"/>
          <w:kern w:val="0"/>
          <w:sz w:val="28"/>
          <w:szCs w:val="28"/>
          <w:highlight w:val="none"/>
        </w:rPr>
      </w:pPr>
    </w:p>
    <w:p w14:paraId="25107710">
      <w:pPr>
        <w:widowControl/>
        <w:spacing w:line="360" w:lineRule="auto"/>
        <w:jc w:val="center"/>
        <w:rPr>
          <w:rFonts w:ascii="仿宋_GB2312" w:hAnsi="Times New Roman" w:eastAsia="仿宋_GB2312"/>
          <w:b/>
          <w:bCs/>
          <w:color w:val="auto"/>
          <w:kern w:val="0"/>
          <w:sz w:val="28"/>
          <w:szCs w:val="28"/>
          <w:highlight w:val="none"/>
        </w:rPr>
      </w:pPr>
      <w:r>
        <w:rPr>
          <w:rFonts w:hint="eastAsia" w:ascii="仿宋_GB2312" w:hAnsi="Times New Roman" w:eastAsia="仿宋_GB2312"/>
          <w:b/>
          <w:bCs/>
          <w:color w:val="auto"/>
          <w:kern w:val="0"/>
          <w:sz w:val="28"/>
          <w:szCs w:val="28"/>
          <w:highlight w:val="none"/>
        </w:rPr>
        <w:t>第八章 保密条款</w:t>
      </w:r>
    </w:p>
    <w:p w14:paraId="686DA093">
      <w:pPr>
        <w:widowControl/>
        <w:spacing w:line="360" w:lineRule="auto"/>
        <w:ind w:firstLine="562" w:firstLineChars="200"/>
        <w:rPr>
          <w:rFonts w:ascii="等线" w:hAnsi="等线" w:eastAsia="等线" w:cs="宋体"/>
          <w:color w:val="auto"/>
          <w:kern w:val="0"/>
          <w:szCs w:val="21"/>
          <w:highlight w:val="none"/>
        </w:rPr>
      </w:pPr>
      <w:r>
        <w:rPr>
          <w:rFonts w:hint="eastAsia" w:ascii="仿宋_GB2312" w:hAnsi="等线" w:eastAsia="仿宋_GB2312" w:cs="宋体"/>
          <w:b/>
          <w:color w:val="auto"/>
          <w:kern w:val="0"/>
          <w:sz w:val="28"/>
          <w:szCs w:val="28"/>
          <w:highlight w:val="none"/>
        </w:rPr>
        <w:t>第三十九条</w:t>
      </w:r>
      <w:r>
        <w:rPr>
          <w:rFonts w:hint="eastAsia" w:ascii="仿宋_GB2312" w:hAnsi="等线" w:eastAsia="仿宋_GB2312" w:cs="宋体"/>
          <w:color w:val="auto"/>
          <w:kern w:val="0"/>
          <w:sz w:val="28"/>
          <w:szCs w:val="28"/>
          <w:highlight w:val="none"/>
        </w:rPr>
        <w:t xml:space="preserve">  双方应严格遵守保密制度，不得泄露合同履行过程中知悉的国家秘密、工作秘密、商业秘密、个人隐私以及其他不应公开的信息。除法律要求或事先取得另一方的书面许可，任何一方均不得将其披露给第三方，或用于本合同以外的用途。若违反上述约定并产生不良后果，守约方有权要求违约方承担相应法律后果。</w:t>
      </w:r>
    </w:p>
    <w:p w14:paraId="2E638D73">
      <w:pPr>
        <w:widowControl/>
        <w:spacing w:line="360" w:lineRule="auto"/>
        <w:ind w:firstLine="560"/>
        <w:rPr>
          <w:rFonts w:ascii="仿宋_GB2312" w:hAnsi="Times New Roman" w:eastAsia="仿宋_GB2312"/>
          <w:color w:val="auto"/>
          <w:kern w:val="0"/>
          <w:sz w:val="28"/>
          <w:szCs w:val="28"/>
          <w:highlight w:val="none"/>
        </w:rPr>
      </w:pPr>
    </w:p>
    <w:p w14:paraId="042235C4">
      <w:pPr>
        <w:widowControl/>
        <w:spacing w:line="360" w:lineRule="auto"/>
        <w:jc w:val="center"/>
        <w:rPr>
          <w:rFonts w:ascii="仿宋_GB2312" w:hAnsi="Times New Roman" w:eastAsia="仿宋_GB2312"/>
          <w:b/>
          <w:bCs/>
          <w:color w:val="auto"/>
          <w:kern w:val="0"/>
          <w:sz w:val="28"/>
          <w:szCs w:val="28"/>
          <w:highlight w:val="none"/>
        </w:rPr>
      </w:pPr>
      <w:r>
        <w:rPr>
          <w:rFonts w:hint="eastAsia" w:ascii="仿宋_GB2312" w:hAnsi="Times New Roman" w:eastAsia="仿宋_GB2312"/>
          <w:b/>
          <w:bCs/>
          <w:color w:val="auto"/>
          <w:kern w:val="0"/>
          <w:sz w:val="28"/>
          <w:szCs w:val="28"/>
          <w:highlight w:val="none"/>
        </w:rPr>
        <w:t>第九章 不可抗力</w:t>
      </w:r>
    </w:p>
    <w:p w14:paraId="6CBC08F9">
      <w:pPr>
        <w:widowControl/>
        <w:spacing w:line="360" w:lineRule="auto"/>
        <w:ind w:firstLine="560"/>
        <w:rPr>
          <w:rFonts w:ascii="仿宋_GB2312" w:hAnsi="Times New Roman" w:eastAsia="仿宋_GB2312"/>
          <w:color w:val="auto"/>
          <w:kern w:val="0"/>
          <w:sz w:val="28"/>
          <w:szCs w:val="28"/>
          <w:highlight w:val="none"/>
        </w:rPr>
      </w:pPr>
      <w:r>
        <w:rPr>
          <w:rFonts w:hint="eastAsia" w:ascii="仿宋_GB2312" w:hAnsi="Times New Roman" w:eastAsia="仿宋_GB2312"/>
          <w:b/>
          <w:bCs/>
          <w:color w:val="auto"/>
          <w:kern w:val="0"/>
          <w:sz w:val="28"/>
          <w:szCs w:val="28"/>
          <w:highlight w:val="none"/>
        </w:rPr>
        <w:t xml:space="preserve">第四十条  </w:t>
      </w:r>
      <w:r>
        <w:rPr>
          <w:rFonts w:hint="eastAsia" w:ascii="仿宋_GB2312" w:hAnsi="Times New Roman" w:eastAsia="仿宋_GB2312"/>
          <w:color w:val="auto"/>
          <w:kern w:val="0"/>
          <w:sz w:val="28"/>
          <w:szCs w:val="28"/>
          <w:highlight w:val="none"/>
        </w:rPr>
        <w:t>本合同所称不可抗力是指不能预见、不能避免且不能克服的客观情况。在不可抗力影响下，受影响一方可暂时停止执行本合同的受影响部分。受影响一方应立即书面通知另一方，并提供书面证明。因受影响一方未及时书面通知导致损失扩大的，损失扩大部分的违约责任由受影响一方承担。当不可抗力事件持续的时间超过</w:t>
      </w:r>
      <w:r>
        <w:rPr>
          <w:rFonts w:hint="eastAsia" w:ascii="仿宋_GB2312" w:hAnsi="Times New Roman" w:eastAsia="仿宋_GB2312"/>
          <w:color w:val="auto"/>
          <w:kern w:val="0"/>
          <w:sz w:val="28"/>
          <w:szCs w:val="28"/>
          <w:highlight w:val="none"/>
          <w:u w:val="single"/>
        </w:rPr>
        <w:t>十五个工作日</w:t>
      </w:r>
      <w:r>
        <w:rPr>
          <w:rFonts w:hint="eastAsia" w:ascii="仿宋_GB2312" w:hAnsi="Times New Roman" w:eastAsia="仿宋_GB2312"/>
          <w:color w:val="auto"/>
          <w:kern w:val="0"/>
          <w:sz w:val="28"/>
          <w:szCs w:val="28"/>
          <w:highlight w:val="none"/>
        </w:rPr>
        <w:t>时，双方可就终止合同及其未尽事宜进行协商处理；如协商不成，任何一方均有权终止本合同。</w:t>
      </w:r>
    </w:p>
    <w:p w14:paraId="3E044886">
      <w:pPr>
        <w:widowControl/>
        <w:spacing w:line="360" w:lineRule="auto"/>
        <w:ind w:firstLine="560"/>
        <w:rPr>
          <w:rFonts w:ascii="仿宋_GB2312" w:hAnsi="Times New Roman" w:eastAsia="仿宋_GB2312"/>
          <w:color w:val="auto"/>
          <w:kern w:val="0"/>
          <w:sz w:val="28"/>
          <w:szCs w:val="28"/>
          <w:highlight w:val="none"/>
        </w:rPr>
      </w:pPr>
    </w:p>
    <w:p w14:paraId="5E4FBB6F">
      <w:pPr>
        <w:widowControl/>
        <w:spacing w:line="360" w:lineRule="auto"/>
        <w:jc w:val="center"/>
        <w:rPr>
          <w:rFonts w:ascii="仿宋_GB2312" w:hAnsi="Times New Roman" w:eastAsia="仿宋_GB2312"/>
          <w:b/>
          <w:bCs/>
          <w:color w:val="auto"/>
          <w:kern w:val="0"/>
          <w:sz w:val="28"/>
          <w:szCs w:val="28"/>
          <w:highlight w:val="none"/>
        </w:rPr>
      </w:pPr>
      <w:r>
        <w:rPr>
          <w:rFonts w:hint="eastAsia" w:ascii="仿宋_GB2312" w:hAnsi="Times New Roman" w:eastAsia="仿宋_GB2312"/>
          <w:b/>
          <w:bCs/>
          <w:color w:val="auto"/>
          <w:kern w:val="0"/>
          <w:sz w:val="28"/>
          <w:szCs w:val="28"/>
          <w:highlight w:val="none"/>
        </w:rPr>
        <w:t>第十章 违约责任</w:t>
      </w:r>
    </w:p>
    <w:p w14:paraId="17E389A2">
      <w:pPr>
        <w:widowControl/>
        <w:spacing w:line="360" w:lineRule="auto"/>
        <w:ind w:firstLine="560"/>
        <w:rPr>
          <w:rFonts w:ascii="仿宋_GB2312" w:hAnsi="Times New Roman" w:eastAsia="仿宋_GB2312"/>
          <w:color w:val="auto"/>
          <w:kern w:val="0"/>
          <w:sz w:val="28"/>
          <w:szCs w:val="28"/>
          <w:highlight w:val="none"/>
        </w:rPr>
      </w:pPr>
      <w:r>
        <w:rPr>
          <w:rFonts w:hint="eastAsia" w:ascii="仿宋_GB2312" w:hAnsi="Times New Roman" w:eastAsia="仿宋_GB2312"/>
          <w:b/>
          <w:bCs/>
          <w:color w:val="auto"/>
          <w:kern w:val="0"/>
          <w:sz w:val="28"/>
          <w:szCs w:val="28"/>
          <w:highlight w:val="none"/>
        </w:rPr>
        <w:t xml:space="preserve">第四十一条  </w:t>
      </w:r>
      <w:r>
        <w:rPr>
          <w:rFonts w:hint="eastAsia" w:ascii="仿宋_GB2312" w:hAnsi="Times New Roman" w:eastAsia="仿宋_GB2312"/>
          <w:color w:val="auto"/>
          <w:kern w:val="0"/>
          <w:sz w:val="28"/>
          <w:szCs w:val="28"/>
          <w:highlight w:val="none"/>
        </w:rPr>
        <w:t>如因甲方违反本合同条款的约定，且该等违约行为经以书面形式明确提出并给予合理期限整改，甲方仍未整改且已对乙方履行本合同主要义务造成实质性影响的，乙方可在不影响职工食堂正常运营的前提下，与甲方协商解决；确需解除本合同的，应经双方协商一致或者依照法律规定另行处理。除法律法规另有强制性规定外，乙方无权单方解除本合同。甲方的违约责任以实际给乙方造成的直接、可得证明的损失为限，且累计赔偿金额（包括违约金在内）最高不超过合同总金额已实际支付价款的10%。</w:t>
      </w:r>
    </w:p>
    <w:p w14:paraId="4E607669">
      <w:pPr>
        <w:widowControl/>
        <w:spacing w:line="360" w:lineRule="auto"/>
        <w:ind w:firstLine="560"/>
        <w:rPr>
          <w:rFonts w:ascii="仿宋_GB2312" w:hAnsi="Times New Roman" w:eastAsia="仿宋_GB2312"/>
          <w:color w:val="auto"/>
          <w:kern w:val="0"/>
          <w:sz w:val="28"/>
          <w:szCs w:val="28"/>
          <w:highlight w:val="none"/>
        </w:rPr>
      </w:pPr>
      <w:r>
        <w:rPr>
          <w:rFonts w:hint="eastAsia" w:ascii="仿宋_GB2312" w:hAnsi="Times New Roman" w:eastAsia="仿宋_GB2312"/>
          <w:b/>
          <w:bCs/>
          <w:color w:val="auto"/>
          <w:kern w:val="0"/>
          <w:sz w:val="28"/>
          <w:szCs w:val="28"/>
          <w:highlight w:val="none"/>
        </w:rPr>
        <w:t xml:space="preserve">第四十二条  </w:t>
      </w:r>
      <w:r>
        <w:rPr>
          <w:rFonts w:hint="eastAsia" w:ascii="仿宋_GB2312" w:hAnsi="Times New Roman" w:eastAsia="仿宋_GB2312"/>
          <w:color w:val="auto"/>
          <w:kern w:val="0"/>
          <w:sz w:val="28"/>
          <w:szCs w:val="28"/>
          <w:highlight w:val="none"/>
        </w:rPr>
        <w:t>乙方违反本合同条款的约定，甲方有权根据违约情形要求乙方限期整改，并依照本合同及其附件的相关条款的约定扣取履约保证金，履约保证金不足以扣除的，甲方有权从应付乙方的服务费中直接抵扣，不足部分继续向乙方追索。乙方发生违约且经甲方书面催告后仍逾期未整改到位，或乙方单次违约已严重影响合同目的实现的，甲方有权单方解除合同，并有权要求乙方支付不超过合同总金额10%的违约金；违约金不足以弥补甲方经济损失的，乙方仍应继续赔偿甲方全部实际损失。甲方解除合同的，乙方应自收到甲方解除通知之日起七个工作日内完成相关工作移交；若甲方未能在乙方完成移交工作后及时接管职工食堂，经甲方书面要求，乙方应在不增加甲方费用标准的前提下维持正常运营直至甲方接管，期间产生的费用参照本合同约定的服务标准执行。若乙方不配合维持职工食堂正常运营，造成甲方经济损失或影响职工就餐的，乙方应承担全部赔偿责任，甲方有权就相关损失优先在履约保证金及应付服务费中予以扣除。</w:t>
      </w:r>
    </w:p>
    <w:p w14:paraId="73A6F7C1">
      <w:pPr>
        <w:widowControl/>
        <w:spacing w:line="360" w:lineRule="auto"/>
        <w:ind w:firstLine="560"/>
        <w:rPr>
          <w:rFonts w:ascii="仿宋_GB2312" w:hAnsi="Times New Roman" w:eastAsia="仿宋_GB2312"/>
          <w:color w:val="auto"/>
          <w:kern w:val="0"/>
          <w:sz w:val="28"/>
          <w:szCs w:val="28"/>
          <w:highlight w:val="none"/>
        </w:rPr>
      </w:pPr>
      <w:r>
        <w:rPr>
          <w:rFonts w:hint="eastAsia" w:ascii="仿宋_GB2312" w:hAnsi="Times New Roman" w:eastAsia="仿宋_GB2312"/>
          <w:b/>
          <w:bCs/>
          <w:color w:val="auto"/>
          <w:kern w:val="0"/>
          <w:sz w:val="28"/>
          <w:szCs w:val="28"/>
          <w:highlight w:val="none"/>
        </w:rPr>
        <w:t xml:space="preserve">第四十三条  </w:t>
      </w:r>
      <w:r>
        <w:rPr>
          <w:rFonts w:hint="eastAsia" w:ascii="仿宋_GB2312" w:hAnsi="Times New Roman" w:eastAsia="仿宋_GB2312"/>
          <w:color w:val="auto"/>
          <w:kern w:val="0"/>
          <w:sz w:val="28"/>
          <w:szCs w:val="28"/>
          <w:highlight w:val="none"/>
        </w:rPr>
        <w:t>除不可抗力外，如发生违约事件，违约方应向损失方赔偿因违约所造成的损失；守约方要求违约方支付违约金时，应以书面方式通知违约方，内容包括违约事件、违约金、支付时间和方式等；违约方在收到上述通知后，应于</w:t>
      </w:r>
      <w:r>
        <w:rPr>
          <w:rFonts w:hint="eastAsia" w:ascii="仿宋_GB2312" w:hAnsi="Times New Roman" w:eastAsia="仿宋_GB2312"/>
          <w:color w:val="auto"/>
          <w:kern w:val="0"/>
          <w:sz w:val="28"/>
          <w:szCs w:val="28"/>
          <w:highlight w:val="none"/>
          <w:u w:val="single"/>
        </w:rPr>
        <w:t>十个工作日</w:t>
      </w:r>
      <w:r>
        <w:rPr>
          <w:rFonts w:hint="eastAsia" w:ascii="仿宋_GB2312" w:hAnsi="Times New Roman" w:eastAsia="仿宋_GB2312"/>
          <w:color w:val="auto"/>
          <w:kern w:val="0"/>
          <w:sz w:val="28"/>
          <w:szCs w:val="28"/>
          <w:highlight w:val="none"/>
        </w:rPr>
        <w:t>内答复对方，并支付违约金。</w:t>
      </w:r>
    </w:p>
    <w:p w14:paraId="1CC91D96">
      <w:pPr>
        <w:widowControl/>
        <w:spacing w:line="360" w:lineRule="auto"/>
        <w:ind w:firstLine="560"/>
        <w:rPr>
          <w:rFonts w:ascii="仿宋_GB2312" w:hAnsi="Times New Roman" w:eastAsia="仿宋_GB2312"/>
          <w:color w:val="auto"/>
          <w:kern w:val="0"/>
          <w:sz w:val="28"/>
          <w:szCs w:val="28"/>
          <w:highlight w:val="none"/>
        </w:rPr>
      </w:pPr>
      <w:r>
        <w:rPr>
          <w:rFonts w:hint="eastAsia" w:ascii="仿宋_GB2312" w:hAnsi="Times New Roman" w:eastAsia="仿宋_GB2312"/>
          <w:b/>
          <w:bCs/>
          <w:color w:val="auto"/>
          <w:kern w:val="0"/>
          <w:sz w:val="28"/>
          <w:szCs w:val="28"/>
          <w:highlight w:val="none"/>
        </w:rPr>
        <w:t xml:space="preserve">第四十四条  </w:t>
      </w:r>
      <w:r>
        <w:rPr>
          <w:rFonts w:hint="eastAsia" w:ascii="仿宋_GB2312" w:hAnsi="Times New Roman" w:eastAsia="仿宋_GB2312"/>
          <w:color w:val="auto"/>
          <w:kern w:val="0"/>
          <w:sz w:val="28"/>
          <w:szCs w:val="28"/>
          <w:highlight w:val="none"/>
        </w:rPr>
        <w:t>甲乙双方任何一方未经协商且无正当理由提前终止合同，造成对方经济损失的，应给予经济赔偿。</w:t>
      </w:r>
    </w:p>
    <w:p w14:paraId="3F52E16C">
      <w:pPr>
        <w:widowControl/>
        <w:spacing w:line="360" w:lineRule="auto"/>
        <w:ind w:firstLine="560"/>
        <w:rPr>
          <w:rFonts w:ascii="仿宋_GB2312" w:hAnsi="Times New Roman" w:eastAsia="仿宋_GB2312"/>
          <w:color w:val="auto"/>
          <w:kern w:val="0"/>
          <w:sz w:val="28"/>
          <w:szCs w:val="28"/>
          <w:highlight w:val="none"/>
        </w:rPr>
      </w:pPr>
      <w:r>
        <w:rPr>
          <w:rFonts w:hint="eastAsia" w:ascii="仿宋_GB2312" w:hAnsi="Times New Roman" w:eastAsia="仿宋_GB2312"/>
          <w:b/>
          <w:bCs/>
          <w:color w:val="auto"/>
          <w:kern w:val="0"/>
          <w:sz w:val="28"/>
          <w:szCs w:val="28"/>
          <w:highlight w:val="none"/>
        </w:rPr>
        <w:t xml:space="preserve">第四十五条  </w:t>
      </w:r>
      <w:r>
        <w:rPr>
          <w:rFonts w:hint="eastAsia" w:ascii="仿宋_GB2312" w:hAnsi="Times New Roman" w:eastAsia="仿宋_GB2312"/>
          <w:color w:val="auto"/>
          <w:kern w:val="0"/>
          <w:sz w:val="28"/>
          <w:szCs w:val="28"/>
          <w:highlight w:val="none"/>
        </w:rPr>
        <w:t>除上述情形外，在履行本合同的过程中，如果双方出现违反本合同的任何行为，双方应当根据《中华人民共和国民法典》及</w:t>
      </w:r>
      <w:r>
        <w:rPr>
          <w:rFonts w:hint="eastAsia" w:ascii="仿宋_GB2312" w:hAnsi="Times New Roman" w:eastAsia="仿宋_GB2312"/>
          <w:color w:val="auto"/>
          <w:kern w:val="0"/>
          <w:sz w:val="28"/>
          <w:szCs w:val="28"/>
          <w:highlight w:val="none"/>
          <w:lang w:eastAsia="zh-CN"/>
        </w:rPr>
        <w:t>其他</w:t>
      </w:r>
      <w:r>
        <w:rPr>
          <w:rFonts w:hint="eastAsia" w:ascii="仿宋_GB2312" w:hAnsi="Times New Roman" w:eastAsia="仿宋_GB2312"/>
          <w:color w:val="auto"/>
          <w:kern w:val="0"/>
          <w:sz w:val="28"/>
          <w:szCs w:val="28"/>
          <w:highlight w:val="none"/>
        </w:rPr>
        <w:t>相关法律法规的规定承担违约责任。</w:t>
      </w:r>
    </w:p>
    <w:p w14:paraId="326847C8">
      <w:pPr>
        <w:widowControl/>
        <w:spacing w:line="360" w:lineRule="auto"/>
        <w:ind w:firstLine="560"/>
        <w:rPr>
          <w:rFonts w:ascii="仿宋_GB2312" w:hAnsi="Times New Roman" w:eastAsia="仿宋_GB2312"/>
          <w:color w:val="auto"/>
          <w:kern w:val="0"/>
          <w:sz w:val="28"/>
          <w:szCs w:val="28"/>
          <w:highlight w:val="none"/>
        </w:rPr>
      </w:pPr>
    </w:p>
    <w:p w14:paraId="25C5A1FD">
      <w:pPr>
        <w:widowControl/>
        <w:spacing w:line="360" w:lineRule="auto"/>
        <w:jc w:val="center"/>
        <w:rPr>
          <w:rFonts w:ascii="仿宋_GB2312" w:hAnsi="Times New Roman" w:eastAsia="仿宋_GB2312"/>
          <w:b/>
          <w:bCs/>
          <w:color w:val="auto"/>
          <w:kern w:val="0"/>
          <w:sz w:val="28"/>
          <w:szCs w:val="28"/>
          <w:highlight w:val="none"/>
        </w:rPr>
      </w:pPr>
      <w:r>
        <w:rPr>
          <w:rFonts w:hint="eastAsia" w:ascii="仿宋_GB2312" w:hAnsi="Times New Roman" w:eastAsia="仿宋_GB2312"/>
          <w:b/>
          <w:bCs/>
          <w:color w:val="auto"/>
          <w:kern w:val="0"/>
          <w:sz w:val="28"/>
          <w:szCs w:val="28"/>
          <w:highlight w:val="none"/>
        </w:rPr>
        <w:t>第十一章 法律适用和争议解决</w:t>
      </w:r>
    </w:p>
    <w:p w14:paraId="1EDB5DE1">
      <w:pPr>
        <w:widowControl/>
        <w:spacing w:line="360" w:lineRule="auto"/>
        <w:ind w:firstLine="560"/>
        <w:rPr>
          <w:rFonts w:ascii="仿宋_GB2312" w:hAnsi="Times New Roman" w:eastAsia="仿宋_GB2312"/>
          <w:color w:val="auto"/>
          <w:kern w:val="0"/>
          <w:sz w:val="28"/>
          <w:szCs w:val="28"/>
          <w:highlight w:val="none"/>
        </w:rPr>
      </w:pPr>
      <w:r>
        <w:rPr>
          <w:rFonts w:hint="eastAsia" w:ascii="仿宋_GB2312" w:hAnsi="Times New Roman" w:eastAsia="仿宋_GB2312"/>
          <w:b/>
          <w:bCs/>
          <w:color w:val="auto"/>
          <w:kern w:val="0"/>
          <w:sz w:val="28"/>
          <w:szCs w:val="28"/>
          <w:highlight w:val="none"/>
        </w:rPr>
        <w:t xml:space="preserve">第四十六条  </w:t>
      </w:r>
      <w:r>
        <w:rPr>
          <w:rFonts w:hint="eastAsia" w:ascii="仿宋_GB2312" w:hAnsi="Times New Roman" w:eastAsia="仿宋_GB2312"/>
          <w:color w:val="auto"/>
          <w:kern w:val="0"/>
          <w:sz w:val="28"/>
          <w:szCs w:val="28"/>
          <w:highlight w:val="none"/>
        </w:rPr>
        <w:t>本合同适用中华人民共和国（不含香港特别行政区、澳门特别行政区和台湾地区）法律。</w:t>
      </w:r>
    </w:p>
    <w:p w14:paraId="15884C6F">
      <w:pPr>
        <w:spacing w:line="360" w:lineRule="auto"/>
        <w:rPr>
          <w:rFonts w:ascii="仿宋" w:hAnsi="仿宋" w:eastAsia="仿宋" w:cs="仿宋_GB2312"/>
          <w:color w:val="auto"/>
          <w:sz w:val="28"/>
          <w:szCs w:val="32"/>
          <w:highlight w:val="none"/>
        </w:rPr>
      </w:pPr>
      <w:r>
        <w:rPr>
          <w:rFonts w:hint="eastAsia" w:ascii="仿宋_GB2312" w:hAnsi="Times New Roman" w:eastAsia="仿宋_GB2312"/>
          <w:b/>
          <w:bCs/>
          <w:color w:val="auto"/>
          <w:kern w:val="0"/>
          <w:sz w:val="28"/>
          <w:szCs w:val="28"/>
          <w:highlight w:val="none"/>
        </w:rPr>
        <w:t xml:space="preserve">    第四十七条  </w:t>
      </w:r>
      <w:r>
        <w:rPr>
          <w:rFonts w:hint="eastAsia" w:ascii="仿宋_GB2312" w:hAnsi="Times New Roman" w:eastAsia="仿宋_GB2312"/>
          <w:color w:val="auto"/>
          <w:kern w:val="0"/>
          <w:sz w:val="28"/>
          <w:szCs w:val="28"/>
          <w:highlight w:val="none"/>
        </w:rPr>
        <w:t>因履行本合同发生的或与本合同有关的一切争议，双方首先应友好协商解决，如经协商</w:t>
      </w:r>
      <w:r>
        <w:rPr>
          <w:rFonts w:hint="eastAsia" w:ascii="仿宋_GB2312" w:hAnsi="Times New Roman" w:eastAsia="仿宋_GB2312"/>
          <w:color w:val="auto"/>
          <w:kern w:val="0"/>
          <w:sz w:val="28"/>
          <w:szCs w:val="28"/>
          <w:highlight w:val="none"/>
          <w:u w:val="single"/>
        </w:rPr>
        <w:t>二十个工作日</w:t>
      </w:r>
      <w:r>
        <w:rPr>
          <w:rFonts w:hint="eastAsia" w:ascii="仿宋_GB2312" w:hAnsi="Times New Roman" w:eastAsia="仿宋_GB2312"/>
          <w:color w:val="auto"/>
          <w:kern w:val="0"/>
          <w:sz w:val="28"/>
          <w:szCs w:val="28"/>
          <w:highlight w:val="none"/>
        </w:rPr>
        <w:t>内仍不能解决，双方均有权向厦门市思明区人民法院提起诉讼。违约方应承担守约方因此而支出的</w:t>
      </w:r>
      <w:r>
        <w:rPr>
          <w:rFonts w:hint="eastAsia" w:ascii="仿宋" w:hAnsi="仿宋" w:eastAsia="仿宋" w:cs="仿宋_GB2312"/>
          <w:color w:val="auto"/>
          <w:sz w:val="28"/>
          <w:szCs w:val="32"/>
          <w:highlight w:val="none"/>
        </w:rPr>
        <w:t>诉讼费、律师费、保全费、公告费</w:t>
      </w:r>
      <w:bookmarkStart w:id="119" w:name="_Hlk112769591"/>
      <w:r>
        <w:rPr>
          <w:rFonts w:hint="eastAsia" w:ascii="仿宋" w:hAnsi="仿宋" w:eastAsia="仿宋" w:cs="仿宋_GB2312"/>
          <w:color w:val="auto"/>
          <w:sz w:val="28"/>
          <w:szCs w:val="32"/>
          <w:highlight w:val="none"/>
        </w:rPr>
        <w:t>、公证费、鉴定费</w:t>
      </w:r>
      <w:bookmarkEnd w:id="119"/>
      <w:r>
        <w:rPr>
          <w:rFonts w:hint="eastAsia" w:ascii="仿宋" w:hAnsi="仿宋" w:eastAsia="仿宋" w:cs="仿宋_GB2312"/>
          <w:color w:val="auto"/>
          <w:sz w:val="28"/>
          <w:szCs w:val="32"/>
          <w:highlight w:val="none"/>
        </w:rPr>
        <w:t>等所有费用。</w:t>
      </w:r>
    </w:p>
    <w:p w14:paraId="39D90176">
      <w:pPr>
        <w:widowControl/>
        <w:spacing w:line="360" w:lineRule="auto"/>
        <w:ind w:firstLine="560"/>
        <w:rPr>
          <w:rFonts w:ascii="仿宋_GB2312" w:hAnsi="Times New Roman" w:eastAsia="仿宋_GB2312"/>
          <w:color w:val="auto"/>
          <w:kern w:val="0"/>
          <w:sz w:val="28"/>
          <w:szCs w:val="28"/>
          <w:highlight w:val="none"/>
        </w:rPr>
      </w:pPr>
      <w:r>
        <w:rPr>
          <w:rFonts w:hint="eastAsia" w:ascii="仿宋_GB2312" w:hAnsi="Times New Roman" w:eastAsia="仿宋_GB2312"/>
          <w:b/>
          <w:bCs/>
          <w:color w:val="auto"/>
          <w:kern w:val="0"/>
          <w:sz w:val="28"/>
          <w:szCs w:val="28"/>
          <w:highlight w:val="none"/>
        </w:rPr>
        <w:t xml:space="preserve">第四十八条  </w:t>
      </w:r>
      <w:r>
        <w:rPr>
          <w:rFonts w:hint="eastAsia" w:ascii="仿宋_GB2312" w:hAnsi="Times New Roman" w:eastAsia="仿宋_GB2312"/>
          <w:color w:val="auto"/>
          <w:kern w:val="0"/>
          <w:sz w:val="28"/>
          <w:szCs w:val="28"/>
          <w:highlight w:val="none"/>
        </w:rPr>
        <w:t>争议解决期间，除争议事项外，双方应继续履行本合同。</w:t>
      </w:r>
    </w:p>
    <w:p w14:paraId="05784710">
      <w:pPr>
        <w:widowControl/>
        <w:spacing w:line="360" w:lineRule="auto"/>
        <w:ind w:firstLine="560"/>
        <w:rPr>
          <w:rFonts w:ascii="仿宋_GB2312" w:hAnsi="Times New Roman" w:eastAsia="仿宋_GB2312"/>
          <w:color w:val="auto"/>
          <w:kern w:val="0"/>
          <w:sz w:val="28"/>
          <w:szCs w:val="28"/>
          <w:highlight w:val="none"/>
        </w:rPr>
      </w:pPr>
    </w:p>
    <w:p w14:paraId="71AD070D">
      <w:pPr>
        <w:widowControl/>
        <w:spacing w:line="360" w:lineRule="auto"/>
        <w:jc w:val="center"/>
        <w:rPr>
          <w:rFonts w:ascii="仿宋_GB2312" w:hAnsi="Times New Roman" w:eastAsia="仿宋_GB2312"/>
          <w:b/>
          <w:bCs/>
          <w:color w:val="auto"/>
          <w:kern w:val="0"/>
          <w:sz w:val="28"/>
          <w:szCs w:val="28"/>
          <w:highlight w:val="none"/>
        </w:rPr>
      </w:pPr>
      <w:r>
        <w:rPr>
          <w:rFonts w:hint="eastAsia" w:ascii="仿宋_GB2312" w:hAnsi="Times New Roman" w:eastAsia="仿宋_GB2312"/>
          <w:b/>
          <w:bCs/>
          <w:color w:val="auto"/>
          <w:kern w:val="0"/>
          <w:sz w:val="28"/>
          <w:szCs w:val="28"/>
          <w:highlight w:val="none"/>
        </w:rPr>
        <w:t>第十二章 通知和送达</w:t>
      </w:r>
    </w:p>
    <w:p w14:paraId="4BC05085">
      <w:pPr>
        <w:widowControl/>
        <w:spacing w:line="360" w:lineRule="auto"/>
        <w:ind w:firstLine="560"/>
        <w:rPr>
          <w:rFonts w:ascii="仿宋_GB2312" w:hAnsi="Times New Roman" w:eastAsia="仿宋_GB2312"/>
          <w:color w:val="auto"/>
          <w:kern w:val="0"/>
          <w:sz w:val="28"/>
          <w:szCs w:val="28"/>
          <w:highlight w:val="none"/>
        </w:rPr>
      </w:pPr>
      <w:r>
        <w:rPr>
          <w:rFonts w:hint="eastAsia" w:ascii="仿宋_GB2312" w:hAnsi="Times New Roman" w:eastAsia="仿宋_GB2312"/>
          <w:b/>
          <w:bCs/>
          <w:color w:val="auto"/>
          <w:kern w:val="0"/>
          <w:sz w:val="28"/>
          <w:szCs w:val="28"/>
          <w:highlight w:val="none"/>
        </w:rPr>
        <w:t xml:space="preserve">第四十九条  </w:t>
      </w:r>
      <w:r>
        <w:rPr>
          <w:rFonts w:hint="eastAsia" w:ascii="仿宋_GB2312" w:hAnsi="Times New Roman" w:eastAsia="仿宋_GB2312"/>
          <w:color w:val="auto"/>
          <w:kern w:val="0"/>
          <w:sz w:val="28"/>
          <w:szCs w:val="28"/>
          <w:highlight w:val="none"/>
        </w:rPr>
        <w:t>双方因履行本合同而相互发出或者提供的所有通知、文件、资料，应依照下列信息进行，任何一方通讯信息发生变更，应当及时书面通知另一方。</w:t>
      </w:r>
    </w:p>
    <w:p w14:paraId="7D681957">
      <w:pPr>
        <w:widowControl/>
        <w:spacing w:line="360" w:lineRule="auto"/>
        <w:ind w:firstLine="560"/>
        <w:rPr>
          <w:rFonts w:ascii="仿宋_GB2312" w:hAnsi="Times New Roman" w:eastAsia="仿宋_GB2312"/>
          <w:color w:val="auto"/>
          <w:kern w:val="0"/>
          <w:sz w:val="28"/>
          <w:szCs w:val="28"/>
          <w:highlight w:val="none"/>
        </w:rPr>
      </w:pPr>
      <w:r>
        <w:rPr>
          <w:rFonts w:hint="eastAsia" w:ascii="仿宋_GB2312" w:hAnsi="Times New Roman" w:eastAsia="仿宋_GB2312"/>
          <w:color w:val="auto"/>
          <w:kern w:val="0"/>
          <w:sz w:val="28"/>
          <w:szCs w:val="28"/>
          <w:highlight w:val="none"/>
        </w:rPr>
        <w:t>联系人：</w:t>
      </w:r>
      <w:r>
        <w:rPr>
          <w:rFonts w:hint="eastAsia" w:ascii="仿宋_GB2312" w:hAnsi="Times New Roman" w:eastAsia="仿宋_GB2312"/>
          <w:color w:val="auto"/>
          <w:kern w:val="0"/>
          <w:sz w:val="28"/>
          <w:szCs w:val="28"/>
          <w:highlight w:val="none"/>
          <w:u w:val="single"/>
        </w:rPr>
        <w:t xml:space="preserve">           </w:t>
      </w:r>
      <w:r>
        <w:rPr>
          <w:rFonts w:hint="eastAsia" w:ascii="仿宋_GB2312" w:hAnsi="Times New Roman" w:eastAsia="仿宋_GB2312"/>
          <w:color w:val="auto"/>
          <w:kern w:val="0"/>
          <w:sz w:val="28"/>
          <w:szCs w:val="28"/>
          <w:highlight w:val="none"/>
        </w:rPr>
        <w:t xml:space="preserve">          联系人：</w:t>
      </w:r>
      <w:r>
        <w:rPr>
          <w:rFonts w:hint="eastAsia" w:ascii="仿宋_GB2312" w:hAnsi="Times New Roman" w:eastAsia="仿宋_GB2312"/>
          <w:color w:val="auto"/>
          <w:kern w:val="0"/>
          <w:sz w:val="28"/>
          <w:szCs w:val="28"/>
          <w:highlight w:val="none"/>
          <w:u w:val="single"/>
        </w:rPr>
        <w:t xml:space="preserve">           </w:t>
      </w:r>
    </w:p>
    <w:p w14:paraId="02D53DE8">
      <w:pPr>
        <w:widowControl/>
        <w:spacing w:line="360" w:lineRule="auto"/>
        <w:ind w:firstLine="560"/>
        <w:rPr>
          <w:rFonts w:ascii="仿宋_GB2312" w:hAnsi="Times New Roman" w:eastAsia="仿宋_GB2312"/>
          <w:color w:val="auto"/>
          <w:kern w:val="0"/>
          <w:sz w:val="28"/>
          <w:szCs w:val="28"/>
          <w:highlight w:val="none"/>
        </w:rPr>
      </w:pPr>
      <w:r>
        <w:rPr>
          <w:rFonts w:hint="eastAsia" w:ascii="仿宋_GB2312" w:hAnsi="Times New Roman" w:eastAsia="仿宋_GB2312"/>
          <w:color w:val="auto"/>
          <w:kern w:val="0"/>
          <w:sz w:val="28"/>
          <w:szCs w:val="28"/>
          <w:highlight w:val="none"/>
        </w:rPr>
        <w:t>联系电话：</w:t>
      </w:r>
      <w:r>
        <w:rPr>
          <w:rFonts w:hint="eastAsia" w:ascii="仿宋_GB2312" w:hAnsi="Times New Roman" w:eastAsia="仿宋_GB2312"/>
          <w:color w:val="auto"/>
          <w:kern w:val="0"/>
          <w:sz w:val="28"/>
          <w:szCs w:val="28"/>
          <w:highlight w:val="none"/>
          <w:u w:val="single"/>
        </w:rPr>
        <w:t xml:space="preserve">           </w:t>
      </w:r>
      <w:r>
        <w:rPr>
          <w:rFonts w:hint="eastAsia" w:ascii="仿宋_GB2312" w:hAnsi="Times New Roman" w:eastAsia="仿宋_GB2312"/>
          <w:color w:val="auto"/>
          <w:kern w:val="0"/>
          <w:sz w:val="28"/>
          <w:szCs w:val="28"/>
          <w:highlight w:val="none"/>
        </w:rPr>
        <w:t xml:space="preserve">        联系电话：</w:t>
      </w:r>
      <w:r>
        <w:rPr>
          <w:rFonts w:hint="eastAsia" w:ascii="仿宋_GB2312" w:hAnsi="Times New Roman" w:eastAsia="仿宋_GB2312"/>
          <w:color w:val="auto"/>
          <w:kern w:val="0"/>
          <w:sz w:val="28"/>
          <w:szCs w:val="28"/>
          <w:highlight w:val="none"/>
          <w:u w:val="single"/>
        </w:rPr>
        <w:t xml:space="preserve">           </w:t>
      </w:r>
    </w:p>
    <w:p w14:paraId="19FE07E8">
      <w:pPr>
        <w:widowControl/>
        <w:shd w:val="clear" w:color="auto" w:fill="FFFFFF"/>
        <w:spacing w:line="360" w:lineRule="auto"/>
        <w:ind w:firstLine="560"/>
        <w:rPr>
          <w:rFonts w:ascii="仿宋_GB2312" w:hAnsi="Times New Roman" w:eastAsia="仿宋_GB2312"/>
          <w:color w:val="auto"/>
          <w:kern w:val="0"/>
          <w:sz w:val="28"/>
          <w:szCs w:val="28"/>
          <w:highlight w:val="none"/>
        </w:rPr>
      </w:pPr>
      <w:r>
        <w:rPr>
          <w:rFonts w:hint="eastAsia" w:ascii="仿宋_GB2312" w:hAnsi="Times New Roman" w:eastAsia="仿宋_GB2312"/>
          <w:b/>
          <w:bCs/>
          <w:color w:val="auto"/>
          <w:kern w:val="0"/>
          <w:sz w:val="28"/>
          <w:szCs w:val="28"/>
          <w:highlight w:val="none"/>
        </w:rPr>
        <w:t xml:space="preserve">第五十条  </w:t>
      </w:r>
      <w:r>
        <w:rPr>
          <w:rFonts w:hint="eastAsia" w:ascii="仿宋_GB2312" w:hAnsi="Times New Roman" w:eastAsia="仿宋_GB2312"/>
          <w:color w:val="auto"/>
          <w:kern w:val="0"/>
          <w:sz w:val="28"/>
          <w:szCs w:val="28"/>
          <w:highlight w:val="none"/>
        </w:rPr>
        <w:t>甲乙双方往来的相关通知，除书面函件外，甲乙双方也可以电话、传真、邮件、微信等形式通知。甲方与乙方在本合同载明电话号码或书面告知电话号码的接通记录、传真记录、微信记录等，视为已通知对方。甲乙双方确认，本合同载明的地址作为送达与本合同有关的各类通知、文件以及发生纠纷时相关文件及法律文书的送达地址。送达地址适用范围包括非诉阶段和争议进入民事诉讼程序后的一审、二审、再审、执行以及督促程序，法院可直接通过邮寄或其他方式送达法律文书。送达地址不准确、送达地址变更后未及时书面告知合同相对方和法院（若争议已经入司法程序解决）、拒收或指定的接收人拒绝签收等原因，导致相关文件或法律文书未能被一方实际接收的，邮寄送达的，以文书退回之日视为送达之日。</w:t>
      </w:r>
    </w:p>
    <w:p w14:paraId="52EFA879">
      <w:pPr>
        <w:widowControl/>
        <w:spacing w:line="360" w:lineRule="auto"/>
        <w:rPr>
          <w:rFonts w:ascii="仿宋_GB2312" w:hAnsi="Times New Roman" w:eastAsia="仿宋_GB2312"/>
          <w:b/>
          <w:bCs/>
          <w:color w:val="auto"/>
          <w:kern w:val="0"/>
          <w:sz w:val="28"/>
          <w:szCs w:val="28"/>
          <w:highlight w:val="none"/>
        </w:rPr>
      </w:pPr>
    </w:p>
    <w:p w14:paraId="2335749B">
      <w:pPr>
        <w:widowControl/>
        <w:spacing w:line="360" w:lineRule="auto"/>
        <w:jc w:val="center"/>
        <w:rPr>
          <w:rFonts w:ascii="仿宋_GB2312" w:hAnsi="Times New Roman" w:eastAsia="仿宋_GB2312"/>
          <w:b/>
          <w:bCs/>
          <w:color w:val="auto"/>
          <w:kern w:val="0"/>
          <w:sz w:val="28"/>
          <w:szCs w:val="28"/>
          <w:highlight w:val="none"/>
        </w:rPr>
      </w:pPr>
      <w:r>
        <w:rPr>
          <w:rFonts w:hint="eastAsia" w:ascii="仿宋_GB2312" w:hAnsi="Times New Roman" w:eastAsia="仿宋_GB2312"/>
          <w:b/>
          <w:bCs/>
          <w:color w:val="auto"/>
          <w:kern w:val="0"/>
          <w:sz w:val="28"/>
          <w:szCs w:val="28"/>
          <w:highlight w:val="none"/>
        </w:rPr>
        <w:t>第十三章 反商业贿赂</w:t>
      </w:r>
    </w:p>
    <w:p w14:paraId="17E40022">
      <w:pPr>
        <w:widowControl/>
        <w:spacing w:line="360" w:lineRule="auto"/>
        <w:ind w:firstLine="560"/>
        <w:rPr>
          <w:rFonts w:ascii="仿宋_GB2312" w:hAnsi="Times New Roman" w:eastAsia="仿宋_GB2312"/>
          <w:color w:val="auto"/>
          <w:kern w:val="0"/>
          <w:sz w:val="28"/>
          <w:szCs w:val="28"/>
          <w:highlight w:val="none"/>
        </w:rPr>
      </w:pPr>
      <w:r>
        <w:rPr>
          <w:rFonts w:hint="eastAsia" w:ascii="仿宋_GB2312" w:hAnsi="Times New Roman" w:eastAsia="仿宋_GB2312"/>
          <w:b/>
          <w:bCs/>
          <w:color w:val="auto"/>
          <w:kern w:val="0"/>
          <w:sz w:val="28"/>
          <w:szCs w:val="28"/>
          <w:highlight w:val="none"/>
        </w:rPr>
        <w:t xml:space="preserve">第五十一条  </w:t>
      </w:r>
      <w:r>
        <w:rPr>
          <w:rFonts w:hint="eastAsia" w:ascii="仿宋_GB2312" w:hAnsi="Times New Roman" w:eastAsia="仿宋_GB2312"/>
          <w:color w:val="auto"/>
          <w:kern w:val="0"/>
          <w:sz w:val="28"/>
          <w:szCs w:val="28"/>
          <w:highlight w:val="none"/>
        </w:rPr>
        <w:t>双方确认熟悉并了解合同签订地和履行地关于禁止贿赂的商业政策，并同意遵守相应政策。任何一方不得为了获取利益以任何名义宴请对方的员工、代表或向对方的上述人员赠送财物或其他好处。</w:t>
      </w:r>
    </w:p>
    <w:p w14:paraId="5BAFFF66">
      <w:pPr>
        <w:widowControl/>
        <w:spacing w:line="360" w:lineRule="auto"/>
        <w:ind w:firstLine="560"/>
        <w:rPr>
          <w:rFonts w:ascii="仿宋_GB2312" w:hAnsi="Times New Roman" w:eastAsia="仿宋_GB2312"/>
          <w:color w:val="auto"/>
          <w:kern w:val="0"/>
          <w:sz w:val="28"/>
          <w:szCs w:val="28"/>
          <w:highlight w:val="none"/>
        </w:rPr>
      </w:pPr>
      <w:r>
        <w:rPr>
          <w:rFonts w:hint="eastAsia" w:ascii="仿宋_GB2312" w:hAnsi="Times New Roman" w:eastAsia="仿宋_GB2312"/>
          <w:b/>
          <w:bCs/>
          <w:color w:val="auto"/>
          <w:kern w:val="0"/>
          <w:sz w:val="28"/>
          <w:szCs w:val="28"/>
          <w:highlight w:val="none"/>
        </w:rPr>
        <w:t xml:space="preserve">第五十二条  </w:t>
      </w:r>
      <w:r>
        <w:rPr>
          <w:rFonts w:hint="eastAsia" w:ascii="仿宋_GB2312" w:hAnsi="Times New Roman" w:eastAsia="仿宋_GB2312"/>
          <w:color w:val="auto"/>
          <w:kern w:val="0"/>
          <w:sz w:val="28"/>
          <w:szCs w:val="28"/>
          <w:highlight w:val="none"/>
        </w:rPr>
        <w:t>实施商业贿赂的一方将承担相应法律后果，且另一方有权以此为由随时终止本合同；因商业贿赂致使对方遭受的任何损失，实施商业贿赂的一方应当予以赔偿。</w:t>
      </w:r>
    </w:p>
    <w:p w14:paraId="262EB7E6">
      <w:pPr>
        <w:widowControl/>
        <w:spacing w:line="360" w:lineRule="auto"/>
        <w:ind w:firstLine="720"/>
        <w:rPr>
          <w:rFonts w:ascii="Times New Roman" w:hAnsi="Times New Roman"/>
          <w:color w:val="auto"/>
          <w:kern w:val="0"/>
          <w:sz w:val="24"/>
          <w:szCs w:val="24"/>
          <w:highlight w:val="none"/>
        </w:rPr>
      </w:pPr>
    </w:p>
    <w:p w14:paraId="79C570DD">
      <w:pPr>
        <w:widowControl/>
        <w:spacing w:line="360" w:lineRule="auto"/>
        <w:jc w:val="center"/>
        <w:rPr>
          <w:rFonts w:ascii="仿宋_GB2312" w:hAnsi="Times New Roman" w:eastAsia="仿宋_GB2312"/>
          <w:b/>
          <w:bCs/>
          <w:color w:val="auto"/>
          <w:kern w:val="0"/>
          <w:sz w:val="28"/>
          <w:szCs w:val="28"/>
          <w:highlight w:val="none"/>
        </w:rPr>
      </w:pPr>
      <w:r>
        <w:rPr>
          <w:rFonts w:hint="eastAsia" w:ascii="仿宋_GB2312" w:hAnsi="Times New Roman" w:eastAsia="仿宋_GB2312"/>
          <w:b/>
          <w:bCs/>
          <w:color w:val="auto"/>
          <w:kern w:val="0"/>
          <w:sz w:val="28"/>
          <w:szCs w:val="28"/>
          <w:highlight w:val="none"/>
        </w:rPr>
        <w:t>第十四章 附则</w:t>
      </w:r>
    </w:p>
    <w:p w14:paraId="307EBF25">
      <w:pPr>
        <w:widowControl/>
        <w:spacing w:line="360" w:lineRule="auto"/>
        <w:ind w:firstLine="560"/>
        <w:rPr>
          <w:rFonts w:ascii="仿宋_GB2312" w:hAnsi="Times New Roman" w:eastAsia="仿宋_GB2312"/>
          <w:color w:val="auto"/>
          <w:kern w:val="0"/>
          <w:sz w:val="28"/>
          <w:szCs w:val="28"/>
          <w:highlight w:val="none"/>
        </w:rPr>
      </w:pPr>
      <w:r>
        <w:rPr>
          <w:rFonts w:hint="eastAsia" w:ascii="仿宋_GB2312" w:hAnsi="Times New Roman" w:eastAsia="仿宋_GB2312"/>
          <w:b/>
          <w:bCs/>
          <w:color w:val="auto"/>
          <w:kern w:val="0"/>
          <w:sz w:val="28"/>
          <w:szCs w:val="28"/>
          <w:highlight w:val="none"/>
        </w:rPr>
        <w:t xml:space="preserve">第五十三条  </w:t>
      </w:r>
      <w:r>
        <w:rPr>
          <w:rFonts w:hint="eastAsia" w:ascii="仿宋_GB2312" w:hAnsi="Times New Roman" w:eastAsia="仿宋_GB2312"/>
          <w:color w:val="auto"/>
          <w:kern w:val="0"/>
          <w:sz w:val="28"/>
          <w:szCs w:val="28"/>
          <w:highlight w:val="none"/>
        </w:rPr>
        <w:t>本合同一式陆份，甲乙双方各执叁份，具有同等法律效力。</w:t>
      </w:r>
    </w:p>
    <w:p w14:paraId="3B735FE1">
      <w:pPr>
        <w:widowControl/>
        <w:spacing w:line="360" w:lineRule="auto"/>
        <w:ind w:firstLine="560"/>
        <w:rPr>
          <w:rFonts w:ascii="仿宋_GB2312" w:hAnsi="Times New Roman" w:eastAsia="仿宋_GB2312"/>
          <w:color w:val="auto"/>
          <w:kern w:val="0"/>
          <w:sz w:val="28"/>
          <w:szCs w:val="28"/>
          <w:highlight w:val="none"/>
        </w:rPr>
      </w:pPr>
      <w:r>
        <w:rPr>
          <w:rFonts w:hint="eastAsia" w:ascii="仿宋_GB2312" w:hAnsi="Times New Roman" w:eastAsia="仿宋_GB2312"/>
          <w:b/>
          <w:bCs/>
          <w:color w:val="auto"/>
          <w:kern w:val="0"/>
          <w:sz w:val="28"/>
          <w:szCs w:val="28"/>
          <w:highlight w:val="none"/>
        </w:rPr>
        <w:t xml:space="preserve">第五十四条  </w:t>
      </w:r>
      <w:r>
        <w:rPr>
          <w:rFonts w:hint="eastAsia" w:ascii="仿宋_GB2312" w:hAnsi="Times New Roman" w:eastAsia="仿宋_GB2312"/>
          <w:color w:val="auto"/>
          <w:kern w:val="0"/>
          <w:sz w:val="28"/>
          <w:szCs w:val="28"/>
          <w:highlight w:val="none"/>
        </w:rPr>
        <w:t>本合同自甲乙双方负责人、法定代表人或授权代表人签字并加盖公章/合同专用章之日起生效。</w:t>
      </w:r>
    </w:p>
    <w:p w14:paraId="144D34D7">
      <w:pPr>
        <w:widowControl/>
        <w:spacing w:line="360" w:lineRule="auto"/>
        <w:ind w:firstLine="560"/>
        <w:rPr>
          <w:rFonts w:ascii="仿宋_GB2312" w:hAnsi="Times New Roman" w:eastAsia="仿宋_GB2312"/>
          <w:color w:val="auto"/>
          <w:kern w:val="0"/>
          <w:sz w:val="28"/>
          <w:szCs w:val="28"/>
          <w:highlight w:val="none"/>
        </w:rPr>
      </w:pPr>
      <w:r>
        <w:rPr>
          <w:rFonts w:hint="eastAsia" w:ascii="仿宋_GB2312" w:hAnsi="Times New Roman" w:eastAsia="仿宋_GB2312"/>
          <w:b/>
          <w:bCs/>
          <w:color w:val="auto"/>
          <w:kern w:val="0"/>
          <w:sz w:val="28"/>
          <w:szCs w:val="28"/>
          <w:highlight w:val="none"/>
        </w:rPr>
        <w:t xml:space="preserve">第五十五条  </w:t>
      </w:r>
      <w:r>
        <w:rPr>
          <w:rFonts w:hint="eastAsia" w:ascii="仿宋_GB2312" w:hAnsi="Times New Roman" w:eastAsia="仿宋_GB2312"/>
          <w:color w:val="auto"/>
          <w:kern w:val="0"/>
          <w:sz w:val="28"/>
          <w:szCs w:val="28"/>
          <w:highlight w:val="none"/>
        </w:rPr>
        <w:t>本项目招标文件、投标文件均为本合同的有效组成部分及制定本合同的重要依据，与本合同具有同等法律效力。</w:t>
      </w:r>
    </w:p>
    <w:p w14:paraId="4CD8B0CB">
      <w:pPr>
        <w:widowControl/>
        <w:spacing w:line="360" w:lineRule="auto"/>
        <w:ind w:firstLine="560"/>
        <w:rPr>
          <w:rFonts w:ascii="仿宋_GB2312" w:hAnsi="Times New Roman" w:eastAsia="仿宋_GB2312"/>
          <w:color w:val="auto"/>
          <w:kern w:val="0"/>
          <w:sz w:val="28"/>
          <w:szCs w:val="28"/>
          <w:highlight w:val="none"/>
        </w:rPr>
      </w:pPr>
      <w:r>
        <w:rPr>
          <w:rFonts w:hint="eastAsia" w:ascii="仿宋_GB2312" w:hAnsi="Times New Roman" w:eastAsia="仿宋_GB2312"/>
          <w:b/>
          <w:bCs/>
          <w:color w:val="auto"/>
          <w:kern w:val="0"/>
          <w:sz w:val="28"/>
          <w:szCs w:val="28"/>
          <w:highlight w:val="none"/>
        </w:rPr>
        <w:t xml:space="preserve">第五十六条  </w:t>
      </w:r>
      <w:r>
        <w:rPr>
          <w:rFonts w:hint="eastAsia" w:ascii="仿宋_GB2312" w:hAnsi="Times New Roman" w:eastAsia="仿宋_GB2312"/>
          <w:color w:val="auto"/>
          <w:kern w:val="0"/>
          <w:sz w:val="28"/>
          <w:szCs w:val="28"/>
          <w:highlight w:val="none"/>
        </w:rPr>
        <w:t>未尽事宜双方可协商一致，遵照甲方规定签订补充合同，补充合同与本合同具有同等法律效力。本合同及补充合同中未约定的事宜，均遵照中华人民共和国有关法律、法规和规章执行。</w:t>
      </w:r>
    </w:p>
    <w:p w14:paraId="1B0F6C50">
      <w:pPr>
        <w:widowControl/>
        <w:spacing w:line="360" w:lineRule="auto"/>
        <w:ind w:firstLine="562" w:firstLineChars="200"/>
        <w:jc w:val="left"/>
        <w:rPr>
          <w:rFonts w:ascii="仿宋_GB2312" w:hAnsi="Times New Roman" w:eastAsia="仿宋_GB2312"/>
          <w:color w:val="auto"/>
          <w:kern w:val="0"/>
          <w:sz w:val="28"/>
          <w:szCs w:val="28"/>
          <w:highlight w:val="none"/>
        </w:rPr>
      </w:pPr>
      <w:r>
        <w:rPr>
          <w:rFonts w:hint="eastAsia" w:ascii="仿宋_GB2312" w:hAnsi="Times New Roman" w:eastAsia="仿宋_GB2312"/>
          <w:b/>
          <w:bCs/>
          <w:color w:val="auto"/>
          <w:kern w:val="0"/>
          <w:sz w:val="28"/>
          <w:szCs w:val="28"/>
          <w:highlight w:val="none"/>
        </w:rPr>
        <w:t>第五十七条</w:t>
      </w:r>
      <w:r>
        <w:rPr>
          <w:rFonts w:hint="eastAsia" w:ascii="仿宋_GB2312" w:hAnsi="Times New Roman" w:eastAsia="仿宋_GB2312"/>
          <w:color w:val="auto"/>
          <w:kern w:val="0"/>
          <w:sz w:val="28"/>
          <w:szCs w:val="28"/>
          <w:highlight w:val="none"/>
        </w:rPr>
        <w:t xml:space="preserve">  本合同包括叁个附件，附件名称为：《日常经营管理考评标准》《日常管理扣罚项目表》《就餐者满意度调查表》。本合同附件作为本合同不可分割的一部分，与本合同正文具有同等效力。</w:t>
      </w:r>
    </w:p>
    <w:p w14:paraId="2B16B367">
      <w:pPr>
        <w:widowControl/>
        <w:spacing w:line="360" w:lineRule="auto"/>
        <w:ind w:firstLine="560"/>
        <w:jc w:val="center"/>
        <w:rPr>
          <w:rFonts w:ascii="仿宋_GB2312" w:hAnsi="Times New Roman" w:eastAsia="仿宋_GB2312"/>
          <w:color w:val="auto"/>
          <w:kern w:val="0"/>
          <w:sz w:val="28"/>
          <w:szCs w:val="28"/>
          <w:highlight w:val="none"/>
        </w:rPr>
      </w:pPr>
      <w:r>
        <w:rPr>
          <w:rFonts w:hint="eastAsia" w:ascii="仿宋_GB2312" w:hAnsi="Times New Roman" w:eastAsia="仿宋_GB2312"/>
          <w:color w:val="auto"/>
          <w:kern w:val="0"/>
          <w:sz w:val="28"/>
          <w:szCs w:val="28"/>
          <w:highlight w:val="none"/>
        </w:rPr>
        <w:t>（以下无正文）</w:t>
      </w:r>
    </w:p>
    <w:p w14:paraId="2A24492F">
      <w:pPr>
        <w:widowControl/>
        <w:spacing w:line="360" w:lineRule="auto"/>
        <w:rPr>
          <w:rFonts w:ascii="仿宋_GB2312" w:hAnsi="Times New Roman" w:eastAsia="仿宋_GB2312"/>
          <w:color w:val="auto"/>
          <w:kern w:val="0"/>
          <w:sz w:val="28"/>
          <w:szCs w:val="28"/>
          <w:highlight w:val="none"/>
        </w:rPr>
      </w:pPr>
    </w:p>
    <w:p w14:paraId="28EB46FA">
      <w:pPr>
        <w:widowControl/>
        <w:spacing w:line="360" w:lineRule="auto"/>
        <w:rPr>
          <w:rFonts w:ascii="仿宋_GB2312" w:hAnsi="Times New Roman" w:eastAsia="仿宋_GB2312"/>
          <w:color w:val="auto"/>
          <w:kern w:val="0"/>
          <w:sz w:val="28"/>
          <w:szCs w:val="28"/>
          <w:highlight w:val="none"/>
        </w:rPr>
      </w:pPr>
    </w:p>
    <w:p w14:paraId="477E7A99">
      <w:pPr>
        <w:widowControl/>
        <w:spacing w:line="360" w:lineRule="auto"/>
        <w:rPr>
          <w:rFonts w:ascii="宋体" w:hAnsi="宋体"/>
          <w:color w:val="auto"/>
          <w:kern w:val="0"/>
          <w:sz w:val="24"/>
          <w:szCs w:val="24"/>
          <w:highlight w:val="none"/>
        </w:rPr>
      </w:pPr>
      <w:r>
        <w:rPr>
          <w:rFonts w:hint="eastAsia" w:ascii="宋体" w:hAnsi="宋体"/>
          <w:color w:val="auto"/>
          <w:kern w:val="0"/>
          <w:sz w:val="24"/>
          <w:szCs w:val="24"/>
          <w:highlight w:val="none"/>
        </w:rPr>
        <w:t xml:space="preserve">甲 方：                            乙 方：                       </w:t>
      </w:r>
    </w:p>
    <w:p w14:paraId="3A93065E">
      <w:pPr>
        <w:widowControl/>
        <w:spacing w:line="360" w:lineRule="auto"/>
        <w:ind w:left="5040" w:hanging="5040" w:hangingChars="2100"/>
        <w:rPr>
          <w:rFonts w:ascii="宋体" w:hAnsi="宋体"/>
          <w:color w:val="auto"/>
          <w:kern w:val="0"/>
          <w:sz w:val="24"/>
          <w:szCs w:val="24"/>
          <w:highlight w:val="none"/>
        </w:rPr>
      </w:pPr>
      <w:r>
        <w:rPr>
          <w:rFonts w:hint="eastAsia" w:ascii="宋体" w:hAnsi="宋体"/>
          <w:color w:val="auto"/>
          <w:kern w:val="0"/>
          <w:sz w:val="24"/>
          <w:szCs w:val="24"/>
          <w:highlight w:val="none"/>
        </w:rPr>
        <w:t xml:space="preserve">地 址：                           地 址：                       </w:t>
      </w:r>
    </w:p>
    <w:p w14:paraId="293B6304">
      <w:pPr>
        <w:widowControl/>
        <w:spacing w:line="360" w:lineRule="auto"/>
        <w:rPr>
          <w:rFonts w:ascii="宋体" w:hAnsi="宋体"/>
          <w:color w:val="auto"/>
          <w:kern w:val="0"/>
          <w:sz w:val="24"/>
          <w:szCs w:val="24"/>
          <w:highlight w:val="none"/>
        </w:rPr>
      </w:pPr>
    </w:p>
    <w:p w14:paraId="7996EA3D">
      <w:pPr>
        <w:widowControl/>
        <w:spacing w:line="360" w:lineRule="auto"/>
        <w:rPr>
          <w:rFonts w:ascii="宋体" w:hAnsi="宋体"/>
          <w:color w:val="auto"/>
          <w:kern w:val="0"/>
          <w:sz w:val="24"/>
          <w:szCs w:val="24"/>
          <w:highlight w:val="none"/>
        </w:rPr>
      </w:pPr>
    </w:p>
    <w:p w14:paraId="4457FF38">
      <w:pPr>
        <w:widowControl/>
        <w:spacing w:line="360" w:lineRule="auto"/>
        <w:rPr>
          <w:rFonts w:ascii="宋体" w:hAnsi="宋体"/>
          <w:color w:val="auto"/>
          <w:kern w:val="0"/>
          <w:sz w:val="24"/>
          <w:szCs w:val="24"/>
          <w:highlight w:val="none"/>
        </w:rPr>
      </w:pPr>
      <w:r>
        <w:rPr>
          <w:rFonts w:hint="eastAsia" w:ascii="宋体" w:hAnsi="宋体"/>
          <w:color w:val="auto"/>
          <w:kern w:val="0"/>
          <w:sz w:val="24"/>
          <w:szCs w:val="24"/>
          <w:highlight w:val="none"/>
        </w:rPr>
        <w:t>负责人或授权代表人：               法定代表人或授权代表人：</w:t>
      </w:r>
    </w:p>
    <w:p w14:paraId="10C85D33">
      <w:pPr>
        <w:widowControl/>
        <w:spacing w:line="360" w:lineRule="auto"/>
        <w:rPr>
          <w:rFonts w:ascii="宋体" w:hAnsi="宋体"/>
          <w:color w:val="auto"/>
          <w:kern w:val="0"/>
          <w:sz w:val="24"/>
          <w:szCs w:val="24"/>
          <w:highlight w:val="none"/>
        </w:rPr>
      </w:pPr>
    </w:p>
    <w:p w14:paraId="33C7438C">
      <w:pPr>
        <w:widowControl/>
        <w:spacing w:line="360" w:lineRule="auto"/>
        <w:rPr>
          <w:rFonts w:ascii="宋体" w:hAnsi="宋体"/>
          <w:color w:val="auto"/>
          <w:kern w:val="0"/>
          <w:sz w:val="24"/>
          <w:szCs w:val="24"/>
          <w:highlight w:val="none"/>
        </w:rPr>
      </w:pPr>
      <w:r>
        <w:rPr>
          <w:rFonts w:hint="eastAsia" w:ascii="宋体" w:hAnsi="宋体"/>
          <w:color w:val="auto"/>
          <w:kern w:val="0"/>
          <w:sz w:val="24"/>
          <w:szCs w:val="24"/>
          <w:highlight w:val="none"/>
        </w:rPr>
        <w:t xml:space="preserve">日 期：    年    月    日             日 期：    年    月    日 </w:t>
      </w:r>
    </w:p>
    <w:p w14:paraId="33D12B77">
      <w:pPr>
        <w:pageBreakBefore/>
        <w:widowControl/>
        <w:shd w:val="clear" w:color="auto" w:fill="FFFFFF"/>
        <w:spacing w:before="105" w:after="105" w:line="360" w:lineRule="auto"/>
        <w:jc w:val="left"/>
        <w:rPr>
          <w:rFonts w:ascii="宋体" w:hAnsi="宋体" w:cs="宋体"/>
          <w:color w:val="auto"/>
          <w:kern w:val="0"/>
          <w:sz w:val="24"/>
          <w:szCs w:val="24"/>
          <w:highlight w:val="none"/>
        </w:rPr>
      </w:pPr>
      <w:r>
        <w:rPr>
          <w:rFonts w:hint="eastAsia" w:ascii="宋体" w:hAnsi="宋体" w:cs="宋体"/>
          <w:b/>
          <w:bCs/>
          <w:color w:val="auto"/>
          <w:kern w:val="0"/>
          <w:sz w:val="24"/>
          <w:szCs w:val="24"/>
          <w:highlight w:val="none"/>
        </w:rPr>
        <w:t>附件1：日常经营管理考评表</w:t>
      </w:r>
    </w:p>
    <w:tbl>
      <w:tblPr>
        <w:tblStyle w:val="21"/>
        <w:tblW w:w="8503" w:type="dxa"/>
        <w:jc w:val="center"/>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Layout w:type="autofit"/>
        <w:tblCellMar>
          <w:top w:w="15" w:type="dxa"/>
          <w:left w:w="15" w:type="dxa"/>
          <w:bottom w:w="15" w:type="dxa"/>
          <w:right w:w="15" w:type="dxa"/>
        </w:tblCellMar>
      </w:tblPr>
      <w:tblGrid>
        <w:gridCol w:w="765"/>
        <w:gridCol w:w="5748"/>
        <w:gridCol w:w="855"/>
        <w:gridCol w:w="1135"/>
      </w:tblGrid>
      <w:tr w14:paraId="0364F790">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180" w:hRule="atLeast"/>
          <w:tblHeader/>
          <w:jc w:val="center"/>
        </w:trPr>
        <w:tc>
          <w:tcPr>
            <w:tcW w:w="765" w:type="dxa"/>
            <w:tcBorders>
              <w:top w:val="outset" w:color="auto" w:sz="6" w:space="0"/>
              <w:left w:val="outset" w:color="auto" w:sz="6" w:space="0"/>
              <w:bottom w:val="outset" w:color="000000" w:sz="6" w:space="0"/>
              <w:right w:val="outset" w:color="auto" w:sz="6" w:space="0"/>
            </w:tcBorders>
            <w:shd w:val="clear" w:color="auto" w:fill="FFFFFF"/>
            <w:tcMar>
              <w:top w:w="0" w:type="dxa"/>
              <w:left w:w="105" w:type="dxa"/>
              <w:bottom w:w="0" w:type="dxa"/>
              <w:right w:w="105" w:type="dxa"/>
            </w:tcMar>
          </w:tcPr>
          <w:p w14:paraId="694DBA39">
            <w:pPr>
              <w:widowControl/>
              <w:spacing w:line="360" w:lineRule="auto"/>
              <w:jc w:val="left"/>
              <w:rPr>
                <w:rFonts w:ascii="宋体" w:hAnsi="宋体" w:cs="宋体"/>
                <w:color w:val="auto"/>
                <w:kern w:val="0"/>
                <w:sz w:val="24"/>
                <w:szCs w:val="24"/>
                <w:highlight w:val="none"/>
              </w:rPr>
            </w:pPr>
          </w:p>
        </w:tc>
        <w:tc>
          <w:tcPr>
            <w:tcW w:w="5748" w:type="dxa"/>
            <w:tcBorders>
              <w:top w:val="outset" w:color="auto" w:sz="6" w:space="0"/>
              <w:left w:val="single" w:color="auto" w:sz="0" w:space="0"/>
              <w:bottom w:val="outset" w:color="auto" w:sz="6" w:space="0"/>
              <w:right w:val="outset" w:color="auto" w:sz="6" w:space="0"/>
            </w:tcBorders>
            <w:shd w:val="clear" w:color="auto" w:fill="FFFFFF"/>
            <w:tcMar>
              <w:top w:w="0" w:type="dxa"/>
              <w:left w:w="105" w:type="dxa"/>
              <w:bottom w:w="0" w:type="dxa"/>
              <w:right w:w="105" w:type="dxa"/>
            </w:tcMar>
          </w:tcPr>
          <w:p w14:paraId="6C626803">
            <w:pPr>
              <w:widowControl/>
              <w:spacing w:line="360" w:lineRule="auto"/>
              <w:jc w:val="center"/>
              <w:rPr>
                <w:rFonts w:ascii="宋体" w:hAnsi="宋体" w:cs="宋体"/>
                <w:color w:val="auto"/>
                <w:kern w:val="0"/>
                <w:sz w:val="24"/>
                <w:szCs w:val="24"/>
                <w:highlight w:val="none"/>
              </w:rPr>
            </w:pPr>
            <w:r>
              <w:rPr>
                <w:rFonts w:hint="eastAsia" w:ascii="宋体" w:hAnsi="宋体" w:cs="宋体"/>
                <w:b/>
                <w:bCs/>
                <w:color w:val="auto"/>
                <w:kern w:val="0"/>
                <w:sz w:val="24"/>
                <w:szCs w:val="24"/>
                <w:highlight w:val="none"/>
              </w:rPr>
              <w:t>达不到以下要求的不得分</w:t>
            </w:r>
          </w:p>
        </w:tc>
        <w:tc>
          <w:tcPr>
            <w:tcW w:w="855" w:type="dxa"/>
            <w:tcBorders>
              <w:top w:val="outset" w:color="auto" w:sz="6" w:space="0"/>
              <w:left w:val="single" w:color="auto" w:sz="0" w:space="0"/>
              <w:bottom w:val="outset" w:color="auto" w:sz="6" w:space="0"/>
              <w:right w:val="outset" w:color="auto" w:sz="6" w:space="0"/>
            </w:tcBorders>
            <w:shd w:val="clear" w:color="auto" w:fill="FFFFFF"/>
            <w:tcMar>
              <w:top w:w="0" w:type="dxa"/>
              <w:left w:w="105" w:type="dxa"/>
              <w:bottom w:w="0" w:type="dxa"/>
              <w:right w:w="105" w:type="dxa"/>
            </w:tcMar>
          </w:tcPr>
          <w:p w14:paraId="4F445DF3">
            <w:pPr>
              <w:widowControl/>
              <w:spacing w:line="360" w:lineRule="auto"/>
              <w:jc w:val="left"/>
              <w:rPr>
                <w:rFonts w:ascii="宋体" w:hAnsi="宋体" w:cs="宋体"/>
                <w:color w:val="auto"/>
                <w:kern w:val="0"/>
                <w:sz w:val="24"/>
                <w:szCs w:val="24"/>
                <w:highlight w:val="none"/>
              </w:rPr>
            </w:pPr>
            <w:r>
              <w:rPr>
                <w:rFonts w:hint="eastAsia" w:ascii="宋体" w:hAnsi="宋体" w:cs="宋体"/>
                <w:b/>
                <w:bCs/>
                <w:color w:val="auto"/>
                <w:kern w:val="0"/>
                <w:sz w:val="24"/>
                <w:szCs w:val="24"/>
                <w:highlight w:val="none"/>
              </w:rPr>
              <w:t>分值</w:t>
            </w:r>
          </w:p>
        </w:tc>
        <w:tc>
          <w:tcPr>
            <w:tcW w:w="1135" w:type="dxa"/>
            <w:tcBorders>
              <w:top w:val="outset" w:color="auto" w:sz="6" w:space="0"/>
              <w:left w:val="single" w:color="auto" w:sz="0" w:space="0"/>
              <w:bottom w:val="outset" w:color="auto" w:sz="6" w:space="0"/>
              <w:right w:val="outset" w:color="auto" w:sz="6" w:space="0"/>
            </w:tcBorders>
            <w:shd w:val="clear" w:color="auto" w:fill="FFFFFF"/>
            <w:tcMar>
              <w:top w:w="0" w:type="dxa"/>
              <w:left w:w="105" w:type="dxa"/>
              <w:bottom w:w="0" w:type="dxa"/>
              <w:right w:w="105" w:type="dxa"/>
            </w:tcMar>
          </w:tcPr>
          <w:p w14:paraId="25F82FA5">
            <w:pPr>
              <w:widowControl/>
              <w:spacing w:line="360" w:lineRule="auto"/>
              <w:jc w:val="center"/>
              <w:rPr>
                <w:rFonts w:ascii="宋体" w:hAnsi="宋体" w:cs="宋体"/>
                <w:color w:val="auto"/>
                <w:kern w:val="0"/>
                <w:sz w:val="24"/>
                <w:szCs w:val="24"/>
                <w:highlight w:val="none"/>
              </w:rPr>
            </w:pPr>
            <w:r>
              <w:rPr>
                <w:rFonts w:hint="eastAsia" w:ascii="宋体" w:hAnsi="宋体" w:cs="宋体"/>
                <w:b/>
                <w:bCs/>
                <w:color w:val="auto"/>
                <w:kern w:val="0"/>
                <w:sz w:val="24"/>
                <w:szCs w:val="24"/>
                <w:highlight w:val="none"/>
              </w:rPr>
              <w:t>得分</w:t>
            </w:r>
          </w:p>
        </w:tc>
      </w:tr>
      <w:tr w14:paraId="6FC2952E">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295" w:hRule="atLeast"/>
          <w:jc w:val="center"/>
        </w:trPr>
        <w:tc>
          <w:tcPr>
            <w:tcW w:w="765" w:type="dxa"/>
            <w:vMerge w:val="restart"/>
            <w:tcBorders>
              <w:top w:val="single" w:color="auto" w:sz="0" w:space="0"/>
              <w:left w:val="outset" w:color="auto" w:sz="6" w:space="0"/>
              <w:bottom w:val="outset" w:color="auto" w:sz="6" w:space="0"/>
              <w:right w:val="outset" w:color="auto" w:sz="6" w:space="0"/>
            </w:tcBorders>
            <w:shd w:val="clear" w:color="auto" w:fill="FFFFFF"/>
            <w:tcMar>
              <w:top w:w="0" w:type="dxa"/>
              <w:left w:w="105" w:type="dxa"/>
              <w:bottom w:w="0" w:type="dxa"/>
              <w:right w:w="105" w:type="dxa"/>
            </w:tcMar>
            <w:vAlign w:val="center"/>
          </w:tcPr>
          <w:p w14:paraId="26BE7D19">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 </w:t>
            </w:r>
          </w:p>
          <w:p w14:paraId="167BABF4">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综</w:t>
            </w:r>
          </w:p>
          <w:p w14:paraId="60E865B7">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合</w:t>
            </w:r>
          </w:p>
          <w:p w14:paraId="249CE0BB">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区</w:t>
            </w:r>
          </w:p>
          <w:p w14:paraId="7EE4FC92">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域</w:t>
            </w:r>
          </w:p>
        </w:tc>
        <w:tc>
          <w:tcPr>
            <w:tcW w:w="5748" w:type="dxa"/>
            <w:tcBorders>
              <w:top w:val="single" w:color="auto" w:sz="0" w:space="0"/>
              <w:left w:val="single" w:color="auto" w:sz="0" w:space="0"/>
              <w:bottom w:val="outset" w:color="auto" w:sz="6" w:space="0"/>
              <w:right w:val="outset" w:color="auto" w:sz="6" w:space="0"/>
            </w:tcBorders>
            <w:shd w:val="clear" w:color="auto" w:fill="FFFFFF"/>
            <w:tcMar>
              <w:top w:w="0" w:type="dxa"/>
              <w:left w:w="105" w:type="dxa"/>
              <w:bottom w:w="0" w:type="dxa"/>
              <w:right w:w="105" w:type="dxa"/>
            </w:tcMar>
            <w:vAlign w:val="center"/>
          </w:tcPr>
          <w:p w14:paraId="64BDF387">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垃圾桶整洁、并加盖；</w:t>
            </w:r>
          </w:p>
        </w:tc>
        <w:tc>
          <w:tcPr>
            <w:tcW w:w="855" w:type="dxa"/>
            <w:tcBorders>
              <w:top w:val="single" w:color="auto" w:sz="0" w:space="0"/>
              <w:left w:val="single" w:color="auto" w:sz="0" w:space="0"/>
              <w:bottom w:val="outset" w:color="auto" w:sz="6" w:space="0"/>
              <w:right w:val="outset" w:color="auto" w:sz="6" w:space="0"/>
            </w:tcBorders>
            <w:shd w:val="clear" w:color="auto" w:fill="FFFFFF"/>
            <w:tcMar>
              <w:top w:w="0" w:type="dxa"/>
              <w:left w:w="105" w:type="dxa"/>
              <w:bottom w:w="0" w:type="dxa"/>
              <w:right w:w="105" w:type="dxa"/>
            </w:tcMar>
            <w:vAlign w:val="center"/>
          </w:tcPr>
          <w:p w14:paraId="565BFA1F">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1</w:t>
            </w:r>
          </w:p>
        </w:tc>
        <w:tc>
          <w:tcPr>
            <w:tcW w:w="1135" w:type="dxa"/>
            <w:tcBorders>
              <w:top w:val="single" w:color="auto" w:sz="0" w:space="0"/>
              <w:left w:val="single" w:color="auto" w:sz="0" w:space="0"/>
              <w:bottom w:val="outset" w:color="auto" w:sz="6" w:space="0"/>
              <w:right w:val="outset" w:color="auto" w:sz="6" w:space="0"/>
            </w:tcBorders>
            <w:shd w:val="clear" w:color="auto" w:fill="FFFFFF"/>
            <w:tcMar>
              <w:top w:w="0" w:type="dxa"/>
              <w:left w:w="105" w:type="dxa"/>
              <w:bottom w:w="0" w:type="dxa"/>
              <w:right w:w="105" w:type="dxa"/>
            </w:tcMar>
          </w:tcPr>
          <w:p w14:paraId="2FC3A532">
            <w:pPr>
              <w:widowControl/>
              <w:spacing w:line="360" w:lineRule="auto"/>
              <w:jc w:val="left"/>
              <w:rPr>
                <w:rFonts w:ascii="宋体" w:hAnsi="宋体" w:cs="宋体"/>
                <w:color w:val="auto"/>
                <w:kern w:val="0"/>
                <w:sz w:val="24"/>
                <w:szCs w:val="24"/>
                <w:highlight w:val="none"/>
              </w:rPr>
            </w:pPr>
          </w:p>
        </w:tc>
      </w:tr>
      <w:tr w14:paraId="1C142E78">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90" w:hRule="atLeast"/>
          <w:jc w:val="center"/>
        </w:trPr>
        <w:tc>
          <w:tcPr>
            <w:tcW w:w="0" w:type="auto"/>
            <w:vMerge w:val="continue"/>
            <w:tcBorders>
              <w:top w:val="single" w:color="auto" w:sz="0" w:space="0"/>
              <w:left w:val="outset" w:color="auto" w:sz="6" w:space="0"/>
              <w:bottom w:val="outset" w:color="auto" w:sz="6" w:space="0"/>
              <w:right w:val="outset" w:color="auto" w:sz="6" w:space="0"/>
            </w:tcBorders>
            <w:shd w:val="clear" w:color="auto" w:fill="auto"/>
            <w:vAlign w:val="center"/>
          </w:tcPr>
          <w:p w14:paraId="752DD1B8">
            <w:pPr>
              <w:widowControl/>
              <w:spacing w:line="360" w:lineRule="auto"/>
              <w:jc w:val="left"/>
              <w:rPr>
                <w:rFonts w:ascii="宋体" w:hAnsi="宋体" w:cs="宋体"/>
                <w:color w:val="auto"/>
                <w:kern w:val="0"/>
                <w:sz w:val="24"/>
                <w:szCs w:val="24"/>
                <w:highlight w:val="none"/>
              </w:rPr>
            </w:pPr>
          </w:p>
        </w:tc>
        <w:tc>
          <w:tcPr>
            <w:tcW w:w="5748" w:type="dxa"/>
            <w:tcBorders>
              <w:top w:val="single" w:color="auto" w:sz="0" w:space="0"/>
              <w:left w:val="single" w:color="auto" w:sz="0" w:space="0"/>
              <w:bottom w:val="outset" w:color="auto" w:sz="6" w:space="0"/>
              <w:right w:val="outset" w:color="auto" w:sz="6" w:space="0"/>
            </w:tcBorders>
            <w:shd w:val="clear" w:color="auto" w:fill="FFFFFF"/>
            <w:tcMar>
              <w:top w:w="0" w:type="dxa"/>
              <w:left w:w="105" w:type="dxa"/>
              <w:bottom w:w="0" w:type="dxa"/>
              <w:right w:w="105" w:type="dxa"/>
            </w:tcMar>
            <w:vAlign w:val="center"/>
          </w:tcPr>
          <w:p w14:paraId="64EB1A77">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荤、素、水产品分池清洗、并有明显标识。</w:t>
            </w:r>
          </w:p>
        </w:tc>
        <w:tc>
          <w:tcPr>
            <w:tcW w:w="855" w:type="dxa"/>
            <w:tcBorders>
              <w:top w:val="single" w:color="auto" w:sz="0" w:space="0"/>
              <w:left w:val="single" w:color="auto" w:sz="0" w:space="0"/>
              <w:bottom w:val="outset" w:color="auto" w:sz="6" w:space="0"/>
              <w:right w:val="outset" w:color="auto" w:sz="6" w:space="0"/>
            </w:tcBorders>
            <w:shd w:val="clear" w:color="auto" w:fill="FFFFFF"/>
            <w:tcMar>
              <w:top w:w="0" w:type="dxa"/>
              <w:left w:w="105" w:type="dxa"/>
              <w:bottom w:w="0" w:type="dxa"/>
              <w:right w:w="105" w:type="dxa"/>
            </w:tcMar>
            <w:vAlign w:val="center"/>
          </w:tcPr>
          <w:p w14:paraId="78EFC181">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1</w:t>
            </w:r>
          </w:p>
        </w:tc>
        <w:tc>
          <w:tcPr>
            <w:tcW w:w="1135" w:type="dxa"/>
            <w:tcBorders>
              <w:top w:val="single" w:color="auto" w:sz="0" w:space="0"/>
              <w:left w:val="single" w:color="auto" w:sz="0" w:space="0"/>
              <w:bottom w:val="outset" w:color="auto" w:sz="6" w:space="0"/>
              <w:right w:val="outset" w:color="auto" w:sz="6" w:space="0"/>
            </w:tcBorders>
            <w:shd w:val="clear" w:color="auto" w:fill="FFFFFF"/>
            <w:tcMar>
              <w:top w:w="0" w:type="dxa"/>
              <w:left w:w="105" w:type="dxa"/>
              <w:bottom w:w="0" w:type="dxa"/>
              <w:right w:w="105" w:type="dxa"/>
            </w:tcMar>
          </w:tcPr>
          <w:p w14:paraId="3EF5D3AE">
            <w:pPr>
              <w:widowControl/>
              <w:spacing w:line="360" w:lineRule="auto"/>
              <w:jc w:val="left"/>
              <w:rPr>
                <w:rFonts w:ascii="宋体" w:hAnsi="宋体" w:cs="宋体"/>
                <w:color w:val="auto"/>
                <w:kern w:val="0"/>
                <w:sz w:val="24"/>
                <w:szCs w:val="24"/>
                <w:highlight w:val="none"/>
              </w:rPr>
            </w:pPr>
          </w:p>
        </w:tc>
      </w:tr>
      <w:tr w14:paraId="79BD80C5">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201" w:hRule="atLeast"/>
          <w:jc w:val="center"/>
        </w:trPr>
        <w:tc>
          <w:tcPr>
            <w:tcW w:w="0" w:type="auto"/>
            <w:vMerge w:val="continue"/>
            <w:tcBorders>
              <w:top w:val="single" w:color="auto" w:sz="0" w:space="0"/>
              <w:left w:val="outset" w:color="auto" w:sz="6" w:space="0"/>
              <w:bottom w:val="outset" w:color="auto" w:sz="6" w:space="0"/>
              <w:right w:val="outset" w:color="auto" w:sz="6" w:space="0"/>
            </w:tcBorders>
            <w:shd w:val="clear" w:color="auto" w:fill="auto"/>
            <w:vAlign w:val="center"/>
          </w:tcPr>
          <w:p w14:paraId="35C7AC3F">
            <w:pPr>
              <w:widowControl/>
              <w:spacing w:line="360" w:lineRule="auto"/>
              <w:jc w:val="left"/>
              <w:rPr>
                <w:rFonts w:ascii="宋体" w:hAnsi="宋体" w:cs="宋体"/>
                <w:color w:val="auto"/>
                <w:kern w:val="0"/>
                <w:sz w:val="24"/>
                <w:szCs w:val="24"/>
                <w:highlight w:val="none"/>
              </w:rPr>
            </w:pPr>
          </w:p>
        </w:tc>
        <w:tc>
          <w:tcPr>
            <w:tcW w:w="5748" w:type="dxa"/>
            <w:tcBorders>
              <w:top w:val="single" w:color="auto" w:sz="0" w:space="0"/>
              <w:left w:val="single" w:color="auto" w:sz="0" w:space="0"/>
              <w:bottom w:val="outset" w:color="auto" w:sz="6" w:space="0"/>
              <w:right w:val="outset" w:color="auto" w:sz="6" w:space="0"/>
            </w:tcBorders>
            <w:shd w:val="clear" w:color="auto" w:fill="FFFFFF"/>
            <w:tcMar>
              <w:top w:w="0" w:type="dxa"/>
              <w:left w:w="105" w:type="dxa"/>
              <w:bottom w:w="0" w:type="dxa"/>
              <w:right w:w="105" w:type="dxa"/>
            </w:tcMar>
            <w:vAlign w:val="center"/>
          </w:tcPr>
          <w:p w14:paraId="3BAAA7C4">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不在食堂区域内吸烟、不乱扔烟头</w:t>
            </w:r>
          </w:p>
        </w:tc>
        <w:tc>
          <w:tcPr>
            <w:tcW w:w="855" w:type="dxa"/>
            <w:tcBorders>
              <w:top w:val="single" w:color="auto" w:sz="0" w:space="0"/>
              <w:left w:val="single" w:color="auto" w:sz="0" w:space="0"/>
              <w:bottom w:val="outset" w:color="auto" w:sz="6" w:space="0"/>
              <w:right w:val="outset" w:color="auto" w:sz="6" w:space="0"/>
            </w:tcBorders>
            <w:shd w:val="clear" w:color="auto" w:fill="FFFFFF"/>
            <w:tcMar>
              <w:top w:w="0" w:type="dxa"/>
              <w:left w:w="105" w:type="dxa"/>
              <w:bottom w:w="0" w:type="dxa"/>
              <w:right w:w="105" w:type="dxa"/>
            </w:tcMar>
            <w:vAlign w:val="center"/>
          </w:tcPr>
          <w:p w14:paraId="4ADF8406">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1</w:t>
            </w:r>
          </w:p>
        </w:tc>
        <w:tc>
          <w:tcPr>
            <w:tcW w:w="1135" w:type="dxa"/>
            <w:tcBorders>
              <w:top w:val="single" w:color="auto" w:sz="0" w:space="0"/>
              <w:left w:val="single" w:color="auto" w:sz="0" w:space="0"/>
              <w:bottom w:val="outset" w:color="auto" w:sz="6" w:space="0"/>
              <w:right w:val="outset" w:color="auto" w:sz="6" w:space="0"/>
            </w:tcBorders>
            <w:shd w:val="clear" w:color="auto" w:fill="FFFFFF"/>
            <w:tcMar>
              <w:top w:w="0" w:type="dxa"/>
              <w:left w:w="105" w:type="dxa"/>
              <w:bottom w:w="0" w:type="dxa"/>
              <w:right w:w="105" w:type="dxa"/>
            </w:tcMar>
          </w:tcPr>
          <w:p w14:paraId="4FBA9362">
            <w:pPr>
              <w:widowControl/>
              <w:spacing w:line="360" w:lineRule="auto"/>
              <w:jc w:val="left"/>
              <w:rPr>
                <w:rFonts w:ascii="宋体" w:hAnsi="宋体" w:cs="宋体"/>
                <w:color w:val="auto"/>
                <w:kern w:val="0"/>
                <w:sz w:val="24"/>
                <w:szCs w:val="24"/>
                <w:highlight w:val="none"/>
              </w:rPr>
            </w:pPr>
          </w:p>
        </w:tc>
      </w:tr>
      <w:tr w14:paraId="50B55963">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168" w:hRule="atLeast"/>
          <w:jc w:val="center"/>
        </w:trPr>
        <w:tc>
          <w:tcPr>
            <w:tcW w:w="0" w:type="auto"/>
            <w:vMerge w:val="continue"/>
            <w:tcBorders>
              <w:top w:val="single" w:color="auto" w:sz="0" w:space="0"/>
              <w:left w:val="outset" w:color="auto" w:sz="6" w:space="0"/>
              <w:bottom w:val="outset" w:color="auto" w:sz="6" w:space="0"/>
              <w:right w:val="outset" w:color="auto" w:sz="6" w:space="0"/>
            </w:tcBorders>
            <w:shd w:val="clear" w:color="auto" w:fill="auto"/>
            <w:vAlign w:val="center"/>
          </w:tcPr>
          <w:p w14:paraId="096843E3">
            <w:pPr>
              <w:widowControl/>
              <w:spacing w:line="360" w:lineRule="auto"/>
              <w:jc w:val="left"/>
              <w:rPr>
                <w:rFonts w:ascii="宋体" w:hAnsi="宋体" w:cs="宋体"/>
                <w:color w:val="auto"/>
                <w:kern w:val="0"/>
                <w:sz w:val="24"/>
                <w:szCs w:val="24"/>
                <w:highlight w:val="none"/>
              </w:rPr>
            </w:pPr>
          </w:p>
        </w:tc>
        <w:tc>
          <w:tcPr>
            <w:tcW w:w="5748" w:type="dxa"/>
            <w:tcBorders>
              <w:top w:val="single" w:color="auto" w:sz="0" w:space="0"/>
              <w:left w:val="single" w:color="auto" w:sz="0" w:space="0"/>
              <w:bottom w:val="outset" w:color="auto" w:sz="6" w:space="0"/>
              <w:right w:val="outset" w:color="auto" w:sz="6" w:space="0"/>
            </w:tcBorders>
            <w:shd w:val="clear" w:color="auto" w:fill="FFFFFF"/>
            <w:tcMar>
              <w:top w:w="0" w:type="dxa"/>
              <w:left w:w="105" w:type="dxa"/>
              <w:bottom w:w="0" w:type="dxa"/>
              <w:right w:w="105" w:type="dxa"/>
            </w:tcMar>
            <w:vAlign w:val="center"/>
          </w:tcPr>
          <w:p w14:paraId="3115E8C5">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所有员工持《健康证》上岗。</w:t>
            </w:r>
          </w:p>
        </w:tc>
        <w:tc>
          <w:tcPr>
            <w:tcW w:w="855" w:type="dxa"/>
            <w:tcBorders>
              <w:top w:val="single" w:color="auto" w:sz="0" w:space="0"/>
              <w:left w:val="single" w:color="auto" w:sz="0" w:space="0"/>
              <w:bottom w:val="outset" w:color="auto" w:sz="6" w:space="0"/>
              <w:right w:val="outset" w:color="auto" w:sz="6" w:space="0"/>
            </w:tcBorders>
            <w:shd w:val="clear" w:color="auto" w:fill="FFFFFF"/>
            <w:tcMar>
              <w:top w:w="0" w:type="dxa"/>
              <w:left w:w="105" w:type="dxa"/>
              <w:bottom w:w="0" w:type="dxa"/>
              <w:right w:w="105" w:type="dxa"/>
            </w:tcMar>
            <w:vAlign w:val="center"/>
          </w:tcPr>
          <w:p w14:paraId="537C31B9">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2</w:t>
            </w:r>
          </w:p>
        </w:tc>
        <w:tc>
          <w:tcPr>
            <w:tcW w:w="1135" w:type="dxa"/>
            <w:tcBorders>
              <w:top w:val="single" w:color="auto" w:sz="0" w:space="0"/>
              <w:left w:val="single" w:color="auto" w:sz="0" w:space="0"/>
              <w:bottom w:val="outset" w:color="auto" w:sz="6" w:space="0"/>
              <w:right w:val="outset" w:color="auto" w:sz="6" w:space="0"/>
            </w:tcBorders>
            <w:shd w:val="clear" w:color="auto" w:fill="FFFFFF"/>
            <w:tcMar>
              <w:top w:w="0" w:type="dxa"/>
              <w:left w:w="105" w:type="dxa"/>
              <w:bottom w:w="0" w:type="dxa"/>
              <w:right w:w="105" w:type="dxa"/>
            </w:tcMar>
          </w:tcPr>
          <w:p w14:paraId="1AA437DF">
            <w:pPr>
              <w:widowControl/>
              <w:spacing w:line="360" w:lineRule="auto"/>
              <w:jc w:val="left"/>
              <w:rPr>
                <w:rFonts w:ascii="宋体" w:hAnsi="宋体" w:cs="宋体"/>
                <w:color w:val="auto"/>
                <w:kern w:val="0"/>
                <w:sz w:val="24"/>
                <w:szCs w:val="24"/>
                <w:highlight w:val="none"/>
              </w:rPr>
            </w:pPr>
          </w:p>
        </w:tc>
      </w:tr>
      <w:tr w14:paraId="2FD53391">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90" w:hRule="atLeast"/>
          <w:jc w:val="center"/>
        </w:trPr>
        <w:tc>
          <w:tcPr>
            <w:tcW w:w="0" w:type="auto"/>
            <w:vMerge w:val="continue"/>
            <w:tcBorders>
              <w:top w:val="single" w:color="auto" w:sz="0" w:space="0"/>
              <w:left w:val="outset" w:color="auto" w:sz="6" w:space="0"/>
              <w:bottom w:val="outset" w:color="auto" w:sz="6" w:space="0"/>
              <w:right w:val="outset" w:color="auto" w:sz="6" w:space="0"/>
            </w:tcBorders>
            <w:shd w:val="clear" w:color="auto" w:fill="auto"/>
            <w:vAlign w:val="center"/>
          </w:tcPr>
          <w:p w14:paraId="04265E18">
            <w:pPr>
              <w:widowControl/>
              <w:spacing w:line="360" w:lineRule="auto"/>
              <w:jc w:val="left"/>
              <w:rPr>
                <w:rFonts w:ascii="宋体" w:hAnsi="宋体" w:cs="宋体"/>
                <w:color w:val="auto"/>
                <w:kern w:val="0"/>
                <w:sz w:val="24"/>
                <w:szCs w:val="24"/>
                <w:highlight w:val="none"/>
              </w:rPr>
            </w:pPr>
          </w:p>
        </w:tc>
        <w:tc>
          <w:tcPr>
            <w:tcW w:w="5748" w:type="dxa"/>
            <w:tcBorders>
              <w:top w:val="single" w:color="auto" w:sz="0" w:space="0"/>
              <w:left w:val="single" w:color="auto" w:sz="0" w:space="0"/>
              <w:bottom w:val="outset" w:color="auto" w:sz="6" w:space="0"/>
              <w:right w:val="outset" w:color="auto" w:sz="6" w:space="0"/>
            </w:tcBorders>
            <w:shd w:val="clear" w:color="auto" w:fill="FFFFFF"/>
            <w:tcMar>
              <w:top w:w="0" w:type="dxa"/>
              <w:left w:w="105" w:type="dxa"/>
              <w:bottom w:w="0" w:type="dxa"/>
              <w:right w:w="105" w:type="dxa"/>
            </w:tcMar>
            <w:vAlign w:val="center"/>
          </w:tcPr>
          <w:p w14:paraId="3F58B955">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食堂卫生整洁，物品摆放整齐划一。</w:t>
            </w:r>
          </w:p>
        </w:tc>
        <w:tc>
          <w:tcPr>
            <w:tcW w:w="855" w:type="dxa"/>
            <w:tcBorders>
              <w:top w:val="single" w:color="auto" w:sz="0" w:space="0"/>
              <w:left w:val="single" w:color="auto" w:sz="0" w:space="0"/>
              <w:bottom w:val="outset" w:color="auto" w:sz="6" w:space="0"/>
              <w:right w:val="outset" w:color="auto" w:sz="6" w:space="0"/>
            </w:tcBorders>
            <w:shd w:val="clear" w:color="auto" w:fill="FFFFFF"/>
            <w:tcMar>
              <w:top w:w="0" w:type="dxa"/>
              <w:left w:w="105" w:type="dxa"/>
              <w:bottom w:w="0" w:type="dxa"/>
              <w:right w:w="105" w:type="dxa"/>
            </w:tcMar>
            <w:vAlign w:val="center"/>
          </w:tcPr>
          <w:p w14:paraId="25F60EBB">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2</w:t>
            </w:r>
          </w:p>
        </w:tc>
        <w:tc>
          <w:tcPr>
            <w:tcW w:w="1135" w:type="dxa"/>
            <w:tcBorders>
              <w:top w:val="single" w:color="auto" w:sz="0" w:space="0"/>
              <w:left w:val="single" w:color="auto" w:sz="0" w:space="0"/>
              <w:bottom w:val="outset" w:color="auto" w:sz="6" w:space="0"/>
              <w:right w:val="outset" w:color="auto" w:sz="6" w:space="0"/>
            </w:tcBorders>
            <w:shd w:val="clear" w:color="auto" w:fill="FFFFFF"/>
            <w:tcMar>
              <w:top w:w="0" w:type="dxa"/>
              <w:left w:w="105" w:type="dxa"/>
              <w:bottom w:w="0" w:type="dxa"/>
              <w:right w:w="105" w:type="dxa"/>
            </w:tcMar>
          </w:tcPr>
          <w:p w14:paraId="71CD3BF3">
            <w:pPr>
              <w:widowControl/>
              <w:spacing w:line="360" w:lineRule="auto"/>
              <w:jc w:val="left"/>
              <w:rPr>
                <w:rFonts w:ascii="宋体" w:hAnsi="宋体" w:cs="宋体"/>
                <w:color w:val="auto"/>
                <w:kern w:val="0"/>
                <w:sz w:val="24"/>
                <w:szCs w:val="24"/>
                <w:highlight w:val="none"/>
              </w:rPr>
            </w:pPr>
          </w:p>
        </w:tc>
      </w:tr>
      <w:tr w14:paraId="6E310108">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630" w:hRule="atLeast"/>
          <w:jc w:val="center"/>
        </w:trPr>
        <w:tc>
          <w:tcPr>
            <w:tcW w:w="0" w:type="auto"/>
            <w:vMerge w:val="continue"/>
            <w:tcBorders>
              <w:top w:val="single" w:color="auto" w:sz="0" w:space="0"/>
              <w:left w:val="outset" w:color="auto" w:sz="6" w:space="0"/>
              <w:bottom w:val="outset" w:color="auto" w:sz="6" w:space="0"/>
              <w:right w:val="outset" w:color="auto" w:sz="6" w:space="0"/>
            </w:tcBorders>
            <w:shd w:val="clear" w:color="auto" w:fill="auto"/>
            <w:vAlign w:val="center"/>
          </w:tcPr>
          <w:p w14:paraId="1618A673">
            <w:pPr>
              <w:widowControl/>
              <w:spacing w:line="360" w:lineRule="auto"/>
              <w:jc w:val="left"/>
              <w:rPr>
                <w:rFonts w:ascii="宋体" w:hAnsi="宋体" w:cs="宋体"/>
                <w:color w:val="auto"/>
                <w:kern w:val="0"/>
                <w:sz w:val="24"/>
                <w:szCs w:val="24"/>
                <w:highlight w:val="none"/>
              </w:rPr>
            </w:pPr>
          </w:p>
        </w:tc>
        <w:tc>
          <w:tcPr>
            <w:tcW w:w="5748" w:type="dxa"/>
            <w:tcBorders>
              <w:top w:val="single" w:color="auto" w:sz="0" w:space="0"/>
              <w:left w:val="single" w:color="auto" w:sz="0" w:space="0"/>
              <w:bottom w:val="outset" w:color="auto" w:sz="6" w:space="0"/>
              <w:right w:val="outset" w:color="auto" w:sz="6" w:space="0"/>
            </w:tcBorders>
            <w:shd w:val="clear" w:color="auto" w:fill="FFFFFF"/>
            <w:tcMar>
              <w:top w:w="0" w:type="dxa"/>
              <w:left w:w="105" w:type="dxa"/>
              <w:bottom w:w="0" w:type="dxa"/>
              <w:right w:w="105" w:type="dxa"/>
            </w:tcMar>
            <w:vAlign w:val="center"/>
          </w:tcPr>
          <w:p w14:paraId="5B6BE311">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冰箱定期清洗、除臭，并记录</w:t>
            </w:r>
          </w:p>
          <w:p w14:paraId="131942F7">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（提供前一个月记录）</w:t>
            </w:r>
          </w:p>
        </w:tc>
        <w:tc>
          <w:tcPr>
            <w:tcW w:w="855" w:type="dxa"/>
            <w:tcBorders>
              <w:top w:val="single" w:color="auto" w:sz="0" w:space="0"/>
              <w:left w:val="single" w:color="auto" w:sz="0" w:space="0"/>
              <w:bottom w:val="outset" w:color="auto" w:sz="6" w:space="0"/>
              <w:right w:val="outset" w:color="auto" w:sz="6" w:space="0"/>
            </w:tcBorders>
            <w:shd w:val="clear" w:color="auto" w:fill="FFFFFF"/>
            <w:tcMar>
              <w:top w:w="0" w:type="dxa"/>
              <w:left w:w="105" w:type="dxa"/>
              <w:bottom w:w="0" w:type="dxa"/>
              <w:right w:w="105" w:type="dxa"/>
            </w:tcMar>
            <w:vAlign w:val="center"/>
          </w:tcPr>
          <w:p w14:paraId="1A56C5D2">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2</w:t>
            </w:r>
          </w:p>
        </w:tc>
        <w:tc>
          <w:tcPr>
            <w:tcW w:w="1135" w:type="dxa"/>
            <w:tcBorders>
              <w:top w:val="single" w:color="auto" w:sz="0" w:space="0"/>
              <w:left w:val="single" w:color="auto" w:sz="0" w:space="0"/>
              <w:bottom w:val="outset" w:color="auto" w:sz="6" w:space="0"/>
              <w:right w:val="outset" w:color="auto" w:sz="6" w:space="0"/>
            </w:tcBorders>
            <w:shd w:val="clear" w:color="auto" w:fill="FFFFFF"/>
            <w:tcMar>
              <w:top w:w="0" w:type="dxa"/>
              <w:left w:w="105" w:type="dxa"/>
              <w:bottom w:w="0" w:type="dxa"/>
              <w:right w:w="105" w:type="dxa"/>
            </w:tcMar>
          </w:tcPr>
          <w:p w14:paraId="173D66AE">
            <w:pPr>
              <w:widowControl/>
              <w:spacing w:line="360" w:lineRule="auto"/>
              <w:jc w:val="left"/>
              <w:rPr>
                <w:rFonts w:ascii="宋体" w:hAnsi="宋体" w:cs="宋体"/>
                <w:color w:val="auto"/>
                <w:kern w:val="0"/>
                <w:sz w:val="24"/>
                <w:szCs w:val="24"/>
                <w:highlight w:val="none"/>
              </w:rPr>
            </w:pPr>
          </w:p>
        </w:tc>
      </w:tr>
      <w:tr w14:paraId="0D1ADA11">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jc w:val="center"/>
        </w:trPr>
        <w:tc>
          <w:tcPr>
            <w:tcW w:w="765" w:type="dxa"/>
            <w:vMerge w:val="restart"/>
            <w:tcBorders>
              <w:top w:val="single" w:color="auto" w:sz="0" w:space="0"/>
              <w:left w:val="outset" w:color="auto" w:sz="6" w:space="0"/>
              <w:bottom w:val="outset" w:color="auto" w:sz="6" w:space="0"/>
              <w:right w:val="outset" w:color="auto" w:sz="6" w:space="0"/>
            </w:tcBorders>
            <w:shd w:val="clear" w:color="auto" w:fill="FFFFFF"/>
            <w:tcMar>
              <w:top w:w="0" w:type="dxa"/>
              <w:left w:w="105" w:type="dxa"/>
              <w:bottom w:w="0" w:type="dxa"/>
              <w:right w:w="105" w:type="dxa"/>
            </w:tcMar>
            <w:vAlign w:val="center"/>
          </w:tcPr>
          <w:p w14:paraId="35F0FE26">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制度上墙</w:t>
            </w:r>
          </w:p>
        </w:tc>
        <w:tc>
          <w:tcPr>
            <w:tcW w:w="5748" w:type="dxa"/>
            <w:tcBorders>
              <w:top w:val="single" w:color="auto" w:sz="0" w:space="0"/>
              <w:left w:val="single" w:color="auto" w:sz="0" w:space="0"/>
              <w:bottom w:val="outset" w:color="auto" w:sz="6" w:space="0"/>
              <w:right w:val="outset" w:color="auto" w:sz="6" w:space="0"/>
            </w:tcBorders>
            <w:shd w:val="clear" w:color="auto" w:fill="FFFFFF"/>
            <w:tcMar>
              <w:top w:w="0" w:type="dxa"/>
              <w:left w:w="105" w:type="dxa"/>
              <w:bottom w:w="0" w:type="dxa"/>
              <w:right w:w="105" w:type="dxa"/>
            </w:tcMar>
            <w:vAlign w:val="center"/>
          </w:tcPr>
          <w:p w14:paraId="1062971C">
            <w:pPr>
              <w:widowControl/>
              <w:spacing w:after="150"/>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食堂总体管理制度、各区域卫生管理制度上墙</w:t>
            </w:r>
          </w:p>
        </w:tc>
        <w:tc>
          <w:tcPr>
            <w:tcW w:w="855" w:type="dxa"/>
            <w:tcBorders>
              <w:top w:val="single" w:color="auto" w:sz="0" w:space="0"/>
              <w:left w:val="single" w:color="auto" w:sz="0" w:space="0"/>
              <w:bottom w:val="outset" w:color="auto" w:sz="6" w:space="0"/>
              <w:right w:val="outset" w:color="auto" w:sz="6" w:space="0"/>
            </w:tcBorders>
            <w:shd w:val="clear" w:color="auto" w:fill="FFFFFF"/>
            <w:tcMar>
              <w:top w:w="0" w:type="dxa"/>
              <w:left w:w="105" w:type="dxa"/>
              <w:bottom w:w="0" w:type="dxa"/>
              <w:right w:w="105" w:type="dxa"/>
            </w:tcMar>
            <w:vAlign w:val="center"/>
          </w:tcPr>
          <w:p w14:paraId="1F1B8ED1">
            <w:pPr>
              <w:widowControl/>
              <w:spacing w:before="100" w:beforeAutospacing="1" w:after="100" w:afterAutospacing="1"/>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2</w:t>
            </w:r>
          </w:p>
        </w:tc>
        <w:tc>
          <w:tcPr>
            <w:tcW w:w="1135" w:type="dxa"/>
            <w:tcBorders>
              <w:top w:val="single" w:color="auto" w:sz="0" w:space="0"/>
              <w:left w:val="single" w:color="auto" w:sz="0" w:space="0"/>
              <w:bottom w:val="outset" w:color="auto" w:sz="6" w:space="0"/>
              <w:right w:val="outset" w:color="auto" w:sz="6" w:space="0"/>
            </w:tcBorders>
            <w:shd w:val="clear" w:color="auto" w:fill="FFFFFF"/>
            <w:tcMar>
              <w:top w:w="0" w:type="dxa"/>
              <w:left w:w="105" w:type="dxa"/>
              <w:bottom w:w="0" w:type="dxa"/>
              <w:right w:w="105" w:type="dxa"/>
            </w:tcMar>
          </w:tcPr>
          <w:p w14:paraId="5527526B">
            <w:pPr>
              <w:widowControl/>
              <w:spacing w:line="360" w:lineRule="auto"/>
              <w:jc w:val="left"/>
              <w:rPr>
                <w:rFonts w:ascii="宋体" w:hAnsi="宋体" w:cs="宋体"/>
                <w:color w:val="auto"/>
                <w:kern w:val="0"/>
                <w:sz w:val="24"/>
                <w:szCs w:val="24"/>
                <w:highlight w:val="none"/>
              </w:rPr>
            </w:pPr>
          </w:p>
        </w:tc>
      </w:tr>
      <w:tr w14:paraId="5D22F202">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90" w:hRule="atLeast"/>
          <w:jc w:val="center"/>
        </w:trPr>
        <w:tc>
          <w:tcPr>
            <w:tcW w:w="0" w:type="auto"/>
            <w:vMerge w:val="continue"/>
            <w:tcBorders>
              <w:top w:val="single" w:color="auto" w:sz="0" w:space="0"/>
              <w:left w:val="outset" w:color="auto" w:sz="6" w:space="0"/>
              <w:bottom w:val="outset" w:color="auto" w:sz="6" w:space="0"/>
              <w:right w:val="outset" w:color="auto" w:sz="6" w:space="0"/>
            </w:tcBorders>
            <w:shd w:val="clear" w:color="auto" w:fill="auto"/>
            <w:vAlign w:val="center"/>
          </w:tcPr>
          <w:p w14:paraId="5E4602E2">
            <w:pPr>
              <w:widowControl/>
              <w:spacing w:line="360" w:lineRule="auto"/>
              <w:jc w:val="left"/>
              <w:rPr>
                <w:rFonts w:ascii="宋体" w:hAnsi="宋体" w:cs="宋体"/>
                <w:color w:val="auto"/>
                <w:kern w:val="0"/>
                <w:sz w:val="24"/>
                <w:szCs w:val="24"/>
                <w:highlight w:val="none"/>
              </w:rPr>
            </w:pPr>
          </w:p>
        </w:tc>
        <w:tc>
          <w:tcPr>
            <w:tcW w:w="5748" w:type="dxa"/>
            <w:tcBorders>
              <w:top w:val="single" w:color="auto" w:sz="0" w:space="0"/>
              <w:left w:val="single" w:color="auto" w:sz="0" w:space="0"/>
              <w:bottom w:val="outset" w:color="auto" w:sz="6" w:space="0"/>
              <w:right w:val="outset" w:color="auto" w:sz="6" w:space="0"/>
            </w:tcBorders>
            <w:shd w:val="clear" w:color="auto" w:fill="FFFFFF"/>
            <w:tcMar>
              <w:top w:w="0" w:type="dxa"/>
              <w:left w:w="105" w:type="dxa"/>
              <w:bottom w:w="0" w:type="dxa"/>
              <w:right w:w="105" w:type="dxa"/>
            </w:tcMar>
            <w:vAlign w:val="center"/>
          </w:tcPr>
          <w:p w14:paraId="33DC10CC">
            <w:pPr>
              <w:widowControl/>
              <w:spacing w:after="150"/>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各岗位人员职责及人员照片上墙</w:t>
            </w:r>
          </w:p>
          <w:p w14:paraId="79E2AC39">
            <w:pPr>
              <w:widowControl/>
              <w:spacing w:after="150"/>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（至少应包括切配、炒锅、前厅服务、经理等）</w:t>
            </w:r>
          </w:p>
        </w:tc>
        <w:tc>
          <w:tcPr>
            <w:tcW w:w="855" w:type="dxa"/>
            <w:tcBorders>
              <w:top w:val="single" w:color="auto" w:sz="0" w:space="0"/>
              <w:left w:val="single" w:color="auto" w:sz="0" w:space="0"/>
              <w:bottom w:val="outset" w:color="auto" w:sz="6" w:space="0"/>
              <w:right w:val="outset" w:color="auto" w:sz="6" w:space="0"/>
            </w:tcBorders>
            <w:shd w:val="clear" w:color="auto" w:fill="FFFFFF"/>
            <w:tcMar>
              <w:top w:w="0" w:type="dxa"/>
              <w:left w:w="105" w:type="dxa"/>
              <w:bottom w:w="0" w:type="dxa"/>
              <w:right w:w="105" w:type="dxa"/>
            </w:tcMar>
            <w:vAlign w:val="center"/>
          </w:tcPr>
          <w:p w14:paraId="554CFB5B">
            <w:pPr>
              <w:widowControl/>
              <w:spacing w:before="100" w:beforeAutospacing="1" w:after="100" w:afterAutospacing="1"/>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2</w:t>
            </w:r>
          </w:p>
        </w:tc>
        <w:tc>
          <w:tcPr>
            <w:tcW w:w="1135" w:type="dxa"/>
            <w:tcBorders>
              <w:top w:val="single" w:color="auto" w:sz="0" w:space="0"/>
              <w:left w:val="single" w:color="auto" w:sz="0" w:space="0"/>
              <w:bottom w:val="outset" w:color="auto" w:sz="6" w:space="0"/>
              <w:right w:val="outset" w:color="auto" w:sz="6" w:space="0"/>
            </w:tcBorders>
            <w:shd w:val="clear" w:color="auto" w:fill="FFFFFF"/>
            <w:tcMar>
              <w:top w:w="0" w:type="dxa"/>
              <w:left w:w="105" w:type="dxa"/>
              <w:bottom w:w="0" w:type="dxa"/>
              <w:right w:w="105" w:type="dxa"/>
            </w:tcMar>
          </w:tcPr>
          <w:p w14:paraId="428E07C4">
            <w:pPr>
              <w:widowControl/>
              <w:spacing w:line="360" w:lineRule="auto"/>
              <w:jc w:val="left"/>
              <w:rPr>
                <w:rFonts w:ascii="宋体" w:hAnsi="宋体" w:cs="宋体"/>
                <w:color w:val="auto"/>
                <w:kern w:val="0"/>
                <w:sz w:val="24"/>
                <w:szCs w:val="24"/>
                <w:highlight w:val="none"/>
              </w:rPr>
            </w:pPr>
          </w:p>
        </w:tc>
      </w:tr>
      <w:tr w14:paraId="063D1AB7">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jc w:val="center"/>
        </w:trPr>
        <w:tc>
          <w:tcPr>
            <w:tcW w:w="0" w:type="auto"/>
            <w:vMerge w:val="continue"/>
            <w:tcBorders>
              <w:top w:val="single" w:color="auto" w:sz="0" w:space="0"/>
              <w:left w:val="outset" w:color="auto" w:sz="6" w:space="0"/>
              <w:bottom w:val="outset" w:color="auto" w:sz="6" w:space="0"/>
              <w:right w:val="outset" w:color="auto" w:sz="6" w:space="0"/>
            </w:tcBorders>
            <w:shd w:val="clear" w:color="auto" w:fill="auto"/>
            <w:vAlign w:val="center"/>
          </w:tcPr>
          <w:p w14:paraId="53E52839">
            <w:pPr>
              <w:widowControl/>
              <w:spacing w:line="360" w:lineRule="auto"/>
              <w:jc w:val="left"/>
              <w:rPr>
                <w:rFonts w:ascii="宋体" w:hAnsi="宋体" w:cs="宋体"/>
                <w:color w:val="auto"/>
                <w:kern w:val="0"/>
                <w:sz w:val="24"/>
                <w:szCs w:val="24"/>
                <w:highlight w:val="none"/>
              </w:rPr>
            </w:pPr>
          </w:p>
        </w:tc>
        <w:tc>
          <w:tcPr>
            <w:tcW w:w="5748" w:type="dxa"/>
            <w:tcBorders>
              <w:top w:val="single" w:color="auto" w:sz="0" w:space="0"/>
              <w:left w:val="single" w:color="auto" w:sz="0" w:space="0"/>
              <w:bottom w:val="outset" w:color="auto" w:sz="6" w:space="0"/>
              <w:right w:val="outset" w:color="auto" w:sz="6" w:space="0"/>
            </w:tcBorders>
            <w:shd w:val="clear" w:color="auto" w:fill="FFFFFF"/>
            <w:tcMar>
              <w:top w:w="0" w:type="dxa"/>
              <w:left w:w="105" w:type="dxa"/>
              <w:bottom w:w="0" w:type="dxa"/>
              <w:right w:w="105" w:type="dxa"/>
            </w:tcMar>
            <w:vAlign w:val="center"/>
          </w:tcPr>
          <w:p w14:paraId="258B6865">
            <w:pPr>
              <w:widowControl/>
              <w:spacing w:after="150"/>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各岗位的操作流程及操作规范上墙</w:t>
            </w:r>
          </w:p>
          <w:p w14:paraId="0DB25428">
            <w:pPr>
              <w:widowControl/>
              <w:spacing w:after="150"/>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（至少应包括切配、炒锅、服务人员等）</w:t>
            </w:r>
          </w:p>
        </w:tc>
        <w:tc>
          <w:tcPr>
            <w:tcW w:w="855" w:type="dxa"/>
            <w:tcBorders>
              <w:top w:val="single" w:color="auto" w:sz="0" w:space="0"/>
              <w:left w:val="single" w:color="auto" w:sz="0" w:space="0"/>
              <w:bottom w:val="outset" w:color="auto" w:sz="6" w:space="0"/>
              <w:right w:val="outset" w:color="auto" w:sz="6" w:space="0"/>
            </w:tcBorders>
            <w:shd w:val="clear" w:color="auto" w:fill="FFFFFF"/>
            <w:tcMar>
              <w:top w:w="0" w:type="dxa"/>
              <w:left w:w="105" w:type="dxa"/>
              <w:bottom w:w="0" w:type="dxa"/>
              <w:right w:w="105" w:type="dxa"/>
            </w:tcMar>
            <w:vAlign w:val="center"/>
          </w:tcPr>
          <w:p w14:paraId="7371F235">
            <w:pPr>
              <w:widowControl/>
              <w:spacing w:before="100" w:beforeAutospacing="1" w:after="100" w:afterAutospacing="1"/>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2</w:t>
            </w:r>
          </w:p>
        </w:tc>
        <w:tc>
          <w:tcPr>
            <w:tcW w:w="1135" w:type="dxa"/>
            <w:tcBorders>
              <w:top w:val="single" w:color="auto" w:sz="0" w:space="0"/>
              <w:left w:val="single" w:color="auto" w:sz="0" w:space="0"/>
              <w:bottom w:val="outset" w:color="auto" w:sz="6" w:space="0"/>
              <w:right w:val="outset" w:color="auto" w:sz="6" w:space="0"/>
            </w:tcBorders>
            <w:shd w:val="clear" w:color="auto" w:fill="FFFFFF"/>
            <w:tcMar>
              <w:top w:w="0" w:type="dxa"/>
              <w:left w:w="105" w:type="dxa"/>
              <w:bottom w:w="0" w:type="dxa"/>
              <w:right w:w="105" w:type="dxa"/>
            </w:tcMar>
          </w:tcPr>
          <w:p w14:paraId="065B855B">
            <w:pPr>
              <w:widowControl/>
              <w:spacing w:line="360" w:lineRule="auto"/>
              <w:jc w:val="left"/>
              <w:rPr>
                <w:rFonts w:ascii="宋体" w:hAnsi="宋体" w:cs="宋体"/>
                <w:color w:val="auto"/>
                <w:kern w:val="0"/>
                <w:sz w:val="24"/>
                <w:szCs w:val="24"/>
                <w:highlight w:val="none"/>
              </w:rPr>
            </w:pPr>
          </w:p>
        </w:tc>
      </w:tr>
      <w:tr w14:paraId="4BCFEBB0">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390" w:hRule="atLeast"/>
          <w:jc w:val="center"/>
        </w:trPr>
        <w:tc>
          <w:tcPr>
            <w:tcW w:w="765" w:type="dxa"/>
            <w:vMerge w:val="restart"/>
            <w:tcBorders>
              <w:top w:val="single" w:color="auto" w:sz="0" w:space="0"/>
              <w:left w:val="outset" w:color="auto" w:sz="6" w:space="0"/>
              <w:bottom w:val="outset" w:color="auto" w:sz="6" w:space="0"/>
              <w:right w:val="outset" w:color="auto" w:sz="6" w:space="0"/>
            </w:tcBorders>
            <w:shd w:val="clear" w:color="auto" w:fill="FFFFFF"/>
            <w:tcMar>
              <w:top w:w="0" w:type="dxa"/>
              <w:left w:w="105" w:type="dxa"/>
              <w:bottom w:w="0" w:type="dxa"/>
              <w:right w:w="105" w:type="dxa"/>
            </w:tcMar>
            <w:vAlign w:val="center"/>
          </w:tcPr>
          <w:p w14:paraId="7D7B9A45">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日常管理</w:t>
            </w:r>
          </w:p>
        </w:tc>
        <w:tc>
          <w:tcPr>
            <w:tcW w:w="5748" w:type="dxa"/>
            <w:tcBorders>
              <w:top w:val="single" w:color="auto" w:sz="0" w:space="0"/>
              <w:left w:val="single" w:color="auto" w:sz="0" w:space="0"/>
              <w:bottom w:val="outset" w:color="auto" w:sz="6" w:space="0"/>
              <w:right w:val="outset" w:color="auto" w:sz="6" w:space="0"/>
            </w:tcBorders>
            <w:shd w:val="clear" w:color="auto" w:fill="FFFFFF"/>
            <w:tcMar>
              <w:top w:w="0" w:type="dxa"/>
              <w:left w:w="105" w:type="dxa"/>
              <w:bottom w:w="0" w:type="dxa"/>
              <w:right w:w="105" w:type="dxa"/>
            </w:tcMar>
            <w:vAlign w:val="center"/>
          </w:tcPr>
          <w:p w14:paraId="452556F8">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有每周菜谱</w:t>
            </w:r>
          </w:p>
          <w:p w14:paraId="6225FD8E">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（提供前一个月记录）</w:t>
            </w:r>
          </w:p>
        </w:tc>
        <w:tc>
          <w:tcPr>
            <w:tcW w:w="855" w:type="dxa"/>
            <w:tcBorders>
              <w:top w:val="single" w:color="auto" w:sz="0" w:space="0"/>
              <w:left w:val="single" w:color="auto" w:sz="0" w:space="0"/>
              <w:bottom w:val="outset" w:color="auto" w:sz="6" w:space="0"/>
              <w:right w:val="outset" w:color="auto" w:sz="6" w:space="0"/>
            </w:tcBorders>
            <w:shd w:val="clear" w:color="auto" w:fill="FFFFFF"/>
            <w:tcMar>
              <w:top w:w="0" w:type="dxa"/>
              <w:left w:w="105" w:type="dxa"/>
              <w:bottom w:w="0" w:type="dxa"/>
              <w:right w:w="105" w:type="dxa"/>
            </w:tcMar>
            <w:vAlign w:val="center"/>
          </w:tcPr>
          <w:p w14:paraId="2EE7F24F">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2</w:t>
            </w:r>
          </w:p>
        </w:tc>
        <w:tc>
          <w:tcPr>
            <w:tcW w:w="1135" w:type="dxa"/>
            <w:tcBorders>
              <w:top w:val="single" w:color="auto" w:sz="0" w:space="0"/>
              <w:left w:val="single" w:color="auto" w:sz="0" w:space="0"/>
              <w:bottom w:val="outset" w:color="auto" w:sz="6" w:space="0"/>
              <w:right w:val="outset" w:color="auto" w:sz="6" w:space="0"/>
            </w:tcBorders>
            <w:shd w:val="clear" w:color="auto" w:fill="FFFFFF"/>
            <w:tcMar>
              <w:top w:w="0" w:type="dxa"/>
              <w:left w:w="105" w:type="dxa"/>
              <w:bottom w:w="0" w:type="dxa"/>
              <w:right w:w="105" w:type="dxa"/>
            </w:tcMar>
          </w:tcPr>
          <w:p w14:paraId="2BE5A08F">
            <w:pPr>
              <w:widowControl/>
              <w:spacing w:line="360" w:lineRule="auto"/>
              <w:jc w:val="left"/>
              <w:rPr>
                <w:rFonts w:ascii="宋体" w:hAnsi="宋体" w:cs="宋体"/>
                <w:color w:val="auto"/>
                <w:kern w:val="0"/>
                <w:sz w:val="24"/>
                <w:szCs w:val="24"/>
                <w:highlight w:val="none"/>
              </w:rPr>
            </w:pPr>
          </w:p>
        </w:tc>
      </w:tr>
      <w:tr w14:paraId="6859193A">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90" w:hRule="atLeast"/>
          <w:jc w:val="center"/>
        </w:trPr>
        <w:tc>
          <w:tcPr>
            <w:tcW w:w="0" w:type="auto"/>
            <w:vMerge w:val="continue"/>
            <w:tcBorders>
              <w:top w:val="single" w:color="auto" w:sz="0" w:space="0"/>
              <w:left w:val="outset" w:color="auto" w:sz="6" w:space="0"/>
              <w:bottom w:val="outset" w:color="auto" w:sz="6" w:space="0"/>
              <w:right w:val="outset" w:color="auto" w:sz="6" w:space="0"/>
            </w:tcBorders>
            <w:shd w:val="clear" w:color="auto" w:fill="auto"/>
            <w:vAlign w:val="center"/>
          </w:tcPr>
          <w:p w14:paraId="5AAF8B8F">
            <w:pPr>
              <w:widowControl/>
              <w:spacing w:line="360" w:lineRule="auto"/>
              <w:jc w:val="left"/>
              <w:rPr>
                <w:rFonts w:ascii="宋体" w:hAnsi="宋体" w:cs="宋体"/>
                <w:color w:val="auto"/>
                <w:kern w:val="0"/>
                <w:sz w:val="24"/>
                <w:szCs w:val="24"/>
                <w:highlight w:val="none"/>
              </w:rPr>
            </w:pPr>
          </w:p>
        </w:tc>
        <w:tc>
          <w:tcPr>
            <w:tcW w:w="5748" w:type="dxa"/>
            <w:tcBorders>
              <w:top w:val="single" w:color="auto" w:sz="0" w:space="0"/>
              <w:left w:val="single" w:color="auto" w:sz="0" w:space="0"/>
              <w:bottom w:val="outset" w:color="auto" w:sz="6" w:space="0"/>
              <w:right w:val="outset" w:color="auto" w:sz="6" w:space="0"/>
            </w:tcBorders>
            <w:shd w:val="clear" w:color="auto" w:fill="FFFFFF"/>
            <w:tcMar>
              <w:top w:w="0" w:type="dxa"/>
              <w:left w:w="105" w:type="dxa"/>
              <w:bottom w:w="0" w:type="dxa"/>
              <w:right w:w="105" w:type="dxa"/>
            </w:tcMar>
            <w:vAlign w:val="center"/>
          </w:tcPr>
          <w:p w14:paraId="02BBC8B3">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食品有留样，并有记录（提供前一个月记录）</w:t>
            </w:r>
          </w:p>
        </w:tc>
        <w:tc>
          <w:tcPr>
            <w:tcW w:w="855" w:type="dxa"/>
            <w:tcBorders>
              <w:top w:val="single" w:color="auto" w:sz="0" w:space="0"/>
              <w:left w:val="single" w:color="auto" w:sz="0" w:space="0"/>
              <w:bottom w:val="outset" w:color="auto" w:sz="6" w:space="0"/>
              <w:right w:val="outset" w:color="auto" w:sz="6" w:space="0"/>
            </w:tcBorders>
            <w:shd w:val="clear" w:color="auto" w:fill="FFFFFF"/>
            <w:tcMar>
              <w:top w:w="0" w:type="dxa"/>
              <w:left w:w="105" w:type="dxa"/>
              <w:bottom w:w="0" w:type="dxa"/>
              <w:right w:w="105" w:type="dxa"/>
            </w:tcMar>
            <w:vAlign w:val="center"/>
          </w:tcPr>
          <w:p w14:paraId="34182AFA">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2</w:t>
            </w:r>
          </w:p>
        </w:tc>
        <w:tc>
          <w:tcPr>
            <w:tcW w:w="1135" w:type="dxa"/>
            <w:tcBorders>
              <w:top w:val="single" w:color="auto" w:sz="0" w:space="0"/>
              <w:left w:val="single" w:color="auto" w:sz="0" w:space="0"/>
              <w:bottom w:val="outset" w:color="auto" w:sz="6" w:space="0"/>
              <w:right w:val="outset" w:color="auto" w:sz="6" w:space="0"/>
            </w:tcBorders>
            <w:shd w:val="clear" w:color="auto" w:fill="FFFFFF"/>
            <w:tcMar>
              <w:top w:w="0" w:type="dxa"/>
              <w:left w:w="105" w:type="dxa"/>
              <w:bottom w:w="0" w:type="dxa"/>
              <w:right w:w="105" w:type="dxa"/>
            </w:tcMar>
          </w:tcPr>
          <w:p w14:paraId="64A4551C">
            <w:pPr>
              <w:widowControl/>
              <w:spacing w:line="360" w:lineRule="auto"/>
              <w:jc w:val="left"/>
              <w:rPr>
                <w:rFonts w:ascii="宋体" w:hAnsi="宋体" w:cs="宋体"/>
                <w:color w:val="auto"/>
                <w:kern w:val="0"/>
                <w:sz w:val="24"/>
                <w:szCs w:val="24"/>
                <w:highlight w:val="none"/>
              </w:rPr>
            </w:pPr>
          </w:p>
        </w:tc>
      </w:tr>
      <w:tr w14:paraId="58FDDA8D">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177" w:hRule="atLeast"/>
          <w:jc w:val="center"/>
        </w:trPr>
        <w:tc>
          <w:tcPr>
            <w:tcW w:w="0" w:type="auto"/>
            <w:vMerge w:val="continue"/>
            <w:tcBorders>
              <w:top w:val="single" w:color="auto" w:sz="0" w:space="0"/>
              <w:left w:val="outset" w:color="auto" w:sz="6" w:space="0"/>
              <w:bottom w:val="outset" w:color="auto" w:sz="6" w:space="0"/>
              <w:right w:val="outset" w:color="auto" w:sz="6" w:space="0"/>
            </w:tcBorders>
            <w:shd w:val="clear" w:color="auto" w:fill="auto"/>
            <w:vAlign w:val="center"/>
          </w:tcPr>
          <w:p w14:paraId="72493689">
            <w:pPr>
              <w:widowControl/>
              <w:spacing w:line="360" w:lineRule="auto"/>
              <w:jc w:val="left"/>
              <w:rPr>
                <w:rFonts w:ascii="宋体" w:hAnsi="宋体" w:cs="宋体"/>
                <w:color w:val="auto"/>
                <w:kern w:val="0"/>
                <w:sz w:val="24"/>
                <w:szCs w:val="24"/>
                <w:highlight w:val="none"/>
              </w:rPr>
            </w:pPr>
          </w:p>
        </w:tc>
        <w:tc>
          <w:tcPr>
            <w:tcW w:w="5748" w:type="dxa"/>
            <w:tcBorders>
              <w:top w:val="single" w:color="auto" w:sz="0" w:space="0"/>
              <w:left w:val="single" w:color="auto" w:sz="0" w:space="0"/>
              <w:bottom w:val="outset" w:color="auto" w:sz="6" w:space="0"/>
              <w:right w:val="outset" w:color="auto" w:sz="6" w:space="0"/>
            </w:tcBorders>
            <w:shd w:val="clear" w:color="auto" w:fill="FFFFFF"/>
            <w:tcMar>
              <w:top w:w="0" w:type="dxa"/>
              <w:left w:w="105" w:type="dxa"/>
              <w:bottom w:w="0" w:type="dxa"/>
              <w:right w:w="105" w:type="dxa"/>
            </w:tcMar>
            <w:vAlign w:val="center"/>
          </w:tcPr>
          <w:p w14:paraId="3A3F24CE">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餐具有消毒并有记录（提供前一个月记录）</w:t>
            </w:r>
          </w:p>
        </w:tc>
        <w:tc>
          <w:tcPr>
            <w:tcW w:w="855" w:type="dxa"/>
            <w:tcBorders>
              <w:top w:val="single" w:color="auto" w:sz="0" w:space="0"/>
              <w:left w:val="single" w:color="auto" w:sz="0" w:space="0"/>
              <w:bottom w:val="outset" w:color="auto" w:sz="6" w:space="0"/>
              <w:right w:val="outset" w:color="auto" w:sz="6" w:space="0"/>
            </w:tcBorders>
            <w:shd w:val="clear" w:color="auto" w:fill="FFFFFF"/>
            <w:tcMar>
              <w:top w:w="0" w:type="dxa"/>
              <w:left w:w="105" w:type="dxa"/>
              <w:bottom w:w="0" w:type="dxa"/>
              <w:right w:w="105" w:type="dxa"/>
            </w:tcMar>
            <w:vAlign w:val="center"/>
          </w:tcPr>
          <w:p w14:paraId="5257F436">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2</w:t>
            </w:r>
          </w:p>
        </w:tc>
        <w:tc>
          <w:tcPr>
            <w:tcW w:w="1135" w:type="dxa"/>
            <w:tcBorders>
              <w:top w:val="single" w:color="auto" w:sz="0" w:space="0"/>
              <w:left w:val="single" w:color="auto" w:sz="0" w:space="0"/>
              <w:bottom w:val="outset" w:color="auto" w:sz="6" w:space="0"/>
              <w:right w:val="outset" w:color="auto" w:sz="6" w:space="0"/>
            </w:tcBorders>
            <w:shd w:val="clear" w:color="auto" w:fill="FFFFFF"/>
            <w:tcMar>
              <w:top w:w="0" w:type="dxa"/>
              <w:left w:w="105" w:type="dxa"/>
              <w:bottom w:w="0" w:type="dxa"/>
              <w:right w:w="105" w:type="dxa"/>
            </w:tcMar>
          </w:tcPr>
          <w:p w14:paraId="617602DA">
            <w:pPr>
              <w:widowControl/>
              <w:spacing w:line="360" w:lineRule="auto"/>
              <w:jc w:val="left"/>
              <w:rPr>
                <w:rFonts w:ascii="宋体" w:hAnsi="宋体" w:cs="宋体"/>
                <w:color w:val="auto"/>
                <w:kern w:val="0"/>
                <w:sz w:val="24"/>
                <w:szCs w:val="24"/>
                <w:highlight w:val="none"/>
              </w:rPr>
            </w:pPr>
          </w:p>
        </w:tc>
      </w:tr>
      <w:tr w14:paraId="1DF887EA">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637" w:hRule="atLeast"/>
          <w:jc w:val="center"/>
        </w:trPr>
        <w:tc>
          <w:tcPr>
            <w:tcW w:w="0" w:type="auto"/>
            <w:vMerge w:val="continue"/>
            <w:tcBorders>
              <w:top w:val="single" w:color="auto" w:sz="0" w:space="0"/>
              <w:left w:val="outset" w:color="auto" w:sz="6" w:space="0"/>
              <w:bottom w:val="outset" w:color="auto" w:sz="6" w:space="0"/>
              <w:right w:val="outset" w:color="auto" w:sz="6" w:space="0"/>
            </w:tcBorders>
            <w:shd w:val="clear" w:color="auto" w:fill="auto"/>
            <w:vAlign w:val="center"/>
          </w:tcPr>
          <w:p w14:paraId="426D4A69">
            <w:pPr>
              <w:widowControl/>
              <w:spacing w:line="360" w:lineRule="auto"/>
              <w:jc w:val="left"/>
              <w:rPr>
                <w:rFonts w:ascii="宋体" w:hAnsi="宋体" w:cs="宋体"/>
                <w:color w:val="auto"/>
                <w:kern w:val="0"/>
                <w:sz w:val="24"/>
                <w:szCs w:val="24"/>
                <w:highlight w:val="none"/>
              </w:rPr>
            </w:pPr>
          </w:p>
        </w:tc>
        <w:tc>
          <w:tcPr>
            <w:tcW w:w="5748" w:type="dxa"/>
            <w:tcBorders>
              <w:top w:val="single" w:color="auto" w:sz="0" w:space="0"/>
              <w:left w:val="single" w:color="auto" w:sz="0" w:space="0"/>
              <w:bottom w:val="outset" w:color="auto" w:sz="6" w:space="0"/>
              <w:right w:val="outset" w:color="auto" w:sz="6" w:space="0"/>
            </w:tcBorders>
            <w:shd w:val="clear" w:color="auto" w:fill="FFFFFF"/>
            <w:tcMar>
              <w:top w:w="0" w:type="dxa"/>
              <w:left w:w="105" w:type="dxa"/>
              <w:bottom w:w="0" w:type="dxa"/>
              <w:right w:w="105" w:type="dxa"/>
            </w:tcMar>
            <w:vAlign w:val="center"/>
          </w:tcPr>
          <w:p w14:paraId="359F2F97">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配餐区每天清洗消毒，并有消毒记录</w:t>
            </w:r>
          </w:p>
          <w:p w14:paraId="5294F002">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（提供前一个月记录）</w:t>
            </w:r>
          </w:p>
        </w:tc>
        <w:tc>
          <w:tcPr>
            <w:tcW w:w="855" w:type="dxa"/>
            <w:tcBorders>
              <w:top w:val="single" w:color="auto" w:sz="0" w:space="0"/>
              <w:left w:val="single" w:color="auto" w:sz="0" w:space="0"/>
              <w:bottom w:val="outset" w:color="auto" w:sz="6" w:space="0"/>
              <w:right w:val="outset" w:color="auto" w:sz="6" w:space="0"/>
            </w:tcBorders>
            <w:shd w:val="clear" w:color="auto" w:fill="FFFFFF"/>
            <w:tcMar>
              <w:top w:w="0" w:type="dxa"/>
              <w:left w:w="105" w:type="dxa"/>
              <w:bottom w:w="0" w:type="dxa"/>
              <w:right w:w="105" w:type="dxa"/>
            </w:tcMar>
            <w:vAlign w:val="center"/>
          </w:tcPr>
          <w:p w14:paraId="1762A9ED">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2</w:t>
            </w:r>
          </w:p>
        </w:tc>
        <w:tc>
          <w:tcPr>
            <w:tcW w:w="1135" w:type="dxa"/>
            <w:tcBorders>
              <w:top w:val="single" w:color="auto" w:sz="0" w:space="0"/>
              <w:left w:val="single" w:color="auto" w:sz="0" w:space="0"/>
              <w:bottom w:val="outset" w:color="auto" w:sz="6" w:space="0"/>
              <w:right w:val="outset" w:color="auto" w:sz="6" w:space="0"/>
            </w:tcBorders>
            <w:shd w:val="clear" w:color="auto" w:fill="FFFFFF"/>
            <w:tcMar>
              <w:top w:w="0" w:type="dxa"/>
              <w:left w:w="105" w:type="dxa"/>
              <w:bottom w:w="0" w:type="dxa"/>
              <w:right w:w="105" w:type="dxa"/>
            </w:tcMar>
          </w:tcPr>
          <w:p w14:paraId="615AF2B0">
            <w:pPr>
              <w:widowControl/>
              <w:spacing w:line="360" w:lineRule="auto"/>
              <w:jc w:val="left"/>
              <w:rPr>
                <w:rFonts w:ascii="宋体" w:hAnsi="宋体" w:cs="宋体"/>
                <w:color w:val="auto"/>
                <w:kern w:val="0"/>
                <w:sz w:val="24"/>
                <w:szCs w:val="24"/>
                <w:highlight w:val="none"/>
              </w:rPr>
            </w:pPr>
          </w:p>
        </w:tc>
      </w:tr>
      <w:tr w14:paraId="0899584D">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90" w:hRule="atLeast"/>
          <w:jc w:val="center"/>
        </w:trPr>
        <w:tc>
          <w:tcPr>
            <w:tcW w:w="0" w:type="auto"/>
            <w:vMerge w:val="continue"/>
            <w:tcBorders>
              <w:top w:val="single" w:color="auto" w:sz="0" w:space="0"/>
              <w:left w:val="outset" w:color="auto" w:sz="6" w:space="0"/>
              <w:bottom w:val="outset" w:color="auto" w:sz="6" w:space="0"/>
              <w:right w:val="outset" w:color="auto" w:sz="6" w:space="0"/>
            </w:tcBorders>
            <w:shd w:val="clear" w:color="auto" w:fill="auto"/>
            <w:vAlign w:val="center"/>
          </w:tcPr>
          <w:p w14:paraId="1E1155E1">
            <w:pPr>
              <w:widowControl/>
              <w:spacing w:line="360" w:lineRule="auto"/>
              <w:jc w:val="left"/>
              <w:rPr>
                <w:rFonts w:ascii="宋体" w:hAnsi="宋体" w:cs="宋体"/>
                <w:color w:val="auto"/>
                <w:kern w:val="0"/>
                <w:sz w:val="24"/>
                <w:szCs w:val="24"/>
                <w:highlight w:val="none"/>
              </w:rPr>
            </w:pPr>
          </w:p>
        </w:tc>
        <w:tc>
          <w:tcPr>
            <w:tcW w:w="5748" w:type="dxa"/>
            <w:tcBorders>
              <w:top w:val="single" w:color="auto" w:sz="0" w:space="0"/>
              <w:left w:val="single" w:color="auto" w:sz="0" w:space="0"/>
              <w:bottom w:val="outset" w:color="auto" w:sz="6" w:space="0"/>
              <w:right w:val="outset" w:color="auto" w:sz="6" w:space="0"/>
            </w:tcBorders>
            <w:shd w:val="clear" w:color="auto" w:fill="FFFFFF"/>
            <w:tcMar>
              <w:top w:w="0" w:type="dxa"/>
              <w:left w:w="105" w:type="dxa"/>
              <w:bottom w:w="0" w:type="dxa"/>
              <w:right w:w="105" w:type="dxa"/>
            </w:tcMar>
            <w:vAlign w:val="center"/>
          </w:tcPr>
          <w:p w14:paraId="04F0B8B7">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配餐区配有食品保温设施</w:t>
            </w:r>
          </w:p>
        </w:tc>
        <w:tc>
          <w:tcPr>
            <w:tcW w:w="855" w:type="dxa"/>
            <w:tcBorders>
              <w:top w:val="single" w:color="auto" w:sz="0" w:space="0"/>
              <w:left w:val="single" w:color="auto" w:sz="0" w:space="0"/>
              <w:bottom w:val="outset" w:color="auto" w:sz="6" w:space="0"/>
              <w:right w:val="outset" w:color="auto" w:sz="6" w:space="0"/>
            </w:tcBorders>
            <w:shd w:val="clear" w:color="auto" w:fill="FFFFFF"/>
            <w:tcMar>
              <w:top w:w="0" w:type="dxa"/>
              <w:left w:w="105" w:type="dxa"/>
              <w:bottom w:w="0" w:type="dxa"/>
              <w:right w:w="105" w:type="dxa"/>
            </w:tcMar>
            <w:vAlign w:val="center"/>
          </w:tcPr>
          <w:p w14:paraId="0B24651C">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1</w:t>
            </w:r>
          </w:p>
        </w:tc>
        <w:tc>
          <w:tcPr>
            <w:tcW w:w="1135" w:type="dxa"/>
            <w:tcBorders>
              <w:top w:val="single" w:color="auto" w:sz="0" w:space="0"/>
              <w:left w:val="single" w:color="auto" w:sz="0" w:space="0"/>
              <w:bottom w:val="outset" w:color="auto" w:sz="6" w:space="0"/>
              <w:right w:val="outset" w:color="auto" w:sz="6" w:space="0"/>
            </w:tcBorders>
            <w:shd w:val="clear" w:color="auto" w:fill="FFFFFF"/>
            <w:tcMar>
              <w:top w:w="0" w:type="dxa"/>
              <w:left w:w="105" w:type="dxa"/>
              <w:bottom w:w="0" w:type="dxa"/>
              <w:right w:w="105" w:type="dxa"/>
            </w:tcMar>
          </w:tcPr>
          <w:p w14:paraId="0ACD3FA7">
            <w:pPr>
              <w:widowControl/>
              <w:spacing w:line="360" w:lineRule="auto"/>
              <w:jc w:val="left"/>
              <w:rPr>
                <w:rFonts w:ascii="宋体" w:hAnsi="宋体" w:cs="宋体"/>
                <w:color w:val="auto"/>
                <w:kern w:val="0"/>
                <w:sz w:val="24"/>
                <w:szCs w:val="24"/>
                <w:highlight w:val="none"/>
              </w:rPr>
            </w:pPr>
          </w:p>
        </w:tc>
      </w:tr>
      <w:tr w14:paraId="398F7507">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jc w:val="center"/>
        </w:trPr>
        <w:tc>
          <w:tcPr>
            <w:tcW w:w="765" w:type="dxa"/>
            <w:vMerge w:val="restart"/>
            <w:tcBorders>
              <w:top w:val="single" w:color="auto" w:sz="0" w:space="0"/>
              <w:left w:val="outset" w:color="auto" w:sz="6" w:space="0"/>
              <w:bottom w:val="outset" w:color="auto" w:sz="6" w:space="0"/>
              <w:right w:val="outset" w:color="auto" w:sz="6" w:space="0"/>
            </w:tcBorders>
            <w:shd w:val="clear" w:color="auto" w:fill="FFFFFF"/>
            <w:tcMar>
              <w:top w:w="0" w:type="dxa"/>
              <w:left w:w="105" w:type="dxa"/>
              <w:bottom w:w="0" w:type="dxa"/>
              <w:right w:w="105" w:type="dxa"/>
            </w:tcMar>
            <w:vAlign w:val="center"/>
          </w:tcPr>
          <w:p w14:paraId="2A1A8668">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菜品质量</w:t>
            </w:r>
          </w:p>
        </w:tc>
        <w:tc>
          <w:tcPr>
            <w:tcW w:w="5748" w:type="dxa"/>
            <w:tcBorders>
              <w:top w:val="single" w:color="auto" w:sz="0" w:space="0"/>
              <w:left w:val="single" w:color="auto" w:sz="0" w:space="0"/>
              <w:bottom w:val="outset" w:color="auto" w:sz="6" w:space="0"/>
              <w:right w:val="outset" w:color="auto" w:sz="6" w:space="0"/>
            </w:tcBorders>
            <w:shd w:val="clear" w:color="auto" w:fill="FFFFFF"/>
            <w:tcMar>
              <w:top w:w="0" w:type="dxa"/>
              <w:left w:w="105" w:type="dxa"/>
              <w:bottom w:w="0" w:type="dxa"/>
              <w:right w:w="105" w:type="dxa"/>
            </w:tcMar>
            <w:vAlign w:val="center"/>
          </w:tcPr>
          <w:p w14:paraId="2995B54A">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菜品颜色</w:t>
            </w:r>
          </w:p>
        </w:tc>
        <w:tc>
          <w:tcPr>
            <w:tcW w:w="855" w:type="dxa"/>
            <w:tcBorders>
              <w:top w:val="single" w:color="auto" w:sz="0" w:space="0"/>
              <w:left w:val="single" w:color="auto" w:sz="0" w:space="0"/>
              <w:bottom w:val="outset" w:color="auto" w:sz="6" w:space="0"/>
              <w:right w:val="outset" w:color="auto" w:sz="6" w:space="0"/>
            </w:tcBorders>
            <w:shd w:val="clear" w:color="auto" w:fill="FFFFFF"/>
            <w:tcMar>
              <w:top w:w="0" w:type="dxa"/>
              <w:left w:w="105" w:type="dxa"/>
              <w:bottom w:w="0" w:type="dxa"/>
              <w:right w:w="105" w:type="dxa"/>
            </w:tcMar>
            <w:vAlign w:val="center"/>
          </w:tcPr>
          <w:p w14:paraId="432468B1">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2</w:t>
            </w:r>
          </w:p>
        </w:tc>
        <w:tc>
          <w:tcPr>
            <w:tcW w:w="1135" w:type="dxa"/>
            <w:tcBorders>
              <w:top w:val="single" w:color="auto" w:sz="0" w:space="0"/>
              <w:left w:val="single" w:color="auto" w:sz="0" w:space="0"/>
              <w:bottom w:val="outset" w:color="auto" w:sz="6" w:space="0"/>
              <w:right w:val="outset" w:color="auto" w:sz="6" w:space="0"/>
            </w:tcBorders>
            <w:shd w:val="clear" w:color="auto" w:fill="FFFFFF"/>
            <w:tcMar>
              <w:top w:w="0" w:type="dxa"/>
              <w:left w:w="105" w:type="dxa"/>
              <w:bottom w:w="0" w:type="dxa"/>
              <w:right w:w="105" w:type="dxa"/>
            </w:tcMar>
          </w:tcPr>
          <w:p w14:paraId="1835A2BF">
            <w:pPr>
              <w:widowControl/>
              <w:spacing w:line="360" w:lineRule="auto"/>
              <w:jc w:val="left"/>
              <w:rPr>
                <w:rFonts w:ascii="宋体" w:hAnsi="宋体" w:cs="宋体"/>
                <w:color w:val="auto"/>
                <w:kern w:val="0"/>
                <w:sz w:val="24"/>
                <w:szCs w:val="24"/>
                <w:highlight w:val="none"/>
              </w:rPr>
            </w:pPr>
          </w:p>
        </w:tc>
      </w:tr>
      <w:tr w14:paraId="6FD0B75F">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jc w:val="center"/>
        </w:trPr>
        <w:tc>
          <w:tcPr>
            <w:tcW w:w="0" w:type="auto"/>
            <w:vMerge w:val="continue"/>
            <w:tcBorders>
              <w:top w:val="single" w:color="auto" w:sz="0" w:space="0"/>
              <w:left w:val="outset" w:color="auto" w:sz="6" w:space="0"/>
              <w:bottom w:val="outset" w:color="auto" w:sz="6" w:space="0"/>
              <w:right w:val="outset" w:color="auto" w:sz="6" w:space="0"/>
            </w:tcBorders>
            <w:shd w:val="clear" w:color="auto" w:fill="auto"/>
            <w:vAlign w:val="center"/>
          </w:tcPr>
          <w:p w14:paraId="6DB37154">
            <w:pPr>
              <w:widowControl/>
              <w:spacing w:line="360" w:lineRule="auto"/>
              <w:jc w:val="left"/>
              <w:rPr>
                <w:rFonts w:ascii="宋体" w:hAnsi="宋体" w:cs="宋体"/>
                <w:color w:val="auto"/>
                <w:kern w:val="0"/>
                <w:sz w:val="24"/>
                <w:szCs w:val="24"/>
                <w:highlight w:val="none"/>
              </w:rPr>
            </w:pPr>
          </w:p>
        </w:tc>
        <w:tc>
          <w:tcPr>
            <w:tcW w:w="5748" w:type="dxa"/>
            <w:tcBorders>
              <w:top w:val="single" w:color="auto" w:sz="0" w:space="0"/>
              <w:left w:val="single" w:color="auto" w:sz="0" w:space="0"/>
              <w:bottom w:val="outset" w:color="auto" w:sz="6" w:space="0"/>
              <w:right w:val="outset" w:color="auto" w:sz="6" w:space="0"/>
            </w:tcBorders>
            <w:shd w:val="clear" w:color="auto" w:fill="FFFFFF"/>
            <w:tcMar>
              <w:top w:w="0" w:type="dxa"/>
              <w:left w:w="105" w:type="dxa"/>
              <w:bottom w:w="0" w:type="dxa"/>
              <w:right w:w="105" w:type="dxa"/>
            </w:tcMar>
            <w:vAlign w:val="center"/>
          </w:tcPr>
          <w:p w14:paraId="54F3AFCC">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菜肴品质</w:t>
            </w:r>
          </w:p>
        </w:tc>
        <w:tc>
          <w:tcPr>
            <w:tcW w:w="855" w:type="dxa"/>
            <w:tcBorders>
              <w:top w:val="single" w:color="auto" w:sz="0" w:space="0"/>
              <w:left w:val="single" w:color="auto" w:sz="0" w:space="0"/>
              <w:bottom w:val="outset" w:color="auto" w:sz="6" w:space="0"/>
              <w:right w:val="outset" w:color="auto" w:sz="6" w:space="0"/>
            </w:tcBorders>
            <w:shd w:val="clear" w:color="auto" w:fill="FFFFFF"/>
            <w:tcMar>
              <w:top w:w="0" w:type="dxa"/>
              <w:left w:w="105" w:type="dxa"/>
              <w:bottom w:w="0" w:type="dxa"/>
              <w:right w:w="105" w:type="dxa"/>
            </w:tcMar>
            <w:vAlign w:val="center"/>
          </w:tcPr>
          <w:p w14:paraId="775B3B7A">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2</w:t>
            </w:r>
          </w:p>
        </w:tc>
        <w:tc>
          <w:tcPr>
            <w:tcW w:w="1135" w:type="dxa"/>
            <w:tcBorders>
              <w:top w:val="single" w:color="auto" w:sz="0" w:space="0"/>
              <w:left w:val="single" w:color="auto" w:sz="0" w:space="0"/>
              <w:bottom w:val="outset" w:color="auto" w:sz="6" w:space="0"/>
              <w:right w:val="outset" w:color="auto" w:sz="6" w:space="0"/>
            </w:tcBorders>
            <w:shd w:val="clear" w:color="auto" w:fill="FFFFFF"/>
            <w:tcMar>
              <w:top w:w="0" w:type="dxa"/>
              <w:left w:w="105" w:type="dxa"/>
              <w:bottom w:w="0" w:type="dxa"/>
              <w:right w:w="105" w:type="dxa"/>
            </w:tcMar>
          </w:tcPr>
          <w:p w14:paraId="3A5E7DD3">
            <w:pPr>
              <w:widowControl/>
              <w:spacing w:line="360" w:lineRule="auto"/>
              <w:jc w:val="left"/>
              <w:rPr>
                <w:rFonts w:ascii="宋体" w:hAnsi="宋体" w:cs="宋体"/>
                <w:color w:val="auto"/>
                <w:kern w:val="0"/>
                <w:sz w:val="24"/>
                <w:szCs w:val="24"/>
                <w:highlight w:val="none"/>
              </w:rPr>
            </w:pPr>
          </w:p>
        </w:tc>
      </w:tr>
      <w:tr w14:paraId="6A38A687">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jc w:val="center"/>
        </w:trPr>
        <w:tc>
          <w:tcPr>
            <w:tcW w:w="0" w:type="auto"/>
            <w:vMerge w:val="continue"/>
            <w:tcBorders>
              <w:top w:val="single" w:color="auto" w:sz="0" w:space="0"/>
              <w:left w:val="outset" w:color="auto" w:sz="6" w:space="0"/>
              <w:bottom w:val="outset" w:color="auto" w:sz="6" w:space="0"/>
              <w:right w:val="outset" w:color="auto" w:sz="6" w:space="0"/>
            </w:tcBorders>
            <w:shd w:val="clear" w:color="auto" w:fill="auto"/>
            <w:vAlign w:val="center"/>
          </w:tcPr>
          <w:p w14:paraId="17EAE027">
            <w:pPr>
              <w:widowControl/>
              <w:spacing w:line="360" w:lineRule="auto"/>
              <w:jc w:val="left"/>
              <w:rPr>
                <w:rFonts w:ascii="宋体" w:hAnsi="宋体" w:cs="宋体"/>
                <w:color w:val="auto"/>
                <w:kern w:val="0"/>
                <w:sz w:val="24"/>
                <w:szCs w:val="24"/>
                <w:highlight w:val="none"/>
              </w:rPr>
            </w:pPr>
          </w:p>
        </w:tc>
        <w:tc>
          <w:tcPr>
            <w:tcW w:w="5748" w:type="dxa"/>
            <w:tcBorders>
              <w:top w:val="single" w:color="auto" w:sz="0" w:space="0"/>
              <w:left w:val="single" w:color="auto" w:sz="0" w:space="0"/>
              <w:bottom w:val="outset" w:color="auto" w:sz="6" w:space="0"/>
              <w:right w:val="outset" w:color="auto" w:sz="6" w:space="0"/>
            </w:tcBorders>
            <w:shd w:val="clear" w:color="auto" w:fill="FFFFFF"/>
            <w:tcMar>
              <w:top w:w="0" w:type="dxa"/>
              <w:left w:w="105" w:type="dxa"/>
              <w:bottom w:w="0" w:type="dxa"/>
              <w:right w:w="105" w:type="dxa"/>
            </w:tcMar>
            <w:vAlign w:val="center"/>
          </w:tcPr>
          <w:p w14:paraId="2F087241">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花色品种</w:t>
            </w:r>
          </w:p>
        </w:tc>
        <w:tc>
          <w:tcPr>
            <w:tcW w:w="855" w:type="dxa"/>
            <w:tcBorders>
              <w:top w:val="single" w:color="auto" w:sz="0" w:space="0"/>
              <w:left w:val="single" w:color="auto" w:sz="0" w:space="0"/>
              <w:bottom w:val="outset" w:color="auto" w:sz="6" w:space="0"/>
              <w:right w:val="outset" w:color="auto" w:sz="6" w:space="0"/>
            </w:tcBorders>
            <w:shd w:val="clear" w:color="auto" w:fill="FFFFFF"/>
            <w:tcMar>
              <w:top w:w="0" w:type="dxa"/>
              <w:left w:w="105" w:type="dxa"/>
              <w:bottom w:w="0" w:type="dxa"/>
              <w:right w:w="105" w:type="dxa"/>
            </w:tcMar>
            <w:vAlign w:val="center"/>
          </w:tcPr>
          <w:p w14:paraId="4D51EA7D">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2</w:t>
            </w:r>
          </w:p>
        </w:tc>
        <w:tc>
          <w:tcPr>
            <w:tcW w:w="1135" w:type="dxa"/>
            <w:tcBorders>
              <w:top w:val="single" w:color="auto" w:sz="0" w:space="0"/>
              <w:left w:val="single" w:color="auto" w:sz="0" w:space="0"/>
              <w:bottom w:val="outset" w:color="auto" w:sz="6" w:space="0"/>
              <w:right w:val="outset" w:color="auto" w:sz="6" w:space="0"/>
            </w:tcBorders>
            <w:shd w:val="clear" w:color="auto" w:fill="FFFFFF"/>
            <w:tcMar>
              <w:top w:w="0" w:type="dxa"/>
              <w:left w:w="105" w:type="dxa"/>
              <w:bottom w:w="0" w:type="dxa"/>
              <w:right w:w="105" w:type="dxa"/>
            </w:tcMar>
          </w:tcPr>
          <w:p w14:paraId="46A5410D">
            <w:pPr>
              <w:widowControl/>
              <w:spacing w:line="360" w:lineRule="auto"/>
              <w:jc w:val="left"/>
              <w:rPr>
                <w:rFonts w:ascii="宋体" w:hAnsi="宋体" w:cs="宋体"/>
                <w:color w:val="auto"/>
                <w:kern w:val="0"/>
                <w:sz w:val="24"/>
                <w:szCs w:val="24"/>
                <w:highlight w:val="none"/>
              </w:rPr>
            </w:pPr>
          </w:p>
        </w:tc>
      </w:tr>
      <w:tr w14:paraId="20CD20DE">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jc w:val="center"/>
        </w:trPr>
        <w:tc>
          <w:tcPr>
            <w:tcW w:w="6513" w:type="dxa"/>
            <w:gridSpan w:val="2"/>
            <w:tcBorders>
              <w:top w:val="single" w:color="auto" w:sz="0" w:space="0"/>
              <w:left w:val="outset" w:color="auto" w:sz="6" w:space="0"/>
              <w:bottom w:val="outset" w:color="auto" w:sz="6" w:space="0"/>
              <w:right w:val="outset" w:color="auto" w:sz="6" w:space="0"/>
            </w:tcBorders>
            <w:shd w:val="clear" w:color="auto" w:fill="auto"/>
            <w:vAlign w:val="center"/>
          </w:tcPr>
          <w:p w14:paraId="5D48D894">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总分</w:t>
            </w:r>
          </w:p>
        </w:tc>
        <w:tc>
          <w:tcPr>
            <w:tcW w:w="855" w:type="dxa"/>
            <w:tcBorders>
              <w:top w:val="single" w:color="auto" w:sz="0" w:space="0"/>
              <w:left w:val="single" w:color="auto" w:sz="0" w:space="0"/>
              <w:bottom w:val="outset" w:color="auto" w:sz="6" w:space="0"/>
              <w:right w:val="outset" w:color="auto" w:sz="6" w:space="0"/>
            </w:tcBorders>
            <w:shd w:val="clear" w:color="auto" w:fill="FFFFFF"/>
            <w:tcMar>
              <w:top w:w="0" w:type="dxa"/>
              <w:left w:w="105" w:type="dxa"/>
              <w:bottom w:w="0" w:type="dxa"/>
              <w:right w:w="105" w:type="dxa"/>
            </w:tcMar>
            <w:vAlign w:val="center"/>
          </w:tcPr>
          <w:p w14:paraId="5CF173A7">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30</w:t>
            </w:r>
          </w:p>
        </w:tc>
        <w:tc>
          <w:tcPr>
            <w:tcW w:w="1135" w:type="dxa"/>
            <w:tcBorders>
              <w:top w:val="single" w:color="auto" w:sz="0" w:space="0"/>
              <w:left w:val="single" w:color="auto" w:sz="0" w:space="0"/>
              <w:bottom w:val="outset" w:color="auto" w:sz="6" w:space="0"/>
              <w:right w:val="outset" w:color="auto" w:sz="6" w:space="0"/>
            </w:tcBorders>
            <w:shd w:val="clear" w:color="auto" w:fill="FFFFFF"/>
            <w:tcMar>
              <w:top w:w="0" w:type="dxa"/>
              <w:left w:w="105" w:type="dxa"/>
              <w:bottom w:w="0" w:type="dxa"/>
              <w:right w:w="105" w:type="dxa"/>
            </w:tcMar>
          </w:tcPr>
          <w:p w14:paraId="010FE3CA">
            <w:pPr>
              <w:widowControl/>
              <w:spacing w:line="360" w:lineRule="auto"/>
              <w:jc w:val="left"/>
              <w:rPr>
                <w:rFonts w:ascii="宋体" w:hAnsi="宋体" w:cs="宋体"/>
                <w:color w:val="auto"/>
                <w:kern w:val="0"/>
                <w:sz w:val="24"/>
                <w:szCs w:val="24"/>
                <w:highlight w:val="none"/>
              </w:rPr>
            </w:pPr>
          </w:p>
        </w:tc>
      </w:tr>
    </w:tbl>
    <w:p w14:paraId="623A8257">
      <w:pPr>
        <w:widowControl/>
        <w:shd w:val="clear" w:color="auto" w:fill="FFFFFF"/>
        <w:spacing w:after="150" w:line="495" w:lineRule="atLeast"/>
        <w:ind w:left="420"/>
        <w:jc w:val="left"/>
        <w:rPr>
          <w:rFonts w:ascii="宋体" w:hAnsi="宋体" w:cs="宋体"/>
          <w:color w:val="auto"/>
          <w:kern w:val="0"/>
          <w:sz w:val="24"/>
          <w:szCs w:val="24"/>
          <w:highlight w:val="none"/>
        </w:rPr>
      </w:pPr>
      <w:r>
        <w:rPr>
          <w:rFonts w:hint="eastAsia" w:ascii="宋体" w:hAnsi="宋体" w:cs="宋体"/>
          <w:b/>
          <w:bCs/>
          <w:color w:val="auto"/>
          <w:kern w:val="0"/>
          <w:sz w:val="24"/>
          <w:szCs w:val="24"/>
          <w:highlight w:val="none"/>
        </w:rPr>
        <w:t>评分人：              时间：</w:t>
      </w:r>
    </w:p>
    <w:p w14:paraId="7B72EF3C">
      <w:pPr>
        <w:widowControl/>
        <w:shd w:val="clear" w:color="auto" w:fill="FFFFFF"/>
        <w:spacing w:before="105" w:after="105"/>
        <w:jc w:val="left"/>
        <w:rPr>
          <w:rFonts w:ascii="宋体" w:hAnsi="宋体" w:cs="宋体"/>
          <w:b/>
          <w:bCs/>
          <w:color w:val="auto"/>
          <w:kern w:val="0"/>
          <w:sz w:val="24"/>
          <w:szCs w:val="24"/>
          <w:highlight w:val="none"/>
        </w:rPr>
      </w:pPr>
    </w:p>
    <w:p w14:paraId="33B61060">
      <w:pPr>
        <w:widowControl/>
        <w:shd w:val="clear" w:color="auto" w:fill="FFFFFF"/>
        <w:spacing w:before="105" w:after="105"/>
        <w:jc w:val="left"/>
        <w:rPr>
          <w:rFonts w:ascii="宋体" w:hAnsi="宋体" w:cs="宋体"/>
          <w:b/>
          <w:bCs/>
          <w:color w:val="auto"/>
          <w:kern w:val="0"/>
          <w:sz w:val="24"/>
          <w:szCs w:val="24"/>
          <w:highlight w:val="none"/>
        </w:rPr>
      </w:pPr>
    </w:p>
    <w:p w14:paraId="06304669">
      <w:pPr>
        <w:widowControl/>
        <w:shd w:val="clear" w:color="auto" w:fill="FFFFFF"/>
        <w:spacing w:line="360" w:lineRule="auto"/>
        <w:ind w:firstLine="555"/>
        <w:jc w:val="left"/>
        <w:rPr>
          <w:rFonts w:ascii="宋体" w:hAnsi="宋体" w:cs="宋体"/>
          <w:b/>
          <w:bCs/>
          <w:color w:val="auto"/>
          <w:kern w:val="0"/>
          <w:sz w:val="24"/>
          <w:szCs w:val="24"/>
          <w:highlight w:val="none"/>
        </w:rPr>
      </w:pPr>
      <w:r>
        <w:rPr>
          <w:rFonts w:hint="eastAsia" w:ascii="宋体" w:hAnsi="宋体" w:cs="宋体"/>
          <w:b/>
          <w:bCs/>
          <w:color w:val="auto"/>
          <w:kern w:val="0"/>
          <w:sz w:val="24"/>
          <w:szCs w:val="24"/>
          <w:highlight w:val="none"/>
        </w:rPr>
        <w:t>附件2：日常管理扣罚项目表</w:t>
      </w:r>
    </w:p>
    <w:tbl>
      <w:tblPr>
        <w:tblStyle w:val="21"/>
        <w:tblW w:w="8669" w:type="dxa"/>
        <w:jc w:val="center"/>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Layout w:type="autofit"/>
        <w:tblCellMar>
          <w:top w:w="15" w:type="dxa"/>
          <w:left w:w="15" w:type="dxa"/>
          <w:bottom w:w="15" w:type="dxa"/>
          <w:right w:w="15" w:type="dxa"/>
        </w:tblCellMar>
      </w:tblPr>
      <w:tblGrid>
        <w:gridCol w:w="692"/>
        <w:gridCol w:w="2977"/>
        <w:gridCol w:w="844"/>
        <w:gridCol w:w="878"/>
        <w:gridCol w:w="3278"/>
      </w:tblGrid>
      <w:tr w14:paraId="2917ED6E">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30" w:hRule="atLeast"/>
          <w:tblHeader/>
          <w:jc w:val="center"/>
        </w:trPr>
        <w:tc>
          <w:tcPr>
            <w:tcW w:w="692" w:type="dxa"/>
            <w:tcBorders>
              <w:top w:val="outset" w:color="000000" w:sz="6" w:space="0"/>
              <w:left w:val="outset" w:color="000000" w:sz="6"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0328882C">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序号</w:t>
            </w:r>
          </w:p>
        </w:tc>
        <w:tc>
          <w:tcPr>
            <w:tcW w:w="2977" w:type="dxa"/>
            <w:tcBorders>
              <w:top w:val="outset" w:color="000000" w:sz="6"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5CA42AEF">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项目</w:t>
            </w:r>
          </w:p>
        </w:tc>
        <w:tc>
          <w:tcPr>
            <w:tcW w:w="844" w:type="dxa"/>
            <w:tcBorders>
              <w:top w:val="outset" w:color="000000" w:sz="6"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63D00F58">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计算</w:t>
            </w:r>
          </w:p>
          <w:p w14:paraId="69DDC6F0">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方式</w:t>
            </w:r>
          </w:p>
        </w:tc>
        <w:tc>
          <w:tcPr>
            <w:tcW w:w="878" w:type="dxa"/>
            <w:tcBorders>
              <w:top w:val="outset" w:color="000000" w:sz="6"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tcPr>
          <w:p w14:paraId="20CE304D">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扣分</w:t>
            </w:r>
          </w:p>
          <w:p w14:paraId="522EB475">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标准</w:t>
            </w:r>
          </w:p>
        </w:tc>
        <w:tc>
          <w:tcPr>
            <w:tcW w:w="3278" w:type="dxa"/>
            <w:tcBorders>
              <w:top w:val="outset" w:color="000000" w:sz="6"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1F487030">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标准</w:t>
            </w:r>
          </w:p>
        </w:tc>
      </w:tr>
      <w:tr w14:paraId="3AE2906E">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jc w:val="center"/>
        </w:trPr>
        <w:tc>
          <w:tcPr>
            <w:tcW w:w="692" w:type="dxa"/>
            <w:tcBorders>
              <w:top w:val="single" w:color="auto" w:sz="0" w:space="0"/>
              <w:left w:val="outset" w:color="000000" w:sz="6"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55339C1A">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1</w:t>
            </w:r>
          </w:p>
        </w:tc>
        <w:tc>
          <w:tcPr>
            <w:tcW w:w="2977" w:type="dxa"/>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5F41F0A6">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出现重大安全事故</w:t>
            </w:r>
          </w:p>
        </w:tc>
        <w:tc>
          <w:tcPr>
            <w:tcW w:w="844" w:type="dxa"/>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6CB66301">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1次</w:t>
            </w:r>
          </w:p>
        </w:tc>
        <w:tc>
          <w:tcPr>
            <w:tcW w:w="878" w:type="dxa"/>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1B0DCC32">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30</w:t>
            </w:r>
          </w:p>
        </w:tc>
        <w:tc>
          <w:tcPr>
            <w:tcW w:w="3278" w:type="dxa"/>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10E86B81">
            <w:pPr>
              <w:widowControl/>
              <w:spacing w:line="360" w:lineRule="auto"/>
              <w:jc w:val="left"/>
              <w:rPr>
                <w:rFonts w:ascii="宋体" w:hAnsi="宋体" w:cs="宋体"/>
                <w:color w:val="auto"/>
                <w:kern w:val="0"/>
                <w:sz w:val="24"/>
                <w:szCs w:val="24"/>
                <w:highlight w:val="none"/>
              </w:rPr>
            </w:pPr>
            <w:r>
              <w:rPr>
                <w:rFonts w:hint="eastAsia" w:ascii="宋体" w:hAnsi="宋体" w:cs="宋体"/>
                <w:color w:val="auto"/>
                <w:kern w:val="0"/>
                <w:sz w:val="24"/>
                <w:szCs w:val="24"/>
                <w:highlight w:val="none"/>
              </w:rPr>
              <w:t>食物中毒、水电事故、煤气事故等</w:t>
            </w:r>
          </w:p>
        </w:tc>
      </w:tr>
      <w:tr w14:paraId="0331151F">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300" w:hRule="atLeast"/>
          <w:jc w:val="center"/>
        </w:trPr>
        <w:tc>
          <w:tcPr>
            <w:tcW w:w="692" w:type="dxa"/>
            <w:tcBorders>
              <w:top w:val="single" w:color="auto" w:sz="0" w:space="0"/>
              <w:left w:val="outset" w:color="000000" w:sz="6"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4464B9CD">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2</w:t>
            </w:r>
          </w:p>
        </w:tc>
        <w:tc>
          <w:tcPr>
            <w:tcW w:w="2977" w:type="dxa"/>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6E9A4E18">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菜品不熟</w:t>
            </w:r>
          </w:p>
        </w:tc>
        <w:tc>
          <w:tcPr>
            <w:tcW w:w="844" w:type="dxa"/>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0A0F1477">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1次</w:t>
            </w:r>
          </w:p>
        </w:tc>
        <w:tc>
          <w:tcPr>
            <w:tcW w:w="878" w:type="dxa"/>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1D4F234A">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3</w:t>
            </w:r>
          </w:p>
        </w:tc>
        <w:tc>
          <w:tcPr>
            <w:tcW w:w="3278" w:type="dxa"/>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6781F18D">
            <w:pPr>
              <w:widowControl/>
              <w:spacing w:line="360" w:lineRule="auto"/>
              <w:jc w:val="left"/>
              <w:rPr>
                <w:rFonts w:ascii="宋体" w:hAnsi="宋体" w:cs="宋体"/>
                <w:color w:val="auto"/>
                <w:kern w:val="0"/>
                <w:sz w:val="24"/>
                <w:szCs w:val="24"/>
                <w:highlight w:val="none"/>
              </w:rPr>
            </w:pPr>
          </w:p>
        </w:tc>
      </w:tr>
      <w:tr w14:paraId="6D91C679">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600" w:hRule="atLeast"/>
          <w:jc w:val="center"/>
        </w:trPr>
        <w:tc>
          <w:tcPr>
            <w:tcW w:w="692" w:type="dxa"/>
            <w:tcBorders>
              <w:top w:val="single" w:color="auto" w:sz="0" w:space="0"/>
              <w:left w:val="outset" w:color="000000" w:sz="6"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11519C6F">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3</w:t>
            </w:r>
          </w:p>
        </w:tc>
        <w:tc>
          <w:tcPr>
            <w:tcW w:w="2977" w:type="dxa"/>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416B0FE1">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发现食材变质仍然上菜</w:t>
            </w:r>
          </w:p>
        </w:tc>
        <w:tc>
          <w:tcPr>
            <w:tcW w:w="844" w:type="dxa"/>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036D92A4">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1次</w:t>
            </w:r>
          </w:p>
        </w:tc>
        <w:tc>
          <w:tcPr>
            <w:tcW w:w="878" w:type="dxa"/>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1FF7C158">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4</w:t>
            </w:r>
          </w:p>
        </w:tc>
        <w:tc>
          <w:tcPr>
            <w:tcW w:w="3278" w:type="dxa"/>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00D9D22C">
            <w:pPr>
              <w:widowControl/>
              <w:spacing w:line="360" w:lineRule="auto"/>
              <w:jc w:val="left"/>
              <w:rPr>
                <w:rFonts w:ascii="宋体" w:hAnsi="宋体" w:cs="宋体"/>
                <w:color w:val="auto"/>
                <w:kern w:val="0"/>
                <w:sz w:val="24"/>
                <w:szCs w:val="24"/>
                <w:highlight w:val="none"/>
              </w:rPr>
            </w:pPr>
          </w:p>
        </w:tc>
      </w:tr>
      <w:tr w14:paraId="5B82C1C6">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615" w:hRule="atLeast"/>
          <w:jc w:val="center"/>
        </w:trPr>
        <w:tc>
          <w:tcPr>
            <w:tcW w:w="692" w:type="dxa"/>
            <w:tcBorders>
              <w:top w:val="single" w:color="auto" w:sz="0" w:space="0"/>
              <w:left w:val="outset" w:color="000000" w:sz="6"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7B04DF4F">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4</w:t>
            </w:r>
          </w:p>
        </w:tc>
        <w:tc>
          <w:tcPr>
            <w:tcW w:w="2977" w:type="dxa"/>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28884641">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碗筷、餐具不干净</w:t>
            </w:r>
          </w:p>
        </w:tc>
        <w:tc>
          <w:tcPr>
            <w:tcW w:w="844" w:type="dxa"/>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4B9E4461">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1次</w:t>
            </w:r>
          </w:p>
        </w:tc>
        <w:tc>
          <w:tcPr>
            <w:tcW w:w="878" w:type="dxa"/>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0865F83B">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2</w:t>
            </w:r>
          </w:p>
        </w:tc>
        <w:tc>
          <w:tcPr>
            <w:tcW w:w="3278" w:type="dxa"/>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215AB040">
            <w:pPr>
              <w:widowControl/>
              <w:spacing w:line="360" w:lineRule="auto"/>
              <w:jc w:val="left"/>
              <w:rPr>
                <w:rFonts w:ascii="宋体" w:hAnsi="宋体" w:cs="宋体"/>
                <w:color w:val="auto"/>
                <w:kern w:val="0"/>
                <w:sz w:val="24"/>
                <w:szCs w:val="24"/>
                <w:highlight w:val="none"/>
              </w:rPr>
            </w:pPr>
            <w:r>
              <w:rPr>
                <w:rFonts w:hint="eastAsia" w:ascii="宋体" w:hAnsi="宋体" w:cs="宋体"/>
                <w:color w:val="auto"/>
                <w:kern w:val="0"/>
                <w:sz w:val="24"/>
                <w:szCs w:val="24"/>
                <w:highlight w:val="none"/>
              </w:rPr>
              <w:t>出现未烘干或油腻残渣等</w:t>
            </w:r>
          </w:p>
        </w:tc>
      </w:tr>
      <w:tr w14:paraId="22EB38FF">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615" w:hRule="atLeast"/>
          <w:jc w:val="center"/>
        </w:trPr>
        <w:tc>
          <w:tcPr>
            <w:tcW w:w="692" w:type="dxa"/>
            <w:tcBorders>
              <w:top w:val="single" w:color="auto" w:sz="0" w:space="0"/>
              <w:left w:val="outset" w:color="000000" w:sz="6"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6A18B471">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5</w:t>
            </w:r>
          </w:p>
        </w:tc>
        <w:tc>
          <w:tcPr>
            <w:tcW w:w="2977" w:type="dxa"/>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11AF1D2F">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因食物卫生造成投诉</w:t>
            </w:r>
          </w:p>
        </w:tc>
        <w:tc>
          <w:tcPr>
            <w:tcW w:w="844" w:type="dxa"/>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2AF60795">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1次</w:t>
            </w:r>
          </w:p>
        </w:tc>
        <w:tc>
          <w:tcPr>
            <w:tcW w:w="878" w:type="dxa"/>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72AC604E">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4</w:t>
            </w:r>
          </w:p>
        </w:tc>
        <w:tc>
          <w:tcPr>
            <w:tcW w:w="3278" w:type="dxa"/>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42FD90AF">
            <w:pPr>
              <w:widowControl/>
              <w:spacing w:line="360" w:lineRule="auto"/>
              <w:jc w:val="left"/>
              <w:rPr>
                <w:rFonts w:ascii="宋体" w:hAnsi="宋体" w:cs="宋体"/>
                <w:color w:val="auto"/>
                <w:kern w:val="0"/>
                <w:sz w:val="24"/>
                <w:szCs w:val="24"/>
                <w:highlight w:val="none"/>
              </w:rPr>
            </w:pPr>
          </w:p>
        </w:tc>
      </w:tr>
      <w:tr w14:paraId="7CC7C2E6">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jc w:val="center"/>
        </w:trPr>
        <w:tc>
          <w:tcPr>
            <w:tcW w:w="692" w:type="dxa"/>
            <w:tcBorders>
              <w:top w:val="single" w:color="auto" w:sz="0" w:space="0"/>
              <w:left w:val="outset" w:color="000000" w:sz="6"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225BAF7C">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6</w:t>
            </w:r>
          </w:p>
        </w:tc>
        <w:tc>
          <w:tcPr>
            <w:tcW w:w="2977" w:type="dxa"/>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63BDED8E">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未按规定着装</w:t>
            </w:r>
          </w:p>
        </w:tc>
        <w:tc>
          <w:tcPr>
            <w:tcW w:w="844" w:type="dxa"/>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11E553CE">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1人次</w:t>
            </w:r>
          </w:p>
        </w:tc>
        <w:tc>
          <w:tcPr>
            <w:tcW w:w="878" w:type="dxa"/>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08C6019A">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1</w:t>
            </w:r>
          </w:p>
        </w:tc>
        <w:tc>
          <w:tcPr>
            <w:tcW w:w="3278" w:type="dxa"/>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3919094B">
            <w:pPr>
              <w:widowControl/>
              <w:spacing w:line="360" w:lineRule="auto"/>
              <w:jc w:val="left"/>
              <w:rPr>
                <w:rFonts w:ascii="宋体" w:hAnsi="宋体" w:cs="宋体"/>
                <w:color w:val="auto"/>
                <w:kern w:val="0"/>
                <w:sz w:val="24"/>
                <w:szCs w:val="24"/>
                <w:highlight w:val="none"/>
              </w:rPr>
            </w:pPr>
            <w:r>
              <w:rPr>
                <w:rFonts w:hint="eastAsia" w:ascii="宋体" w:hAnsi="宋体" w:cs="宋体"/>
                <w:color w:val="auto"/>
                <w:kern w:val="0"/>
                <w:sz w:val="24"/>
                <w:szCs w:val="24"/>
                <w:highlight w:val="none"/>
              </w:rPr>
              <w:t>如：售饭人员未戴口罩、不使用一次性手套却直接接触食材</w:t>
            </w:r>
          </w:p>
        </w:tc>
      </w:tr>
      <w:tr w14:paraId="54D03469">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600" w:hRule="atLeast"/>
          <w:jc w:val="center"/>
        </w:trPr>
        <w:tc>
          <w:tcPr>
            <w:tcW w:w="692" w:type="dxa"/>
            <w:tcBorders>
              <w:top w:val="single" w:color="auto" w:sz="0" w:space="0"/>
              <w:left w:val="outset" w:color="000000" w:sz="6"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0A58AD68">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7</w:t>
            </w:r>
          </w:p>
        </w:tc>
        <w:tc>
          <w:tcPr>
            <w:tcW w:w="2977" w:type="dxa"/>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62706F24">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每餐后未及时整理卫生</w:t>
            </w:r>
          </w:p>
        </w:tc>
        <w:tc>
          <w:tcPr>
            <w:tcW w:w="844" w:type="dxa"/>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5A65F7F5">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1次</w:t>
            </w:r>
          </w:p>
        </w:tc>
        <w:tc>
          <w:tcPr>
            <w:tcW w:w="878" w:type="dxa"/>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570AECF4">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2</w:t>
            </w:r>
          </w:p>
        </w:tc>
        <w:tc>
          <w:tcPr>
            <w:tcW w:w="3278" w:type="dxa"/>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03D0F33B">
            <w:pPr>
              <w:widowControl/>
              <w:spacing w:line="360" w:lineRule="auto"/>
              <w:jc w:val="left"/>
              <w:rPr>
                <w:rFonts w:ascii="宋体" w:hAnsi="宋体" w:cs="宋体"/>
                <w:color w:val="auto"/>
                <w:kern w:val="0"/>
                <w:sz w:val="24"/>
                <w:szCs w:val="24"/>
                <w:highlight w:val="none"/>
              </w:rPr>
            </w:pPr>
          </w:p>
        </w:tc>
      </w:tr>
      <w:tr w14:paraId="27318A85">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jc w:val="center"/>
        </w:trPr>
        <w:tc>
          <w:tcPr>
            <w:tcW w:w="692" w:type="dxa"/>
            <w:tcBorders>
              <w:top w:val="single" w:color="auto" w:sz="0" w:space="0"/>
              <w:left w:val="outset" w:color="000000" w:sz="6"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75BC0A71">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8</w:t>
            </w:r>
          </w:p>
        </w:tc>
        <w:tc>
          <w:tcPr>
            <w:tcW w:w="2977" w:type="dxa"/>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4BD53EA8">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接待出现上错菜，造成投诉</w:t>
            </w:r>
          </w:p>
        </w:tc>
        <w:tc>
          <w:tcPr>
            <w:tcW w:w="844" w:type="dxa"/>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25CC0240">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1次</w:t>
            </w:r>
          </w:p>
        </w:tc>
        <w:tc>
          <w:tcPr>
            <w:tcW w:w="878" w:type="dxa"/>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11261F5D">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2</w:t>
            </w:r>
          </w:p>
        </w:tc>
        <w:tc>
          <w:tcPr>
            <w:tcW w:w="3278" w:type="dxa"/>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2A8A5684">
            <w:pPr>
              <w:widowControl/>
              <w:spacing w:line="360" w:lineRule="auto"/>
              <w:jc w:val="left"/>
              <w:rPr>
                <w:rFonts w:ascii="宋体" w:hAnsi="宋体" w:cs="宋体"/>
                <w:color w:val="auto"/>
                <w:kern w:val="0"/>
                <w:sz w:val="24"/>
                <w:szCs w:val="24"/>
                <w:highlight w:val="none"/>
              </w:rPr>
            </w:pPr>
          </w:p>
        </w:tc>
      </w:tr>
      <w:tr w14:paraId="44A4256B">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600" w:hRule="atLeast"/>
          <w:jc w:val="center"/>
        </w:trPr>
        <w:tc>
          <w:tcPr>
            <w:tcW w:w="692" w:type="dxa"/>
            <w:tcBorders>
              <w:top w:val="single" w:color="auto" w:sz="0" w:space="0"/>
              <w:left w:val="outset" w:color="000000" w:sz="6"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7169DA0B">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9</w:t>
            </w:r>
          </w:p>
        </w:tc>
        <w:tc>
          <w:tcPr>
            <w:tcW w:w="2977" w:type="dxa"/>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0B169578">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未经报备，擅自改菜单</w:t>
            </w:r>
          </w:p>
        </w:tc>
        <w:tc>
          <w:tcPr>
            <w:tcW w:w="844" w:type="dxa"/>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2EBBF9A1">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1次</w:t>
            </w:r>
          </w:p>
        </w:tc>
        <w:tc>
          <w:tcPr>
            <w:tcW w:w="878" w:type="dxa"/>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7238758B">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2</w:t>
            </w:r>
          </w:p>
        </w:tc>
        <w:tc>
          <w:tcPr>
            <w:tcW w:w="3278" w:type="dxa"/>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17F8CB7D">
            <w:pPr>
              <w:widowControl/>
              <w:spacing w:line="360" w:lineRule="auto"/>
              <w:jc w:val="left"/>
              <w:rPr>
                <w:rFonts w:ascii="宋体" w:hAnsi="宋体" w:cs="宋体"/>
                <w:color w:val="auto"/>
                <w:kern w:val="0"/>
                <w:sz w:val="24"/>
                <w:szCs w:val="24"/>
                <w:highlight w:val="none"/>
              </w:rPr>
            </w:pPr>
          </w:p>
        </w:tc>
      </w:tr>
      <w:tr w14:paraId="57E8A7E8">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jc w:val="center"/>
        </w:trPr>
        <w:tc>
          <w:tcPr>
            <w:tcW w:w="692" w:type="dxa"/>
            <w:tcBorders>
              <w:top w:val="single" w:color="auto" w:sz="0" w:space="0"/>
              <w:left w:val="outset" w:color="000000" w:sz="6"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5C5172B2">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10</w:t>
            </w:r>
          </w:p>
        </w:tc>
        <w:tc>
          <w:tcPr>
            <w:tcW w:w="2977" w:type="dxa"/>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6428F98D">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未能及时上报材料</w:t>
            </w:r>
          </w:p>
        </w:tc>
        <w:tc>
          <w:tcPr>
            <w:tcW w:w="844" w:type="dxa"/>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53A6ACE0">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1次</w:t>
            </w:r>
          </w:p>
        </w:tc>
        <w:tc>
          <w:tcPr>
            <w:tcW w:w="878" w:type="dxa"/>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1930DD79">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2</w:t>
            </w:r>
          </w:p>
        </w:tc>
        <w:tc>
          <w:tcPr>
            <w:tcW w:w="3278" w:type="dxa"/>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08D45E48">
            <w:pPr>
              <w:widowControl/>
              <w:spacing w:line="360" w:lineRule="auto"/>
              <w:jc w:val="left"/>
              <w:rPr>
                <w:rFonts w:ascii="宋体" w:hAnsi="宋体" w:cs="宋体"/>
                <w:color w:val="auto"/>
                <w:kern w:val="0"/>
                <w:sz w:val="24"/>
                <w:szCs w:val="24"/>
                <w:highlight w:val="none"/>
              </w:rPr>
            </w:pPr>
            <w:r>
              <w:rPr>
                <w:rFonts w:hint="eastAsia" w:ascii="宋体" w:hAnsi="宋体" w:cs="宋体"/>
                <w:color w:val="auto"/>
                <w:kern w:val="0"/>
                <w:sz w:val="24"/>
                <w:szCs w:val="24"/>
                <w:highlight w:val="none"/>
              </w:rPr>
              <w:t>按照甲方规定时间报下周菜单、每日食材需求量、月底盘点、从业人员调整及请假等</w:t>
            </w:r>
          </w:p>
        </w:tc>
      </w:tr>
      <w:tr w14:paraId="4EF331E9">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615" w:hRule="atLeast"/>
          <w:jc w:val="center"/>
        </w:trPr>
        <w:tc>
          <w:tcPr>
            <w:tcW w:w="692" w:type="dxa"/>
            <w:tcBorders>
              <w:top w:val="single" w:color="auto" w:sz="0" w:space="0"/>
              <w:left w:val="outset" w:color="000000" w:sz="6"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0145E354">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11</w:t>
            </w:r>
          </w:p>
        </w:tc>
        <w:tc>
          <w:tcPr>
            <w:tcW w:w="2977" w:type="dxa"/>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0B0DF68B">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财物损失</w:t>
            </w:r>
          </w:p>
        </w:tc>
        <w:tc>
          <w:tcPr>
            <w:tcW w:w="844" w:type="dxa"/>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1ECADF1C">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1件</w:t>
            </w:r>
          </w:p>
        </w:tc>
        <w:tc>
          <w:tcPr>
            <w:tcW w:w="878" w:type="dxa"/>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2AF96E98">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15</w:t>
            </w:r>
          </w:p>
        </w:tc>
        <w:tc>
          <w:tcPr>
            <w:tcW w:w="3278" w:type="dxa"/>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3B9F4A40">
            <w:pPr>
              <w:widowControl/>
              <w:spacing w:line="360" w:lineRule="auto"/>
              <w:jc w:val="left"/>
              <w:rPr>
                <w:rFonts w:ascii="宋体" w:hAnsi="宋体" w:cs="宋体"/>
                <w:color w:val="auto"/>
                <w:kern w:val="0"/>
                <w:sz w:val="24"/>
                <w:szCs w:val="24"/>
                <w:highlight w:val="none"/>
              </w:rPr>
            </w:pPr>
            <w:r>
              <w:rPr>
                <w:rFonts w:hint="eastAsia" w:ascii="宋体" w:hAnsi="宋体" w:cs="宋体"/>
                <w:color w:val="auto"/>
                <w:kern w:val="0"/>
                <w:sz w:val="24"/>
                <w:szCs w:val="24"/>
                <w:highlight w:val="none"/>
              </w:rPr>
              <w:t>正常损坏除外</w:t>
            </w:r>
          </w:p>
        </w:tc>
      </w:tr>
      <w:tr w14:paraId="32E06299">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615" w:hRule="atLeast"/>
          <w:jc w:val="center"/>
        </w:trPr>
        <w:tc>
          <w:tcPr>
            <w:tcW w:w="692" w:type="dxa"/>
            <w:tcBorders>
              <w:top w:val="single" w:color="auto" w:sz="0" w:space="0"/>
              <w:left w:val="outset" w:color="000000" w:sz="6"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2B895236">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12</w:t>
            </w:r>
          </w:p>
        </w:tc>
        <w:tc>
          <w:tcPr>
            <w:tcW w:w="2977" w:type="dxa"/>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6A5CE22F">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不规范使用设备</w:t>
            </w:r>
          </w:p>
        </w:tc>
        <w:tc>
          <w:tcPr>
            <w:tcW w:w="844" w:type="dxa"/>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05303206">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1次</w:t>
            </w:r>
          </w:p>
        </w:tc>
        <w:tc>
          <w:tcPr>
            <w:tcW w:w="878" w:type="dxa"/>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36A5D2A5">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2</w:t>
            </w:r>
          </w:p>
        </w:tc>
        <w:tc>
          <w:tcPr>
            <w:tcW w:w="3278" w:type="dxa"/>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0F8F398C">
            <w:pPr>
              <w:widowControl/>
              <w:spacing w:line="360" w:lineRule="auto"/>
              <w:jc w:val="left"/>
              <w:rPr>
                <w:rFonts w:ascii="宋体" w:hAnsi="宋体" w:cs="宋体"/>
                <w:color w:val="auto"/>
                <w:kern w:val="0"/>
                <w:sz w:val="24"/>
                <w:szCs w:val="24"/>
                <w:highlight w:val="none"/>
              </w:rPr>
            </w:pPr>
          </w:p>
        </w:tc>
      </w:tr>
      <w:tr w14:paraId="1AD6D497">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615" w:hRule="atLeast"/>
          <w:jc w:val="center"/>
        </w:trPr>
        <w:tc>
          <w:tcPr>
            <w:tcW w:w="692" w:type="dxa"/>
            <w:tcBorders>
              <w:top w:val="single" w:color="auto" w:sz="0" w:space="0"/>
              <w:left w:val="outset" w:color="000000" w:sz="6" w:space="0"/>
              <w:bottom w:val="single" w:color="auto" w:sz="4" w:space="0"/>
              <w:right w:val="outset" w:color="000000" w:sz="6" w:space="0"/>
            </w:tcBorders>
            <w:shd w:val="clear" w:color="auto" w:fill="FFFFFF"/>
            <w:tcMar>
              <w:top w:w="0" w:type="dxa"/>
              <w:left w:w="105" w:type="dxa"/>
              <w:bottom w:w="0" w:type="dxa"/>
              <w:right w:w="105" w:type="dxa"/>
            </w:tcMar>
            <w:vAlign w:val="center"/>
          </w:tcPr>
          <w:p w14:paraId="471EEC85">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13</w:t>
            </w:r>
          </w:p>
        </w:tc>
        <w:tc>
          <w:tcPr>
            <w:tcW w:w="2977" w:type="dxa"/>
            <w:tcBorders>
              <w:top w:val="single" w:color="auto" w:sz="0" w:space="0"/>
              <w:left w:val="single" w:color="auto" w:sz="0" w:space="0"/>
              <w:bottom w:val="single" w:color="auto" w:sz="4" w:space="0"/>
              <w:right w:val="outset" w:color="000000" w:sz="6" w:space="0"/>
            </w:tcBorders>
            <w:shd w:val="clear" w:color="auto" w:fill="FFFFFF"/>
            <w:tcMar>
              <w:top w:w="0" w:type="dxa"/>
              <w:left w:w="105" w:type="dxa"/>
              <w:bottom w:w="0" w:type="dxa"/>
              <w:right w:w="105" w:type="dxa"/>
            </w:tcMar>
            <w:vAlign w:val="center"/>
          </w:tcPr>
          <w:p w14:paraId="11BD5B57">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食材浪费</w:t>
            </w:r>
          </w:p>
        </w:tc>
        <w:tc>
          <w:tcPr>
            <w:tcW w:w="844" w:type="dxa"/>
            <w:tcBorders>
              <w:top w:val="single" w:color="auto" w:sz="0" w:space="0"/>
              <w:left w:val="single" w:color="auto" w:sz="0" w:space="0"/>
              <w:bottom w:val="single" w:color="auto" w:sz="4" w:space="0"/>
              <w:right w:val="outset" w:color="000000" w:sz="6" w:space="0"/>
            </w:tcBorders>
            <w:shd w:val="clear" w:color="auto" w:fill="FFFFFF"/>
            <w:tcMar>
              <w:top w:w="0" w:type="dxa"/>
              <w:left w:w="105" w:type="dxa"/>
              <w:bottom w:w="0" w:type="dxa"/>
              <w:right w:w="105" w:type="dxa"/>
            </w:tcMar>
            <w:vAlign w:val="center"/>
          </w:tcPr>
          <w:p w14:paraId="56F6C5B0">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1次</w:t>
            </w:r>
          </w:p>
        </w:tc>
        <w:tc>
          <w:tcPr>
            <w:tcW w:w="878" w:type="dxa"/>
            <w:tcBorders>
              <w:top w:val="single" w:color="auto" w:sz="0" w:space="0"/>
              <w:left w:val="single" w:color="auto" w:sz="0" w:space="0"/>
              <w:bottom w:val="single" w:color="auto" w:sz="4" w:space="0"/>
              <w:right w:val="outset" w:color="000000" w:sz="6" w:space="0"/>
            </w:tcBorders>
            <w:shd w:val="clear" w:color="auto" w:fill="FFFFFF"/>
            <w:tcMar>
              <w:top w:w="0" w:type="dxa"/>
              <w:left w:w="105" w:type="dxa"/>
              <w:bottom w:w="0" w:type="dxa"/>
              <w:right w:w="105" w:type="dxa"/>
            </w:tcMar>
            <w:vAlign w:val="center"/>
          </w:tcPr>
          <w:p w14:paraId="7C7F1F51">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10</w:t>
            </w:r>
          </w:p>
        </w:tc>
        <w:tc>
          <w:tcPr>
            <w:tcW w:w="3278" w:type="dxa"/>
            <w:tcBorders>
              <w:top w:val="single" w:color="auto" w:sz="0" w:space="0"/>
              <w:left w:val="single" w:color="auto" w:sz="0" w:space="0"/>
              <w:bottom w:val="single" w:color="auto" w:sz="4" w:space="0"/>
              <w:right w:val="outset" w:color="000000" w:sz="6" w:space="0"/>
            </w:tcBorders>
            <w:shd w:val="clear" w:color="auto" w:fill="FFFFFF"/>
            <w:tcMar>
              <w:top w:w="0" w:type="dxa"/>
              <w:left w:w="105" w:type="dxa"/>
              <w:bottom w:w="0" w:type="dxa"/>
              <w:right w:w="105" w:type="dxa"/>
            </w:tcMar>
            <w:vAlign w:val="center"/>
          </w:tcPr>
          <w:p w14:paraId="0CEED77F">
            <w:pPr>
              <w:widowControl/>
              <w:spacing w:line="360" w:lineRule="auto"/>
              <w:jc w:val="left"/>
              <w:rPr>
                <w:rFonts w:ascii="宋体" w:hAnsi="宋体" w:cs="宋体"/>
                <w:color w:val="auto"/>
                <w:kern w:val="0"/>
                <w:sz w:val="24"/>
                <w:szCs w:val="24"/>
                <w:highlight w:val="none"/>
              </w:rPr>
            </w:pPr>
            <w:r>
              <w:rPr>
                <w:rFonts w:hint="eastAsia" w:ascii="宋体" w:hAnsi="宋体" w:cs="宋体"/>
                <w:color w:val="auto"/>
                <w:kern w:val="0"/>
                <w:sz w:val="24"/>
                <w:szCs w:val="24"/>
                <w:highlight w:val="none"/>
              </w:rPr>
              <w:t>管理不到位，造成食材损坏；加工不当，食材损坏或影响售卖</w:t>
            </w:r>
          </w:p>
        </w:tc>
      </w:tr>
      <w:tr w14:paraId="0C5976F7">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615" w:hRule="atLeast"/>
          <w:jc w:val="center"/>
        </w:trPr>
        <w:tc>
          <w:tcPr>
            <w:tcW w:w="692" w:type="dxa"/>
            <w:tcBorders>
              <w:top w:val="single" w:color="auto" w:sz="4" w:space="0"/>
              <w:left w:val="single" w:color="auto" w:sz="4" w:space="0"/>
              <w:bottom w:val="single" w:color="auto" w:sz="4" w:space="0"/>
              <w:right w:val="single" w:color="auto" w:sz="4" w:space="0"/>
            </w:tcBorders>
            <w:shd w:val="clear" w:color="auto" w:fill="FFFFFF"/>
            <w:tcMar>
              <w:top w:w="0" w:type="dxa"/>
              <w:left w:w="105" w:type="dxa"/>
              <w:bottom w:w="0" w:type="dxa"/>
              <w:right w:w="105" w:type="dxa"/>
            </w:tcMar>
            <w:vAlign w:val="center"/>
          </w:tcPr>
          <w:p w14:paraId="1AA822ED">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14</w:t>
            </w:r>
          </w:p>
        </w:tc>
        <w:tc>
          <w:tcPr>
            <w:tcW w:w="2977" w:type="dxa"/>
            <w:tcBorders>
              <w:top w:val="single" w:color="auto" w:sz="4" w:space="0"/>
              <w:left w:val="single" w:color="auto" w:sz="4" w:space="0"/>
              <w:bottom w:val="single" w:color="auto" w:sz="4" w:space="0"/>
              <w:right w:val="single" w:color="auto" w:sz="4" w:space="0"/>
            </w:tcBorders>
            <w:shd w:val="clear" w:color="auto" w:fill="FFFFFF"/>
            <w:tcMar>
              <w:top w:w="0" w:type="dxa"/>
              <w:left w:w="105" w:type="dxa"/>
              <w:bottom w:w="0" w:type="dxa"/>
              <w:right w:w="105" w:type="dxa"/>
            </w:tcMar>
            <w:vAlign w:val="center"/>
          </w:tcPr>
          <w:p w14:paraId="3FEF82E7">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经理、厨师被考核出现3个及以上差评</w:t>
            </w:r>
          </w:p>
        </w:tc>
        <w:tc>
          <w:tcPr>
            <w:tcW w:w="844" w:type="dxa"/>
            <w:tcBorders>
              <w:top w:val="single" w:color="auto" w:sz="4" w:space="0"/>
              <w:left w:val="single" w:color="auto" w:sz="4" w:space="0"/>
              <w:bottom w:val="single" w:color="auto" w:sz="4" w:space="0"/>
              <w:right w:val="single" w:color="auto" w:sz="4" w:space="0"/>
            </w:tcBorders>
            <w:shd w:val="clear" w:color="auto" w:fill="FFFFFF"/>
            <w:tcMar>
              <w:top w:w="0" w:type="dxa"/>
              <w:left w:w="105" w:type="dxa"/>
              <w:bottom w:w="0" w:type="dxa"/>
              <w:right w:w="105" w:type="dxa"/>
            </w:tcMar>
            <w:vAlign w:val="center"/>
          </w:tcPr>
          <w:p w14:paraId="4EEA1129">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1次</w:t>
            </w:r>
          </w:p>
        </w:tc>
        <w:tc>
          <w:tcPr>
            <w:tcW w:w="878" w:type="dxa"/>
            <w:tcBorders>
              <w:top w:val="single" w:color="auto" w:sz="4" w:space="0"/>
              <w:left w:val="single" w:color="auto" w:sz="4" w:space="0"/>
              <w:bottom w:val="single" w:color="auto" w:sz="4" w:space="0"/>
              <w:right w:val="single" w:color="auto" w:sz="4" w:space="0"/>
            </w:tcBorders>
            <w:shd w:val="clear" w:color="auto" w:fill="FFFFFF"/>
            <w:tcMar>
              <w:top w:w="0" w:type="dxa"/>
              <w:left w:w="105" w:type="dxa"/>
              <w:bottom w:w="0" w:type="dxa"/>
              <w:right w:w="105" w:type="dxa"/>
            </w:tcMar>
            <w:vAlign w:val="center"/>
          </w:tcPr>
          <w:p w14:paraId="66C4B3FB">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3</w:t>
            </w:r>
          </w:p>
        </w:tc>
        <w:tc>
          <w:tcPr>
            <w:tcW w:w="3278" w:type="dxa"/>
            <w:tcBorders>
              <w:top w:val="single" w:color="auto" w:sz="4" w:space="0"/>
              <w:left w:val="single" w:color="auto" w:sz="4" w:space="0"/>
              <w:bottom w:val="single" w:color="auto" w:sz="4" w:space="0"/>
              <w:right w:val="single" w:color="auto" w:sz="4" w:space="0"/>
            </w:tcBorders>
            <w:shd w:val="clear" w:color="auto" w:fill="FFFFFF"/>
            <w:tcMar>
              <w:top w:w="0" w:type="dxa"/>
              <w:left w:w="105" w:type="dxa"/>
              <w:bottom w:w="0" w:type="dxa"/>
              <w:right w:w="105" w:type="dxa"/>
            </w:tcMar>
            <w:vAlign w:val="center"/>
          </w:tcPr>
          <w:p w14:paraId="528C73AB">
            <w:pPr>
              <w:widowControl/>
              <w:spacing w:line="360" w:lineRule="auto"/>
              <w:jc w:val="left"/>
              <w:rPr>
                <w:rFonts w:ascii="宋体" w:hAnsi="宋体" w:cs="宋体"/>
                <w:color w:val="auto"/>
                <w:kern w:val="0"/>
                <w:sz w:val="24"/>
                <w:szCs w:val="24"/>
                <w:highlight w:val="none"/>
              </w:rPr>
            </w:pPr>
            <w:r>
              <w:rPr>
                <w:rFonts w:hint="eastAsia" w:ascii="宋体" w:hAnsi="宋体" w:cs="宋体"/>
                <w:color w:val="auto"/>
                <w:kern w:val="0"/>
                <w:sz w:val="24"/>
                <w:szCs w:val="24"/>
                <w:highlight w:val="none"/>
              </w:rPr>
              <w:t>出现2次，更换该人员</w:t>
            </w:r>
          </w:p>
        </w:tc>
      </w:tr>
      <w:tr w14:paraId="2EB0271E">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615" w:hRule="atLeast"/>
          <w:jc w:val="center"/>
        </w:trPr>
        <w:tc>
          <w:tcPr>
            <w:tcW w:w="692" w:type="dxa"/>
            <w:tcBorders>
              <w:top w:val="single" w:color="auto" w:sz="4" w:space="0"/>
              <w:left w:val="single" w:color="auto" w:sz="4" w:space="0"/>
              <w:bottom w:val="single" w:color="auto" w:sz="4" w:space="0"/>
              <w:right w:val="single" w:color="auto" w:sz="4" w:space="0"/>
            </w:tcBorders>
            <w:shd w:val="clear" w:color="auto" w:fill="FFFFFF"/>
            <w:tcMar>
              <w:top w:w="0" w:type="dxa"/>
              <w:left w:w="105" w:type="dxa"/>
              <w:bottom w:w="0" w:type="dxa"/>
              <w:right w:w="105" w:type="dxa"/>
            </w:tcMar>
            <w:vAlign w:val="center"/>
          </w:tcPr>
          <w:p w14:paraId="792145A0">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15</w:t>
            </w:r>
          </w:p>
        </w:tc>
        <w:tc>
          <w:tcPr>
            <w:tcW w:w="2977" w:type="dxa"/>
            <w:tcBorders>
              <w:top w:val="single" w:color="auto" w:sz="4" w:space="0"/>
              <w:left w:val="single" w:color="auto" w:sz="4" w:space="0"/>
              <w:bottom w:val="single" w:color="auto" w:sz="4" w:space="0"/>
              <w:right w:val="single" w:color="auto" w:sz="4" w:space="0"/>
            </w:tcBorders>
            <w:shd w:val="clear" w:color="auto" w:fill="FFFFFF"/>
            <w:tcMar>
              <w:top w:w="0" w:type="dxa"/>
              <w:left w:w="105" w:type="dxa"/>
              <w:bottom w:w="0" w:type="dxa"/>
              <w:right w:w="105" w:type="dxa"/>
            </w:tcMar>
            <w:vAlign w:val="center"/>
          </w:tcPr>
          <w:p w14:paraId="61C8F0F7">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未按甲方要求将各类食材送检的</w:t>
            </w:r>
          </w:p>
        </w:tc>
        <w:tc>
          <w:tcPr>
            <w:tcW w:w="844" w:type="dxa"/>
            <w:tcBorders>
              <w:top w:val="single" w:color="auto" w:sz="4" w:space="0"/>
              <w:left w:val="single" w:color="auto" w:sz="4" w:space="0"/>
              <w:bottom w:val="single" w:color="auto" w:sz="4" w:space="0"/>
              <w:right w:val="single" w:color="auto" w:sz="4" w:space="0"/>
            </w:tcBorders>
            <w:shd w:val="clear" w:color="auto" w:fill="FFFFFF"/>
            <w:tcMar>
              <w:top w:w="0" w:type="dxa"/>
              <w:left w:w="105" w:type="dxa"/>
              <w:bottom w:w="0" w:type="dxa"/>
              <w:right w:w="105" w:type="dxa"/>
            </w:tcMar>
            <w:vAlign w:val="center"/>
          </w:tcPr>
          <w:p w14:paraId="721168FD">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1次</w:t>
            </w:r>
          </w:p>
        </w:tc>
        <w:tc>
          <w:tcPr>
            <w:tcW w:w="878" w:type="dxa"/>
            <w:tcBorders>
              <w:top w:val="single" w:color="auto" w:sz="4" w:space="0"/>
              <w:left w:val="single" w:color="auto" w:sz="4" w:space="0"/>
              <w:bottom w:val="single" w:color="auto" w:sz="4" w:space="0"/>
              <w:right w:val="single" w:color="auto" w:sz="4" w:space="0"/>
            </w:tcBorders>
            <w:shd w:val="clear" w:color="auto" w:fill="FFFFFF"/>
            <w:tcMar>
              <w:top w:w="0" w:type="dxa"/>
              <w:left w:w="105" w:type="dxa"/>
              <w:bottom w:w="0" w:type="dxa"/>
              <w:right w:w="105" w:type="dxa"/>
            </w:tcMar>
            <w:vAlign w:val="center"/>
          </w:tcPr>
          <w:p w14:paraId="4E951FC3">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4</w:t>
            </w:r>
          </w:p>
        </w:tc>
        <w:tc>
          <w:tcPr>
            <w:tcW w:w="3278" w:type="dxa"/>
            <w:tcBorders>
              <w:top w:val="single" w:color="auto" w:sz="4" w:space="0"/>
              <w:left w:val="single" w:color="auto" w:sz="4" w:space="0"/>
              <w:bottom w:val="single" w:color="auto" w:sz="4" w:space="0"/>
              <w:right w:val="single" w:color="auto" w:sz="4" w:space="0"/>
            </w:tcBorders>
            <w:shd w:val="clear" w:color="auto" w:fill="FFFFFF"/>
            <w:tcMar>
              <w:top w:w="0" w:type="dxa"/>
              <w:left w:w="105" w:type="dxa"/>
              <w:bottom w:w="0" w:type="dxa"/>
              <w:right w:w="105" w:type="dxa"/>
            </w:tcMar>
            <w:vAlign w:val="center"/>
          </w:tcPr>
          <w:p w14:paraId="052E7D56">
            <w:pPr>
              <w:widowControl/>
              <w:spacing w:line="360" w:lineRule="auto"/>
              <w:jc w:val="left"/>
              <w:rPr>
                <w:rFonts w:ascii="宋体" w:hAnsi="宋体" w:cs="宋体"/>
                <w:color w:val="auto"/>
                <w:kern w:val="0"/>
                <w:sz w:val="24"/>
                <w:szCs w:val="24"/>
                <w:highlight w:val="none"/>
              </w:rPr>
            </w:pPr>
          </w:p>
        </w:tc>
      </w:tr>
      <w:tr w14:paraId="2F8E51DB">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615" w:hRule="atLeast"/>
          <w:jc w:val="center"/>
        </w:trPr>
        <w:tc>
          <w:tcPr>
            <w:tcW w:w="692" w:type="dxa"/>
            <w:tcBorders>
              <w:top w:val="single" w:color="auto" w:sz="4" w:space="0"/>
              <w:left w:val="single" w:color="auto" w:sz="4" w:space="0"/>
              <w:bottom w:val="single" w:color="auto" w:sz="4" w:space="0"/>
              <w:right w:val="single" w:color="auto" w:sz="4" w:space="0"/>
            </w:tcBorders>
            <w:shd w:val="clear" w:color="auto" w:fill="FFFFFF"/>
            <w:tcMar>
              <w:top w:w="0" w:type="dxa"/>
              <w:left w:w="105" w:type="dxa"/>
              <w:bottom w:w="0" w:type="dxa"/>
              <w:right w:w="105" w:type="dxa"/>
            </w:tcMar>
            <w:vAlign w:val="center"/>
          </w:tcPr>
          <w:p w14:paraId="61BCC80B">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16</w:t>
            </w:r>
          </w:p>
        </w:tc>
        <w:tc>
          <w:tcPr>
            <w:tcW w:w="2977" w:type="dxa"/>
            <w:tcBorders>
              <w:top w:val="single" w:color="auto" w:sz="4" w:space="0"/>
              <w:left w:val="single" w:color="auto" w:sz="4" w:space="0"/>
              <w:bottom w:val="single" w:color="auto" w:sz="4" w:space="0"/>
              <w:right w:val="single" w:color="auto" w:sz="4" w:space="0"/>
            </w:tcBorders>
            <w:shd w:val="clear" w:color="auto" w:fill="FFFFFF"/>
            <w:tcMar>
              <w:top w:w="0" w:type="dxa"/>
              <w:left w:w="105" w:type="dxa"/>
              <w:bottom w:w="0" w:type="dxa"/>
              <w:right w:w="105" w:type="dxa"/>
            </w:tcMar>
            <w:vAlign w:val="center"/>
          </w:tcPr>
          <w:p w14:paraId="4A9BC2ED">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未按投标响应要求派遣项目经理的</w:t>
            </w:r>
          </w:p>
        </w:tc>
        <w:tc>
          <w:tcPr>
            <w:tcW w:w="844" w:type="dxa"/>
            <w:tcBorders>
              <w:top w:val="single" w:color="auto" w:sz="4" w:space="0"/>
              <w:left w:val="single" w:color="auto" w:sz="4" w:space="0"/>
              <w:bottom w:val="single" w:color="auto" w:sz="4" w:space="0"/>
              <w:right w:val="single" w:color="auto" w:sz="4" w:space="0"/>
            </w:tcBorders>
            <w:shd w:val="clear" w:color="auto" w:fill="FFFFFF"/>
            <w:tcMar>
              <w:top w:w="0" w:type="dxa"/>
              <w:left w:w="105" w:type="dxa"/>
              <w:bottom w:w="0" w:type="dxa"/>
              <w:right w:w="105" w:type="dxa"/>
            </w:tcMar>
            <w:vAlign w:val="center"/>
          </w:tcPr>
          <w:p w14:paraId="6416B1DA">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1天</w:t>
            </w:r>
          </w:p>
        </w:tc>
        <w:tc>
          <w:tcPr>
            <w:tcW w:w="878" w:type="dxa"/>
            <w:tcBorders>
              <w:top w:val="single" w:color="auto" w:sz="4" w:space="0"/>
              <w:left w:val="single" w:color="auto" w:sz="4" w:space="0"/>
              <w:bottom w:val="single" w:color="auto" w:sz="4" w:space="0"/>
              <w:right w:val="single" w:color="auto" w:sz="4" w:space="0"/>
            </w:tcBorders>
            <w:shd w:val="clear" w:color="auto" w:fill="FFFFFF"/>
            <w:tcMar>
              <w:top w:w="0" w:type="dxa"/>
              <w:left w:w="105" w:type="dxa"/>
              <w:bottom w:w="0" w:type="dxa"/>
              <w:right w:w="105" w:type="dxa"/>
            </w:tcMar>
            <w:vAlign w:val="center"/>
          </w:tcPr>
          <w:p w14:paraId="6455A3FE">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5</w:t>
            </w:r>
          </w:p>
        </w:tc>
        <w:tc>
          <w:tcPr>
            <w:tcW w:w="3278" w:type="dxa"/>
            <w:tcBorders>
              <w:top w:val="single" w:color="auto" w:sz="4" w:space="0"/>
              <w:left w:val="single" w:color="auto" w:sz="4" w:space="0"/>
              <w:bottom w:val="single" w:color="auto" w:sz="4" w:space="0"/>
              <w:right w:val="single" w:color="auto" w:sz="4" w:space="0"/>
            </w:tcBorders>
            <w:shd w:val="clear" w:color="auto" w:fill="FFFFFF"/>
            <w:tcMar>
              <w:top w:w="0" w:type="dxa"/>
              <w:left w:w="105" w:type="dxa"/>
              <w:bottom w:w="0" w:type="dxa"/>
              <w:right w:w="105" w:type="dxa"/>
            </w:tcMar>
            <w:vAlign w:val="center"/>
          </w:tcPr>
          <w:p w14:paraId="6F218E18">
            <w:pPr>
              <w:widowControl/>
              <w:spacing w:line="360" w:lineRule="auto"/>
              <w:jc w:val="left"/>
              <w:rPr>
                <w:rFonts w:ascii="宋体" w:hAnsi="宋体" w:cs="宋体"/>
                <w:color w:val="auto"/>
                <w:kern w:val="0"/>
                <w:sz w:val="24"/>
                <w:szCs w:val="24"/>
                <w:highlight w:val="none"/>
              </w:rPr>
            </w:pPr>
          </w:p>
        </w:tc>
      </w:tr>
      <w:tr w14:paraId="5A146327">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615" w:hRule="atLeast"/>
          <w:jc w:val="center"/>
        </w:trPr>
        <w:tc>
          <w:tcPr>
            <w:tcW w:w="692" w:type="dxa"/>
            <w:tcBorders>
              <w:top w:val="single" w:color="auto" w:sz="4" w:space="0"/>
              <w:left w:val="single" w:color="auto" w:sz="4" w:space="0"/>
              <w:bottom w:val="single" w:color="auto" w:sz="4" w:space="0"/>
              <w:right w:val="single" w:color="auto" w:sz="4" w:space="0"/>
            </w:tcBorders>
            <w:shd w:val="clear" w:color="auto" w:fill="FFFFFF"/>
            <w:tcMar>
              <w:top w:w="0" w:type="dxa"/>
              <w:left w:w="105" w:type="dxa"/>
              <w:bottom w:w="0" w:type="dxa"/>
              <w:right w:w="105" w:type="dxa"/>
            </w:tcMar>
            <w:vAlign w:val="center"/>
          </w:tcPr>
          <w:p w14:paraId="3A0AB434">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17</w:t>
            </w:r>
          </w:p>
        </w:tc>
        <w:tc>
          <w:tcPr>
            <w:tcW w:w="2977" w:type="dxa"/>
            <w:tcBorders>
              <w:top w:val="single" w:color="auto" w:sz="4" w:space="0"/>
              <w:left w:val="single" w:color="auto" w:sz="4" w:space="0"/>
              <w:bottom w:val="single" w:color="auto" w:sz="4" w:space="0"/>
              <w:right w:val="single" w:color="auto" w:sz="4" w:space="0"/>
            </w:tcBorders>
            <w:shd w:val="clear" w:color="auto" w:fill="FFFFFF"/>
            <w:tcMar>
              <w:top w:w="0" w:type="dxa"/>
              <w:left w:w="105" w:type="dxa"/>
              <w:bottom w:w="0" w:type="dxa"/>
              <w:right w:w="105" w:type="dxa"/>
            </w:tcMar>
            <w:vAlign w:val="center"/>
          </w:tcPr>
          <w:p w14:paraId="45606E20">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未按投标响应要求派遣厨师长和厨师的</w:t>
            </w:r>
          </w:p>
        </w:tc>
        <w:tc>
          <w:tcPr>
            <w:tcW w:w="844" w:type="dxa"/>
            <w:tcBorders>
              <w:top w:val="single" w:color="auto" w:sz="4" w:space="0"/>
              <w:left w:val="single" w:color="auto" w:sz="4" w:space="0"/>
              <w:bottom w:val="single" w:color="auto" w:sz="4" w:space="0"/>
              <w:right w:val="single" w:color="auto" w:sz="4" w:space="0"/>
            </w:tcBorders>
            <w:shd w:val="clear" w:color="auto" w:fill="FFFFFF"/>
            <w:tcMar>
              <w:top w:w="0" w:type="dxa"/>
              <w:left w:w="105" w:type="dxa"/>
              <w:bottom w:w="0" w:type="dxa"/>
              <w:right w:w="105" w:type="dxa"/>
            </w:tcMar>
            <w:vAlign w:val="center"/>
          </w:tcPr>
          <w:p w14:paraId="466AC19B">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1天</w:t>
            </w:r>
          </w:p>
        </w:tc>
        <w:tc>
          <w:tcPr>
            <w:tcW w:w="878" w:type="dxa"/>
            <w:tcBorders>
              <w:top w:val="single" w:color="auto" w:sz="4" w:space="0"/>
              <w:left w:val="single" w:color="auto" w:sz="4" w:space="0"/>
              <w:bottom w:val="single" w:color="auto" w:sz="4" w:space="0"/>
              <w:right w:val="single" w:color="auto" w:sz="4" w:space="0"/>
            </w:tcBorders>
            <w:shd w:val="clear" w:color="auto" w:fill="FFFFFF"/>
            <w:tcMar>
              <w:top w:w="0" w:type="dxa"/>
              <w:left w:w="105" w:type="dxa"/>
              <w:bottom w:w="0" w:type="dxa"/>
              <w:right w:w="105" w:type="dxa"/>
            </w:tcMar>
            <w:vAlign w:val="center"/>
          </w:tcPr>
          <w:p w14:paraId="2C83208B">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5</w:t>
            </w:r>
          </w:p>
        </w:tc>
        <w:tc>
          <w:tcPr>
            <w:tcW w:w="3278" w:type="dxa"/>
            <w:tcBorders>
              <w:top w:val="single" w:color="auto" w:sz="4" w:space="0"/>
              <w:left w:val="single" w:color="auto" w:sz="4" w:space="0"/>
              <w:bottom w:val="single" w:color="auto" w:sz="4" w:space="0"/>
              <w:right w:val="single" w:color="auto" w:sz="4" w:space="0"/>
            </w:tcBorders>
            <w:shd w:val="clear" w:color="auto" w:fill="FFFFFF"/>
            <w:tcMar>
              <w:top w:w="0" w:type="dxa"/>
              <w:left w:w="105" w:type="dxa"/>
              <w:bottom w:w="0" w:type="dxa"/>
              <w:right w:w="105" w:type="dxa"/>
            </w:tcMar>
            <w:vAlign w:val="center"/>
          </w:tcPr>
          <w:p w14:paraId="4874C801">
            <w:pPr>
              <w:widowControl/>
              <w:spacing w:line="360" w:lineRule="auto"/>
              <w:jc w:val="left"/>
              <w:rPr>
                <w:rFonts w:ascii="宋体" w:hAnsi="宋体" w:cs="宋体"/>
                <w:color w:val="auto"/>
                <w:kern w:val="0"/>
                <w:sz w:val="24"/>
                <w:szCs w:val="24"/>
                <w:highlight w:val="none"/>
              </w:rPr>
            </w:pPr>
          </w:p>
        </w:tc>
      </w:tr>
      <w:tr w14:paraId="3A1D5DF7">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615" w:hRule="atLeast"/>
          <w:jc w:val="center"/>
        </w:trPr>
        <w:tc>
          <w:tcPr>
            <w:tcW w:w="692" w:type="dxa"/>
            <w:tcBorders>
              <w:top w:val="single" w:color="auto" w:sz="4" w:space="0"/>
              <w:left w:val="single" w:color="auto" w:sz="4" w:space="0"/>
              <w:bottom w:val="single" w:color="auto" w:sz="4" w:space="0"/>
              <w:right w:val="single" w:color="auto" w:sz="4" w:space="0"/>
            </w:tcBorders>
            <w:shd w:val="clear" w:color="auto" w:fill="FFFFFF"/>
            <w:tcMar>
              <w:top w:w="0" w:type="dxa"/>
              <w:left w:w="105" w:type="dxa"/>
              <w:bottom w:w="0" w:type="dxa"/>
              <w:right w:w="105" w:type="dxa"/>
            </w:tcMar>
            <w:vAlign w:val="center"/>
          </w:tcPr>
          <w:p w14:paraId="09747F0D">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18</w:t>
            </w:r>
          </w:p>
        </w:tc>
        <w:tc>
          <w:tcPr>
            <w:tcW w:w="2977" w:type="dxa"/>
            <w:tcBorders>
              <w:top w:val="single" w:color="auto" w:sz="4" w:space="0"/>
              <w:left w:val="single" w:color="auto" w:sz="4" w:space="0"/>
              <w:bottom w:val="single" w:color="auto" w:sz="4" w:space="0"/>
              <w:right w:val="single" w:color="auto" w:sz="4" w:space="0"/>
            </w:tcBorders>
            <w:shd w:val="clear" w:color="auto" w:fill="FFFFFF"/>
            <w:tcMar>
              <w:top w:w="0" w:type="dxa"/>
              <w:left w:w="105" w:type="dxa"/>
              <w:bottom w:w="0" w:type="dxa"/>
              <w:right w:w="105" w:type="dxa"/>
            </w:tcMar>
            <w:vAlign w:val="center"/>
          </w:tcPr>
          <w:p w14:paraId="30882222">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未按投标响应要求派遣面点师的</w:t>
            </w:r>
          </w:p>
        </w:tc>
        <w:tc>
          <w:tcPr>
            <w:tcW w:w="844" w:type="dxa"/>
            <w:tcBorders>
              <w:top w:val="single" w:color="auto" w:sz="4" w:space="0"/>
              <w:left w:val="single" w:color="auto" w:sz="4" w:space="0"/>
              <w:bottom w:val="single" w:color="auto" w:sz="4" w:space="0"/>
              <w:right w:val="single" w:color="auto" w:sz="4" w:space="0"/>
            </w:tcBorders>
            <w:shd w:val="clear" w:color="auto" w:fill="FFFFFF"/>
            <w:tcMar>
              <w:top w:w="0" w:type="dxa"/>
              <w:left w:w="105" w:type="dxa"/>
              <w:bottom w:w="0" w:type="dxa"/>
              <w:right w:w="105" w:type="dxa"/>
            </w:tcMar>
            <w:vAlign w:val="center"/>
          </w:tcPr>
          <w:p w14:paraId="5E9D14BF">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1天</w:t>
            </w:r>
          </w:p>
        </w:tc>
        <w:tc>
          <w:tcPr>
            <w:tcW w:w="878" w:type="dxa"/>
            <w:tcBorders>
              <w:top w:val="single" w:color="auto" w:sz="4" w:space="0"/>
              <w:left w:val="single" w:color="auto" w:sz="4" w:space="0"/>
              <w:bottom w:val="single" w:color="auto" w:sz="4" w:space="0"/>
              <w:right w:val="single" w:color="auto" w:sz="4" w:space="0"/>
            </w:tcBorders>
            <w:shd w:val="clear" w:color="auto" w:fill="FFFFFF"/>
            <w:tcMar>
              <w:top w:w="0" w:type="dxa"/>
              <w:left w:w="105" w:type="dxa"/>
              <w:bottom w:w="0" w:type="dxa"/>
              <w:right w:w="105" w:type="dxa"/>
            </w:tcMar>
            <w:vAlign w:val="center"/>
          </w:tcPr>
          <w:p w14:paraId="211956CC">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4</w:t>
            </w:r>
          </w:p>
        </w:tc>
        <w:tc>
          <w:tcPr>
            <w:tcW w:w="3278" w:type="dxa"/>
            <w:tcBorders>
              <w:top w:val="single" w:color="auto" w:sz="4" w:space="0"/>
              <w:left w:val="single" w:color="auto" w:sz="4" w:space="0"/>
              <w:bottom w:val="single" w:color="auto" w:sz="4" w:space="0"/>
              <w:right w:val="single" w:color="auto" w:sz="4" w:space="0"/>
            </w:tcBorders>
            <w:shd w:val="clear" w:color="auto" w:fill="FFFFFF"/>
            <w:tcMar>
              <w:top w:w="0" w:type="dxa"/>
              <w:left w:w="105" w:type="dxa"/>
              <w:bottom w:w="0" w:type="dxa"/>
              <w:right w:w="105" w:type="dxa"/>
            </w:tcMar>
            <w:vAlign w:val="center"/>
          </w:tcPr>
          <w:p w14:paraId="2B74F257">
            <w:pPr>
              <w:widowControl/>
              <w:spacing w:line="360" w:lineRule="auto"/>
              <w:jc w:val="left"/>
              <w:rPr>
                <w:rFonts w:ascii="宋体" w:hAnsi="宋体" w:cs="宋体"/>
                <w:color w:val="auto"/>
                <w:kern w:val="0"/>
                <w:sz w:val="24"/>
                <w:szCs w:val="24"/>
                <w:highlight w:val="none"/>
              </w:rPr>
            </w:pPr>
          </w:p>
        </w:tc>
      </w:tr>
      <w:tr w14:paraId="43EC7FC9">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615" w:hRule="atLeast"/>
          <w:jc w:val="center"/>
        </w:trPr>
        <w:tc>
          <w:tcPr>
            <w:tcW w:w="692" w:type="dxa"/>
            <w:tcBorders>
              <w:top w:val="single" w:color="auto" w:sz="4" w:space="0"/>
              <w:left w:val="single" w:color="auto" w:sz="4" w:space="0"/>
              <w:bottom w:val="single" w:color="auto" w:sz="4" w:space="0"/>
              <w:right w:val="single" w:color="auto" w:sz="4" w:space="0"/>
            </w:tcBorders>
            <w:shd w:val="clear" w:color="auto" w:fill="FFFFFF"/>
            <w:tcMar>
              <w:top w:w="0" w:type="dxa"/>
              <w:left w:w="105" w:type="dxa"/>
              <w:bottom w:w="0" w:type="dxa"/>
              <w:right w:w="105" w:type="dxa"/>
            </w:tcMar>
            <w:vAlign w:val="center"/>
          </w:tcPr>
          <w:p w14:paraId="06F58BFF">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19</w:t>
            </w:r>
          </w:p>
        </w:tc>
        <w:tc>
          <w:tcPr>
            <w:tcW w:w="2977" w:type="dxa"/>
            <w:tcBorders>
              <w:top w:val="single" w:color="auto" w:sz="4" w:space="0"/>
              <w:left w:val="single" w:color="auto" w:sz="4" w:space="0"/>
              <w:bottom w:val="single" w:color="auto" w:sz="4" w:space="0"/>
              <w:right w:val="single" w:color="auto" w:sz="4" w:space="0"/>
            </w:tcBorders>
            <w:shd w:val="clear" w:color="auto" w:fill="FFFFFF"/>
            <w:tcMar>
              <w:top w:w="0" w:type="dxa"/>
              <w:left w:w="105" w:type="dxa"/>
              <w:bottom w:w="0" w:type="dxa"/>
              <w:right w:w="105" w:type="dxa"/>
            </w:tcMar>
            <w:vAlign w:val="center"/>
          </w:tcPr>
          <w:p w14:paraId="79252B86">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sz w:val="24"/>
                <w:szCs w:val="24"/>
                <w:highlight w:val="none"/>
              </w:rPr>
              <w:t>若提出更换派遣人员意见后，未在5个工作日内予以更换的</w:t>
            </w:r>
          </w:p>
        </w:tc>
        <w:tc>
          <w:tcPr>
            <w:tcW w:w="844" w:type="dxa"/>
            <w:tcBorders>
              <w:top w:val="single" w:color="auto" w:sz="4" w:space="0"/>
              <w:left w:val="single" w:color="auto" w:sz="4" w:space="0"/>
              <w:bottom w:val="single" w:color="auto" w:sz="4" w:space="0"/>
              <w:right w:val="single" w:color="auto" w:sz="4" w:space="0"/>
            </w:tcBorders>
            <w:shd w:val="clear" w:color="auto" w:fill="FFFFFF"/>
            <w:tcMar>
              <w:top w:w="0" w:type="dxa"/>
              <w:left w:w="105" w:type="dxa"/>
              <w:bottom w:w="0" w:type="dxa"/>
              <w:right w:w="105" w:type="dxa"/>
            </w:tcMar>
            <w:vAlign w:val="center"/>
          </w:tcPr>
          <w:p w14:paraId="477EDD60">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1次</w:t>
            </w:r>
          </w:p>
        </w:tc>
        <w:tc>
          <w:tcPr>
            <w:tcW w:w="878" w:type="dxa"/>
            <w:tcBorders>
              <w:top w:val="single" w:color="auto" w:sz="4" w:space="0"/>
              <w:left w:val="single" w:color="auto" w:sz="4" w:space="0"/>
              <w:bottom w:val="single" w:color="auto" w:sz="4" w:space="0"/>
              <w:right w:val="single" w:color="auto" w:sz="4" w:space="0"/>
            </w:tcBorders>
            <w:shd w:val="clear" w:color="auto" w:fill="FFFFFF"/>
            <w:tcMar>
              <w:top w:w="0" w:type="dxa"/>
              <w:left w:w="105" w:type="dxa"/>
              <w:bottom w:w="0" w:type="dxa"/>
              <w:right w:w="105" w:type="dxa"/>
            </w:tcMar>
            <w:vAlign w:val="center"/>
          </w:tcPr>
          <w:p w14:paraId="7500AFCA">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4</w:t>
            </w:r>
          </w:p>
        </w:tc>
        <w:tc>
          <w:tcPr>
            <w:tcW w:w="3278" w:type="dxa"/>
            <w:tcBorders>
              <w:top w:val="single" w:color="auto" w:sz="4" w:space="0"/>
              <w:left w:val="single" w:color="auto" w:sz="4" w:space="0"/>
              <w:bottom w:val="single" w:color="auto" w:sz="4" w:space="0"/>
              <w:right w:val="single" w:color="auto" w:sz="4" w:space="0"/>
            </w:tcBorders>
            <w:shd w:val="clear" w:color="auto" w:fill="FFFFFF"/>
            <w:tcMar>
              <w:top w:w="0" w:type="dxa"/>
              <w:left w:w="105" w:type="dxa"/>
              <w:bottom w:w="0" w:type="dxa"/>
              <w:right w:w="105" w:type="dxa"/>
            </w:tcMar>
            <w:vAlign w:val="center"/>
          </w:tcPr>
          <w:p w14:paraId="56F53446">
            <w:pPr>
              <w:widowControl/>
              <w:spacing w:line="360" w:lineRule="auto"/>
              <w:jc w:val="left"/>
              <w:rPr>
                <w:rFonts w:ascii="宋体" w:hAnsi="宋体" w:cs="宋体"/>
                <w:color w:val="auto"/>
                <w:kern w:val="0"/>
                <w:sz w:val="24"/>
                <w:szCs w:val="24"/>
                <w:highlight w:val="none"/>
              </w:rPr>
            </w:pPr>
          </w:p>
        </w:tc>
      </w:tr>
    </w:tbl>
    <w:p w14:paraId="10BF0FC6">
      <w:pPr>
        <w:widowControl/>
        <w:shd w:val="clear" w:color="auto" w:fill="FFFFFF"/>
        <w:spacing w:line="360" w:lineRule="auto"/>
        <w:ind w:firstLine="555"/>
        <w:jc w:val="left"/>
        <w:rPr>
          <w:rFonts w:ascii="宋体" w:hAnsi="宋体" w:cs="宋体"/>
          <w:b/>
          <w:bCs/>
          <w:color w:val="auto"/>
          <w:kern w:val="0"/>
          <w:sz w:val="24"/>
          <w:szCs w:val="24"/>
          <w:highlight w:val="none"/>
        </w:rPr>
        <w:sectPr>
          <w:pgSz w:w="11907" w:h="16840"/>
          <w:pgMar w:top="1361" w:right="1752" w:bottom="1440" w:left="1752" w:header="851" w:footer="992" w:gutter="0"/>
          <w:cols w:space="720" w:num="1"/>
        </w:sectPr>
      </w:pPr>
    </w:p>
    <w:p w14:paraId="6FD2E324">
      <w:pPr>
        <w:widowControl/>
        <w:shd w:val="clear" w:color="auto" w:fill="FFFFFF"/>
        <w:spacing w:line="360" w:lineRule="auto"/>
        <w:ind w:firstLine="555"/>
        <w:jc w:val="left"/>
        <w:rPr>
          <w:rFonts w:ascii="宋体" w:hAnsi="宋体" w:cs="宋体"/>
          <w:b/>
          <w:bCs/>
          <w:color w:val="auto"/>
          <w:kern w:val="0"/>
          <w:sz w:val="24"/>
          <w:szCs w:val="24"/>
          <w:highlight w:val="none"/>
        </w:rPr>
      </w:pPr>
      <w:r>
        <w:rPr>
          <w:rFonts w:hint="eastAsia" w:ascii="宋体" w:hAnsi="宋体" w:cs="宋体"/>
          <w:b/>
          <w:bCs/>
          <w:color w:val="auto"/>
          <w:kern w:val="0"/>
          <w:sz w:val="24"/>
          <w:szCs w:val="24"/>
          <w:highlight w:val="none"/>
        </w:rPr>
        <w:t>附件3：就餐者满意度调查表</w:t>
      </w:r>
    </w:p>
    <w:p w14:paraId="123D8CC1">
      <w:pPr>
        <w:widowControl/>
        <w:shd w:val="clear" w:color="auto" w:fill="FFFFFF"/>
        <w:spacing w:line="360" w:lineRule="auto"/>
        <w:ind w:firstLine="555"/>
        <w:jc w:val="center"/>
        <w:rPr>
          <w:rFonts w:ascii="宋体" w:hAnsi="宋体" w:cs="宋体"/>
          <w:b/>
          <w:bCs/>
          <w:color w:val="auto"/>
          <w:kern w:val="0"/>
          <w:sz w:val="24"/>
          <w:szCs w:val="24"/>
          <w:highlight w:val="none"/>
        </w:rPr>
      </w:pPr>
      <w:r>
        <w:rPr>
          <w:rFonts w:hint="eastAsia" w:ascii="宋体" w:hAnsi="宋体" w:cs="宋体"/>
          <w:b/>
          <w:bCs/>
          <w:color w:val="auto"/>
          <w:sz w:val="24"/>
          <w:szCs w:val="24"/>
          <w:highlight w:val="none"/>
          <w:shd w:val="clear" w:color="auto" w:fill="FFFFFF"/>
        </w:rPr>
        <w:t>厦门市分行职工食堂外包服务团队满意度调查</w:t>
      </w:r>
    </w:p>
    <w:p w14:paraId="308C779D">
      <w:pPr>
        <w:pStyle w:val="18"/>
        <w:spacing w:before="0" w:beforeAutospacing="0" w:after="0" w:afterAutospacing="0" w:line="360" w:lineRule="auto"/>
        <w:ind w:firstLine="480" w:firstLineChars="200"/>
        <w:rPr>
          <w:color w:val="auto"/>
          <w:highlight w:val="none"/>
        </w:rPr>
      </w:pPr>
      <w:r>
        <w:rPr>
          <w:rFonts w:hint="eastAsia"/>
          <w:color w:val="auto"/>
          <w:highlight w:val="none"/>
          <w:shd w:val="clear" w:color="auto" w:fill="FFFFFF"/>
        </w:rPr>
        <w:t>为进一步提高职工食堂服务质量，现对食堂的菜肴、餐厅卫生及服务情况开展问卷调查，感谢您的积极参与！</w:t>
      </w:r>
    </w:p>
    <w:tbl>
      <w:tblPr>
        <w:tblStyle w:val="21"/>
        <w:tblW w:w="9593" w:type="dxa"/>
        <w:jc w:val="center"/>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Layout w:type="autofit"/>
        <w:tblCellMar>
          <w:top w:w="15" w:type="dxa"/>
          <w:left w:w="15" w:type="dxa"/>
          <w:bottom w:w="15" w:type="dxa"/>
          <w:right w:w="15" w:type="dxa"/>
        </w:tblCellMar>
      </w:tblPr>
      <w:tblGrid>
        <w:gridCol w:w="559"/>
        <w:gridCol w:w="866"/>
        <w:gridCol w:w="1410"/>
        <w:gridCol w:w="1410"/>
        <w:gridCol w:w="1275"/>
        <w:gridCol w:w="7"/>
        <w:gridCol w:w="1418"/>
        <w:gridCol w:w="1275"/>
        <w:gridCol w:w="7"/>
        <w:gridCol w:w="1366"/>
      </w:tblGrid>
      <w:tr w14:paraId="0CB16555">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390" w:hRule="atLeast"/>
          <w:tblHeader/>
          <w:jc w:val="center"/>
        </w:trPr>
        <w:tc>
          <w:tcPr>
            <w:tcW w:w="1425" w:type="dxa"/>
            <w:gridSpan w:val="2"/>
            <w:vMerge w:val="restart"/>
            <w:tcBorders>
              <w:top w:val="outset" w:color="000000" w:sz="6" w:space="0"/>
              <w:left w:val="outset" w:color="000000" w:sz="6" w:space="0"/>
              <w:bottom w:val="outset" w:color="000000" w:sz="6" w:space="0"/>
              <w:right w:val="single" w:color="auto" w:sz="4" w:space="0"/>
            </w:tcBorders>
            <w:shd w:val="clear" w:color="auto" w:fill="FFFFFF"/>
            <w:tcMar>
              <w:top w:w="0" w:type="dxa"/>
              <w:left w:w="105" w:type="dxa"/>
              <w:bottom w:w="0" w:type="dxa"/>
              <w:right w:w="105" w:type="dxa"/>
            </w:tcMar>
            <w:vAlign w:val="center"/>
          </w:tcPr>
          <w:p w14:paraId="3DAE113E">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分值</w:t>
            </w:r>
          </w:p>
          <w:p w14:paraId="1198B2D9">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项目</w:t>
            </w:r>
          </w:p>
        </w:tc>
        <w:tc>
          <w:tcPr>
            <w:tcW w:w="1410" w:type="dxa"/>
            <w:vMerge w:val="restart"/>
            <w:tcBorders>
              <w:top w:val="single" w:color="auto" w:sz="4" w:space="0"/>
              <w:left w:val="single" w:color="auto" w:sz="4" w:space="0"/>
              <w:right w:val="single" w:color="auto" w:sz="4" w:space="0"/>
            </w:tcBorders>
            <w:shd w:val="clear" w:color="auto" w:fill="FFFFFF"/>
            <w:vAlign w:val="center"/>
          </w:tcPr>
          <w:p w14:paraId="4ECECE47">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评价内容</w:t>
            </w:r>
          </w:p>
        </w:tc>
        <w:tc>
          <w:tcPr>
            <w:tcW w:w="1410" w:type="dxa"/>
            <w:tcBorders>
              <w:top w:val="outset" w:color="000000" w:sz="6" w:space="0"/>
              <w:left w:val="single" w:color="auto" w:sz="4"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2C32CB05">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非常满意</w:t>
            </w:r>
          </w:p>
        </w:tc>
        <w:tc>
          <w:tcPr>
            <w:tcW w:w="1282" w:type="dxa"/>
            <w:gridSpan w:val="2"/>
            <w:tcBorders>
              <w:top w:val="outset" w:color="000000" w:sz="6"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0889E766">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满意</w:t>
            </w:r>
          </w:p>
        </w:tc>
        <w:tc>
          <w:tcPr>
            <w:tcW w:w="1418" w:type="dxa"/>
            <w:tcBorders>
              <w:top w:val="outset" w:color="000000" w:sz="6"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7BC9EB51">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基本满意</w:t>
            </w:r>
          </w:p>
        </w:tc>
        <w:tc>
          <w:tcPr>
            <w:tcW w:w="1282" w:type="dxa"/>
            <w:gridSpan w:val="2"/>
            <w:tcBorders>
              <w:top w:val="outset" w:color="000000" w:sz="6"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7589DC46">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不满意</w:t>
            </w:r>
          </w:p>
        </w:tc>
        <w:tc>
          <w:tcPr>
            <w:tcW w:w="1366" w:type="dxa"/>
            <w:vMerge w:val="restart"/>
            <w:tcBorders>
              <w:top w:val="outset" w:color="000000" w:sz="6"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391304A5">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存在问题和建议</w:t>
            </w:r>
          </w:p>
        </w:tc>
      </w:tr>
      <w:tr w14:paraId="09C6957D">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480" w:hRule="atLeast"/>
          <w:tblHeader/>
          <w:jc w:val="center"/>
        </w:trPr>
        <w:tc>
          <w:tcPr>
            <w:tcW w:w="1425" w:type="dxa"/>
            <w:gridSpan w:val="2"/>
            <w:vMerge w:val="continue"/>
            <w:tcBorders>
              <w:top w:val="outset" w:color="000000" w:sz="6" w:space="0"/>
              <w:left w:val="outset" w:color="000000" w:sz="6" w:space="0"/>
              <w:bottom w:val="outset" w:color="000000" w:sz="6" w:space="0"/>
              <w:right w:val="single" w:color="auto" w:sz="4" w:space="0"/>
            </w:tcBorders>
            <w:shd w:val="clear" w:color="auto" w:fill="auto"/>
            <w:vAlign w:val="center"/>
          </w:tcPr>
          <w:p w14:paraId="5C698104">
            <w:pPr>
              <w:widowControl/>
              <w:spacing w:line="360" w:lineRule="auto"/>
              <w:jc w:val="left"/>
              <w:rPr>
                <w:rFonts w:ascii="宋体" w:hAnsi="宋体" w:cs="宋体"/>
                <w:color w:val="auto"/>
                <w:kern w:val="0"/>
                <w:sz w:val="24"/>
                <w:szCs w:val="24"/>
                <w:highlight w:val="none"/>
              </w:rPr>
            </w:pPr>
          </w:p>
        </w:tc>
        <w:tc>
          <w:tcPr>
            <w:tcW w:w="1410" w:type="dxa"/>
            <w:vMerge w:val="continue"/>
            <w:tcBorders>
              <w:left w:val="single" w:color="auto" w:sz="4" w:space="0"/>
              <w:bottom w:val="single" w:color="auto" w:sz="4" w:space="0"/>
              <w:right w:val="single" w:color="auto" w:sz="4" w:space="0"/>
            </w:tcBorders>
            <w:shd w:val="clear" w:color="auto" w:fill="auto"/>
          </w:tcPr>
          <w:p w14:paraId="343680E1">
            <w:pPr>
              <w:widowControl/>
              <w:spacing w:line="360" w:lineRule="auto"/>
              <w:jc w:val="center"/>
              <w:rPr>
                <w:rFonts w:ascii="宋体" w:hAnsi="宋体" w:cs="宋体"/>
                <w:color w:val="auto"/>
                <w:kern w:val="0"/>
                <w:sz w:val="24"/>
                <w:szCs w:val="24"/>
                <w:highlight w:val="none"/>
              </w:rPr>
            </w:pPr>
          </w:p>
        </w:tc>
        <w:tc>
          <w:tcPr>
            <w:tcW w:w="1410" w:type="dxa"/>
            <w:tcBorders>
              <w:top w:val="single" w:color="auto" w:sz="0" w:space="0"/>
              <w:left w:val="single" w:color="auto" w:sz="4"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7A11D884">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（100分）</w:t>
            </w:r>
          </w:p>
        </w:tc>
        <w:tc>
          <w:tcPr>
            <w:tcW w:w="1282" w:type="dxa"/>
            <w:gridSpan w:val="2"/>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1A5EB93B">
            <w:pPr>
              <w:widowControl/>
              <w:spacing w:after="150"/>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（80分）</w:t>
            </w:r>
          </w:p>
        </w:tc>
        <w:tc>
          <w:tcPr>
            <w:tcW w:w="1418" w:type="dxa"/>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0A8E75BB">
            <w:pPr>
              <w:widowControl/>
              <w:spacing w:after="150"/>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（60分）</w:t>
            </w:r>
          </w:p>
        </w:tc>
        <w:tc>
          <w:tcPr>
            <w:tcW w:w="1282" w:type="dxa"/>
            <w:gridSpan w:val="2"/>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0919B498">
            <w:pPr>
              <w:widowControl/>
              <w:spacing w:after="150"/>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（40分）</w:t>
            </w:r>
          </w:p>
        </w:tc>
        <w:tc>
          <w:tcPr>
            <w:tcW w:w="1366" w:type="dxa"/>
            <w:vMerge w:val="continue"/>
            <w:tcBorders>
              <w:top w:val="outset" w:color="000000" w:sz="6" w:space="0"/>
              <w:left w:val="single" w:color="auto" w:sz="0" w:space="0"/>
              <w:bottom w:val="outset" w:color="000000" w:sz="6" w:space="0"/>
              <w:right w:val="outset" w:color="000000" w:sz="6" w:space="0"/>
            </w:tcBorders>
            <w:vAlign w:val="center"/>
          </w:tcPr>
          <w:p w14:paraId="4DA84727">
            <w:pPr>
              <w:widowControl/>
              <w:spacing w:line="360" w:lineRule="auto"/>
              <w:jc w:val="left"/>
              <w:rPr>
                <w:rFonts w:ascii="宋体" w:hAnsi="宋体" w:cs="宋体"/>
                <w:color w:val="auto"/>
                <w:kern w:val="0"/>
                <w:sz w:val="24"/>
                <w:szCs w:val="24"/>
                <w:highlight w:val="none"/>
              </w:rPr>
            </w:pPr>
          </w:p>
        </w:tc>
      </w:tr>
      <w:tr w14:paraId="66D0F46E">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690" w:hRule="atLeast"/>
          <w:jc w:val="center"/>
        </w:trPr>
        <w:tc>
          <w:tcPr>
            <w:tcW w:w="559" w:type="dxa"/>
            <w:vMerge w:val="restart"/>
            <w:tcBorders>
              <w:top w:val="single" w:color="auto" w:sz="0" w:space="0"/>
              <w:left w:val="outset" w:color="000000" w:sz="6" w:space="0"/>
              <w:bottom w:val="outset" w:color="000000" w:sz="6" w:space="0"/>
              <w:right w:val="outset" w:color="000000" w:sz="6" w:space="0"/>
            </w:tcBorders>
            <w:shd w:val="clear" w:color="auto" w:fill="FFFFFF"/>
            <w:tcMar>
              <w:top w:w="0" w:type="dxa"/>
              <w:left w:w="105" w:type="dxa"/>
              <w:bottom w:w="0" w:type="dxa"/>
              <w:right w:w="105" w:type="dxa"/>
            </w:tcMar>
            <w:vAlign w:val="center"/>
          </w:tcPr>
          <w:p w14:paraId="07CE44C1">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菜</w:t>
            </w:r>
          </w:p>
          <w:p w14:paraId="73A70A6E">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肴</w:t>
            </w:r>
          </w:p>
          <w:p w14:paraId="04A90A58">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情</w:t>
            </w:r>
          </w:p>
          <w:p w14:paraId="367CD354">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况</w:t>
            </w:r>
          </w:p>
        </w:tc>
        <w:tc>
          <w:tcPr>
            <w:tcW w:w="866" w:type="dxa"/>
            <w:tcBorders>
              <w:top w:val="single" w:color="auto" w:sz="0" w:space="0"/>
              <w:left w:val="single" w:color="auto" w:sz="0" w:space="0"/>
              <w:bottom w:val="outset" w:color="000000" w:sz="6" w:space="0"/>
              <w:right w:val="single" w:color="auto" w:sz="4" w:space="0"/>
            </w:tcBorders>
            <w:shd w:val="clear" w:color="auto" w:fill="FFFFFF"/>
            <w:tcMar>
              <w:top w:w="0" w:type="dxa"/>
              <w:left w:w="105" w:type="dxa"/>
              <w:bottom w:w="0" w:type="dxa"/>
              <w:right w:w="105" w:type="dxa"/>
            </w:tcMar>
            <w:vAlign w:val="center"/>
          </w:tcPr>
          <w:p w14:paraId="2BE15449">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数量</w:t>
            </w:r>
          </w:p>
        </w:tc>
        <w:tc>
          <w:tcPr>
            <w:tcW w:w="1410" w:type="dxa"/>
            <w:tcBorders>
              <w:top w:val="single" w:color="auto" w:sz="4" w:space="0"/>
              <w:left w:val="single" w:color="auto" w:sz="4" w:space="0"/>
              <w:bottom w:val="single" w:color="auto" w:sz="4" w:space="0"/>
              <w:right w:val="single" w:color="auto" w:sz="4" w:space="0"/>
            </w:tcBorders>
            <w:shd w:val="clear" w:color="auto" w:fill="FFFFFF"/>
          </w:tcPr>
          <w:p w14:paraId="20EB67FC">
            <w:pPr>
              <w:widowControl/>
              <w:spacing w:line="360" w:lineRule="auto"/>
              <w:jc w:val="left"/>
              <w:rPr>
                <w:rFonts w:ascii="宋体" w:hAnsi="宋体" w:cs="宋体"/>
                <w:color w:val="auto"/>
                <w:kern w:val="0"/>
                <w:sz w:val="24"/>
                <w:szCs w:val="24"/>
                <w:highlight w:val="none"/>
              </w:rPr>
            </w:pPr>
            <w:r>
              <w:rPr>
                <w:rFonts w:hint="eastAsia" w:ascii="宋体" w:hAnsi="宋体" w:cs="宋体"/>
                <w:color w:val="auto"/>
                <w:kern w:val="0"/>
                <w:sz w:val="24"/>
                <w:szCs w:val="24"/>
                <w:highlight w:val="none"/>
              </w:rPr>
              <w:t>是否按要求的数量搭配</w:t>
            </w:r>
          </w:p>
        </w:tc>
        <w:tc>
          <w:tcPr>
            <w:tcW w:w="1410" w:type="dxa"/>
            <w:tcBorders>
              <w:top w:val="single" w:color="auto" w:sz="0" w:space="0"/>
              <w:left w:val="single" w:color="auto" w:sz="4" w:space="0"/>
              <w:bottom w:val="outset" w:color="000000" w:sz="6" w:space="0"/>
              <w:right w:val="outset" w:color="000000" w:sz="6" w:space="0"/>
            </w:tcBorders>
            <w:shd w:val="clear" w:color="auto" w:fill="FFFFFF"/>
            <w:tcMar>
              <w:top w:w="0" w:type="dxa"/>
              <w:left w:w="105" w:type="dxa"/>
              <w:bottom w:w="0" w:type="dxa"/>
              <w:right w:w="105" w:type="dxa"/>
            </w:tcMar>
          </w:tcPr>
          <w:p w14:paraId="39F54A28">
            <w:pPr>
              <w:widowControl/>
              <w:spacing w:line="360" w:lineRule="auto"/>
              <w:jc w:val="left"/>
              <w:rPr>
                <w:rFonts w:ascii="宋体" w:hAnsi="宋体" w:cs="宋体"/>
                <w:color w:val="auto"/>
                <w:kern w:val="0"/>
                <w:sz w:val="24"/>
                <w:szCs w:val="24"/>
                <w:highlight w:val="none"/>
              </w:rPr>
            </w:pPr>
          </w:p>
        </w:tc>
        <w:tc>
          <w:tcPr>
            <w:tcW w:w="1275" w:type="dxa"/>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tcPr>
          <w:p w14:paraId="5D4005BF">
            <w:pPr>
              <w:widowControl/>
              <w:spacing w:line="360" w:lineRule="auto"/>
              <w:jc w:val="left"/>
              <w:rPr>
                <w:rFonts w:ascii="宋体" w:hAnsi="宋体" w:cs="宋体"/>
                <w:color w:val="auto"/>
                <w:kern w:val="0"/>
                <w:sz w:val="24"/>
                <w:szCs w:val="24"/>
                <w:highlight w:val="none"/>
              </w:rPr>
            </w:pPr>
          </w:p>
        </w:tc>
        <w:tc>
          <w:tcPr>
            <w:tcW w:w="1425" w:type="dxa"/>
            <w:gridSpan w:val="2"/>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tcPr>
          <w:p w14:paraId="5414BDF8">
            <w:pPr>
              <w:widowControl/>
              <w:spacing w:line="360" w:lineRule="auto"/>
              <w:jc w:val="left"/>
              <w:rPr>
                <w:rFonts w:ascii="宋体" w:hAnsi="宋体" w:cs="宋体"/>
                <w:color w:val="auto"/>
                <w:kern w:val="0"/>
                <w:sz w:val="24"/>
                <w:szCs w:val="24"/>
                <w:highlight w:val="none"/>
              </w:rPr>
            </w:pPr>
          </w:p>
        </w:tc>
        <w:tc>
          <w:tcPr>
            <w:tcW w:w="1275" w:type="dxa"/>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tcPr>
          <w:p w14:paraId="539DA716">
            <w:pPr>
              <w:widowControl/>
              <w:spacing w:line="360" w:lineRule="auto"/>
              <w:jc w:val="left"/>
              <w:rPr>
                <w:rFonts w:ascii="宋体" w:hAnsi="宋体" w:cs="宋体"/>
                <w:color w:val="auto"/>
                <w:kern w:val="0"/>
                <w:sz w:val="24"/>
                <w:szCs w:val="24"/>
                <w:highlight w:val="none"/>
              </w:rPr>
            </w:pPr>
          </w:p>
        </w:tc>
        <w:tc>
          <w:tcPr>
            <w:tcW w:w="1373" w:type="dxa"/>
            <w:gridSpan w:val="2"/>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tcPr>
          <w:p w14:paraId="5A7DE193">
            <w:pPr>
              <w:widowControl/>
              <w:spacing w:line="360" w:lineRule="auto"/>
              <w:jc w:val="left"/>
              <w:rPr>
                <w:rFonts w:ascii="宋体" w:hAnsi="宋体" w:cs="宋体"/>
                <w:color w:val="auto"/>
                <w:kern w:val="0"/>
                <w:sz w:val="24"/>
                <w:szCs w:val="24"/>
                <w:highlight w:val="none"/>
              </w:rPr>
            </w:pPr>
          </w:p>
        </w:tc>
      </w:tr>
      <w:tr w14:paraId="725EFC97">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660" w:hRule="atLeast"/>
          <w:jc w:val="center"/>
        </w:trPr>
        <w:tc>
          <w:tcPr>
            <w:tcW w:w="559" w:type="dxa"/>
            <w:vMerge w:val="continue"/>
            <w:tcBorders>
              <w:top w:val="single" w:color="auto" w:sz="0" w:space="0"/>
              <w:left w:val="outset" w:color="000000" w:sz="6" w:space="0"/>
              <w:bottom w:val="outset" w:color="000000" w:sz="6" w:space="0"/>
              <w:right w:val="outset" w:color="000000" w:sz="6" w:space="0"/>
            </w:tcBorders>
            <w:shd w:val="clear" w:color="auto" w:fill="auto"/>
            <w:vAlign w:val="center"/>
          </w:tcPr>
          <w:p w14:paraId="083E8D6E">
            <w:pPr>
              <w:widowControl/>
              <w:spacing w:line="360" w:lineRule="auto"/>
              <w:jc w:val="left"/>
              <w:rPr>
                <w:rFonts w:ascii="宋体" w:hAnsi="宋体" w:cs="宋体"/>
                <w:color w:val="auto"/>
                <w:kern w:val="0"/>
                <w:sz w:val="24"/>
                <w:szCs w:val="24"/>
                <w:highlight w:val="none"/>
              </w:rPr>
            </w:pPr>
          </w:p>
        </w:tc>
        <w:tc>
          <w:tcPr>
            <w:tcW w:w="866" w:type="dxa"/>
            <w:tcBorders>
              <w:top w:val="single" w:color="auto" w:sz="0" w:space="0"/>
              <w:left w:val="single" w:color="auto" w:sz="0" w:space="0"/>
              <w:bottom w:val="outset" w:color="000000" w:sz="6" w:space="0"/>
              <w:right w:val="single" w:color="auto" w:sz="4" w:space="0"/>
            </w:tcBorders>
            <w:shd w:val="clear" w:color="auto" w:fill="FFFFFF"/>
            <w:tcMar>
              <w:top w:w="0" w:type="dxa"/>
              <w:left w:w="105" w:type="dxa"/>
              <w:bottom w:w="0" w:type="dxa"/>
              <w:right w:w="105" w:type="dxa"/>
            </w:tcMar>
            <w:vAlign w:val="center"/>
          </w:tcPr>
          <w:p w14:paraId="3BF7DC8E">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质量</w:t>
            </w:r>
          </w:p>
        </w:tc>
        <w:tc>
          <w:tcPr>
            <w:tcW w:w="1410" w:type="dxa"/>
            <w:tcBorders>
              <w:top w:val="single" w:color="auto" w:sz="4" w:space="0"/>
              <w:left w:val="single" w:color="auto" w:sz="4" w:space="0"/>
              <w:bottom w:val="single" w:color="auto" w:sz="4" w:space="0"/>
              <w:right w:val="single" w:color="auto" w:sz="4" w:space="0"/>
            </w:tcBorders>
            <w:shd w:val="clear" w:color="auto" w:fill="FFFFFF"/>
          </w:tcPr>
          <w:p w14:paraId="16EC4CBD">
            <w:pPr>
              <w:widowControl/>
              <w:spacing w:line="360" w:lineRule="auto"/>
              <w:jc w:val="left"/>
              <w:rPr>
                <w:rFonts w:ascii="宋体" w:hAnsi="宋体" w:cs="宋体"/>
                <w:color w:val="auto"/>
                <w:kern w:val="0"/>
                <w:sz w:val="24"/>
                <w:szCs w:val="24"/>
                <w:highlight w:val="none"/>
              </w:rPr>
            </w:pPr>
            <w:r>
              <w:rPr>
                <w:rFonts w:hint="eastAsia" w:ascii="宋体" w:hAnsi="宋体" w:cs="宋体"/>
                <w:color w:val="auto"/>
                <w:kern w:val="0"/>
                <w:sz w:val="24"/>
                <w:szCs w:val="24"/>
                <w:highlight w:val="none"/>
              </w:rPr>
              <w:t>菜肴口感、是否有异味异物变质情况</w:t>
            </w:r>
          </w:p>
        </w:tc>
        <w:tc>
          <w:tcPr>
            <w:tcW w:w="1410" w:type="dxa"/>
            <w:tcBorders>
              <w:top w:val="single" w:color="auto" w:sz="0" w:space="0"/>
              <w:left w:val="single" w:color="auto" w:sz="4" w:space="0"/>
              <w:bottom w:val="outset" w:color="000000" w:sz="6" w:space="0"/>
              <w:right w:val="outset" w:color="000000" w:sz="6" w:space="0"/>
            </w:tcBorders>
            <w:shd w:val="clear" w:color="auto" w:fill="FFFFFF"/>
            <w:tcMar>
              <w:top w:w="0" w:type="dxa"/>
              <w:left w:w="105" w:type="dxa"/>
              <w:bottom w:w="0" w:type="dxa"/>
              <w:right w:w="105" w:type="dxa"/>
            </w:tcMar>
          </w:tcPr>
          <w:p w14:paraId="1E15A21F">
            <w:pPr>
              <w:widowControl/>
              <w:spacing w:line="360" w:lineRule="auto"/>
              <w:jc w:val="left"/>
              <w:rPr>
                <w:rFonts w:ascii="宋体" w:hAnsi="宋体" w:cs="宋体"/>
                <w:color w:val="auto"/>
                <w:kern w:val="0"/>
                <w:sz w:val="24"/>
                <w:szCs w:val="24"/>
                <w:highlight w:val="none"/>
              </w:rPr>
            </w:pPr>
          </w:p>
        </w:tc>
        <w:tc>
          <w:tcPr>
            <w:tcW w:w="1275" w:type="dxa"/>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tcPr>
          <w:p w14:paraId="746F8601">
            <w:pPr>
              <w:widowControl/>
              <w:spacing w:line="360" w:lineRule="auto"/>
              <w:jc w:val="left"/>
              <w:rPr>
                <w:rFonts w:ascii="宋体" w:hAnsi="宋体" w:cs="宋体"/>
                <w:color w:val="auto"/>
                <w:kern w:val="0"/>
                <w:sz w:val="24"/>
                <w:szCs w:val="24"/>
                <w:highlight w:val="none"/>
              </w:rPr>
            </w:pPr>
          </w:p>
        </w:tc>
        <w:tc>
          <w:tcPr>
            <w:tcW w:w="1425" w:type="dxa"/>
            <w:gridSpan w:val="2"/>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tcPr>
          <w:p w14:paraId="434442C9">
            <w:pPr>
              <w:widowControl/>
              <w:spacing w:line="360" w:lineRule="auto"/>
              <w:jc w:val="left"/>
              <w:rPr>
                <w:rFonts w:ascii="宋体" w:hAnsi="宋体" w:cs="宋体"/>
                <w:color w:val="auto"/>
                <w:kern w:val="0"/>
                <w:sz w:val="24"/>
                <w:szCs w:val="24"/>
                <w:highlight w:val="none"/>
              </w:rPr>
            </w:pPr>
          </w:p>
        </w:tc>
        <w:tc>
          <w:tcPr>
            <w:tcW w:w="1275" w:type="dxa"/>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tcPr>
          <w:p w14:paraId="50EB8E47">
            <w:pPr>
              <w:widowControl/>
              <w:spacing w:line="360" w:lineRule="auto"/>
              <w:jc w:val="left"/>
              <w:rPr>
                <w:rFonts w:ascii="宋体" w:hAnsi="宋体" w:cs="宋体"/>
                <w:color w:val="auto"/>
                <w:kern w:val="0"/>
                <w:sz w:val="24"/>
                <w:szCs w:val="24"/>
                <w:highlight w:val="none"/>
              </w:rPr>
            </w:pPr>
          </w:p>
        </w:tc>
        <w:tc>
          <w:tcPr>
            <w:tcW w:w="1373" w:type="dxa"/>
            <w:gridSpan w:val="2"/>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tcPr>
          <w:p w14:paraId="3411FFED">
            <w:pPr>
              <w:widowControl/>
              <w:spacing w:line="360" w:lineRule="auto"/>
              <w:jc w:val="left"/>
              <w:rPr>
                <w:rFonts w:ascii="宋体" w:hAnsi="宋体" w:cs="宋体"/>
                <w:color w:val="auto"/>
                <w:kern w:val="0"/>
                <w:sz w:val="24"/>
                <w:szCs w:val="24"/>
                <w:highlight w:val="none"/>
              </w:rPr>
            </w:pPr>
          </w:p>
        </w:tc>
      </w:tr>
      <w:tr w14:paraId="6738E23F">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435" w:hRule="atLeast"/>
          <w:jc w:val="center"/>
        </w:trPr>
        <w:tc>
          <w:tcPr>
            <w:tcW w:w="1425" w:type="dxa"/>
            <w:gridSpan w:val="2"/>
            <w:tcBorders>
              <w:top w:val="single" w:color="auto" w:sz="0" w:space="0"/>
              <w:left w:val="outset" w:color="000000" w:sz="6" w:space="0"/>
              <w:bottom w:val="outset" w:color="000000" w:sz="6" w:space="0"/>
              <w:right w:val="single" w:color="auto" w:sz="4" w:space="0"/>
            </w:tcBorders>
            <w:shd w:val="clear" w:color="auto" w:fill="FFFFFF"/>
            <w:tcMar>
              <w:top w:w="0" w:type="dxa"/>
              <w:left w:w="105" w:type="dxa"/>
              <w:bottom w:w="0" w:type="dxa"/>
              <w:right w:w="105" w:type="dxa"/>
            </w:tcMar>
            <w:vAlign w:val="center"/>
          </w:tcPr>
          <w:p w14:paraId="3ED96BB3">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卫生情况</w:t>
            </w:r>
          </w:p>
        </w:tc>
        <w:tc>
          <w:tcPr>
            <w:tcW w:w="1410" w:type="dxa"/>
            <w:tcBorders>
              <w:top w:val="single" w:color="auto" w:sz="4" w:space="0"/>
              <w:left w:val="single" w:color="auto" w:sz="4" w:space="0"/>
              <w:bottom w:val="single" w:color="auto" w:sz="4" w:space="0"/>
              <w:right w:val="single" w:color="auto" w:sz="4" w:space="0"/>
            </w:tcBorders>
            <w:shd w:val="clear" w:color="auto" w:fill="FFFFFF"/>
          </w:tcPr>
          <w:p w14:paraId="28D7ACF3">
            <w:pPr>
              <w:widowControl/>
              <w:spacing w:line="360" w:lineRule="auto"/>
              <w:jc w:val="left"/>
              <w:rPr>
                <w:rFonts w:ascii="宋体" w:hAnsi="宋体" w:cs="宋体"/>
                <w:color w:val="auto"/>
                <w:kern w:val="0"/>
                <w:sz w:val="24"/>
                <w:szCs w:val="24"/>
                <w:highlight w:val="none"/>
              </w:rPr>
            </w:pPr>
            <w:r>
              <w:rPr>
                <w:rFonts w:hint="eastAsia" w:ascii="宋体" w:hAnsi="宋体" w:cs="宋体"/>
                <w:color w:val="auto"/>
                <w:kern w:val="0"/>
                <w:sz w:val="24"/>
                <w:szCs w:val="24"/>
                <w:highlight w:val="none"/>
              </w:rPr>
              <w:t>是否提供过期或变质产品，餐器具卫生，食堂操作环境及就餐环境是否整洁卫生等</w:t>
            </w:r>
          </w:p>
        </w:tc>
        <w:tc>
          <w:tcPr>
            <w:tcW w:w="1410" w:type="dxa"/>
            <w:tcBorders>
              <w:top w:val="single" w:color="auto" w:sz="0" w:space="0"/>
              <w:left w:val="single" w:color="auto" w:sz="4" w:space="0"/>
              <w:bottom w:val="outset" w:color="000000" w:sz="6" w:space="0"/>
              <w:right w:val="outset" w:color="000000" w:sz="6" w:space="0"/>
            </w:tcBorders>
            <w:shd w:val="clear" w:color="auto" w:fill="FFFFFF"/>
            <w:tcMar>
              <w:top w:w="0" w:type="dxa"/>
              <w:left w:w="105" w:type="dxa"/>
              <w:bottom w:w="0" w:type="dxa"/>
              <w:right w:w="105" w:type="dxa"/>
            </w:tcMar>
          </w:tcPr>
          <w:p w14:paraId="27D2BB9C">
            <w:pPr>
              <w:widowControl/>
              <w:spacing w:line="360" w:lineRule="auto"/>
              <w:jc w:val="left"/>
              <w:rPr>
                <w:rFonts w:ascii="宋体" w:hAnsi="宋体" w:cs="宋体"/>
                <w:color w:val="auto"/>
                <w:kern w:val="0"/>
                <w:sz w:val="24"/>
                <w:szCs w:val="24"/>
                <w:highlight w:val="none"/>
              </w:rPr>
            </w:pPr>
          </w:p>
        </w:tc>
        <w:tc>
          <w:tcPr>
            <w:tcW w:w="1282" w:type="dxa"/>
            <w:gridSpan w:val="2"/>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tcPr>
          <w:p w14:paraId="212C0486">
            <w:pPr>
              <w:widowControl/>
              <w:spacing w:line="360" w:lineRule="auto"/>
              <w:jc w:val="left"/>
              <w:rPr>
                <w:rFonts w:ascii="宋体" w:hAnsi="宋体" w:cs="宋体"/>
                <w:color w:val="auto"/>
                <w:kern w:val="0"/>
                <w:sz w:val="24"/>
                <w:szCs w:val="24"/>
                <w:highlight w:val="none"/>
              </w:rPr>
            </w:pPr>
          </w:p>
        </w:tc>
        <w:tc>
          <w:tcPr>
            <w:tcW w:w="1418" w:type="dxa"/>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tcPr>
          <w:p w14:paraId="211D5D48">
            <w:pPr>
              <w:widowControl/>
              <w:spacing w:line="360" w:lineRule="auto"/>
              <w:jc w:val="left"/>
              <w:rPr>
                <w:rFonts w:ascii="宋体" w:hAnsi="宋体" w:cs="宋体"/>
                <w:color w:val="auto"/>
                <w:kern w:val="0"/>
                <w:sz w:val="24"/>
                <w:szCs w:val="24"/>
                <w:highlight w:val="none"/>
              </w:rPr>
            </w:pPr>
          </w:p>
        </w:tc>
        <w:tc>
          <w:tcPr>
            <w:tcW w:w="1282" w:type="dxa"/>
            <w:gridSpan w:val="2"/>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tcPr>
          <w:p w14:paraId="01A5256F">
            <w:pPr>
              <w:widowControl/>
              <w:spacing w:line="360" w:lineRule="auto"/>
              <w:jc w:val="left"/>
              <w:rPr>
                <w:rFonts w:ascii="宋体" w:hAnsi="宋体" w:cs="宋体"/>
                <w:color w:val="auto"/>
                <w:kern w:val="0"/>
                <w:sz w:val="24"/>
                <w:szCs w:val="24"/>
                <w:highlight w:val="none"/>
              </w:rPr>
            </w:pPr>
          </w:p>
        </w:tc>
        <w:tc>
          <w:tcPr>
            <w:tcW w:w="1366" w:type="dxa"/>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tcPr>
          <w:p w14:paraId="27D7A51D">
            <w:pPr>
              <w:widowControl/>
              <w:spacing w:line="360" w:lineRule="auto"/>
              <w:jc w:val="left"/>
              <w:rPr>
                <w:rFonts w:ascii="宋体" w:hAnsi="宋体" w:cs="宋体"/>
                <w:color w:val="auto"/>
                <w:kern w:val="0"/>
                <w:sz w:val="24"/>
                <w:szCs w:val="24"/>
                <w:highlight w:val="none"/>
              </w:rPr>
            </w:pPr>
          </w:p>
        </w:tc>
      </w:tr>
      <w:tr w14:paraId="1F821954">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540" w:hRule="atLeast"/>
          <w:jc w:val="center"/>
        </w:trPr>
        <w:tc>
          <w:tcPr>
            <w:tcW w:w="1425" w:type="dxa"/>
            <w:gridSpan w:val="2"/>
            <w:tcBorders>
              <w:top w:val="single" w:color="auto" w:sz="0" w:space="0"/>
              <w:left w:val="outset" w:color="000000" w:sz="6" w:space="0"/>
              <w:bottom w:val="outset" w:color="000000" w:sz="6" w:space="0"/>
              <w:right w:val="single" w:color="auto" w:sz="4" w:space="0"/>
            </w:tcBorders>
            <w:shd w:val="clear" w:color="auto" w:fill="FFFFFF"/>
            <w:tcMar>
              <w:top w:w="0" w:type="dxa"/>
              <w:left w:w="105" w:type="dxa"/>
              <w:bottom w:w="0" w:type="dxa"/>
              <w:right w:w="105" w:type="dxa"/>
            </w:tcMar>
            <w:vAlign w:val="center"/>
          </w:tcPr>
          <w:p w14:paraId="6D14A6F6">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服务情况</w:t>
            </w:r>
          </w:p>
        </w:tc>
        <w:tc>
          <w:tcPr>
            <w:tcW w:w="1410" w:type="dxa"/>
            <w:tcBorders>
              <w:top w:val="single" w:color="auto" w:sz="4" w:space="0"/>
              <w:left w:val="single" w:color="auto" w:sz="4" w:space="0"/>
              <w:bottom w:val="single" w:color="auto" w:sz="4" w:space="0"/>
              <w:right w:val="single" w:color="auto" w:sz="4" w:space="0"/>
            </w:tcBorders>
            <w:shd w:val="clear" w:color="auto" w:fill="FFFFFF"/>
          </w:tcPr>
          <w:p w14:paraId="53683930">
            <w:pPr>
              <w:widowControl/>
              <w:spacing w:line="360" w:lineRule="auto"/>
              <w:jc w:val="left"/>
              <w:rPr>
                <w:rFonts w:ascii="宋体" w:hAnsi="宋体" w:cs="宋体"/>
                <w:color w:val="auto"/>
                <w:kern w:val="0"/>
                <w:sz w:val="24"/>
                <w:szCs w:val="24"/>
                <w:highlight w:val="none"/>
              </w:rPr>
            </w:pPr>
            <w:r>
              <w:rPr>
                <w:rFonts w:hint="eastAsia" w:ascii="宋体" w:hAnsi="宋体" w:cs="宋体"/>
                <w:color w:val="auto"/>
                <w:kern w:val="0"/>
                <w:sz w:val="24"/>
                <w:szCs w:val="24"/>
                <w:highlight w:val="none"/>
              </w:rPr>
              <w:t>工作人员着装，文明用语，按时供餐、回收餐具等</w:t>
            </w:r>
          </w:p>
        </w:tc>
        <w:tc>
          <w:tcPr>
            <w:tcW w:w="1410" w:type="dxa"/>
            <w:tcBorders>
              <w:top w:val="single" w:color="auto" w:sz="0" w:space="0"/>
              <w:left w:val="single" w:color="auto" w:sz="4" w:space="0"/>
              <w:bottom w:val="outset" w:color="000000" w:sz="6" w:space="0"/>
              <w:right w:val="outset" w:color="000000" w:sz="6" w:space="0"/>
            </w:tcBorders>
            <w:shd w:val="clear" w:color="auto" w:fill="FFFFFF"/>
            <w:tcMar>
              <w:top w:w="0" w:type="dxa"/>
              <w:left w:w="105" w:type="dxa"/>
              <w:bottom w:w="0" w:type="dxa"/>
              <w:right w:w="105" w:type="dxa"/>
            </w:tcMar>
          </w:tcPr>
          <w:p w14:paraId="32C246B3">
            <w:pPr>
              <w:widowControl/>
              <w:spacing w:line="360" w:lineRule="auto"/>
              <w:jc w:val="left"/>
              <w:rPr>
                <w:rFonts w:ascii="宋体" w:hAnsi="宋体" w:cs="宋体"/>
                <w:color w:val="auto"/>
                <w:kern w:val="0"/>
                <w:sz w:val="24"/>
                <w:szCs w:val="24"/>
                <w:highlight w:val="none"/>
              </w:rPr>
            </w:pPr>
          </w:p>
        </w:tc>
        <w:tc>
          <w:tcPr>
            <w:tcW w:w="1282" w:type="dxa"/>
            <w:gridSpan w:val="2"/>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tcPr>
          <w:p w14:paraId="2BE11D3C">
            <w:pPr>
              <w:widowControl/>
              <w:spacing w:line="360" w:lineRule="auto"/>
              <w:jc w:val="left"/>
              <w:rPr>
                <w:rFonts w:ascii="宋体" w:hAnsi="宋体" w:cs="宋体"/>
                <w:color w:val="auto"/>
                <w:kern w:val="0"/>
                <w:sz w:val="24"/>
                <w:szCs w:val="24"/>
                <w:highlight w:val="none"/>
              </w:rPr>
            </w:pPr>
          </w:p>
        </w:tc>
        <w:tc>
          <w:tcPr>
            <w:tcW w:w="1418" w:type="dxa"/>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tcPr>
          <w:p w14:paraId="1B9E4985">
            <w:pPr>
              <w:widowControl/>
              <w:spacing w:line="360" w:lineRule="auto"/>
              <w:jc w:val="left"/>
              <w:rPr>
                <w:rFonts w:ascii="宋体" w:hAnsi="宋体" w:cs="宋体"/>
                <w:color w:val="auto"/>
                <w:kern w:val="0"/>
                <w:sz w:val="24"/>
                <w:szCs w:val="24"/>
                <w:highlight w:val="none"/>
              </w:rPr>
            </w:pPr>
          </w:p>
        </w:tc>
        <w:tc>
          <w:tcPr>
            <w:tcW w:w="1282" w:type="dxa"/>
            <w:gridSpan w:val="2"/>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tcPr>
          <w:p w14:paraId="3A2747D7">
            <w:pPr>
              <w:widowControl/>
              <w:spacing w:line="360" w:lineRule="auto"/>
              <w:jc w:val="left"/>
              <w:rPr>
                <w:rFonts w:ascii="宋体" w:hAnsi="宋体" w:cs="宋体"/>
                <w:color w:val="auto"/>
                <w:kern w:val="0"/>
                <w:sz w:val="24"/>
                <w:szCs w:val="24"/>
                <w:highlight w:val="none"/>
              </w:rPr>
            </w:pPr>
          </w:p>
        </w:tc>
        <w:tc>
          <w:tcPr>
            <w:tcW w:w="1366" w:type="dxa"/>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tcPr>
          <w:p w14:paraId="7030E067">
            <w:pPr>
              <w:widowControl/>
              <w:spacing w:line="360" w:lineRule="auto"/>
              <w:jc w:val="left"/>
              <w:rPr>
                <w:rFonts w:ascii="宋体" w:hAnsi="宋体" w:cs="宋体"/>
                <w:color w:val="auto"/>
                <w:kern w:val="0"/>
                <w:sz w:val="24"/>
                <w:szCs w:val="24"/>
                <w:highlight w:val="none"/>
              </w:rPr>
            </w:pPr>
          </w:p>
        </w:tc>
      </w:tr>
      <w:tr w14:paraId="7B42E028">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540" w:hRule="atLeast"/>
          <w:jc w:val="center"/>
        </w:trPr>
        <w:tc>
          <w:tcPr>
            <w:tcW w:w="1425" w:type="dxa"/>
            <w:gridSpan w:val="2"/>
            <w:tcBorders>
              <w:top w:val="single" w:color="auto" w:sz="0" w:space="0"/>
              <w:left w:val="outset" w:color="000000" w:sz="6" w:space="0"/>
              <w:bottom w:val="outset" w:color="000000" w:sz="6" w:space="0"/>
              <w:right w:val="single" w:color="auto" w:sz="4" w:space="0"/>
            </w:tcBorders>
            <w:shd w:val="clear" w:color="auto" w:fill="FFFFFF"/>
            <w:tcMar>
              <w:top w:w="0" w:type="dxa"/>
              <w:left w:w="105" w:type="dxa"/>
              <w:bottom w:w="0" w:type="dxa"/>
              <w:right w:w="105" w:type="dxa"/>
            </w:tcMar>
            <w:vAlign w:val="center"/>
          </w:tcPr>
          <w:p w14:paraId="7B21C528">
            <w:pPr>
              <w:widowControl/>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整体服务满意情况</w:t>
            </w:r>
          </w:p>
        </w:tc>
        <w:tc>
          <w:tcPr>
            <w:tcW w:w="1410" w:type="dxa"/>
            <w:tcBorders>
              <w:top w:val="single" w:color="auto" w:sz="4" w:space="0"/>
              <w:left w:val="single" w:color="auto" w:sz="4" w:space="0"/>
              <w:bottom w:val="single" w:color="auto" w:sz="4" w:space="0"/>
              <w:right w:val="single" w:color="auto" w:sz="4" w:space="0"/>
            </w:tcBorders>
            <w:shd w:val="clear" w:color="auto" w:fill="FFFFFF"/>
          </w:tcPr>
          <w:p w14:paraId="44909765">
            <w:pPr>
              <w:widowControl/>
              <w:spacing w:line="360" w:lineRule="auto"/>
              <w:jc w:val="left"/>
              <w:rPr>
                <w:rFonts w:ascii="宋体" w:hAnsi="宋体" w:cs="宋体"/>
                <w:color w:val="auto"/>
                <w:kern w:val="0"/>
                <w:sz w:val="24"/>
                <w:szCs w:val="24"/>
                <w:highlight w:val="none"/>
              </w:rPr>
            </w:pPr>
          </w:p>
        </w:tc>
        <w:tc>
          <w:tcPr>
            <w:tcW w:w="1410" w:type="dxa"/>
            <w:tcBorders>
              <w:top w:val="single" w:color="auto" w:sz="0" w:space="0"/>
              <w:left w:val="single" w:color="auto" w:sz="4" w:space="0"/>
              <w:bottom w:val="outset" w:color="000000" w:sz="6" w:space="0"/>
              <w:right w:val="outset" w:color="000000" w:sz="6" w:space="0"/>
            </w:tcBorders>
            <w:shd w:val="clear" w:color="auto" w:fill="FFFFFF"/>
            <w:tcMar>
              <w:top w:w="0" w:type="dxa"/>
              <w:left w:w="105" w:type="dxa"/>
              <w:bottom w:w="0" w:type="dxa"/>
              <w:right w:w="105" w:type="dxa"/>
            </w:tcMar>
          </w:tcPr>
          <w:p w14:paraId="33277DB7">
            <w:pPr>
              <w:widowControl/>
              <w:spacing w:line="360" w:lineRule="auto"/>
              <w:jc w:val="left"/>
              <w:rPr>
                <w:rFonts w:ascii="宋体" w:hAnsi="宋体" w:cs="宋体"/>
                <w:color w:val="auto"/>
                <w:kern w:val="0"/>
                <w:sz w:val="24"/>
                <w:szCs w:val="24"/>
                <w:highlight w:val="none"/>
              </w:rPr>
            </w:pPr>
          </w:p>
        </w:tc>
        <w:tc>
          <w:tcPr>
            <w:tcW w:w="1282" w:type="dxa"/>
            <w:gridSpan w:val="2"/>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tcPr>
          <w:p w14:paraId="41478347">
            <w:pPr>
              <w:widowControl/>
              <w:spacing w:line="360" w:lineRule="auto"/>
              <w:jc w:val="left"/>
              <w:rPr>
                <w:rFonts w:ascii="宋体" w:hAnsi="宋体" w:cs="宋体"/>
                <w:color w:val="auto"/>
                <w:kern w:val="0"/>
                <w:sz w:val="24"/>
                <w:szCs w:val="24"/>
                <w:highlight w:val="none"/>
              </w:rPr>
            </w:pPr>
          </w:p>
        </w:tc>
        <w:tc>
          <w:tcPr>
            <w:tcW w:w="1418" w:type="dxa"/>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tcPr>
          <w:p w14:paraId="27AE99EC">
            <w:pPr>
              <w:widowControl/>
              <w:spacing w:line="360" w:lineRule="auto"/>
              <w:jc w:val="left"/>
              <w:rPr>
                <w:rFonts w:ascii="宋体" w:hAnsi="宋体" w:cs="宋体"/>
                <w:color w:val="auto"/>
                <w:kern w:val="0"/>
                <w:sz w:val="24"/>
                <w:szCs w:val="24"/>
                <w:highlight w:val="none"/>
              </w:rPr>
            </w:pPr>
          </w:p>
        </w:tc>
        <w:tc>
          <w:tcPr>
            <w:tcW w:w="1282" w:type="dxa"/>
            <w:gridSpan w:val="2"/>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tcPr>
          <w:p w14:paraId="194CF849">
            <w:pPr>
              <w:widowControl/>
              <w:spacing w:line="360" w:lineRule="auto"/>
              <w:jc w:val="left"/>
              <w:rPr>
                <w:rFonts w:ascii="宋体" w:hAnsi="宋体" w:cs="宋体"/>
                <w:color w:val="auto"/>
                <w:kern w:val="0"/>
                <w:sz w:val="24"/>
                <w:szCs w:val="24"/>
                <w:highlight w:val="none"/>
              </w:rPr>
            </w:pPr>
          </w:p>
        </w:tc>
        <w:tc>
          <w:tcPr>
            <w:tcW w:w="1366" w:type="dxa"/>
            <w:tcBorders>
              <w:top w:val="single" w:color="auto" w:sz="0" w:space="0"/>
              <w:left w:val="single" w:color="auto" w:sz="0" w:space="0"/>
              <w:bottom w:val="outset" w:color="000000" w:sz="6" w:space="0"/>
              <w:right w:val="outset" w:color="000000" w:sz="6" w:space="0"/>
            </w:tcBorders>
            <w:shd w:val="clear" w:color="auto" w:fill="FFFFFF"/>
            <w:tcMar>
              <w:top w:w="0" w:type="dxa"/>
              <w:left w:w="105" w:type="dxa"/>
              <w:bottom w:w="0" w:type="dxa"/>
              <w:right w:w="105" w:type="dxa"/>
            </w:tcMar>
          </w:tcPr>
          <w:p w14:paraId="6AE0E747">
            <w:pPr>
              <w:widowControl/>
              <w:spacing w:line="360" w:lineRule="auto"/>
              <w:jc w:val="left"/>
              <w:rPr>
                <w:rFonts w:ascii="宋体" w:hAnsi="宋体" w:cs="宋体"/>
                <w:color w:val="auto"/>
                <w:kern w:val="0"/>
                <w:sz w:val="24"/>
                <w:szCs w:val="24"/>
                <w:highlight w:val="none"/>
              </w:rPr>
            </w:pPr>
          </w:p>
        </w:tc>
      </w:tr>
    </w:tbl>
    <w:p w14:paraId="484081F5">
      <w:pPr>
        <w:rPr>
          <w:rFonts w:ascii="宋体" w:hAnsi="宋体"/>
          <w:color w:val="auto"/>
          <w:sz w:val="24"/>
          <w:szCs w:val="24"/>
          <w:highlight w:val="none"/>
        </w:rPr>
      </w:pPr>
    </w:p>
    <w:p w14:paraId="5AF269CB">
      <w:pPr>
        <w:rPr>
          <w:color w:val="auto"/>
          <w:highlight w:val="none"/>
        </w:rPr>
      </w:pPr>
    </w:p>
    <w:p w14:paraId="7D084F94">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 xml:space="preserve"> </w:t>
      </w:r>
    </w:p>
    <w:p w14:paraId="0C7BF56C">
      <w:pPr>
        <w:spacing w:line="360" w:lineRule="auto"/>
        <w:rPr>
          <w:rFonts w:ascii="宋体" w:hAnsi="宋体" w:cs="宋体"/>
          <w:color w:val="auto"/>
          <w:sz w:val="24"/>
          <w:szCs w:val="24"/>
          <w:highlight w:val="none"/>
        </w:rPr>
      </w:pPr>
    </w:p>
    <w:p w14:paraId="61CF8F41">
      <w:pPr>
        <w:pStyle w:val="4"/>
        <w:spacing w:line="360" w:lineRule="auto"/>
        <w:rPr>
          <w:rFonts w:ascii="宋体" w:hAnsi="宋体" w:cs="宋体"/>
          <w:b/>
          <w:bCs/>
          <w:color w:val="auto"/>
          <w:sz w:val="24"/>
          <w:szCs w:val="24"/>
          <w:highlight w:val="none"/>
        </w:rPr>
      </w:pPr>
    </w:p>
    <w:p w14:paraId="1FFD59C8">
      <w:pPr>
        <w:pStyle w:val="9"/>
        <w:pageBreakBefore/>
        <w:jc w:val="center"/>
        <w:outlineLvl w:val="0"/>
        <w:rPr>
          <w:rFonts w:hAnsi="宋体"/>
          <w:b/>
          <w:bCs/>
          <w:color w:val="auto"/>
          <w:sz w:val="32"/>
          <w:highlight w:val="none"/>
        </w:rPr>
      </w:pPr>
      <w:bookmarkStart w:id="120" w:name="_Toc28187"/>
      <w:bookmarkStart w:id="121" w:name="_Toc10284"/>
      <w:bookmarkStart w:id="122" w:name="_Toc16139"/>
      <w:bookmarkStart w:id="123" w:name="_Toc21563"/>
      <w:bookmarkStart w:id="124" w:name="_Toc21268"/>
      <w:bookmarkStart w:id="125" w:name="_Toc12314"/>
      <w:r>
        <w:rPr>
          <w:rFonts w:hint="eastAsia" w:hAnsi="宋体"/>
          <w:b/>
          <w:bCs/>
          <w:color w:val="auto"/>
          <w:sz w:val="32"/>
          <w:highlight w:val="none"/>
        </w:rPr>
        <w:t>第五章  投标文件格式</w:t>
      </w:r>
      <w:bookmarkEnd w:id="120"/>
      <w:bookmarkEnd w:id="121"/>
      <w:bookmarkEnd w:id="122"/>
      <w:bookmarkEnd w:id="123"/>
      <w:bookmarkEnd w:id="124"/>
      <w:bookmarkEnd w:id="125"/>
    </w:p>
    <w:p w14:paraId="4CDC7DFB">
      <w:pPr>
        <w:pStyle w:val="46"/>
        <w:spacing w:line="360" w:lineRule="auto"/>
        <w:rPr>
          <w:rFonts w:hAnsi="宋体" w:cs="宋体"/>
          <w:color w:val="auto"/>
          <w:highlight w:val="none"/>
        </w:rPr>
      </w:pPr>
    </w:p>
    <w:p w14:paraId="203A9C6B">
      <w:pPr>
        <w:pStyle w:val="46"/>
        <w:spacing w:line="360" w:lineRule="auto"/>
        <w:rPr>
          <w:rFonts w:hAnsi="宋体" w:cs="宋体"/>
          <w:color w:val="auto"/>
          <w:highlight w:val="none"/>
        </w:rPr>
      </w:pPr>
    </w:p>
    <w:p w14:paraId="529E2294">
      <w:pPr>
        <w:pStyle w:val="46"/>
        <w:spacing w:line="360" w:lineRule="auto"/>
        <w:rPr>
          <w:rFonts w:hAnsi="宋体" w:cs="宋体"/>
          <w:color w:val="auto"/>
          <w:highlight w:val="none"/>
        </w:rPr>
      </w:pPr>
    </w:p>
    <w:p w14:paraId="7621BBA9">
      <w:pPr>
        <w:pStyle w:val="46"/>
        <w:spacing w:line="360" w:lineRule="auto"/>
        <w:rPr>
          <w:rFonts w:hAnsi="宋体" w:cs="宋体"/>
          <w:color w:val="auto"/>
          <w:highlight w:val="none"/>
        </w:rPr>
      </w:pPr>
    </w:p>
    <w:p w14:paraId="005B3BDF">
      <w:pPr>
        <w:pStyle w:val="46"/>
        <w:spacing w:line="360" w:lineRule="auto"/>
        <w:rPr>
          <w:rFonts w:hAnsi="宋体" w:cs="宋体"/>
          <w:color w:val="auto"/>
          <w:highlight w:val="none"/>
        </w:rPr>
      </w:pPr>
      <w:r>
        <w:rPr>
          <w:rFonts w:hint="eastAsia" w:hAnsi="宋体" w:cs="宋体"/>
          <w:color w:val="auto"/>
          <w:highlight w:val="none"/>
        </w:rPr>
        <w:t xml:space="preserve">  </w:t>
      </w:r>
    </w:p>
    <w:tbl>
      <w:tblPr>
        <w:tblStyle w:val="21"/>
        <w:tblW w:w="0" w:type="auto"/>
        <w:tblInd w:w="4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90"/>
      </w:tblGrid>
      <w:tr w14:paraId="6B081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 w:hRule="atLeast"/>
        </w:trPr>
        <w:tc>
          <w:tcPr>
            <w:tcW w:w="8190" w:type="dxa"/>
          </w:tcPr>
          <w:p w14:paraId="0158DE6C">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 xml:space="preserve">注释： </w:t>
            </w:r>
          </w:p>
          <w:p w14:paraId="380BD505">
            <w:pPr>
              <w:spacing w:line="360" w:lineRule="auto"/>
              <w:ind w:right="132"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《投标文件格式》是投标人的部分投标文件格式和签订合同时所需文件的格式。投标人应参照这些格式文件制作投标文件，否则后果由投标人自行承担。</w:t>
            </w:r>
          </w:p>
        </w:tc>
      </w:tr>
    </w:tbl>
    <w:p w14:paraId="2323058C">
      <w:pPr>
        <w:pStyle w:val="4"/>
        <w:spacing w:line="360" w:lineRule="auto"/>
        <w:rPr>
          <w:rFonts w:ascii="宋体" w:hAnsi="宋体" w:cs="宋体"/>
          <w:b/>
          <w:bCs/>
          <w:color w:val="auto"/>
          <w:sz w:val="24"/>
          <w:szCs w:val="24"/>
          <w:highlight w:val="none"/>
        </w:rPr>
      </w:pPr>
    </w:p>
    <w:p w14:paraId="7BCEC8ED">
      <w:pPr>
        <w:pStyle w:val="4"/>
        <w:spacing w:line="360" w:lineRule="auto"/>
        <w:rPr>
          <w:rFonts w:ascii="宋体" w:hAnsi="宋体" w:cs="宋体"/>
          <w:b/>
          <w:bCs/>
          <w:color w:val="auto"/>
          <w:sz w:val="24"/>
          <w:szCs w:val="24"/>
          <w:highlight w:val="none"/>
        </w:rPr>
      </w:pPr>
    </w:p>
    <w:p w14:paraId="795A3880">
      <w:pPr>
        <w:pStyle w:val="4"/>
        <w:spacing w:line="360" w:lineRule="auto"/>
        <w:rPr>
          <w:rFonts w:ascii="宋体" w:hAnsi="宋体" w:cs="宋体"/>
          <w:b/>
          <w:bCs/>
          <w:color w:val="auto"/>
          <w:sz w:val="24"/>
          <w:szCs w:val="24"/>
          <w:highlight w:val="none"/>
        </w:rPr>
      </w:pPr>
    </w:p>
    <w:p w14:paraId="59B759C8">
      <w:pPr>
        <w:pStyle w:val="4"/>
        <w:spacing w:line="360" w:lineRule="auto"/>
        <w:rPr>
          <w:rFonts w:ascii="宋体" w:hAnsi="宋体" w:cs="宋体"/>
          <w:b/>
          <w:bCs/>
          <w:color w:val="auto"/>
          <w:sz w:val="24"/>
          <w:szCs w:val="24"/>
          <w:highlight w:val="none"/>
        </w:rPr>
      </w:pPr>
    </w:p>
    <w:p w14:paraId="668FF496">
      <w:pPr>
        <w:pStyle w:val="4"/>
        <w:spacing w:line="360" w:lineRule="auto"/>
        <w:rPr>
          <w:rFonts w:ascii="宋体" w:hAnsi="宋体" w:cs="宋体"/>
          <w:b/>
          <w:bCs/>
          <w:color w:val="auto"/>
          <w:sz w:val="24"/>
          <w:szCs w:val="24"/>
          <w:highlight w:val="none"/>
        </w:rPr>
      </w:pPr>
    </w:p>
    <w:p w14:paraId="6D0FBB5F">
      <w:pPr>
        <w:pStyle w:val="4"/>
        <w:spacing w:line="360" w:lineRule="auto"/>
        <w:rPr>
          <w:rFonts w:ascii="宋体" w:hAnsi="宋体" w:cs="宋体"/>
          <w:b/>
          <w:bCs/>
          <w:color w:val="auto"/>
          <w:sz w:val="24"/>
          <w:szCs w:val="24"/>
          <w:highlight w:val="none"/>
        </w:rPr>
      </w:pPr>
    </w:p>
    <w:p w14:paraId="3B8D951B">
      <w:pPr>
        <w:pStyle w:val="4"/>
        <w:spacing w:line="360" w:lineRule="auto"/>
        <w:rPr>
          <w:rFonts w:ascii="宋体" w:hAnsi="宋体" w:cs="宋体"/>
          <w:b/>
          <w:bCs/>
          <w:color w:val="auto"/>
          <w:sz w:val="24"/>
          <w:szCs w:val="24"/>
          <w:highlight w:val="none"/>
        </w:rPr>
      </w:pPr>
    </w:p>
    <w:p w14:paraId="089F03AC">
      <w:pPr>
        <w:pStyle w:val="4"/>
        <w:spacing w:line="360" w:lineRule="auto"/>
        <w:rPr>
          <w:rFonts w:ascii="宋体" w:hAnsi="宋体" w:cs="宋体"/>
          <w:b/>
          <w:bCs/>
          <w:color w:val="auto"/>
          <w:sz w:val="24"/>
          <w:szCs w:val="24"/>
          <w:highlight w:val="none"/>
        </w:rPr>
      </w:pPr>
    </w:p>
    <w:p w14:paraId="1E755FB5">
      <w:pPr>
        <w:pStyle w:val="4"/>
        <w:spacing w:line="360" w:lineRule="auto"/>
        <w:rPr>
          <w:rFonts w:ascii="宋体" w:hAnsi="宋体" w:cs="宋体"/>
          <w:b/>
          <w:bCs/>
          <w:color w:val="auto"/>
          <w:sz w:val="24"/>
          <w:szCs w:val="24"/>
          <w:highlight w:val="none"/>
        </w:rPr>
      </w:pPr>
    </w:p>
    <w:p w14:paraId="56B4FBA6">
      <w:pPr>
        <w:pStyle w:val="4"/>
        <w:spacing w:line="360" w:lineRule="auto"/>
        <w:rPr>
          <w:rFonts w:ascii="宋体" w:hAnsi="宋体" w:cs="宋体"/>
          <w:b/>
          <w:bCs/>
          <w:color w:val="auto"/>
          <w:sz w:val="24"/>
          <w:szCs w:val="24"/>
          <w:highlight w:val="none"/>
        </w:rPr>
      </w:pPr>
    </w:p>
    <w:p w14:paraId="239D0CE8">
      <w:pPr>
        <w:pStyle w:val="4"/>
        <w:spacing w:line="360" w:lineRule="auto"/>
        <w:rPr>
          <w:rFonts w:ascii="宋体" w:hAnsi="宋体" w:cs="宋体"/>
          <w:b/>
          <w:bCs/>
          <w:color w:val="auto"/>
          <w:sz w:val="24"/>
          <w:szCs w:val="24"/>
          <w:highlight w:val="none"/>
        </w:rPr>
      </w:pPr>
    </w:p>
    <w:p w14:paraId="2678B4E8">
      <w:pPr>
        <w:pStyle w:val="4"/>
        <w:spacing w:line="360" w:lineRule="auto"/>
        <w:rPr>
          <w:rFonts w:ascii="宋体" w:hAnsi="宋体" w:cs="宋体"/>
          <w:b/>
          <w:bCs/>
          <w:color w:val="auto"/>
          <w:sz w:val="24"/>
          <w:szCs w:val="24"/>
          <w:highlight w:val="none"/>
        </w:rPr>
      </w:pPr>
    </w:p>
    <w:p w14:paraId="57A82B05">
      <w:pPr>
        <w:pStyle w:val="4"/>
        <w:spacing w:line="360" w:lineRule="auto"/>
        <w:rPr>
          <w:rFonts w:ascii="宋体" w:hAnsi="宋体" w:cs="宋体"/>
          <w:b/>
          <w:bCs/>
          <w:color w:val="auto"/>
          <w:sz w:val="24"/>
          <w:szCs w:val="24"/>
          <w:highlight w:val="none"/>
        </w:rPr>
      </w:pPr>
    </w:p>
    <w:p w14:paraId="685C71EC">
      <w:pPr>
        <w:pStyle w:val="4"/>
        <w:spacing w:line="360" w:lineRule="auto"/>
        <w:rPr>
          <w:rFonts w:ascii="宋体" w:hAnsi="宋体" w:cs="宋体"/>
          <w:b/>
          <w:bCs/>
          <w:color w:val="auto"/>
          <w:sz w:val="24"/>
          <w:szCs w:val="24"/>
          <w:highlight w:val="none"/>
        </w:rPr>
      </w:pPr>
    </w:p>
    <w:p w14:paraId="54F35606">
      <w:pPr>
        <w:pStyle w:val="4"/>
        <w:spacing w:line="360" w:lineRule="auto"/>
        <w:rPr>
          <w:rFonts w:ascii="宋体" w:hAnsi="宋体" w:cs="宋体"/>
          <w:b/>
          <w:bCs/>
          <w:color w:val="auto"/>
          <w:sz w:val="24"/>
          <w:szCs w:val="24"/>
          <w:highlight w:val="none"/>
        </w:rPr>
      </w:pPr>
    </w:p>
    <w:p w14:paraId="2E5DA6DF">
      <w:pPr>
        <w:pStyle w:val="4"/>
        <w:spacing w:line="360" w:lineRule="auto"/>
        <w:rPr>
          <w:rFonts w:ascii="宋体" w:hAnsi="宋体" w:cs="宋体"/>
          <w:b/>
          <w:bCs/>
          <w:color w:val="auto"/>
          <w:sz w:val="24"/>
          <w:szCs w:val="24"/>
          <w:highlight w:val="none"/>
        </w:rPr>
      </w:pPr>
    </w:p>
    <w:p w14:paraId="6A407CB0">
      <w:pPr>
        <w:pStyle w:val="4"/>
        <w:spacing w:line="360" w:lineRule="auto"/>
        <w:rPr>
          <w:rFonts w:ascii="宋体" w:hAnsi="宋体" w:cs="宋体"/>
          <w:b/>
          <w:bCs/>
          <w:color w:val="auto"/>
          <w:sz w:val="24"/>
          <w:szCs w:val="24"/>
          <w:highlight w:val="none"/>
        </w:rPr>
      </w:pPr>
    </w:p>
    <w:p w14:paraId="45EFCA1C">
      <w:pPr>
        <w:pStyle w:val="4"/>
        <w:spacing w:line="360" w:lineRule="auto"/>
        <w:rPr>
          <w:rFonts w:ascii="宋体" w:hAnsi="宋体" w:cs="宋体"/>
          <w:b/>
          <w:bCs/>
          <w:color w:val="auto"/>
          <w:sz w:val="24"/>
          <w:szCs w:val="24"/>
          <w:highlight w:val="none"/>
        </w:rPr>
      </w:pPr>
    </w:p>
    <w:p w14:paraId="6DC4468E">
      <w:pPr>
        <w:pStyle w:val="4"/>
        <w:spacing w:line="360" w:lineRule="auto"/>
        <w:rPr>
          <w:rFonts w:ascii="宋体" w:hAnsi="宋体" w:cs="宋体"/>
          <w:b/>
          <w:bCs/>
          <w:color w:val="auto"/>
          <w:sz w:val="24"/>
          <w:szCs w:val="24"/>
          <w:highlight w:val="none"/>
        </w:rPr>
      </w:pPr>
    </w:p>
    <w:p w14:paraId="34E7CD5D">
      <w:pPr>
        <w:pStyle w:val="4"/>
        <w:spacing w:line="360" w:lineRule="auto"/>
        <w:rPr>
          <w:rFonts w:ascii="宋体" w:hAnsi="宋体"/>
          <w:b/>
          <w:bCs/>
          <w:color w:val="auto"/>
          <w:sz w:val="36"/>
          <w:highlight w:val="none"/>
        </w:rPr>
      </w:pPr>
    </w:p>
    <w:p w14:paraId="43D0F4F3">
      <w:pPr>
        <w:spacing w:line="360" w:lineRule="auto"/>
        <w:jc w:val="center"/>
        <w:rPr>
          <w:rFonts w:ascii="宋体" w:hAnsi="宋体"/>
          <w:b/>
          <w:color w:val="auto"/>
          <w:sz w:val="72"/>
          <w:highlight w:val="none"/>
        </w:rPr>
      </w:pPr>
    </w:p>
    <w:p w14:paraId="169EDE68">
      <w:pPr>
        <w:spacing w:line="360" w:lineRule="auto"/>
        <w:jc w:val="center"/>
        <w:rPr>
          <w:rFonts w:ascii="宋体" w:hAnsi="宋体"/>
          <w:b/>
          <w:color w:val="auto"/>
          <w:sz w:val="72"/>
          <w:highlight w:val="none"/>
        </w:rPr>
      </w:pPr>
      <w:r>
        <w:rPr>
          <w:rFonts w:hint="eastAsia" w:ascii="宋体" w:hAnsi="宋体"/>
          <w:b/>
          <w:color w:val="auto"/>
          <w:sz w:val="72"/>
          <w:highlight w:val="none"/>
        </w:rPr>
        <w:t>政府采购项目</w:t>
      </w:r>
    </w:p>
    <w:p w14:paraId="46A5A2A2">
      <w:pPr>
        <w:spacing w:line="360" w:lineRule="auto"/>
        <w:jc w:val="center"/>
        <w:rPr>
          <w:rFonts w:ascii="宋体" w:hAnsi="宋体"/>
          <w:b/>
          <w:color w:val="auto"/>
          <w:sz w:val="72"/>
          <w:highlight w:val="none"/>
        </w:rPr>
      </w:pPr>
      <w:r>
        <w:rPr>
          <w:rFonts w:hint="eastAsia" w:ascii="宋体" w:hAnsi="宋体"/>
          <w:b/>
          <w:color w:val="auto"/>
          <w:sz w:val="72"/>
          <w:highlight w:val="none"/>
        </w:rPr>
        <w:t>投</w:t>
      </w:r>
      <w:r>
        <w:rPr>
          <w:rFonts w:ascii="宋体" w:hAnsi="宋体"/>
          <w:b/>
          <w:color w:val="auto"/>
          <w:sz w:val="72"/>
          <w:highlight w:val="none"/>
        </w:rPr>
        <w:t xml:space="preserve">  </w:t>
      </w:r>
      <w:r>
        <w:rPr>
          <w:rFonts w:hint="eastAsia" w:ascii="宋体" w:hAnsi="宋体"/>
          <w:b/>
          <w:color w:val="auto"/>
          <w:sz w:val="72"/>
          <w:highlight w:val="none"/>
        </w:rPr>
        <w:t>标</w:t>
      </w:r>
      <w:r>
        <w:rPr>
          <w:rFonts w:ascii="宋体" w:hAnsi="宋体"/>
          <w:b/>
          <w:color w:val="auto"/>
          <w:sz w:val="72"/>
          <w:highlight w:val="none"/>
        </w:rPr>
        <w:t xml:space="preserve">  </w:t>
      </w:r>
      <w:r>
        <w:rPr>
          <w:rFonts w:hint="eastAsia" w:ascii="宋体" w:hAnsi="宋体"/>
          <w:b/>
          <w:color w:val="auto"/>
          <w:sz w:val="72"/>
          <w:highlight w:val="none"/>
        </w:rPr>
        <w:t>文</w:t>
      </w:r>
      <w:r>
        <w:rPr>
          <w:rFonts w:ascii="宋体" w:hAnsi="宋体"/>
          <w:b/>
          <w:color w:val="auto"/>
          <w:sz w:val="72"/>
          <w:highlight w:val="none"/>
        </w:rPr>
        <w:t xml:space="preserve">  </w:t>
      </w:r>
      <w:r>
        <w:rPr>
          <w:rFonts w:hint="eastAsia" w:ascii="宋体" w:hAnsi="宋体"/>
          <w:b/>
          <w:color w:val="auto"/>
          <w:sz w:val="72"/>
          <w:highlight w:val="none"/>
        </w:rPr>
        <w:t>件</w:t>
      </w:r>
    </w:p>
    <w:p w14:paraId="6642BDD7">
      <w:pPr>
        <w:spacing w:line="360" w:lineRule="auto"/>
        <w:rPr>
          <w:rFonts w:ascii="宋体" w:hAnsi="宋体"/>
          <w:b/>
          <w:color w:val="auto"/>
          <w:sz w:val="36"/>
          <w:highlight w:val="none"/>
        </w:rPr>
      </w:pPr>
    </w:p>
    <w:p w14:paraId="085118B3">
      <w:pPr>
        <w:spacing w:line="360" w:lineRule="auto"/>
        <w:jc w:val="center"/>
        <w:rPr>
          <w:rFonts w:ascii="宋体" w:hAnsi="宋体"/>
          <w:b/>
          <w:color w:val="auto"/>
          <w:sz w:val="36"/>
          <w:highlight w:val="none"/>
        </w:rPr>
      </w:pPr>
    </w:p>
    <w:p w14:paraId="498B8E90">
      <w:pPr>
        <w:spacing w:line="360" w:lineRule="auto"/>
        <w:ind w:firstLine="1084" w:firstLineChars="300"/>
        <w:rPr>
          <w:rFonts w:ascii="宋体" w:hAnsi="宋体"/>
          <w:b/>
          <w:color w:val="auto"/>
          <w:sz w:val="36"/>
          <w:highlight w:val="none"/>
        </w:rPr>
      </w:pPr>
      <w:r>
        <w:rPr>
          <w:rFonts w:hint="eastAsia" w:ascii="宋体" w:hAnsi="宋体"/>
          <w:b/>
          <w:color w:val="auto"/>
          <w:sz w:val="36"/>
          <w:highlight w:val="none"/>
        </w:rPr>
        <w:t>项</w:t>
      </w:r>
      <w:r>
        <w:rPr>
          <w:rFonts w:ascii="宋体" w:hAnsi="宋体"/>
          <w:b/>
          <w:color w:val="auto"/>
          <w:sz w:val="36"/>
          <w:highlight w:val="none"/>
        </w:rPr>
        <w:t xml:space="preserve"> </w:t>
      </w:r>
      <w:r>
        <w:rPr>
          <w:rFonts w:hint="eastAsia" w:ascii="宋体" w:hAnsi="宋体"/>
          <w:b/>
          <w:color w:val="auto"/>
          <w:sz w:val="36"/>
          <w:highlight w:val="none"/>
        </w:rPr>
        <w:t>目</w:t>
      </w:r>
      <w:r>
        <w:rPr>
          <w:rFonts w:ascii="宋体" w:hAnsi="宋体"/>
          <w:b/>
          <w:color w:val="auto"/>
          <w:sz w:val="36"/>
          <w:highlight w:val="none"/>
        </w:rPr>
        <w:t xml:space="preserve"> </w:t>
      </w:r>
      <w:r>
        <w:rPr>
          <w:rFonts w:hint="eastAsia" w:ascii="宋体" w:hAnsi="宋体"/>
          <w:b/>
          <w:color w:val="auto"/>
          <w:sz w:val="36"/>
          <w:highlight w:val="none"/>
        </w:rPr>
        <w:t>名</w:t>
      </w:r>
      <w:r>
        <w:rPr>
          <w:rFonts w:ascii="宋体" w:hAnsi="宋体"/>
          <w:b/>
          <w:color w:val="auto"/>
          <w:sz w:val="36"/>
          <w:highlight w:val="none"/>
        </w:rPr>
        <w:t xml:space="preserve"> </w:t>
      </w:r>
      <w:r>
        <w:rPr>
          <w:rFonts w:hint="eastAsia" w:ascii="宋体" w:hAnsi="宋体"/>
          <w:b/>
          <w:color w:val="auto"/>
          <w:sz w:val="36"/>
          <w:highlight w:val="none"/>
        </w:rPr>
        <w:t>称：</w:t>
      </w:r>
      <w:r>
        <w:rPr>
          <w:rFonts w:ascii="宋体" w:hAnsi="宋体"/>
          <w:b/>
          <w:color w:val="auto"/>
          <w:sz w:val="36"/>
          <w:highlight w:val="none"/>
          <w:u w:val="single"/>
        </w:rPr>
        <w:t xml:space="preserve">               </w:t>
      </w:r>
    </w:p>
    <w:p w14:paraId="507158AD">
      <w:pPr>
        <w:spacing w:line="360" w:lineRule="auto"/>
        <w:ind w:firstLine="1084" w:firstLineChars="300"/>
        <w:rPr>
          <w:rFonts w:ascii="宋体" w:hAnsi="宋体"/>
          <w:b/>
          <w:color w:val="auto"/>
          <w:sz w:val="36"/>
          <w:highlight w:val="none"/>
          <w:u w:val="single"/>
        </w:rPr>
      </w:pPr>
      <w:r>
        <w:rPr>
          <w:rFonts w:hint="eastAsia" w:ascii="宋体" w:hAnsi="宋体"/>
          <w:b/>
          <w:color w:val="auto"/>
          <w:sz w:val="36"/>
          <w:highlight w:val="none"/>
        </w:rPr>
        <w:t>招</w:t>
      </w:r>
      <w:r>
        <w:rPr>
          <w:rFonts w:ascii="宋体" w:hAnsi="宋体"/>
          <w:b/>
          <w:color w:val="auto"/>
          <w:sz w:val="36"/>
          <w:highlight w:val="none"/>
        </w:rPr>
        <w:t xml:space="preserve"> </w:t>
      </w:r>
      <w:r>
        <w:rPr>
          <w:rFonts w:hint="eastAsia" w:ascii="宋体" w:hAnsi="宋体"/>
          <w:b/>
          <w:color w:val="auto"/>
          <w:sz w:val="36"/>
          <w:highlight w:val="none"/>
        </w:rPr>
        <w:t>标</w:t>
      </w:r>
      <w:r>
        <w:rPr>
          <w:rFonts w:ascii="宋体" w:hAnsi="宋体"/>
          <w:b/>
          <w:color w:val="auto"/>
          <w:sz w:val="36"/>
          <w:highlight w:val="none"/>
        </w:rPr>
        <w:t xml:space="preserve"> </w:t>
      </w:r>
      <w:r>
        <w:rPr>
          <w:rFonts w:hint="eastAsia" w:ascii="宋体" w:hAnsi="宋体"/>
          <w:b/>
          <w:color w:val="auto"/>
          <w:sz w:val="36"/>
          <w:highlight w:val="none"/>
        </w:rPr>
        <w:t>编</w:t>
      </w:r>
      <w:r>
        <w:rPr>
          <w:rFonts w:ascii="宋体" w:hAnsi="宋体"/>
          <w:b/>
          <w:color w:val="auto"/>
          <w:sz w:val="36"/>
          <w:highlight w:val="none"/>
        </w:rPr>
        <w:t xml:space="preserve"> </w:t>
      </w:r>
      <w:r>
        <w:rPr>
          <w:rFonts w:hint="eastAsia" w:ascii="宋体" w:hAnsi="宋体"/>
          <w:b/>
          <w:color w:val="auto"/>
          <w:sz w:val="36"/>
          <w:highlight w:val="none"/>
        </w:rPr>
        <w:t>号：</w:t>
      </w:r>
      <w:r>
        <w:rPr>
          <w:rFonts w:ascii="宋体" w:hAnsi="宋体"/>
          <w:b/>
          <w:color w:val="auto"/>
          <w:sz w:val="36"/>
          <w:highlight w:val="none"/>
          <w:u w:val="single"/>
        </w:rPr>
        <w:t xml:space="preserve">               </w:t>
      </w:r>
    </w:p>
    <w:p w14:paraId="13006EB9">
      <w:pPr>
        <w:spacing w:line="360" w:lineRule="auto"/>
        <w:rPr>
          <w:rFonts w:ascii="宋体" w:hAnsi="宋体"/>
          <w:b/>
          <w:color w:val="auto"/>
          <w:sz w:val="36"/>
          <w:highlight w:val="none"/>
        </w:rPr>
      </w:pPr>
    </w:p>
    <w:p w14:paraId="2CE01485">
      <w:pPr>
        <w:spacing w:line="360" w:lineRule="auto"/>
        <w:rPr>
          <w:rFonts w:ascii="宋体" w:hAnsi="宋体"/>
          <w:b/>
          <w:color w:val="auto"/>
          <w:sz w:val="36"/>
          <w:highlight w:val="none"/>
        </w:rPr>
      </w:pPr>
    </w:p>
    <w:p w14:paraId="4A352C6C">
      <w:pPr>
        <w:spacing w:line="360" w:lineRule="auto"/>
        <w:rPr>
          <w:rFonts w:ascii="宋体" w:hAnsi="宋体"/>
          <w:b/>
          <w:color w:val="auto"/>
          <w:sz w:val="36"/>
          <w:highlight w:val="none"/>
        </w:rPr>
      </w:pPr>
    </w:p>
    <w:p w14:paraId="60EBD1D5">
      <w:pPr>
        <w:spacing w:line="360" w:lineRule="auto"/>
        <w:rPr>
          <w:rFonts w:ascii="宋体" w:hAnsi="宋体"/>
          <w:b/>
          <w:color w:val="auto"/>
          <w:sz w:val="36"/>
          <w:highlight w:val="none"/>
        </w:rPr>
      </w:pPr>
    </w:p>
    <w:p w14:paraId="7752FAD6">
      <w:pPr>
        <w:spacing w:line="360" w:lineRule="auto"/>
        <w:rPr>
          <w:rFonts w:ascii="宋体" w:hAnsi="宋体"/>
          <w:b/>
          <w:color w:val="auto"/>
          <w:sz w:val="36"/>
          <w:highlight w:val="none"/>
        </w:rPr>
      </w:pPr>
    </w:p>
    <w:p w14:paraId="62D689E6">
      <w:pPr>
        <w:spacing w:line="360" w:lineRule="auto"/>
        <w:rPr>
          <w:rFonts w:ascii="宋体" w:hAnsi="宋体"/>
          <w:b/>
          <w:color w:val="auto"/>
          <w:sz w:val="36"/>
          <w:highlight w:val="none"/>
          <w:u w:val="single"/>
        </w:rPr>
      </w:pPr>
      <w:r>
        <w:rPr>
          <w:rFonts w:hint="eastAsia" w:ascii="宋体" w:hAnsi="宋体"/>
          <w:b/>
          <w:color w:val="auto"/>
          <w:sz w:val="36"/>
          <w:highlight w:val="none"/>
        </w:rPr>
        <w:t xml:space="preserve">       投标人名称 ：</w:t>
      </w:r>
      <w:r>
        <w:rPr>
          <w:rFonts w:ascii="宋体" w:hAnsi="宋体"/>
          <w:b/>
          <w:color w:val="auto"/>
          <w:sz w:val="36"/>
          <w:highlight w:val="none"/>
          <w:u w:val="single"/>
        </w:rPr>
        <w:t xml:space="preserve">               </w:t>
      </w:r>
    </w:p>
    <w:p w14:paraId="241F68AB">
      <w:pPr>
        <w:spacing w:line="360" w:lineRule="auto"/>
        <w:rPr>
          <w:rFonts w:ascii="宋体" w:hAnsi="宋体"/>
          <w:b/>
          <w:color w:val="auto"/>
          <w:sz w:val="36"/>
          <w:highlight w:val="none"/>
        </w:rPr>
      </w:pPr>
      <w:r>
        <w:rPr>
          <w:rFonts w:hint="eastAsia" w:ascii="宋体" w:hAnsi="宋体"/>
          <w:b/>
          <w:color w:val="auto"/>
          <w:sz w:val="36"/>
          <w:highlight w:val="none"/>
        </w:rPr>
        <w:t xml:space="preserve">       日      期 ：</w:t>
      </w:r>
      <w:r>
        <w:rPr>
          <w:rFonts w:ascii="宋体" w:hAnsi="宋体"/>
          <w:b/>
          <w:color w:val="auto"/>
          <w:sz w:val="36"/>
          <w:highlight w:val="none"/>
          <w:u w:val="single"/>
        </w:rPr>
        <w:t xml:space="preserve">               </w:t>
      </w:r>
    </w:p>
    <w:p w14:paraId="51804B1F">
      <w:pPr>
        <w:pStyle w:val="47"/>
        <w:spacing w:line="360" w:lineRule="auto"/>
        <w:outlineLvl w:val="9"/>
        <w:rPr>
          <w:rFonts w:hAnsi="宋体"/>
          <w:b/>
          <w:color w:val="auto"/>
          <w:sz w:val="24"/>
          <w:highlight w:val="none"/>
        </w:rPr>
      </w:pPr>
    </w:p>
    <w:p w14:paraId="0E38CD8A">
      <w:pPr>
        <w:pStyle w:val="47"/>
        <w:spacing w:line="360" w:lineRule="auto"/>
        <w:outlineLvl w:val="9"/>
        <w:rPr>
          <w:rFonts w:hAnsi="宋体"/>
          <w:b/>
          <w:color w:val="auto"/>
          <w:sz w:val="24"/>
          <w:highlight w:val="none"/>
        </w:rPr>
      </w:pPr>
    </w:p>
    <w:p w14:paraId="1CB334B3">
      <w:pPr>
        <w:pStyle w:val="47"/>
        <w:spacing w:line="360" w:lineRule="auto"/>
        <w:outlineLvl w:val="9"/>
        <w:rPr>
          <w:rFonts w:hAnsi="宋体"/>
          <w:b/>
          <w:color w:val="auto"/>
          <w:sz w:val="24"/>
          <w:highlight w:val="none"/>
        </w:rPr>
      </w:pPr>
    </w:p>
    <w:p w14:paraId="2B03E6EB">
      <w:pPr>
        <w:pStyle w:val="4"/>
        <w:spacing w:line="360" w:lineRule="auto"/>
        <w:ind w:firstLine="660" w:firstLineChars="275"/>
        <w:rPr>
          <w:rFonts w:ascii="宋体" w:hAnsi="宋体"/>
          <w:color w:val="auto"/>
          <w:sz w:val="24"/>
          <w:szCs w:val="24"/>
          <w:highlight w:val="none"/>
        </w:rPr>
      </w:pPr>
    </w:p>
    <w:p w14:paraId="49151E65">
      <w:pPr>
        <w:pStyle w:val="4"/>
        <w:spacing w:line="360" w:lineRule="auto"/>
        <w:ind w:firstLine="0"/>
        <w:jc w:val="center"/>
        <w:rPr>
          <w:rFonts w:ascii="宋体" w:hAnsi="宋体" w:cs="宋体"/>
          <w:b/>
          <w:bCs/>
          <w:color w:val="auto"/>
          <w:sz w:val="24"/>
          <w:szCs w:val="24"/>
          <w:highlight w:val="none"/>
        </w:rPr>
      </w:pPr>
      <w:r>
        <w:rPr>
          <w:rFonts w:hint="eastAsia" w:ascii="宋体" w:hAnsi="宋体" w:cs="宋体"/>
          <w:b/>
          <w:bCs/>
          <w:color w:val="auto"/>
          <w:sz w:val="32"/>
          <w:szCs w:val="32"/>
          <w:highlight w:val="none"/>
        </w:rPr>
        <w:t>目    录</w:t>
      </w:r>
    </w:p>
    <w:p w14:paraId="29C36138">
      <w:pPr>
        <w:spacing w:line="360" w:lineRule="auto"/>
        <w:rPr>
          <w:rFonts w:ascii="宋体" w:hAnsi="宋体" w:cs="宋体"/>
          <w:color w:val="auto"/>
          <w:sz w:val="24"/>
          <w:szCs w:val="24"/>
          <w:highlight w:val="none"/>
        </w:rPr>
      </w:pPr>
    </w:p>
    <w:p w14:paraId="7581864C">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1. 投 标 书</w:t>
      </w:r>
    </w:p>
    <w:p w14:paraId="383DF4E9">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2. 开标一览表</w:t>
      </w:r>
    </w:p>
    <w:p w14:paraId="1D1E88DE">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3. 投标分项报价表</w:t>
      </w:r>
    </w:p>
    <w:p w14:paraId="4082ACD0">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4. 项目说明一览表</w:t>
      </w:r>
    </w:p>
    <w:p w14:paraId="03EF3A19">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 xml:space="preserve">5. 服务团队人员一览表 </w:t>
      </w:r>
    </w:p>
    <w:p w14:paraId="5077CEAA">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6. 技术规格和商务响应表</w:t>
      </w:r>
    </w:p>
    <w:p w14:paraId="311AFC0F">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7. 投标人的资格证明文件</w:t>
      </w:r>
    </w:p>
    <w:p w14:paraId="70C1AD3C">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资格声明</w:t>
      </w:r>
    </w:p>
    <w:p w14:paraId="0003EB48">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投标人的资格声明</w:t>
      </w:r>
    </w:p>
    <w:p w14:paraId="65135794">
      <w:pPr>
        <w:spacing w:line="360" w:lineRule="auto"/>
        <w:ind w:left="479" w:leftChars="228"/>
        <w:rPr>
          <w:rFonts w:ascii="宋体" w:hAnsi="宋体" w:cs="宋体"/>
          <w:color w:val="auto"/>
          <w:sz w:val="24"/>
          <w:szCs w:val="24"/>
          <w:highlight w:val="none"/>
        </w:rPr>
      </w:pPr>
      <w:r>
        <w:rPr>
          <w:rFonts w:hint="eastAsia" w:ascii="宋体" w:hAnsi="宋体" w:cs="宋体"/>
          <w:color w:val="auto"/>
          <w:sz w:val="24"/>
          <w:szCs w:val="24"/>
          <w:highlight w:val="none"/>
        </w:rPr>
        <w:t>单位授权书</w:t>
      </w:r>
    </w:p>
    <w:p w14:paraId="3BF7E45A">
      <w:pPr>
        <w:spacing w:line="360" w:lineRule="auto"/>
        <w:ind w:left="479" w:leftChars="228"/>
        <w:rPr>
          <w:rFonts w:ascii="宋体" w:hAnsi="宋体" w:cs="宋体"/>
          <w:color w:val="auto"/>
          <w:sz w:val="24"/>
          <w:szCs w:val="24"/>
          <w:highlight w:val="none"/>
        </w:rPr>
      </w:pPr>
      <w:r>
        <w:rPr>
          <w:rFonts w:hint="eastAsia" w:ascii="宋体" w:hAnsi="宋体" w:cs="宋体"/>
          <w:color w:val="auto"/>
          <w:sz w:val="24"/>
          <w:szCs w:val="24"/>
          <w:highlight w:val="none"/>
        </w:rPr>
        <w:t>单位营业执照、税务登记证</w:t>
      </w:r>
    </w:p>
    <w:p w14:paraId="0693C497">
      <w:pPr>
        <w:numPr>
          <w:ilvl w:val="0"/>
          <w:numId w:val="2"/>
        </w:numPr>
        <w:spacing w:line="360" w:lineRule="auto"/>
        <w:ind w:firstLine="120" w:firstLineChars="50"/>
        <w:rPr>
          <w:rFonts w:ascii="宋体" w:hAnsi="宋体" w:cs="宋体"/>
          <w:color w:val="auto"/>
          <w:sz w:val="24"/>
          <w:szCs w:val="24"/>
          <w:highlight w:val="none"/>
        </w:rPr>
      </w:pPr>
      <w:r>
        <w:rPr>
          <w:rFonts w:hint="eastAsia" w:ascii="宋体" w:hAnsi="宋体" w:cs="宋体"/>
          <w:color w:val="auto"/>
          <w:sz w:val="24"/>
          <w:szCs w:val="24"/>
          <w:highlight w:val="none"/>
        </w:rPr>
        <w:t>服务方案及质量保证措施</w:t>
      </w:r>
    </w:p>
    <w:p w14:paraId="7DB55A89">
      <w:pPr>
        <w:numPr>
          <w:ilvl w:val="0"/>
          <w:numId w:val="2"/>
        </w:numPr>
        <w:spacing w:line="360" w:lineRule="auto"/>
        <w:ind w:firstLine="120" w:firstLineChars="50"/>
        <w:rPr>
          <w:rFonts w:ascii="宋体" w:hAnsi="宋体" w:cs="宋体"/>
          <w:color w:val="auto"/>
          <w:sz w:val="24"/>
          <w:szCs w:val="24"/>
          <w:highlight w:val="none"/>
        </w:rPr>
      </w:pPr>
      <w:r>
        <w:rPr>
          <w:rFonts w:hint="eastAsia" w:ascii="宋体" w:hAnsi="宋体" w:cs="宋体"/>
          <w:color w:val="auto"/>
          <w:sz w:val="24"/>
          <w:szCs w:val="24"/>
          <w:highlight w:val="none"/>
        </w:rPr>
        <w:t>代理服务费承诺书</w:t>
      </w:r>
    </w:p>
    <w:p w14:paraId="28C0426A">
      <w:pPr>
        <w:spacing w:line="360" w:lineRule="auto"/>
        <w:rPr>
          <w:rFonts w:ascii="宋体" w:hAnsi="宋体" w:cs="宋体"/>
          <w:b/>
          <w:color w:val="auto"/>
          <w:sz w:val="24"/>
          <w:szCs w:val="24"/>
          <w:highlight w:val="none"/>
        </w:rPr>
      </w:pPr>
    </w:p>
    <w:p w14:paraId="002AA6F4">
      <w:pPr>
        <w:spacing w:line="360" w:lineRule="auto"/>
        <w:rPr>
          <w:rFonts w:ascii="宋体" w:hAnsi="宋体" w:cs="宋体"/>
          <w:b/>
          <w:color w:val="auto"/>
          <w:sz w:val="24"/>
          <w:szCs w:val="24"/>
          <w:highlight w:val="none"/>
        </w:rPr>
      </w:pPr>
    </w:p>
    <w:p w14:paraId="4E50D4C4">
      <w:pPr>
        <w:pStyle w:val="47"/>
        <w:spacing w:line="360" w:lineRule="auto"/>
        <w:jc w:val="left"/>
        <w:outlineLvl w:val="9"/>
        <w:rPr>
          <w:rFonts w:hAnsi="宋体" w:cs="宋体"/>
          <w:color w:val="auto"/>
          <w:sz w:val="24"/>
          <w:szCs w:val="24"/>
          <w:highlight w:val="none"/>
        </w:rPr>
      </w:pPr>
    </w:p>
    <w:p w14:paraId="494DE4F0">
      <w:pPr>
        <w:pStyle w:val="47"/>
        <w:spacing w:line="360" w:lineRule="auto"/>
        <w:jc w:val="left"/>
        <w:outlineLvl w:val="9"/>
        <w:rPr>
          <w:rFonts w:hAnsi="宋体" w:cs="宋体"/>
          <w:color w:val="auto"/>
          <w:sz w:val="24"/>
          <w:szCs w:val="24"/>
          <w:highlight w:val="none"/>
        </w:rPr>
      </w:pPr>
    </w:p>
    <w:p w14:paraId="13E119C7">
      <w:pPr>
        <w:pStyle w:val="47"/>
        <w:spacing w:line="360" w:lineRule="auto"/>
        <w:jc w:val="left"/>
        <w:outlineLvl w:val="9"/>
        <w:rPr>
          <w:rFonts w:hAnsi="宋体" w:cs="宋体"/>
          <w:color w:val="auto"/>
          <w:sz w:val="24"/>
          <w:szCs w:val="24"/>
          <w:highlight w:val="none"/>
        </w:rPr>
      </w:pPr>
    </w:p>
    <w:p w14:paraId="65E425C3">
      <w:pPr>
        <w:pStyle w:val="47"/>
        <w:spacing w:line="360" w:lineRule="auto"/>
        <w:jc w:val="left"/>
        <w:outlineLvl w:val="9"/>
        <w:rPr>
          <w:rFonts w:hAnsi="宋体" w:cs="宋体"/>
          <w:color w:val="auto"/>
          <w:sz w:val="24"/>
          <w:szCs w:val="24"/>
          <w:highlight w:val="none"/>
        </w:rPr>
      </w:pPr>
    </w:p>
    <w:p w14:paraId="26C2CD4B">
      <w:pPr>
        <w:pStyle w:val="47"/>
        <w:spacing w:line="360" w:lineRule="auto"/>
        <w:jc w:val="left"/>
        <w:outlineLvl w:val="9"/>
        <w:rPr>
          <w:rFonts w:hAnsi="宋体" w:cs="宋体"/>
          <w:color w:val="auto"/>
          <w:sz w:val="24"/>
          <w:szCs w:val="24"/>
          <w:highlight w:val="none"/>
        </w:rPr>
      </w:pPr>
    </w:p>
    <w:p w14:paraId="10471C26">
      <w:pPr>
        <w:pStyle w:val="47"/>
        <w:spacing w:line="360" w:lineRule="auto"/>
        <w:jc w:val="left"/>
        <w:outlineLvl w:val="9"/>
        <w:rPr>
          <w:rFonts w:hAnsi="宋体" w:cs="宋体"/>
          <w:color w:val="auto"/>
          <w:sz w:val="24"/>
          <w:szCs w:val="24"/>
          <w:highlight w:val="none"/>
        </w:rPr>
      </w:pPr>
    </w:p>
    <w:p w14:paraId="42987006">
      <w:pPr>
        <w:pStyle w:val="47"/>
        <w:spacing w:line="360" w:lineRule="auto"/>
        <w:jc w:val="left"/>
        <w:outlineLvl w:val="9"/>
        <w:rPr>
          <w:rFonts w:hAnsi="宋体" w:cs="宋体"/>
          <w:color w:val="auto"/>
          <w:sz w:val="24"/>
          <w:szCs w:val="24"/>
          <w:highlight w:val="none"/>
        </w:rPr>
      </w:pPr>
    </w:p>
    <w:p w14:paraId="4071F93E">
      <w:pPr>
        <w:pStyle w:val="47"/>
        <w:spacing w:line="360" w:lineRule="auto"/>
        <w:jc w:val="left"/>
        <w:outlineLvl w:val="9"/>
        <w:rPr>
          <w:rFonts w:hAnsi="宋体" w:cs="宋体"/>
          <w:color w:val="auto"/>
          <w:sz w:val="24"/>
          <w:szCs w:val="24"/>
          <w:highlight w:val="none"/>
        </w:rPr>
      </w:pPr>
    </w:p>
    <w:p w14:paraId="0DE332FF">
      <w:pPr>
        <w:pStyle w:val="47"/>
        <w:spacing w:line="360" w:lineRule="auto"/>
        <w:jc w:val="left"/>
        <w:outlineLvl w:val="9"/>
        <w:rPr>
          <w:rFonts w:hAnsi="宋体" w:cs="宋体"/>
          <w:color w:val="auto"/>
          <w:sz w:val="24"/>
          <w:szCs w:val="24"/>
          <w:highlight w:val="none"/>
        </w:rPr>
      </w:pPr>
    </w:p>
    <w:p w14:paraId="594285D4">
      <w:pPr>
        <w:pStyle w:val="47"/>
        <w:spacing w:line="360" w:lineRule="auto"/>
        <w:jc w:val="left"/>
        <w:outlineLvl w:val="9"/>
        <w:rPr>
          <w:rFonts w:hAnsi="宋体" w:cs="宋体"/>
          <w:color w:val="auto"/>
          <w:sz w:val="24"/>
          <w:szCs w:val="24"/>
          <w:highlight w:val="none"/>
        </w:rPr>
      </w:pPr>
    </w:p>
    <w:p w14:paraId="78DDD2E5">
      <w:pPr>
        <w:pStyle w:val="47"/>
        <w:spacing w:line="360" w:lineRule="auto"/>
        <w:jc w:val="left"/>
        <w:outlineLvl w:val="9"/>
        <w:rPr>
          <w:rFonts w:hAnsi="宋体" w:cs="宋体"/>
          <w:color w:val="auto"/>
          <w:sz w:val="24"/>
          <w:szCs w:val="24"/>
          <w:highlight w:val="none"/>
        </w:rPr>
      </w:pPr>
    </w:p>
    <w:p w14:paraId="029EF2B4">
      <w:pPr>
        <w:pStyle w:val="47"/>
        <w:spacing w:line="360" w:lineRule="auto"/>
        <w:jc w:val="left"/>
        <w:outlineLvl w:val="9"/>
        <w:rPr>
          <w:rFonts w:hAnsi="宋体" w:cs="宋体"/>
          <w:color w:val="auto"/>
          <w:sz w:val="24"/>
          <w:szCs w:val="24"/>
          <w:highlight w:val="none"/>
        </w:rPr>
      </w:pPr>
    </w:p>
    <w:p w14:paraId="611D5DF7">
      <w:pPr>
        <w:pStyle w:val="47"/>
        <w:spacing w:line="360" w:lineRule="auto"/>
        <w:jc w:val="center"/>
        <w:outlineLvl w:val="9"/>
        <w:rPr>
          <w:rFonts w:hAnsi="宋体" w:cs="宋体"/>
          <w:b/>
          <w:color w:val="auto"/>
          <w:sz w:val="32"/>
          <w:szCs w:val="32"/>
          <w:highlight w:val="none"/>
        </w:rPr>
        <w:sectPr>
          <w:pgSz w:w="11907" w:h="16840"/>
          <w:pgMar w:top="1361" w:right="1752" w:bottom="1440" w:left="1752" w:header="851" w:footer="992" w:gutter="0"/>
          <w:cols w:space="720" w:num="1"/>
        </w:sectPr>
      </w:pPr>
      <w:bookmarkStart w:id="126" w:name="_Toc32404"/>
      <w:bookmarkStart w:id="127" w:name="_Toc31563"/>
      <w:bookmarkStart w:id="128" w:name="_Toc7761"/>
      <w:bookmarkStart w:id="129" w:name="_Toc10694"/>
      <w:bookmarkStart w:id="130" w:name="_Toc2400"/>
      <w:bookmarkStart w:id="131" w:name="_Toc11084"/>
      <w:bookmarkStart w:id="132" w:name="_Toc17000"/>
      <w:bookmarkStart w:id="133" w:name="_Toc15271"/>
      <w:bookmarkStart w:id="134" w:name="_Toc24272"/>
    </w:p>
    <w:p w14:paraId="59105AB4">
      <w:pPr>
        <w:pStyle w:val="47"/>
        <w:spacing w:line="360" w:lineRule="auto"/>
        <w:jc w:val="center"/>
        <w:outlineLvl w:val="1"/>
        <w:rPr>
          <w:rFonts w:hAnsi="宋体" w:cs="宋体"/>
          <w:color w:val="auto"/>
          <w:sz w:val="24"/>
          <w:szCs w:val="24"/>
          <w:highlight w:val="none"/>
        </w:rPr>
      </w:pPr>
      <w:bookmarkStart w:id="135" w:name="_Toc2357"/>
      <w:r>
        <w:rPr>
          <w:rFonts w:hint="eastAsia" w:hAnsi="宋体" w:cs="宋体"/>
          <w:b/>
          <w:color w:val="auto"/>
          <w:sz w:val="32"/>
          <w:szCs w:val="32"/>
          <w:highlight w:val="none"/>
        </w:rPr>
        <w:t>一、投 标 书</w:t>
      </w:r>
      <w:bookmarkEnd w:id="126"/>
      <w:bookmarkEnd w:id="127"/>
      <w:bookmarkEnd w:id="128"/>
      <w:bookmarkEnd w:id="129"/>
      <w:bookmarkEnd w:id="130"/>
      <w:bookmarkEnd w:id="131"/>
      <w:bookmarkEnd w:id="132"/>
      <w:bookmarkEnd w:id="133"/>
      <w:bookmarkEnd w:id="134"/>
      <w:bookmarkEnd w:id="135"/>
    </w:p>
    <w:p w14:paraId="7603775F">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致：</w:t>
      </w:r>
      <w:r>
        <w:rPr>
          <w:rFonts w:hint="eastAsia" w:ascii="宋体" w:hAnsi="宋体" w:cs="宋体"/>
          <w:color w:val="auto"/>
          <w:sz w:val="24"/>
          <w:szCs w:val="24"/>
          <w:highlight w:val="none"/>
          <w:u w:val="single"/>
        </w:rPr>
        <w:t xml:space="preserve">               </w:t>
      </w:r>
    </w:p>
    <w:p w14:paraId="16A67EBA">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 xml:space="preserve">    根据贵方为 </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 xml:space="preserve">项目的投标邀请（招标编号： </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），本签字代表</w:t>
      </w:r>
      <w:r>
        <w:rPr>
          <w:rFonts w:hint="eastAsia" w:ascii="宋体" w:hAnsi="宋体" w:cs="宋体"/>
          <w:color w:val="auto"/>
          <w:sz w:val="24"/>
          <w:szCs w:val="24"/>
          <w:highlight w:val="none"/>
          <w:u w:val="single"/>
        </w:rPr>
        <w:t>（全名、职务）</w:t>
      </w:r>
      <w:r>
        <w:rPr>
          <w:rFonts w:hint="eastAsia" w:ascii="宋体" w:hAnsi="宋体" w:cs="宋体"/>
          <w:color w:val="auto"/>
          <w:sz w:val="24"/>
          <w:szCs w:val="24"/>
          <w:highlight w:val="none"/>
        </w:rPr>
        <w:t>正式授权并代表投标人</w:t>
      </w:r>
      <w:r>
        <w:rPr>
          <w:rFonts w:hint="eastAsia" w:ascii="宋体" w:hAnsi="宋体" w:cs="宋体"/>
          <w:color w:val="auto"/>
          <w:sz w:val="24"/>
          <w:szCs w:val="24"/>
          <w:highlight w:val="none"/>
          <w:u w:val="single"/>
        </w:rPr>
        <w:t>（投标人名称、地址）</w:t>
      </w:r>
      <w:r>
        <w:rPr>
          <w:rFonts w:hint="eastAsia" w:ascii="宋体" w:hAnsi="宋体" w:cs="宋体"/>
          <w:color w:val="auto"/>
          <w:sz w:val="24"/>
          <w:szCs w:val="24"/>
          <w:highlight w:val="none"/>
        </w:rPr>
        <w:t>提交下述文件正本一份、副本</w:t>
      </w:r>
      <w:r>
        <w:rPr>
          <w:rFonts w:hint="eastAsia" w:ascii="宋体" w:hAnsi="宋体" w:cs="宋体"/>
          <w:color w:val="auto"/>
          <w:sz w:val="24"/>
          <w:szCs w:val="24"/>
          <w:highlight w:val="none"/>
          <w:u w:val="single"/>
        </w:rPr>
        <w:t>四</w:t>
      </w:r>
      <w:r>
        <w:rPr>
          <w:rFonts w:hint="eastAsia" w:ascii="宋体" w:hAnsi="宋体" w:cs="宋体"/>
          <w:color w:val="auto"/>
          <w:sz w:val="24"/>
          <w:szCs w:val="24"/>
          <w:highlight w:val="none"/>
        </w:rPr>
        <w:t>份和最终盖章签字投标文件扫描件刻录u盘（或光盘）2份。</w:t>
      </w:r>
    </w:p>
    <w:p w14:paraId="1FE7B695">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 开标一览表</w:t>
      </w:r>
    </w:p>
    <w:p w14:paraId="6EB4A046">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 投标分项报价表</w:t>
      </w:r>
    </w:p>
    <w:p w14:paraId="338A2EBA">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 项目说明一览表</w:t>
      </w:r>
    </w:p>
    <w:p w14:paraId="287B6A9B">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 xml:space="preserve">(4) 服务团队人员一览表 </w:t>
      </w:r>
    </w:p>
    <w:p w14:paraId="7A806529">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(5) 技术规格和商务响应表</w:t>
      </w:r>
    </w:p>
    <w:p w14:paraId="3ACAB072">
      <w:pPr>
        <w:spacing w:line="360" w:lineRule="auto"/>
        <w:ind w:firstLine="480"/>
        <w:rPr>
          <w:rFonts w:ascii="宋体" w:hAnsi="宋体" w:cs="宋体"/>
          <w:color w:val="auto"/>
          <w:sz w:val="24"/>
          <w:szCs w:val="24"/>
          <w:highlight w:val="none"/>
        </w:rPr>
      </w:pPr>
      <w:r>
        <w:rPr>
          <w:rFonts w:hint="eastAsia" w:ascii="宋体" w:hAnsi="宋体" w:cs="宋体"/>
          <w:color w:val="auto"/>
          <w:sz w:val="24"/>
          <w:szCs w:val="24"/>
          <w:highlight w:val="none"/>
        </w:rPr>
        <w:t>(6) 投标人资格证明文件</w:t>
      </w:r>
    </w:p>
    <w:p w14:paraId="4205B956">
      <w:pPr>
        <w:spacing w:line="360" w:lineRule="auto"/>
        <w:ind w:firstLine="480"/>
        <w:rPr>
          <w:rFonts w:ascii="宋体" w:hAnsi="宋体" w:cs="宋体"/>
          <w:color w:val="auto"/>
          <w:sz w:val="24"/>
          <w:szCs w:val="24"/>
          <w:highlight w:val="none"/>
        </w:rPr>
      </w:pPr>
      <w:r>
        <w:rPr>
          <w:rFonts w:hint="eastAsia" w:ascii="宋体" w:hAnsi="宋体" w:cs="宋体"/>
          <w:color w:val="auto"/>
          <w:sz w:val="24"/>
          <w:szCs w:val="24"/>
          <w:highlight w:val="none"/>
        </w:rPr>
        <w:t>(7) 服务方案及质量保证措施</w:t>
      </w:r>
    </w:p>
    <w:p w14:paraId="0EBE61BD">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 xml:space="preserve">    (8) 代理服务费承诺书</w:t>
      </w:r>
    </w:p>
    <w:p w14:paraId="5306D735">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 xml:space="preserve">    (9) 以 </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方式提供的金额为人民币</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元的投标保证金。</w:t>
      </w:r>
    </w:p>
    <w:p w14:paraId="4605BF5F">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 xml:space="preserve">    据此函，签字代表宣布同意如下：</w:t>
      </w:r>
    </w:p>
    <w:p w14:paraId="179C8853">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 xml:space="preserve">    1.所附详细报价表中规定的应提供和交付的服务报价总价（交钥匙总包价）为人民币 </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 xml:space="preserve">，即 </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（中文表述）。</w:t>
      </w:r>
    </w:p>
    <w:p w14:paraId="23FE331B">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2.投标人已详细审查全部招标文件，包括修改文件（如有的话）和有关附件，将自行承担因对全部招标文件理解不正确或误解而产生的相应后果。</w:t>
      </w:r>
    </w:p>
    <w:p w14:paraId="27E3FDA3">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 xml:space="preserve">    3.投标人保证遵守招标文件的全部规定，投标人所提交的材料中所含的信息均为真实、准确、完整，且不具有任何误导性。</w:t>
      </w:r>
    </w:p>
    <w:p w14:paraId="13F49C3C">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 xml:space="preserve">    4.投标人将按招标文件的规定履行合同责任和义务。</w:t>
      </w:r>
    </w:p>
    <w:p w14:paraId="56EFD5EB">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 xml:space="preserve">    5.本投标文件自开标日起投标有效期为：在招标文件投标人须知前附表1第3项所规定的期限内保持有效。</w:t>
      </w:r>
    </w:p>
    <w:p w14:paraId="41028D81">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 xml:space="preserve">    6.如果发生招标文件第二章投标人须知第12条所述情况，则同意招标代理机构不予退还投标保证金。</w:t>
      </w:r>
    </w:p>
    <w:p w14:paraId="3346D9B8">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7.投标人同意按照招标代理机构要求提供与其投标有关的一切数据或资料，完全理解贵方不一定要接受最低的报价或收到的任何投标。</w:t>
      </w:r>
    </w:p>
    <w:p w14:paraId="076CD95A">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8. 与本投标有关的一切正式往来通讯请寄：</w:t>
      </w:r>
    </w:p>
    <w:p w14:paraId="74D56280">
      <w:pPr>
        <w:spacing w:line="360" w:lineRule="auto"/>
        <w:rPr>
          <w:rFonts w:ascii="宋体" w:hAnsi="宋体" w:cs="宋体"/>
          <w:color w:val="auto"/>
          <w:sz w:val="24"/>
          <w:szCs w:val="24"/>
          <w:highlight w:val="none"/>
          <w:u w:val="single"/>
        </w:rPr>
      </w:pPr>
      <w:r>
        <w:rPr>
          <w:rFonts w:hint="eastAsia" w:ascii="宋体" w:hAnsi="宋体" w:cs="宋体"/>
          <w:color w:val="auto"/>
          <w:sz w:val="24"/>
          <w:szCs w:val="24"/>
          <w:highlight w:val="none"/>
        </w:rPr>
        <w:t xml:space="preserve">      地址： </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 xml:space="preserve"> 邮编： </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电子信箱：</w:t>
      </w:r>
      <w:r>
        <w:rPr>
          <w:rFonts w:hint="eastAsia" w:ascii="宋体" w:hAnsi="宋体" w:cs="宋体"/>
          <w:color w:val="auto"/>
          <w:sz w:val="24"/>
          <w:szCs w:val="24"/>
          <w:highlight w:val="none"/>
          <w:u w:val="single"/>
        </w:rPr>
        <w:t xml:space="preserve">                   </w:t>
      </w:r>
    </w:p>
    <w:p w14:paraId="7A0E75F2">
      <w:pPr>
        <w:spacing w:line="360" w:lineRule="auto"/>
        <w:rPr>
          <w:rFonts w:ascii="宋体" w:hAnsi="宋体" w:cs="宋体"/>
          <w:color w:val="auto"/>
          <w:sz w:val="24"/>
          <w:szCs w:val="24"/>
          <w:highlight w:val="none"/>
          <w:u w:val="single"/>
        </w:rPr>
      </w:pPr>
      <w:r>
        <w:rPr>
          <w:rFonts w:hint="eastAsia" w:ascii="宋体" w:hAnsi="宋体" w:cs="宋体"/>
          <w:color w:val="auto"/>
          <w:sz w:val="24"/>
          <w:szCs w:val="24"/>
          <w:highlight w:val="none"/>
        </w:rPr>
        <w:t xml:space="preserve">      电话： </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 xml:space="preserve"> 传真： </w:t>
      </w:r>
      <w:r>
        <w:rPr>
          <w:rFonts w:hint="eastAsia" w:ascii="宋体" w:hAnsi="宋体" w:cs="宋体"/>
          <w:color w:val="auto"/>
          <w:sz w:val="24"/>
          <w:szCs w:val="24"/>
          <w:highlight w:val="none"/>
          <w:u w:val="single"/>
        </w:rPr>
        <w:t xml:space="preserve">                 </w:t>
      </w:r>
    </w:p>
    <w:p w14:paraId="3F5EF468">
      <w:pPr>
        <w:spacing w:line="360" w:lineRule="auto"/>
        <w:rPr>
          <w:rFonts w:ascii="宋体" w:hAnsi="宋体" w:cs="宋体"/>
          <w:color w:val="auto"/>
          <w:sz w:val="24"/>
          <w:szCs w:val="24"/>
          <w:highlight w:val="none"/>
          <w:u w:val="single"/>
        </w:rPr>
      </w:pPr>
      <w:r>
        <w:rPr>
          <w:rFonts w:hint="eastAsia" w:ascii="宋体" w:hAnsi="宋体" w:cs="宋体"/>
          <w:color w:val="auto"/>
          <w:sz w:val="24"/>
          <w:szCs w:val="24"/>
          <w:highlight w:val="none"/>
        </w:rPr>
        <w:t xml:space="preserve">      投标人代表签字： </w:t>
      </w:r>
      <w:r>
        <w:rPr>
          <w:rFonts w:hint="eastAsia" w:ascii="宋体" w:hAnsi="宋体" w:cs="宋体"/>
          <w:color w:val="auto"/>
          <w:sz w:val="24"/>
          <w:szCs w:val="24"/>
          <w:highlight w:val="none"/>
          <w:u w:val="single"/>
        </w:rPr>
        <w:t xml:space="preserve">                </w:t>
      </w:r>
    </w:p>
    <w:p w14:paraId="1232D08A">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 xml:space="preserve">      投标人（全称并加盖公章）：</w:t>
      </w:r>
      <w:r>
        <w:rPr>
          <w:rFonts w:hint="eastAsia" w:ascii="宋体" w:hAnsi="宋体" w:cs="宋体"/>
          <w:color w:val="auto"/>
          <w:sz w:val="24"/>
          <w:szCs w:val="24"/>
          <w:highlight w:val="none"/>
          <w:u w:val="single"/>
        </w:rPr>
        <w:t xml:space="preserve">                       </w:t>
      </w:r>
    </w:p>
    <w:p w14:paraId="670ACC3C">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 xml:space="preserve">                                 日  期： </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 xml:space="preserve">年 </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 xml:space="preserve">月 </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日</w:t>
      </w:r>
    </w:p>
    <w:p w14:paraId="4B4D53EE">
      <w:pPr>
        <w:spacing w:line="360" w:lineRule="auto"/>
        <w:rPr>
          <w:rFonts w:ascii="宋体" w:hAnsi="宋体" w:cs="宋体"/>
          <w:color w:val="auto"/>
          <w:sz w:val="24"/>
          <w:szCs w:val="24"/>
          <w:highlight w:val="none"/>
        </w:rPr>
      </w:pPr>
    </w:p>
    <w:p w14:paraId="05F13008">
      <w:pPr>
        <w:spacing w:line="360" w:lineRule="auto"/>
        <w:rPr>
          <w:rFonts w:ascii="宋体" w:hAnsi="宋体" w:cs="宋体"/>
          <w:color w:val="auto"/>
          <w:sz w:val="24"/>
          <w:szCs w:val="24"/>
          <w:highlight w:val="none"/>
        </w:rPr>
      </w:pPr>
    </w:p>
    <w:p w14:paraId="48CF20C6">
      <w:pPr>
        <w:spacing w:line="360" w:lineRule="auto"/>
        <w:rPr>
          <w:rFonts w:ascii="宋体" w:hAnsi="宋体" w:cs="宋体"/>
          <w:color w:val="auto"/>
          <w:sz w:val="24"/>
          <w:szCs w:val="24"/>
          <w:highlight w:val="none"/>
        </w:rPr>
      </w:pPr>
    </w:p>
    <w:p w14:paraId="449C8766">
      <w:pPr>
        <w:spacing w:line="360" w:lineRule="auto"/>
        <w:rPr>
          <w:rFonts w:ascii="宋体" w:hAnsi="宋体" w:cs="宋体"/>
          <w:color w:val="auto"/>
          <w:sz w:val="24"/>
          <w:szCs w:val="24"/>
          <w:highlight w:val="none"/>
        </w:rPr>
      </w:pPr>
    </w:p>
    <w:p w14:paraId="5F3AFA24">
      <w:pPr>
        <w:spacing w:line="360" w:lineRule="auto"/>
        <w:rPr>
          <w:rFonts w:ascii="宋体" w:hAnsi="宋体" w:cs="宋体"/>
          <w:color w:val="auto"/>
          <w:sz w:val="24"/>
          <w:szCs w:val="24"/>
          <w:highlight w:val="none"/>
        </w:rPr>
      </w:pPr>
    </w:p>
    <w:p w14:paraId="146485B1">
      <w:pPr>
        <w:spacing w:line="360" w:lineRule="auto"/>
        <w:rPr>
          <w:rFonts w:ascii="宋体" w:hAnsi="宋体" w:cs="宋体"/>
          <w:color w:val="auto"/>
          <w:sz w:val="24"/>
          <w:szCs w:val="24"/>
          <w:highlight w:val="none"/>
        </w:rPr>
      </w:pPr>
    </w:p>
    <w:p w14:paraId="68DCBFBE">
      <w:pPr>
        <w:spacing w:line="360" w:lineRule="auto"/>
        <w:rPr>
          <w:rFonts w:ascii="宋体" w:hAnsi="宋体" w:cs="宋体"/>
          <w:color w:val="auto"/>
          <w:sz w:val="24"/>
          <w:szCs w:val="24"/>
          <w:highlight w:val="none"/>
        </w:rPr>
      </w:pPr>
    </w:p>
    <w:p w14:paraId="63B04FF7">
      <w:pPr>
        <w:spacing w:line="360" w:lineRule="auto"/>
        <w:rPr>
          <w:rFonts w:ascii="宋体" w:hAnsi="宋体" w:cs="宋体"/>
          <w:color w:val="auto"/>
          <w:sz w:val="24"/>
          <w:szCs w:val="24"/>
          <w:highlight w:val="none"/>
        </w:rPr>
      </w:pPr>
    </w:p>
    <w:p w14:paraId="540CC0BC">
      <w:pPr>
        <w:spacing w:line="360" w:lineRule="auto"/>
        <w:rPr>
          <w:rFonts w:ascii="宋体" w:hAnsi="宋体" w:cs="宋体"/>
          <w:color w:val="auto"/>
          <w:sz w:val="24"/>
          <w:szCs w:val="24"/>
          <w:highlight w:val="none"/>
        </w:rPr>
      </w:pPr>
    </w:p>
    <w:p w14:paraId="0A4BD801">
      <w:pPr>
        <w:spacing w:line="360" w:lineRule="auto"/>
        <w:rPr>
          <w:rFonts w:ascii="宋体" w:hAnsi="宋体" w:cs="宋体"/>
          <w:color w:val="auto"/>
          <w:sz w:val="24"/>
          <w:szCs w:val="24"/>
          <w:highlight w:val="none"/>
        </w:rPr>
      </w:pPr>
    </w:p>
    <w:p w14:paraId="402A861C">
      <w:pPr>
        <w:spacing w:line="360" w:lineRule="auto"/>
        <w:rPr>
          <w:rFonts w:ascii="宋体" w:hAnsi="宋体" w:cs="宋体"/>
          <w:color w:val="auto"/>
          <w:sz w:val="24"/>
          <w:szCs w:val="24"/>
          <w:highlight w:val="none"/>
        </w:rPr>
      </w:pPr>
    </w:p>
    <w:p w14:paraId="3C48535A">
      <w:pPr>
        <w:spacing w:line="360" w:lineRule="auto"/>
        <w:rPr>
          <w:rFonts w:ascii="宋体" w:hAnsi="宋体" w:cs="宋体"/>
          <w:color w:val="auto"/>
          <w:sz w:val="24"/>
          <w:szCs w:val="24"/>
          <w:highlight w:val="none"/>
        </w:rPr>
      </w:pPr>
    </w:p>
    <w:p w14:paraId="4B2F65B3">
      <w:pPr>
        <w:spacing w:line="360" w:lineRule="auto"/>
        <w:rPr>
          <w:rFonts w:ascii="宋体" w:hAnsi="宋体" w:cs="宋体"/>
          <w:color w:val="auto"/>
          <w:sz w:val="24"/>
          <w:szCs w:val="24"/>
          <w:highlight w:val="none"/>
        </w:rPr>
        <w:sectPr>
          <w:pgSz w:w="11907" w:h="16840"/>
          <w:pgMar w:top="1361" w:right="1752" w:bottom="1440" w:left="1752" w:header="851" w:footer="992" w:gutter="0"/>
          <w:cols w:space="720" w:num="1"/>
        </w:sectPr>
      </w:pPr>
    </w:p>
    <w:p w14:paraId="77018A83">
      <w:pPr>
        <w:pStyle w:val="47"/>
        <w:spacing w:line="360" w:lineRule="auto"/>
        <w:ind w:firstLine="5140" w:firstLineChars="1600"/>
        <w:outlineLvl w:val="1"/>
        <w:rPr>
          <w:rFonts w:hAnsi="宋体" w:cs="宋体"/>
          <w:b/>
          <w:color w:val="auto"/>
          <w:sz w:val="24"/>
          <w:szCs w:val="24"/>
          <w:highlight w:val="none"/>
        </w:rPr>
      </w:pPr>
      <w:bookmarkStart w:id="136" w:name="_Toc5418"/>
      <w:bookmarkStart w:id="137" w:name="_Toc28160"/>
      <w:bookmarkStart w:id="138" w:name="_Toc27089"/>
      <w:bookmarkStart w:id="139" w:name="_Toc27830"/>
      <w:bookmarkStart w:id="140" w:name="_Toc13967"/>
      <w:bookmarkStart w:id="141" w:name="_Toc2783"/>
      <w:bookmarkStart w:id="142" w:name="_Toc31298"/>
      <w:bookmarkStart w:id="143" w:name="_Toc22216"/>
      <w:bookmarkStart w:id="144" w:name="_Toc5984"/>
      <w:bookmarkStart w:id="145" w:name="_Toc29558"/>
      <w:r>
        <w:rPr>
          <w:rFonts w:hint="eastAsia" w:hAnsi="宋体" w:cs="宋体"/>
          <w:b/>
          <w:color w:val="auto"/>
          <w:sz w:val="32"/>
          <w:szCs w:val="32"/>
          <w:highlight w:val="none"/>
        </w:rPr>
        <w:t>二、开标一览表</w:t>
      </w:r>
      <w:bookmarkEnd w:id="136"/>
      <w:bookmarkEnd w:id="137"/>
      <w:bookmarkEnd w:id="138"/>
      <w:bookmarkEnd w:id="139"/>
      <w:bookmarkEnd w:id="140"/>
      <w:bookmarkEnd w:id="141"/>
      <w:bookmarkEnd w:id="142"/>
      <w:bookmarkEnd w:id="143"/>
      <w:bookmarkEnd w:id="144"/>
      <w:bookmarkEnd w:id="145"/>
    </w:p>
    <w:p w14:paraId="57D95793">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投标人（全称并加盖公章）：                              招标编号：               货币单位：</w:t>
      </w:r>
    </w:p>
    <w:tbl>
      <w:tblPr>
        <w:tblStyle w:val="21"/>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52"/>
        <w:gridCol w:w="2695"/>
        <w:gridCol w:w="698"/>
        <w:gridCol w:w="1273"/>
        <w:gridCol w:w="1305"/>
        <w:gridCol w:w="1726"/>
        <w:gridCol w:w="484"/>
        <w:gridCol w:w="1954"/>
        <w:gridCol w:w="457"/>
      </w:tblGrid>
      <w:tr w14:paraId="4AA98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7" w:hRule="atLeast"/>
        </w:trPr>
        <w:tc>
          <w:tcPr>
            <w:tcW w:w="1282" w:type="pct"/>
            <w:vAlign w:val="center"/>
          </w:tcPr>
          <w:p w14:paraId="3D8A3C50">
            <w:pPr>
              <w:spacing w:line="360" w:lineRule="auto"/>
              <w:jc w:val="center"/>
              <w:rPr>
                <w:rFonts w:ascii="宋体" w:hAnsi="宋体" w:cs="宋体"/>
                <w:color w:val="auto"/>
                <w:sz w:val="24"/>
                <w:szCs w:val="24"/>
                <w:highlight w:val="none"/>
                <w:u w:val="single"/>
              </w:rPr>
            </w:pPr>
            <w:r>
              <w:rPr>
                <w:rFonts w:hint="eastAsia" w:ascii="宋体" w:hAnsi="宋体" w:cs="宋体"/>
                <w:bCs/>
                <w:color w:val="auto"/>
                <w:sz w:val="24"/>
                <w:szCs w:val="24"/>
                <w:highlight w:val="none"/>
              </w:rPr>
              <w:t>合同包</w:t>
            </w:r>
          </w:p>
        </w:tc>
        <w:tc>
          <w:tcPr>
            <w:tcW w:w="946" w:type="pct"/>
            <w:vAlign w:val="center"/>
          </w:tcPr>
          <w:p w14:paraId="015B6AE8">
            <w:pPr>
              <w:spacing w:line="360" w:lineRule="auto"/>
              <w:jc w:val="center"/>
              <w:rPr>
                <w:rFonts w:ascii="宋体" w:hAnsi="宋体" w:cs="宋体"/>
                <w:bCs/>
                <w:color w:val="auto"/>
                <w:sz w:val="24"/>
                <w:szCs w:val="24"/>
                <w:highlight w:val="none"/>
              </w:rPr>
            </w:pPr>
            <w:r>
              <w:rPr>
                <w:rFonts w:hint="eastAsia" w:ascii="宋体" w:hAnsi="宋体" w:cs="宋体"/>
                <w:bCs/>
                <w:color w:val="auto"/>
                <w:sz w:val="24"/>
                <w:szCs w:val="24"/>
                <w:highlight w:val="none"/>
              </w:rPr>
              <w:t>服务名称</w:t>
            </w:r>
          </w:p>
        </w:tc>
        <w:tc>
          <w:tcPr>
            <w:tcW w:w="245" w:type="pct"/>
            <w:vAlign w:val="center"/>
          </w:tcPr>
          <w:p w14:paraId="5C50054E">
            <w:pPr>
              <w:spacing w:line="360" w:lineRule="auto"/>
              <w:jc w:val="center"/>
              <w:rPr>
                <w:rFonts w:ascii="宋体" w:hAnsi="宋体" w:cs="宋体"/>
                <w:bCs/>
                <w:color w:val="auto"/>
                <w:sz w:val="24"/>
                <w:szCs w:val="24"/>
                <w:highlight w:val="none"/>
              </w:rPr>
            </w:pPr>
            <w:r>
              <w:rPr>
                <w:rFonts w:hint="eastAsia" w:ascii="宋体" w:hAnsi="宋体" w:cs="宋体"/>
                <w:bCs/>
                <w:color w:val="auto"/>
                <w:sz w:val="24"/>
                <w:szCs w:val="24"/>
                <w:highlight w:val="none"/>
              </w:rPr>
              <w:t>数量</w:t>
            </w:r>
          </w:p>
        </w:tc>
        <w:tc>
          <w:tcPr>
            <w:tcW w:w="447" w:type="pct"/>
            <w:vAlign w:val="center"/>
          </w:tcPr>
          <w:p w14:paraId="00F167C4">
            <w:pPr>
              <w:spacing w:line="360" w:lineRule="auto"/>
              <w:jc w:val="center"/>
              <w:rPr>
                <w:rFonts w:ascii="宋体" w:hAnsi="宋体" w:cs="宋体"/>
                <w:bCs/>
                <w:color w:val="auto"/>
                <w:sz w:val="24"/>
                <w:szCs w:val="24"/>
                <w:highlight w:val="none"/>
              </w:rPr>
            </w:pPr>
            <w:r>
              <w:rPr>
                <w:rFonts w:hint="eastAsia" w:ascii="宋体" w:hAnsi="宋体" w:cs="宋体"/>
                <w:bCs/>
                <w:color w:val="auto"/>
                <w:sz w:val="24"/>
                <w:szCs w:val="24"/>
                <w:highlight w:val="none"/>
              </w:rPr>
              <w:t>服务商</w:t>
            </w:r>
          </w:p>
        </w:tc>
        <w:tc>
          <w:tcPr>
            <w:tcW w:w="458" w:type="pct"/>
            <w:vAlign w:val="center"/>
          </w:tcPr>
          <w:p w14:paraId="7F063AF3">
            <w:pPr>
              <w:spacing w:line="360" w:lineRule="auto"/>
              <w:jc w:val="center"/>
              <w:rPr>
                <w:rFonts w:ascii="宋体" w:hAnsi="宋体" w:cs="宋体"/>
                <w:bCs/>
                <w:color w:val="auto"/>
                <w:sz w:val="24"/>
                <w:szCs w:val="24"/>
                <w:highlight w:val="none"/>
              </w:rPr>
            </w:pPr>
            <w:r>
              <w:rPr>
                <w:rFonts w:hint="eastAsia" w:ascii="宋体" w:hAnsi="宋体" w:cs="宋体"/>
                <w:bCs/>
                <w:color w:val="auto"/>
                <w:sz w:val="24"/>
                <w:szCs w:val="24"/>
                <w:highlight w:val="none"/>
              </w:rPr>
              <w:t>每月服务费</w:t>
            </w:r>
          </w:p>
          <w:p w14:paraId="2D5FF1F3">
            <w:pPr>
              <w:spacing w:line="360" w:lineRule="auto"/>
              <w:jc w:val="center"/>
              <w:rPr>
                <w:rFonts w:ascii="宋体" w:hAnsi="宋体" w:cs="宋体"/>
                <w:bCs/>
                <w:color w:val="auto"/>
                <w:sz w:val="24"/>
                <w:szCs w:val="24"/>
                <w:highlight w:val="none"/>
              </w:rPr>
            </w:pPr>
            <w:r>
              <w:rPr>
                <w:rFonts w:hint="eastAsia" w:ascii="宋体" w:hAnsi="宋体" w:cs="宋体"/>
                <w:bCs/>
                <w:color w:val="auto"/>
                <w:sz w:val="24"/>
                <w:szCs w:val="24"/>
                <w:highlight w:val="none"/>
              </w:rPr>
              <w:t>（元/月）</w:t>
            </w:r>
          </w:p>
        </w:tc>
        <w:tc>
          <w:tcPr>
            <w:tcW w:w="606" w:type="pct"/>
            <w:vAlign w:val="center"/>
          </w:tcPr>
          <w:p w14:paraId="03A20A33">
            <w:pPr>
              <w:spacing w:line="360" w:lineRule="auto"/>
              <w:jc w:val="center"/>
              <w:rPr>
                <w:rFonts w:ascii="宋体" w:hAnsi="宋体" w:cs="宋体"/>
                <w:bCs/>
                <w:color w:val="auto"/>
                <w:sz w:val="24"/>
                <w:szCs w:val="24"/>
                <w:highlight w:val="none"/>
              </w:rPr>
            </w:pPr>
            <w:r>
              <w:rPr>
                <w:rFonts w:hint="eastAsia" w:ascii="宋体" w:hAnsi="宋体" w:cs="宋体"/>
                <w:bCs/>
                <w:color w:val="auto"/>
                <w:sz w:val="24"/>
                <w:szCs w:val="24"/>
                <w:highlight w:val="none"/>
              </w:rPr>
              <w:t>每年服务费</w:t>
            </w:r>
          </w:p>
          <w:p w14:paraId="09903EC8">
            <w:pPr>
              <w:spacing w:line="360" w:lineRule="auto"/>
              <w:jc w:val="center"/>
              <w:rPr>
                <w:rFonts w:ascii="宋体" w:hAnsi="宋体" w:cs="宋体"/>
                <w:bCs/>
                <w:color w:val="auto"/>
                <w:sz w:val="24"/>
                <w:szCs w:val="24"/>
                <w:highlight w:val="none"/>
              </w:rPr>
            </w:pPr>
            <w:r>
              <w:rPr>
                <w:rFonts w:hint="eastAsia" w:ascii="宋体" w:hAnsi="宋体" w:cs="宋体"/>
                <w:bCs/>
                <w:color w:val="auto"/>
                <w:sz w:val="24"/>
                <w:szCs w:val="24"/>
                <w:highlight w:val="none"/>
              </w:rPr>
              <w:t>（元/年）=每月服务费*12</w:t>
            </w:r>
          </w:p>
        </w:tc>
        <w:tc>
          <w:tcPr>
            <w:tcW w:w="170" w:type="pct"/>
            <w:vAlign w:val="center"/>
          </w:tcPr>
          <w:p w14:paraId="610E046C">
            <w:pPr>
              <w:spacing w:line="360" w:lineRule="auto"/>
              <w:jc w:val="center"/>
              <w:rPr>
                <w:rFonts w:ascii="宋体" w:hAnsi="宋体" w:cs="宋体"/>
                <w:bCs/>
                <w:color w:val="auto"/>
                <w:sz w:val="24"/>
                <w:szCs w:val="24"/>
                <w:highlight w:val="none"/>
              </w:rPr>
            </w:pPr>
            <w:r>
              <w:rPr>
                <w:rFonts w:hint="eastAsia" w:ascii="宋体" w:hAnsi="宋体" w:cs="宋体"/>
                <w:bCs/>
                <w:color w:val="auto"/>
                <w:sz w:val="24"/>
                <w:szCs w:val="24"/>
                <w:highlight w:val="none"/>
              </w:rPr>
              <w:t>服务期限</w:t>
            </w:r>
          </w:p>
        </w:tc>
        <w:tc>
          <w:tcPr>
            <w:tcW w:w="686" w:type="pct"/>
            <w:vAlign w:val="center"/>
          </w:tcPr>
          <w:p w14:paraId="52C10CEE">
            <w:pPr>
              <w:spacing w:line="360" w:lineRule="auto"/>
              <w:jc w:val="center"/>
              <w:rPr>
                <w:rFonts w:ascii="宋体" w:hAnsi="宋体" w:cs="宋体"/>
                <w:bCs/>
                <w:color w:val="auto"/>
                <w:sz w:val="24"/>
                <w:szCs w:val="24"/>
                <w:highlight w:val="none"/>
              </w:rPr>
            </w:pPr>
            <w:r>
              <w:rPr>
                <w:rFonts w:hint="eastAsia" w:ascii="宋体" w:hAnsi="宋体" w:cs="宋体"/>
                <w:bCs/>
                <w:color w:val="auto"/>
                <w:sz w:val="24"/>
                <w:szCs w:val="24"/>
                <w:highlight w:val="none"/>
              </w:rPr>
              <w:t>投标总价（元）=每年服务费*服务期限</w:t>
            </w:r>
          </w:p>
        </w:tc>
        <w:tc>
          <w:tcPr>
            <w:tcW w:w="160" w:type="pct"/>
            <w:vAlign w:val="center"/>
          </w:tcPr>
          <w:p w14:paraId="70C17A7D">
            <w:pPr>
              <w:spacing w:line="360" w:lineRule="auto"/>
              <w:jc w:val="center"/>
              <w:rPr>
                <w:rFonts w:ascii="宋体" w:hAnsi="宋体" w:cs="宋体"/>
                <w:bCs/>
                <w:color w:val="auto"/>
                <w:sz w:val="24"/>
                <w:szCs w:val="24"/>
                <w:highlight w:val="none"/>
              </w:rPr>
            </w:pPr>
            <w:r>
              <w:rPr>
                <w:rFonts w:hint="eastAsia" w:ascii="宋体" w:hAnsi="宋体" w:cs="宋体"/>
                <w:bCs/>
                <w:color w:val="auto"/>
                <w:sz w:val="24"/>
                <w:szCs w:val="24"/>
                <w:highlight w:val="none"/>
              </w:rPr>
              <w:t>备注</w:t>
            </w:r>
          </w:p>
        </w:tc>
      </w:tr>
      <w:tr w14:paraId="5FA1C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282" w:type="pct"/>
            <w:vAlign w:val="center"/>
          </w:tcPr>
          <w:p w14:paraId="58562D55">
            <w:pPr>
              <w:spacing w:line="360" w:lineRule="auto"/>
              <w:jc w:val="center"/>
              <w:rPr>
                <w:rFonts w:ascii="宋体" w:hAnsi="宋体" w:cs="宋体"/>
                <w:bCs/>
                <w:color w:val="auto"/>
                <w:sz w:val="24"/>
                <w:szCs w:val="24"/>
                <w:highlight w:val="none"/>
              </w:rPr>
            </w:pPr>
            <w:r>
              <w:rPr>
                <w:rFonts w:hint="eastAsia" w:ascii="宋体" w:hAnsi="宋体" w:cs="宋体"/>
                <w:bCs/>
                <w:color w:val="auto"/>
                <w:sz w:val="24"/>
                <w:szCs w:val="24"/>
                <w:highlight w:val="none"/>
              </w:rPr>
              <w:t>XM2026-TZ5086C1</w:t>
            </w:r>
          </w:p>
        </w:tc>
        <w:tc>
          <w:tcPr>
            <w:tcW w:w="946" w:type="pct"/>
            <w:vAlign w:val="center"/>
          </w:tcPr>
          <w:p w14:paraId="5CB97B84">
            <w:pPr>
              <w:spacing w:line="360" w:lineRule="auto"/>
              <w:jc w:val="center"/>
              <w:rPr>
                <w:rFonts w:ascii="宋体" w:hAnsi="宋体" w:cs="宋体"/>
                <w:bCs/>
                <w:color w:val="auto"/>
                <w:sz w:val="24"/>
                <w:szCs w:val="24"/>
                <w:highlight w:val="none"/>
              </w:rPr>
            </w:pPr>
            <w:r>
              <w:rPr>
                <w:rFonts w:hint="eastAsia" w:ascii="宋体" w:hAnsi="宋体" w:cs="宋体"/>
                <w:bCs/>
                <w:color w:val="auto"/>
                <w:sz w:val="24"/>
                <w:szCs w:val="24"/>
                <w:highlight w:val="none"/>
              </w:rPr>
              <w:t>中国人民银行厦门市分行食堂服务外包采购</w:t>
            </w:r>
          </w:p>
        </w:tc>
        <w:tc>
          <w:tcPr>
            <w:tcW w:w="245" w:type="pct"/>
            <w:vAlign w:val="center"/>
          </w:tcPr>
          <w:p w14:paraId="02F26AF6">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1项</w:t>
            </w:r>
          </w:p>
        </w:tc>
        <w:tc>
          <w:tcPr>
            <w:tcW w:w="447" w:type="pct"/>
          </w:tcPr>
          <w:p w14:paraId="5196B5DC">
            <w:pPr>
              <w:spacing w:line="360" w:lineRule="auto"/>
              <w:jc w:val="center"/>
              <w:rPr>
                <w:rFonts w:ascii="宋体" w:hAnsi="宋体" w:cs="宋体"/>
                <w:bCs/>
                <w:color w:val="auto"/>
                <w:sz w:val="24"/>
                <w:szCs w:val="24"/>
                <w:highlight w:val="none"/>
              </w:rPr>
            </w:pPr>
          </w:p>
        </w:tc>
        <w:tc>
          <w:tcPr>
            <w:tcW w:w="458" w:type="pct"/>
          </w:tcPr>
          <w:p w14:paraId="5A0FD751">
            <w:pPr>
              <w:spacing w:line="360" w:lineRule="auto"/>
              <w:jc w:val="center"/>
              <w:rPr>
                <w:rFonts w:ascii="宋体" w:hAnsi="宋体" w:cs="宋体"/>
                <w:bCs/>
                <w:color w:val="auto"/>
                <w:sz w:val="24"/>
                <w:szCs w:val="24"/>
                <w:highlight w:val="none"/>
              </w:rPr>
            </w:pPr>
          </w:p>
        </w:tc>
        <w:tc>
          <w:tcPr>
            <w:tcW w:w="606" w:type="pct"/>
          </w:tcPr>
          <w:p w14:paraId="7D9F546B">
            <w:pPr>
              <w:spacing w:line="360" w:lineRule="auto"/>
              <w:jc w:val="center"/>
              <w:rPr>
                <w:rFonts w:ascii="宋体" w:hAnsi="宋体" w:cs="宋体"/>
                <w:bCs/>
                <w:color w:val="auto"/>
                <w:sz w:val="24"/>
                <w:szCs w:val="24"/>
                <w:highlight w:val="none"/>
              </w:rPr>
            </w:pPr>
          </w:p>
        </w:tc>
        <w:tc>
          <w:tcPr>
            <w:tcW w:w="170" w:type="pct"/>
            <w:vAlign w:val="center"/>
          </w:tcPr>
          <w:p w14:paraId="37495DB2">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1年</w:t>
            </w:r>
          </w:p>
        </w:tc>
        <w:tc>
          <w:tcPr>
            <w:tcW w:w="686" w:type="pct"/>
            <w:vAlign w:val="center"/>
          </w:tcPr>
          <w:p w14:paraId="3F769D7F">
            <w:pPr>
              <w:spacing w:line="360" w:lineRule="auto"/>
              <w:jc w:val="center"/>
              <w:rPr>
                <w:rFonts w:ascii="宋体" w:hAnsi="宋体" w:cs="宋体"/>
                <w:color w:val="auto"/>
                <w:sz w:val="24"/>
                <w:szCs w:val="24"/>
                <w:highlight w:val="none"/>
              </w:rPr>
            </w:pPr>
          </w:p>
        </w:tc>
        <w:tc>
          <w:tcPr>
            <w:tcW w:w="160" w:type="pct"/>
          </w:tcPr>
          <w:p w14:paraId="67C1747D">
            <w:pPr>
              <w:spacing w:line="360" w:lineRule="auto"/>
              <w:jc w:val="center"/>
              <w:rPr>
                <w:rFonts w:ascii="宋体" w:hAnsi="宋体" w:cs="宋体"/>
                <w:bCs/>
                <w:color w:val="auto"/>
                <w:sz w:val="24"/>
                <w:szCs w:val="24"/>
                <w:highlight w:val="none"/>
              </w:rPr>
            </w:pPr>
          </w:p>
        </w:tc>
      </w:tr>
    </w:tbl>
    <w:p w14:paraId="7F8BDC1A">
      <w:pPr>
        <w:widowControl/>
        <w:spacing w:line="360" w:lineRule="auto"/>
        <w:jc w:val="left"/>
        <w:rPr>
          <w:rFonts w:ascii="宋体" w:hAnsi="宋体" w:cs="宋体"/>
          <w:color w:val="auto"/>
          <w:sz w:val="24"/>
          <w:szCs w:val="24"/>
          <w:highlight w:val="none"/>
        </w:rPr>
        <w:sectPr>
          <w:footerReference r:id="rId11" w:type="default"/>
          <w:pgSz w:w="16840" w:h="11907" w:orient="landscape"/>
          <w:pgMar w:top="1752" w:right="1361" w:bottom="1752" w:left="1440" w:header="851" w:footer="992" w:gutter="0"/>
          <w:cols w:space="720" w:num="1"/>
        </w:sectPr>
      </w:pPr>
    </w:p>
    <w:p w14:paraId="68EA3AB9">
      <w:pPr>
        <w:spacing w:line="360" w:lineRule="auto"/>
        <w:ind w:firstLine="2560" w:firstLineChars="800"/>
        <w:outlineLvl w:val="1"/>
        <w:rPr>
          <w:rFonts w:ascii="宋体" w:hAnsi="宋体" w:cs="宋体"/>
          <w:color w:val="auto"/>
          <w:sz w:val="24"/>
          <w:szCs w:val="24"/>
          <w:highlight w:val="none"/>
        </w:rPr>
      </w:pPr>
      <w:bookmarkStart w:id="146" w:name="_Toc26996"/>
      <w:r>
        <w:rPr>
          <w:rFonts w:hint="eastAsia" w:ascii="宋体" w:hAnsi="宋体" w:cs="宋体"/>
          <w:b/>
          <w:color w:val="auto"/>
          <w:sz w:val="32"/>
          <w:szCs w:val="32"/>
          <w:highlight w:val="none"/>
        </w:rPr>
        <w:t>三、投标分项报价表</w:t>
      </w:r>
      <w:bookmarkEnd w:id="146"/>
    </w:p>
    <w:p w14:paraId="3516D8E0">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（格式自拟）</w:t>
      </w:r>
    </w:p>
    <w:p w14:paraId="6D52BAF2">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 xml:space="preserve">投标人名称（加盖公章）：             招标编号：               货币单位： </w:t>
      </w:r>
    </w:p>
    <w:p w14:paraId="5934FA33">
      <w:pPr>
        <w:spacing w:line="360" w:lineRule="auto"/>
        <w:rPr>
          <w:rFonts w:ascii="宋体" w:hAnsi="宋体" w:cs="宋体"/>
          <w:color w:val="auto"/>
          <w:sz w:val="24"/>
          <w:szCs w:val="24"/>
          <w:highlight w:val="none"/>
        </w:rPr>
      </w:pPr>
    </w:p>
    <w:p w14:paraId="6A2558BB">
      <w:pPr>
        <w:spacing w:line="360" w:lineRule="auto"/>
        <w:rPr>
          <w:rFonts w:ascii="宋体" w:hAnsi="宋体" w:cs="宋体"/>
          <w:color w:val="auto"/>
          <w:sz w:val="24"/>
          <w:szCs w:val="24"/>
          <w:highlight w:val="none"/>
        </w:rPr>
      </w:pPr>
    </w:p>
    <w:p w14:paraId="23EB31DA">
      <w:pPr>
        <w:spacing w:line="360" w:lineRule="auto"/>
        <w:rPr>
          <w:rFonts w:ascii="宋体" w:hAnsi="宋体" w:cs="宋体"/>
          <w:color w:val="auto"/>
          <w:sz w:val="24"/>
          <w:szCs w:val="24"/>
          <w:highlight w:val="none"/>
        </w:rPr>
      </w:pPr>
    </w:p>
    <w:p w14:paraId="3247053B">
      <w:pPr>
        <w:spacing w:line="360" w:lineRule="auto"/>
        <w:rPr>
          <w:rFonts w:ascii="宋体" w:hAnsi="宋体" w:cs="宋体"/>
          <w:color w:val="auto"/>
          <w:sz w:val="24"/>
          <w:szCs w:val="24"/>
          <w:highlight w:val="none"/>
        </w:rPr>
      </w:pPr>
    </w:p>
    <w:p w14:paraId="53A96A0F">
      <w:pPr>
        <w:spacing w:line="360" w:lineRule="auto"/>
        <w:rPr>
          <w:rFonts w:ascii="宋体" w:hAnsi="宋体" w:cs="宋体"/>
          <w:color w:val="auto"/>
          <w:sz w:val="24"/>
          <w:szCs w:val="24"/>
          <w:highlight w:val="none"/>
        </w:rPr>
      </w:pPr>
    </w:p>
    <w:p w14:paraId="3F029894">
      <w:pPr>
        <w:spacing w:line="360" w:lineRule="auto"/>
        <w:ind w:firstLine="4200" w:firstLineChars="1750"/>
        <w:rPr>
          <w:rFonts w:ascii="宋体" w:hAnsi="宋体" w:cs="宋体"/>
          <w:color w:val="auto"/>
          <w:sz w:val="24"/>
          <w:szCs w:val="24"/>
          <w:highlight w:val="none"/>
        </w:rPr>
      </w:pPr>
      <w:r>
        <w:rPr>
          <w:rFonts w:hint="eastAsia" w:ascii="宋体" w:hAnsi="宋体" w:cs="宋体"/>
          <w:color w:val="auto"/>
          <w:sz w:val="24"/>
          <w:szCs w:val="24"/>
          <w:highlight w:val="none"/>
        </w:rPr>
        <w:t>投标人代表签字：</w:t>
      </w:r>
      <w:r>
        <w:rPr>
          <w:rFonts w:hint="eastAsia" w:ascii="宋体" w:hAnsi="宋体" w:cs="宋体"/>
          <w:color w:val="auto"/>
          <w:sz w:val="24"/>
          <w:szCs w:val="24"/>
          <w:highlight w:val="none"/>
          <w:u w:val="single"/>
        </w:rPr>
        <w:t xml:space="preserve">                  </w:t>
      </w:r>
    </w:p>
    <w:p w14:paraId="371A7E38">
      <w:pPr>
        <w:spacing w:line="360" w:lineRule="auto"/>
        <w:ind w:firstLine="4200" w:firstLineChars="1750"/>
        <w:rPr>
          <w:rFonts w:ascii="宋体" w:hAnsi="宋体" w:cs="宋体"/>
          <w:color w:val="auto"/>
          <w:sz w:val="24"/>
          <w:szCs w:val="24"/>
          <w:highlight w:val="none"/>
          <w:u w:val="single"/>
        </w:rPr>
      </w:pPr>
      <w:r>
        <w:rPr>
          <w:rFonts w:hint="eastAsia" w:ascii="宋体" w:hAnsi="宋体" w:cs="宋体"/>
          <w:color w:val="auto"/>
          <w:sz w:val="24"/>
          <w:szCs w:val="24"/>
          <w:highlight w:val="none"/>
        </w:rPr>
        <w:t>日          期：</w:t>
      </w:r>
      <w:r>
        <w:rPr>
          <w:rFonts w:hint="eastAsia" w:ascii="宋体" w:hAnsi="宋体" w:cs="宋体"/>
          <w:color w:val="auto"/>
          <w:sz w:val="24"/>
          <w:szCs w:val="24"/>
          <w:highlight w:val="none"/>
          <w:u w:val="single"/>
        </w:rPr>
        <w:t xml:space="preserve">                  </w:t>
      </w:r>
    </w:p>
    <w:p w14:paraId="72C23AA9">
      <w:pPr>
        <w:widowControl/>
        <w:spacing w:line="360" w:lineRule="auto"/>
        <w:jc w:val="left"/>
        <w:rPr>
          <w:rFonts w:ascii="宋体" w:hAnsi="宋体" w:cs="宋体"/>
          <w:color w:val="auto"/>
          <w:sz w:val="24"/>
          <w:szCs w:val="24"/>
          <w:highlight w:val="none"/>
        </w:rPr>
        <w:sectPr>
          <w:footerReference r:id="rId12" w:type="default"/>
          <w:type w:val="nextColumn"/>
          <w:pgSz w:w="11907" w:h="16840"/>
          <w:pgMar w:top="1440" w:right="1752" w:bottom="1440" w:left="1752" w:header="851" w:footer="992" w:gutter="0"/>
          <w:cols w:space="720" w:num="1"/>
          <w:docGrid w:type="linesAndChars" w:linePitch="323" w:charSpace="-2"/>
        </w:sectPr>
      </w:pPr>
    </w:p>
    <w:p w14:paraId="05474D6F">
      <w:pPr>
        <w:spacing w:line="360" w:lineRule="auto"/>
        <w:jc w:val="center"/>
        <w:outlineLvl w:val="1"/>
        <w:rPr>
          <w:rFonts w:ascii="宋体" w:hAnsi="宋体" w:cs="宋体"/>
          <w:color w:val="auto"/>
          <w:sz w:val="24"/>
          <w:szCs w:val="24"/>
          <w:highlight w:val="none"/>
        </w:rPr>
      </w:pPr>
      <w:bookmarkStart w:id="147" w:name="_Toc24205"/>
      <w:r>
        <w:rPr>
          <w:rFonts w:hint="eastAsia" w:ascii="宋体" w:hAnsi="宋体" w:cs="宋体"/>
          <w:b/>
          <w:color w:val="auto"/>
          <w:sz w:val="32"/>
          <w:szCs w:val="32"/>
          <w:highlight w:val="none"/>
        </w:rPr>
        <w:t>四、项目说明一览表</w:t>
      </w:r>
      <w:bookmarkEnd w:id="147"/>
    </w:p>
    <w:p w14:paraId="71154F28">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 xml:space="preserve"> （按投标合同包下品目号类别分别填写）</w:t>
      </w:r>
    </w:p>
    <w:p w14:paraId="1008EE4F">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投标人名称：                                      招标编号：</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1"/>
        <w:gridCol w:w="1282"/>
        <w:gridCol w:w="1545"/>
        <w:gridCol w:w="1460"/>
        <w:gridCol w:w="1260"/>
        <w:gridCol w:w="2160"/>
        <w:gridCol w:w="1440"/>
        <w:gridCol w:w="3628"/>
      </w:tblGrid>
      <w:tr w14:paraId="42CB0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trPr>
        <w:tc>
          <w:tcPr>
            <w:tcW w:w="1401" w:type="dxa"/>
            <w:tcBorders>
              <w:top w:val="single" w:color="auto" w:sz="4" w:space="0"/>
              <w:left w:val="single" w:color="auto" w:sz="4" w:space="0"/>
              <w:bottom w:val="single" w:color="auto" w:sz="4" w:space="0"/>
              <w:right w:val="single" w:color="auto" w:sz="4" w:space="0"/>
            </w:tcBorders>
            <w:vAlign w:val="center"/>
          </w:tcPr>
          <w:p w14:paraId="7986035D">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合同包号</w:t>
            </w:r>
          </w:p>
        </w:tc>
        <w:tc>
          <w:tcPr>
            <w:tcW w:w="1282" w:type="dxa"/>
            <w:tcBorders>
              <w:top w:val="single" w:color="auto" w:sz="4" w:space="0"/>
              <w:left w:val="single" w:color="auto" w:sz="4" w:space="0"/>
              <w:bottom w:val="single" w:color="auto" w:sz="4" w:space="0"/>
              <w:right w:val="single" w:color="auto" w:sz="4" w:space="0"/>
            </w:tcBorders>
            <w:vAlign w:val="center"/>
          </w:tcPr>
          <w:p w14:paraId="5D8F728A">
            <w:pPr>
              <w:spacing w:line="360" w:lineRule="auto"/>
              <w:rPr>
                <w:rFonts w:ascii="宋体" w:hAnsi="宋体" w:cs="宋体"/>
                <w:color w:val="auto"/>
                <w:sz w:val="24"/>
                <w:szCs w:val="24"/>
                <w:highlight w:val="none"/>
              </w:rPr>
            </w:pPr>
          </w:p>
        </w:tc>
        <w:tc>
          <w:tcPr>
            <w:tcW w:w="1545" w:type="dxa"/>
            <w:tcBorders>
              <w:top w:val="single" w:color="auto" w:sz="4" w:space="0"/>
              <w:left w:val="single" w:color="auto" w:sz="4" w:space="0"/>
              <w:bottom w:val="single" w:color="auto" w:sz="4" w:space="0"/>
              <w:right w:val="single" w:color="auto" w:sz="4" w:space="0"/>
            </w:tcBorders>
            <w:vAlign w:val="center"/>
          </w:tcPr>
          <w:p w14:paraId="1B52D670">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项目名称</w:t>
            </w:r>
          </w:p>
        </w:tc>
        <w:tc>
          <w:tcPr>
            <w:tcW w:w="1460" w:type="dxa"/>
            <w:tcBorders>
              <w:top w:val="single" w:color="auto" w:sz="4" w:space="0"/>
              <w:left w:val="single" w:color="auto" w:sz="4" w:space="0"/>
              <w:bottom w:val="single" w:color="auto" w:sz="4" w:space="0"/>
              <w:right w:val="single" w:color="auto" w:sz="4" w:space="0"/>
            </w:tcBorders>
            <w:vAlign w:val="center"/>
          </w:tcPr>
          <w:p w14:paraId="15F4D98F">
            <w:pPr>
              <w:spacing w:line="360" w:lineRule="auto"/>
              <w:rPr>
                <w:rFonts w:ascii="宋体" w:hAnsi="宋体" w:cs="宋体"/>
                <w:color w:val="auto"/>
                <w:sz w:val="24"/>
                <w:szCs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262B117B">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服务商</w:t>
            </w:r>
          </w:p>
        </w:tc>
        <w:tc>
          <w:tcPr>
            <w:tcW w:w="2160" w:type="dxa"/>
            <w:tcBorders>
              <w:top w:val="single" w:color="auto" w:sz="4" w:space="0"/>
              <w:left w:val="single" w:color="auto" w:sz="4" w:space="0"/>
              <w:bottom w:val="single" w:color="auto" w:sz="4" w:space="0"/>
              <w:right w:val="single" w:color="auto" w:sz="4" w:space="0"/>
            </w:tcBorders>
            <w:vAlign w:val="center"/>
          </w:tcPr>
          <w:p w14:paraId="2769C317">
            <w:pPr>
              <w:spacing w:line="360" w:lineRule="auto"/>
              <w:rPr>
                <w:rFonts w:ascii="宋体" w:hAnsi="宋体" w:cs="宋体"/>
                <w:color w:val="auto"/>
                <w:sz w:val="24"/>
                <w:szCs w:val="24"/>
                <w:highlight w:val="none"/>
              </w:rPr>
            </w:pPr>
          </w:p>
        </w:tc>
        <w:tc>
          <w:tcPr>
            <w:tcW w:w="1440" w:type="dxa"/>
            <w:tcBorders>
              <w:top w:val="single" w:color="auto" w:sz="4" w:space="0"/>
              <w:left w:val="single" w:color="auto" w:sz="4" w:space="0"/>
              <w:bottom w:val="single" w:color="auto" w:sz="4" w:space="0"/>
              <w:right w:val="single" w:color="auto" w:sz="4" w:space="0"/>
            </w:tcBorders>
            <w:vAlign w:val="center"/>
          </w:tcPr>
          <w:p w14:paraId="54CECE06">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数量</w:t>
            </w:r>
          </w:p>
        </w:tc>
        <w:tc>
          <w:tcPr>
            <w:tcW w:w="3628" w:type="dxa"/>
            <w:tcBorders>
              <w:top w:val="single" w:color="auto" w:sz="4" w:space="0"/>
              <w:left w:val="single" w:color="auto" w:sz="4" w:space="0"/>
              <w:bottom w:val="single" w:color="auto" w:sz="4" w:space="0"/>
              <w:right w:val="single" w:color="auto" w:sz="4" w:space="0"/>
            </w:tcBorders>
            <w:vAlign w:val="center"/>
          </w:tcPr>
          <w:p w14:paraId="2798D1BA">
            <w:pPr>
              <w:spacing w:line="360" w:lineRule="auto"/>
              <w:rPr>
                <w:rFonts w:ascii="宋体" w:hAnsi="宋体" w:cs="宋体"/>
                <w:color w:val="auto"/>
                <w:sz w:val="24"/>
                <w:szCs w:val="24"/>
                <w:highlight w:val="none"/>
              </w:rPr>
            </w:pPr>
          </w:p>
        </w:tc>
      </w:tr>
      <w:tr w14:paraId="288D3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62" w:hRule="atLeast"/>
        </w:trPr>
        <w:tc>
          <w:tcPr>
            <w:tcW w:w="14176" w:type="dxa"/>
            <w:gridSpan w:val="8"/>
            <w:tcBorders>
              <w:top w:val="single" w:color="auto" w:sz="4" w:space="0"/>
              <w:left w:val="single" w:color="auto" w:sz="4" w:space="0"/>
              <w:bottom w:val="single" w:color="auto" w:sz="4" w:space="0"/>
              <w:right w:val="single" w:color="auto" w:sz="4" w:space="0"/>
            </w:tcBorders>
          </w:tcPr>
          <w:p w14:paraId="368A9828">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详细性能说明</w:t>
            </w:r>
          </w:p>
        </w:tc>
      </w:tr>
    </w:tbl>
    <w:p w14:paraId="54CAB155">
      <w:pPr>
        <w:widowControl/>
        <w:spacing w:line="360" w:lineRule="auto"/>
        <w:jc w:val="left"/>
        <w:rPr>
          <w:rFonts w:ascii="宋体" w:hAnsi="宋体" w:cs="宋体"/>
          <w:color w:val="auto"/>
          <w:sz w:val="24"/>
          <w:szCs w:val="24"/>
          <w:highlight w:val="none"/>
        </w:rPr>
        <w:sectPr>
          <w:pgSz w:w="16840" w:h="11907" w:orient="landscape"/>
          <w:pgMar w:top="1752" w:right="1440" w:bottom="1752" w:left="1440" w:header="851" w:footer="992" w:gutter="0"/>
          <w:cols w:space="720" w:num="1"/>
          <w:docGrid w:type="lines" w:linePitch="323" w:charSpace="0"/>
        </w:sectPr>
      </w:pPr>
    </w:p>
    <w:p w14:paraId="2110E025">
      <w:pPr>
        <w:tabs>
          <w:tab w:val="left" w:pos="0"/>
          <w:tab w:val="left" w:pos="567"/>
        </w:tabs>
        <w:spacing w:line="360" w:lineRule="auto"/>
        <w:contextualSpacing/>
        <w:jc w:val="center"/>
        <w:outlineLvl w:val="1"/>
        <w:rPr>
          <w:rFonts w:ascii="宋体" w:hAnsi="宋体" w:cs="宋体"/>
          <w:b/>
          <w:color w:val="auto"/>
          <w:sz w:val="24"/>
          <w:szCs w:val="24"/>
          <w:highlight w:val="none"/>
        </w:rPr>
      </w:pPr>
      <w:bookmarkStart w:id="148" w:name="_Toc23067"/>
      <w:bookmarkStart w:id="149" w:name="_Toc11312"/>
      <w:bookmarkStart w:id="150" w:name="_Toc23587"/>
      <w:bookmarkStart w:id="151" w:name="_Toc11114"/>
      <w:bookmarkStart w:id="152" w:name="_Toc18418"/>
      <w:bookmarkStart w:id="153" w:name="_Toc16176"/>
      <w:bookmarkStart w:id="154" w:name="_Toc7803"/>
      <w:bookmarkStart w:id="155" w:name="_Toc17959"/>
      <w:bookmarkStart w:id="156" w:name="_Toc8715"/>
      <w:bookmarkStart w:id="157" w:name="_Toc95"/>
      <w:r>
        <w:rPr>
          <w:rFonts w:hint="eastAsia" w:hAnsi="宋体" w:cs="宋体"/>
          <w:b/>
          <w:color w:val="auto"/>
          <w:sz w:val="32"/>
          <w:szCs w:val="32"/>
          <w:highlight w:val="none"/>
        </w:rPr>
        <w:t>五、</w:t>
      </w:r>
      <w:r>
        <w:rPr>
          <w:rFonts w:hint="eastAsia" w:ascii="宋体" w:hAnsi="宋体" w:cs="宋体"/>
          <w:b/>
          <w:color w:val="auto"/>
          <w:sz w:val="32"/>
          <w:szCs w:val="32"/>
          <w:highlight w:val="none"/>
        </w:rPr>
        <w:t>服务团队人员一览表</w:t>
      </w:r>
      <w:bookmarkEnd w:id="148"/>
    </w:p>
    <w:p w14:paraId="1AFEB449">
      <w:pPr>
        <w:spacing w:line="360" w:lineRule="auto"/>
        <w:rPr>
          <w:rFonts w:ascii="宋体" w:hAnsi="宋体" w:cs="宋体"/>
          <w:color w:val="auto"/>
          <w:sz w:val="24"/>
          <w:szCs w:val="24"/>
          <w:highlight w:val="none"/>
          <w:u w:val="single"/>
        </w:rPr>
      </w:pPr>
      <w:r>
        <w:rPr>
          <w:rFonts w:hint="eastAsia" w:ascii="宋体" w:hAnsi="宋体" w:cs="宋体"/>
          <w:color w:val="auto"/>
          <w:sz w:val="24"/>
          <w:szCs w:val="24"/>
          <w:highlight w:val="none"/>
        </w:rPr>
        <w:t>项目名称：</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 xml:space="preserve">        招标编号：</w:t>
      </w:r>
      <w:r>
        <w:rPr>
          <w:rFonts w:hint="eastAsia" w:ascii="宋体" w:hAnsi="宋体" w:cs="宋体"/>
          <w:color w:val="auto"/>
          <w:sz w:val="24"/>
          <w:szCs w:val="24"/>
          <w:highlight w:val="none"/>
          <w:u w:val="single"/>
        </w:rPr>
        <w:t xml:space="preserve">                </w:t>
      </w:r>
    </w:p>
    <w:p w14:paraId="794A3342">
      <w:pPr>
        <w:spacing w:line="360" w:lineRule="auto"/>
        <w:rPr>
          <w:rFonts w:ascii="宋体" w:hAnsi="宋体" w:cs="宋体"/>
          <w:color w:val="auto"/>
          <w:sz w:val="24"/>
          <w:szCs w:val="24"/>
          <w:highlight w:val="none"/>
          <w:u w:val="single"/>
        </w:rPr>
      </w:pPr>
      <w:r>
        <w:rPr>
          <w:rFonts w:hint="eastAsia" w:ascii="宋体" w:hAnsi="宋体" w:cs="宋体"/>
          <w:color w:val="auto"/>
          <w:sz w:val="24"/>
          <w:szCs w:val="24"/>
          <w:highlight w:val="none"/>
        </w:rPr>
        <w:t>合 同 包：</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 xml:space="preserve">   </w:t>
      </w:r>
    </w:p>
    <w:p w14:paraId="1FAE0A19">
      <w:pPr>
        <w:spacing w:before="161" w:beforeLines="50" w:after="161" w:afterLines="50"/>
        <w:rPr>
          <w:rFonts w:ascii="宋体" w:hAnsi="宋体" w:cs="宋体"/>
          <w:b/>
          <w:bCs/>
          <w:color w:val="auto"/>
          <w:sz w:val="24"/>
          <w:szCs w:val="24"/>
          <w:highlight w:val="none"/>
        </w:rPr>
      </w:pPr>
      <w:r>
        <w:rPr>
          <w:rFonts w:hint="eastAsia" w:ascii="宋体" w:hAnsi="宋体" w:cs="宋体"/>
          <w:b/>
          <w:bCs/>
          <w:color w:val="auto"/>
          <w:sz w:val="24"/>
          <w:szCs w:val="24"/>
          <w:highlight w:val="none"/>
        </w:rPr>
        <w:t>厦门市思明区展鸿路100号食堂运营服务人员：</w:t>
      </w:r>
    </w:p>
    <w:tbl>
      <w:tblPr>
        <w:tblStyle w:val="21"/>
        <w:tblW w:w="93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992"/>
        <w:gridCol w:w="1296"/>
        <w:gridCol w:w="951"/>
        <w:gridCol w:w="952"/>
        <w:gridCol w:w="952"/>
        <w:gridCol w:w="952"/>
        <w:gridCol w:w="1418"/>
        <w:gridCol w:w="992"/>
      </w:tblGrid>
      <w:tr w14:paraId="24F4C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auto" w:sz="4" w:space="0"/>
              <w:left w:val="single" w:color="auto" w:sz="4" w:space="0"/>
              <w:bottom w:val="single" w:color="auto" w:sz="4" w:space="0"/>
              <w:right w:val="single" w:color="auto" w:sz="4" w:space="0"/>
            </w:tcBorders>
            <w:vAlign w:val="center"/>
          </w:tcPr>
          <w:p w14:paraId="4A8BD7E1">
            <w:pPr>
              <w:adjustRightInd w:val="0"/>
              <w:spacing w:before="161" w:beforeLines="50" w:after="161" w:afterLines="50" w:line="360" w:lineRule="atLeast"/>
              <w:jc w:val="center"/>
              <w:rPr>
                <w:rFonts w:ascii="宋体" w:hAnsi="宋体" w:cs="宋体"/>
                <w:b/>
                <w:bCs/>
                <w:color w:val="auto"/>
                <w:sz w:val="24"/>
                <w:szCs w:val="24"/>
                <w:highlight w:val="none"/>
              </w:rPr>
            </w:pPr>
            <w:r>
              <w:rPr>
                <w:rFonts w:hint="eastAsia" w:ascii="宋体" w:hAnsi="宋体" w:cs="宋体"/>
                <w:b/>
                <w:bCs/>
                <w:color w:val="auto"/>
                <w:sz w:val="24"/>
                <w:szCs w:val="24"/>
                <w:highlight w:val="none"/>
              </w:rPr>
              <w:t>序号</w:t>
            </w:r>
          </w:p>
        </w:tc>
        <w:tc>
          <w:tcPr>
            <w:tcW w:w="992" w:type="dxa"/>
            <w:tcBorders>
              <w:top w:val="single" w:color="auto" w:sz="4" w:space="0"/>
              <w:left w:val="single" w:color="auto" w:sz="4" w:space="0"/>
              <w:bottom w:val="single" w:color="auto" w:sz="4" w:space="0"/>
              <w:right w:val="single" w:color="auto" w:sz="4" w:space="0"/>
            </w:tcBorders>
            <w:vAlign w:val="center"/>
          </w:tcPr>
          <w:p w14:paraId="1D1DCFCE">
            <w:pPr>
              <w:adjustRightInd w:val="0"/>
              <w:spacing w:before="161" w:beforeLines="50" w:after="161" w:afterLines="50" w:line="360" w:lineRule="atLeast"/>
              <w:jc w:val="center"/>
              <w:rPr>
                <w:rFonts w:ascii="宋体" w:hAnsi="宋体" w:cs="宋体"/>
                <w:b/>
                <w:bCs/>
                <w:color w:val="auto"/>
                <w:sz w:val="24"/>
                <w:szCs w:val="24"/>
                <w:highlight w:val="none"/>
              </w:rPr>
            </w:pPr>
            <w:r>
              <w:rPr>
                <w:rFonts w:hint="eastAsia" w:ascii="宋体" w:hAnsi="宋体" w:cs="宋体"/>
                <w:b/>
                <w:bCs/>
                <w:color w:val="auto"/>
                <w:sz w:val="24"/>
                <w:szCs w:val="24"/>
                <w:highlight w:val="none"/>
              </w:rPr>
              <w:t>姓名</w:t>
            </w:r>
          </w:p>
        </w:tc>
        <w:tc>
          <w:tcPr>
            <w:tcW w:w="1296" w:type="dxa"/>
            <w:tcBorders>
              <w:top w:val="single" w:color="auto" w:sz="4" w:space="0"/>
              <w:left w:val="single" w:color="auto" w:sz="4" w:space="0"/>
              <w:bottom w:val="single" w:color="auto" w:sz="4" w:space="0"/>
              <w:right w:val="single" w:color="auto" w:sz="4" w:space="0"/>
            </w:tcBorders>
            <w:vAlign w:val="center"/>
          </w:tcPr>
          <w:p w14:paraId="391563AA">
            <w:pPr>
              <w:adjustRightInd w:val="0"/>
              <w:spacing w:before="161" w:beforeLines="50" w:after="161" w:afterLines="50" w:line="360" w:lineRule="atLeast"/>
              <w:jc w:val="center"/>
              <w:rPr>
                <w:rFonts w:ascii="宋体" w:hAnsi="宋体" w:cs="宋体"/>
                <w:b/>
                <w:bCs/>
                <w:color w:val="auto"/>
                <w:sz w:val="24"/>
                <w:szCs w:val="24"/>
                <w:highlight w:val="none"/>
              </w:rPr>
            </w:pPr>
            <w:r>
              <w:rPr>
                <w:rFonts w:hint="eastAsia" w:ascii="宋体" w:hAnsi="宋体" w:cs="宋体"/>
                <w:b/>
                <w:bCs/>
                <w:color w:val="auto"/>
                <w:sz w:val="24"/>
                <w:szCs w:val="24"/>
                <w:highlight w:val="none"/>
              </w:rPr>
              <w:t>在本项目中的职位</w:t>
            </w:r>
          </w:p>
        </w:tc>
        <w:tc>
          <w:tcPr>
            <w:tcW w:w="951" w:type="dxa"/>
            <w:tcBorders>
              <w:top w:val="single" w:color="auto" w:sz="4" w:space="0"/>
              <w:left w:val="single" w:color="auto" w:sz="4" w:space="0"/>
              <w:bottom w:val="single" w:color="auto" w:sz="4" w:space="0"/>
              <w:right w:val="single" w:color="auto" w:sz="4" w:space="0"/>
            </w:tcBorders>
            <w:vAlign w:val="center"/>
          </w:tcPr>
          <w:p w14:paraId="4202A019">
            <w:pPr>
              <w:adjustRightInd w:val="0"/>
              <w:spacing w:before="161" w:beforeLines="50" w:after="161" w:afterLines="50" w:line="360" w:lineRule="atLeast"/>
              <w:jc w:val="center"/>
              <w:rPr>
                <w:rFonts w:ascii="宋体" w:hAnsi="宋体" w:cs="宋体"/>
                <w:b/>
                <w:bCs/>
                <w:color w:val="auto"/>
                <w:sz w:val="24"/>
                <w:szCs w:val="24"/>
                <w:highlight w:val="none"/>
              </w:rPr>
            </w:pPr>
            <w:r>
              <w:rPr>
                <w:rFonts w:hint="eastAsia" w:ascii="宋体" w:hAnsi="宋体" w:cs="宋体"/>
                <w:b/>
                <w:bCs/>
                <w:color w:val="auto"/>
                <w:sz w:val="24"/>
                <w:szCs w:val="24"/>
                <w:highlight w:val="none"/>
              </w:rPr>
              <w:t>年龄</w:t>
            </w:r>
          </w:p>
        </w:tc>
        <w:tc>
          <w:tcPr>
            <w:tcW w:w="952" w:type="dxa"/>
            <w:tcBorders>
              <w:top w:val="single" w:color="auto" w:sz="4" w:space="0"/>
              <w:left w:val="single" w:color="auto" w:sz="4" w:space="0"/>
              <w:bottom w:val="single" w:color="auto" w:sz="4" w:space="0"/>
              <w:right w:val="single" w:color="auto" w:sz="4" w:space="0"/>
            </w:tcBorders>
            <w:vAlign w:val="center"/>
          </w:tcPr>
          <w:p w14:paraId="405F5AEE">
            <w:pPr>
              <w:adjustRightInd w:val="0"/>
              <w:spacing w:before="161" w:beforeLines="50" w:after="161" w:afterLines="50" w:line="360" w:lineRule="atLeast"/>
              <w:jc w:val="center"/>
              <w:rPr>
                <w:rFonts w:ascii="宋体" w:hAnsi="宋体" w:cs="宋体"/>
                <w:b/>
                <w:bCs/>
                <w:color w:val="auto"/>
                <w:sz w:val="24"/>
                <w:szCs w:val="24"/>
                <w:highlight w:val="none"/>
              </w:rPr>
            </w:pPr>
            <w:r>
              <w:rPr>
                <w:rFonts w:hint="eastAsia" w:ascii="宋体" w:hAnsi="宋体" w:cs="宋体"/>
                <w:b/>
                <w:bCs/>
                <w:color w:val="auto"/>
                <w:sz w:val="24"/>
                <w:szCs w:val="24"/>
                <w:highlight w:val="none"/>
              </w:rPr>
              <w:t>学历</w:t>
            </w:r>
          </w:p>
        </w:tc>
        <w:tc>
          <w:tcPr>
            <w:tcW w:w="952" w:type="dxa"/>
            <w:tcBorders>
              <w:top w:val="single" w:color="auto" w:sz="4" w:space="0"/>
              <w:left w:val="single" w:color="auto" w:sz="4" w:space="0"/>
              <w:bottom w:val="single" w:color="auto" w:sz="4" w:space="0"/>
              <w:right w:val="single" w:color="auto" w:sz="4" w:space="0"/>
            </w:tcBorders>
            <w:vAlign w:val="center"/>
          </w:tcPr>
          <w:p w14:paraId="07889B67">
            <w:pPr>
              <w:adjustRightInd w:val="0"/>
              <w:spacing w:before="161" w:beforeLines="50" w:after="161" w:afterLines="50" w:line="360" w:lineRule="atLeast"/>
              <w:jc w:val="center"/>
              <w:rPr>
                <w:rFonts w:ascii="宋体" w:hAnsi="宋体" w:cs="宋体"/>
                <w:b/>
                <w:bCs/>
                <w:color w:val="auto"/>
                <w:sz w:val="24"/>
                <w:szCs w:val="24"/>
                <w:highlight w:val="none"/>
              </w:rPr>
            </w:pPr>
            <w:r>
              <w:rPr>
                <w:rFonts w:hint="eastAsia" w:ascii="宋体" w:hAnsi="宋体" w:cs="宋体"/>
                <w:b/>
                <w:bCs/>
                <w:color w:val="auto"/>
                <w:sz w:val="24"/>
                <w:szCs w:val="24"/>
                <w:highlight w:val="none"/>
              </w:rPr>
              <w:t>专业</w:t>
            </w:r>
          </w:p>
        </w:tc>
        <w:tc>
          <w:tcPr>
            <w:tcW w:w="952" w:type="dxa"/>
            <w:tcBorders>
              <w:top w:val="single" w:color="auto" w:sz="4" w:space="0"/>
              <w:left w:val="single" w:color="auto" w:sz="4" w:space="0"/>
              <w:bottom w:val="single" w:color="auto" w:sz="4" w:space="0"/>
              <w:right w:val="single" w:color="auto" w:sz="4" w:space="0"/>
            </w:tcBorders>
            <w:vAlign w:val="center"/>
          </w:tcPr>
          <w:p w14:paraId="183E76E3">
            <w:pPr>
              <w:adjustRightInd w:val="0"/>
              <w:spacing w:before="161" w:beforeLines="50" w:after="161" w:afterLines="50" w:line="360" w:lineRule="atLeast"/>
              <w:jc w:val="center"/>
              <w:rPr>
                <w:rFonts w:ascii="宋体" w:hAnsi="宋体" w:cs="宋体"/>
                <w:b/>
                <w:bCs/>
                <w:color w:val="auto"/>
                <w:sz w:val="24"/>
                <w:szCs w:val="24"/>
                <w:highlight w:val="none"/>
              </w:rPr>
            </w:pPr>
            <w:r>
              <w:rPr>
                <w:rFonts w:hint="eastAsia" w:ascii="宋体" w:hAnsi="宋体" w:cs="宋体"/>
                <w:b/>
                <w:bCs/>
                <w:color w:val="auto"/>
                <w:sz w:val="24"/>
                <w:szCs w:val="24"/>
                <w:highlight w:val="none"/>
              </w:rPr>
              <w:t>职称</w:t>
            </w:r>
          </w:p>
        </w:tc>
        <w:tc>
          <w:tcPr>
            <w:tcW w:w="1418" w:type="dxa"/>
            <w:tcBorders>
              <w:top w:val="single" w:color="auto" w:sz="4" w:space="0"/>
              <w:left w:val="single" w:color="auto" w:sz="4" w:space="0"/>
              <w:bottom w:val="single" w:color="auto" w:sz="4" w:space="0"/>
              <w:right w:val="single" w:color="auto" w:sz="4" w:space="0"/>
            </w:tcBorders>
            <w:vAlign w:val="center"/>
          </w:tcPr>
          <w:p w14:paraId="2A1A4E72">
            <w:pPr>
              <w:adjustRightInd w:val="0"/>
              <w:spacing w:before="161" w:beforeLines="50" w:after="161" w:afterLines="50" w:line="360" w:lineRule="atLeast"/>
              <w:jc w:val="center"/>
              <w:rPr>
                <w:rFonts w:ascii="宋体" w:hAnsi="宋体" w:cs="宋体"/>
                <w:b/>
                <w:bCs/>
                <w:color w:val="auto"/>
                <w:sz w:val="24"/>
                <w:szCs w:val="24"/>
                <w:highlight w:val="none"/>
              </w:rPr>
            </w:pPr>
            <w:r>
              <w:rPr>
                <w:rFonts w:hint="eastAsia" w:ascii="宋体" w:hAnsi="宋体" w:cs="宋体"/>
                <w:b/>
                <w:bCs/>
                <w:color w:val="auto"/>
                <w:sz w:val="24"/>
                <w:szCs w:val="24"/>
                <w:highlight w:val="none"/>
              </w:rPr>
              <w:t>职业资格</w:t>
            </w:r>
          </w:p>
        </w:tc>
        <w:tc>
          <w:tcPr>
            <w:tcW w:w="992" w:type="dxa"/>
            <w:tcBorders>
              <w:top w:val="single" w:color="auto" w:sz="4" w:space="0"/>
              <w:left w:val="single" w:color="auto" w:sz="4" w:space="0"/>
              <w:bottom w:val="single" w:color="auto" w:sz="4" w:space="0"/>
              <w:right w:val="single" w:color="auto" w:sz="4" w:space="0"/>
            </w:tcBorders>
            <w:vAlign w:val="center"/>
          </w:tcPr>
          <w:p w14:paraId="6B343748">
            <w:pPr>
              <w:adjustRightInd w:val="0"/>
              <w:spacing w:before="161" w:beforeLines="50" w:after="161" w:afterLines="50" w:line="360" w:lineRule="atLeast"/>
              <w:jc w:val="center"/>
              <w:rPr>
                <w:rFonts w:ascii="宋体" w:hAnsi="宋体" w:cs="宋体"/>
                <w:b/>
                <w:bCs/>
                <w:color w:val="auto"/>
                <w:sz w:val="24"/>
                <w:szCs w:val="24"/>
                <w:highlight w:val="none"/>
              </w:rPr>
            </w:pPr>
            <w:r>
              <w:rPr>
                <w:rFonts w:hint="eastAsia" w:ascii="宋体" w:hAnsi="宋体" w:cs="宋体"/>
                <w:b/>
                <w:bCs/>
                <w:color w:val="auto"/>
                <w:sz w:val="24"/>
                <w:szCs w:val="24"/>
                <w:highlight w:val="none"/>
              </w:rPr>
              <w:t>其他</w:t>
            </w:r>
          </w:p>
        </w:tc>
      </w:tr>
      <w:tr w14:paraId="71E2B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auto" w:sz="4" w:space="0"/>
              <w:left w:val="single" w:color="auto" w:sz="4" w:space="0"/>
              <w:bottom w:val="single" w:color="auto" w:sz="4" w:space="0"/>
              <w:right w:val="single" w:color="auto" w:sz="4" w:space="0"/>
            </w:tcBorders>
            <w:vAlign w:val="center"/>
          </w:tcPr>
          <w:p w14:paraId="21BCAE6E">
            <w:pPr>
              <w:adjustRightInd w:val="0"/>
              <w:spacing w:before="161" w:beforeLines="50" w:after="161" w:afterLines="50" w:line="360" w:lineRule="atLeast"/>
              <w:jc w:val="center"/>
              <w:rPr>
                <w:rFonts w:ascii="宋体" w:hAnsi="宋体" w:cs="宋体"/>
                <w:b/>
                <w:bCs/>
                <w:color w:val="auto"/>
                <w:sz w:val="24"/>
                <w:szCs w:val="24"/>
                <w:highlight w:val="none"/>
              </w:rPr>
            </w:pPr>
          </w:p>
        </w:tc>
        <w:tc>
          <w:tcPr>
            <w:tcW w:w="992" w:type="dxa"/>
            <w:tcBorders>
              <w:top w:val="single" w:color="auto" w:sz="4" w:space="0"/>
              <w:left w:val="single" w:color="auto" w:sz="4" w:space="0"/>
              <w:bottom w:val="single" w:color="auto" w:sz="4" w:space="0"/>
              <w:right w:val="single" w:color="auto" w:sz="4" w:space="0"/>
            </w:tcBorders>
            <w:vAlign w:val="center"/>
          </w:tcPr>
          <w:p w14:paraId="52C2B968">
            <w:pPr>
              <w:adjustRightInd w:val="0"/>
              <w:spacing w:before="161" w:beforeLines="50" w:after="161" w:afterLines="50" w:line="360" w:lineRule="atLeast"/>
              <w:jc w:val="center"/>
              <w:rPr>
                <w:rFonts w:ascii="宋体" w:hAnsi="宋体" w:cs="宋体"/>
                <w:b/>
                <w:bCs/>
                <w:color w:val="auto"/>
                <w:sz w:val="24"/>
                <w:szCs w:val="24"/>
                <w:highlight w:val="none"/>
              </w:rPr>
            </w:pPr>
          </w:p>
        </w:tc>
        <w:tc>
          <w:tcPr>
            <w:tcW w:w="1296" w:type="dxa"/>
            <w:tcBorders>
              <w:top w:val="single" w:color="auto" w:sz="4" w:space="0"/>
              <w:left w:val="single" w:color="auto" w:sz="4" w:space="0"/>
              <w:bottom w:val="single" w:color="auto" w:sz="4" w:space="0"/>
              <w:right w:val="single" w:color="auto" w:sz="4" w:space="0"/>
            </w:tcBorders>
          </w:tcPr>
          <w:p w14:paraId="068B66D6">
            <w:pPr>
              <w:adjustRightInd w:val="0"/>
              <w:spacing w:before="161" w:beforeLines="50" w:after="161" w:afterLines="50" w:line="360" w:lineRule="atLeast"/>
              <w:jc w:val="center"/>
              <w:rPr>
                <w:rFonts w:ascii="宋体" w:hAnsi="宋体" w:cs="宋体"/>
                <w:b/>
                <w:bCs/>
                <w:color w:val="auto"/>
                <w:sz w:val="24"/>
                <w:szCs w:val="24"/>
                <w:highlight w:val="none"/>
              </w:rPr>
            </w:pPr>
          </w:p>
        </w:tc>
        <w:tc>
          <w:tcPr>
            <w:tcW w:w="951" w:type="dxa"/>
            <w:tcBorders>
              <w:top w:val="single" w:color="auto" w:sz="4" w:space="0"/>
              <w:left w:val="single" w:color="auto" w:sz="4" w:space="0"/>
              <w:bottom w:val="single" w:color="auto" w:sz="4" w:space="0"/>
              <w:right w:val="single" w:color="auto" w:sz="4" w:space="0"/>
            </w:tcBorders>
          </w:tcPr>
          <w:p w14:paraId="53E67C7F">
            <w:pPr>
              <w:adjustRightInd w:val="0"/>
              <w:spacing w:before="161" w:beforeLines="50" w:after="161" w:afterLines="50" w:line="360" w:lineRule="atLeast"/>
              <w:jc w:val="center"/>
              <w:rPr>
                <w:rFonts w:ascii="宋体" w:hAnsi="宋体" w:cs="宋体"/>
                <w:b/>
                <w:bCs/>
                <w:color w:val="auto"/>
                <w:sz w:val="24"/>
                <w:szCs w:val="24"/>
                <w:highlight w:val="none"/>
              </w:rPr>
            </w:pPr>
          </w:p>
        </w:tc>
        <w:tc>
          <w:tcPr>
            <w:tcW w:w="952" w:type="dxa"/>
            <w:tcBorders>
              <w:top w:val="single" w:color="auto" w:sz="4" w:space="0"/>
              <w:left w:val="single" w:color="auto" w:sz="4" w:space="0"/>
              <w:bottom w:val="single" w:color="auto" w:sz="4" w:space="0"/>
              <w:right w:val="single" w:color="auto" w:sz="4" w:space="0"/>
            </w:tcBorders>
            <w:vAlign w:val="center"/>
          </w:tcPr>
          <w:p w14:paraId="05DD862B">
            <w:pPr>
              <w:adjustRightInd w:val="0"/>
              <w:spacing w:before="161" w:beforeLines="50" w:after="161" w:afterLines="50" w:line="360" w:lineRule="atLeast"/>
              <w:jc w:val="center"/>
              <w:rPr>
                <w:rFonts w:ascii="宋体" w:hAnsi="宋体" w:cs="宋体"/>
                <w:b/>
                <w:bCs/>
                <w:color w:val="auto"/>
                <w:sz w:val="24"/>
                <w:szCs w:val="24"/>
                <w:highlight w:val="none"/>
              </w:rPr>
            </w:pPr>
          </w:p>
        </w:tc>
        <w:tc>
          <w:tcPr>
            <w:tcW w:w="952" w:type="dxa"/>
            <w:tcBorders>
              <w:top w:val="single" w:color="auto" w:sz="4" w:space="0"/>
              <w:left w:val="single" w:color="auto" w:sz="4" w:space="0"/>
              <w:bottom w:val="single" w:color="auto" w:sz="4" w:space="0"/>
              <w:right w:val="single" w:color="auto" w:sz="4" w:space="0"/>
            </w:tcBorders>
            <w:vAlign w:val="center"/>
          </w:tcPr>
          <w:p w14:paraId="641A048A">
            <w:pPr>
              <w:adjustRightInd w:val="0"/>
              <w:spacing w:before="161" w:beforeLines="50" w:after="161" w:afterLines="50" w:line="360" w:lineRule="atLeast"/>
              <w:jc w:val="center"/>
              <w:rPr>
                <w:rFonts w:ascii="宋体" w:hAnsi="宋体" w:cs="宋体"/>
                <w:b/>
                <w:bCs/>
                <w:color w:val="auto"/>
                <w:sz w:val="24"/>
                <w:szCs w:val="24"/>
                <w:highlight w:val="none"/>
              </w:rPr>
            </w:pPr>
          </w:p>
        </w:tc>
        <w:tc>
          <w:tcPr>
            <w:tcW w:w="952" w:type="dxa"/>
            <w:tcBorders>
              <w:top w:val="single" w:color="auto" w:sz="4" w:space="0"/>
              <w:left w:val="single" w:color="auto" w:sz="4" w:space="0"/>
              <w:bottom w:val="single" w:color="auto" w:sz="4" w:space="0"/>
              <w:right w:val="single" w:color="auto" w:sz="4" w:space="0"/>
            </w:tcBorders>
            <w:vAlign w:val="center"/>
          </w:tcPr>
          <w:p w14:paraId="7561DA18">
            <w:pPr>
              <w:adjustRightInd w:val="0"/>
              <w:spacing w:before="161" w:beforeLines="50" w:after="161" w:afterLines="50" w:line="360" w:lineRule="atLeast"/>
              <w:jc w:val="center"/>
              <w:rPr>
                <w:rFonts w:ascii="宋体" w:hAnsi="宋体" w:cs="宋体"/>
                <w:b/>
                <w:bCs/>
                <w:color w:val="auto"/>
                <w:sz w:val="24"/>
                <w:szCs w:val="24"/>
                <w:highlight w:val="none"/>
              </w:rPr>
            </w:pPr>
          </w:p>
        </w:tc>
        <w:tc>
          <w:tcPr>
            <w:tcW w:w="1418" w:type="dxa"/>
            <w:tcBorders>
              <w:top w:val="single" w:color="auto" w:sz="4" w:space="0"/>
              <w:left w:val="single" w:color="auto" w:sz="4" w:space="0"/>
              <w:bottom w:val="single" w:color="auto" w:sz="4" w:space="0"/>
              <w:right w:val="single" w:color="auto" w:sz="4" w:space="0"/>
            </w:tcBorders>
            <w:vAlign w:val="center"/>
          </w:tcPr>
          <w:p w14:paraId="6E6081A9">
            <w:pPr>
              <w:adjustRightInd w:val="0"/>
              <w:spacing w:before="161" w:beforeLines="50" w:after="161" w:afterLines="50" w:line="360" w:lineRule="atLeast"/>
              <w:jc w:val="center"/>
              <w:rPr>
                <w:rFonts w:ascii="宋体" w:hAnsi="宋体" w:cs="宋体"/>
                <w:b/>
                <w:bCs/>
                <w:color w:val="auto"/>
                <w:sz w:val="24"/>
                <w:szCs w:val="24"/>
                <w:highlight w:val="none"/>
              </w:rPr>
            </w:pPr>
          </w:p>
        </w:tc>
        <w:tc>
          <w:tcPr>
            <w:tcW w:w="992" w:type="dxa"/>
            <w:tcBorders>
              <w:top w:val="single" w:color="auto" w:sz="4" w:space="0"/>
              <w:left w:val="single" w:color="auto" w:sz="4" w:space="0"/>
              <w:bottom w:val="single" w:color="auto" w:sz="4" w:space="0"/>
              <w:right w:val="single" w:color="auto" w:sz="4" w:space="0"/>
            </w:tcBorders>
            <w:vAlign w:val="center"/>
          </w:tcPr>
          <w:p w14:paraId="586EA814">
            <w:pPr>
              <w:adjustRightInd w:val="0"/>
              <w:spacing w:before="161" w:beforeLines="50" w:after="161" w:afterLines="50" w:line="360" w:lineRule="atLeast"/>
              <w:jc w:val="center"/>
              <w:rPr>
                <w:rFonts w:ascii="宋体" w:hAnsi="宋体" w:cs="宋体"/>
                <w:b/>
                <w:bCs/>
                <w:color w:val="auto"/>
                <w:sz w:val="24"/>
                <w:szCs w:val="24"/>
                <w:highlight w:val="none"/>
              </w:rPr>
            </w:pPr>
          </w:p>
        </w:tc>
      </w:tr>
      <w:tr w14:paraId="3F118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auto" w:sz="4" w:space="0"/>
              <w:left w:val="single" w:color="auto" w:sz="4" w:space="0"/>
              <w:bottom w:val="single" w:color="auto" w:sz="4" w:space="0"/>
              <w:right w:val="single" w:color="auto" w:sz="4" w:space="0"/>
            </w:tcBorders>
            <w:vAlign w:val="center"/>
          </w:tcPr>
          <w:p w14:paraId="3FF385C3">
            <w:pPr>
              <w:adjustRightInd w:val="0"/>
              <w:spacing w:before="161" w:beforeLines="50" w:after="161" w:afterLines="50" w:line="360" w:lineRule="atLeast"/>
              <w:jc w:val="center"/>
              <w:rPr>
                <w:rFonts w:ascii="宋体" w:hAnsi="宋体" w:cs="宋体"/>
                <w:b/>
                <w:bCs/>
                <w:color w:val="auto"/>
                <w:sz w:val="24"/>
                <w:szCs w:val="24"/>
                <w:highlight w:val="none"/>
              </w:rPr>
            </w:pPr>
          </w:p>
        </w:tc>
        <w:tc>
          <w:tcPr>
            <w:tcW w:w="992" w:type="dxa"/>
            <w:tcBorders>
              <w:top w:val="single" w:color="auto" w:sz="4" w:space="0"/>
              <w:left w:val="single" w:color="auto" w:sz="4" w:space="0"/>
              <w:bottom w:val="single" w:color="auto" w:sz="4" w:space="0"/>
              <w:right w:val="single" w:color="auto" w:sz="4" w:space="0"/>
            </w:tcBorders>
            <w:vAlign w:val="center"/>
          </w:tcPr>
          <w:p w14:paraId="6B120E2E">
            <w:pPr>
              <w:adjustRightInd w:val="0"/>
              <w:spacing w:before="161" w:beforeLines="50" w:after="161" w:afterLines="50" w:line="360" w:lineRule="atLeast"/>
              <w:jc w:val="center"/>
              <w:rPr>
                <w:rFonts w:ascii="宋体" w:hAnsi="宋体" w:cs="宋体"/>
                <w:b/>
                <w:bCs/>
                <w:color w:val="auto"/>
                <w:sz w:val="24"/>
                <w:szCs w:val="24"/>
                <w:highlight w:val="none"/>
              </w:rPr>
            </w:pPr>
          </w:p>
        </w:tc>
        <w:tc>
          <w:tcPr>
            <w:tcW w:w="1296" w:type="dxa"/>
            <w:tcBorders>
              <w:top w:val="single" w:color="auto" w:sz="4" w:space="0"/>
              <w:left w:val="single" w:color="auto" w:sz="4" w:space="0"/>
              <w:bottom w:val="single" w:color="auto" w:sz="4" w:space="0"/>
              <w:right w:val="single" w:color="auto" w:sz="4" w:space="0"/>
            </w:tcBorders>
          </w:tcPr>
          <w:p w14:paraId="6ECE64D0">
            <w:pPr>
              <w:adjustRightInd w:val="0"/>
              <w:spacing w:before="161" w:beforeLines="50" w:after="161" w:afterLines="50" w:line="360" w:lineRule="atLeast"/>
              <w:jc w:val="center"/>
              <w:rPr>
                <w:rFonts w:ascii="宋体" w:hAnsi="宋体" w:cs="宋体"/>
                <w:b/>
                <w:bCs/>
                <w:color w:val="auto"/>
                <w:sz w:val="24"/>
                <w:szCs w:val="24"/>
                <w:highlight w:val="none"/>
              </w:rPr>
            </w:pPr>
          </w:p>
        </w:tc>
        <w:tc>
          <w:tcPr>
            <w:tcW w:w="951" w:type="dxa"/>
            <w:tcBorders>
              <w:top w:val="single" w:color="auto" w:sz="4" w:space="0"/>
              <w:left w:val="single" w:color="auto" w:sz="4" w:space="0"/>
              <w:bottom w:val="single" w:color="auto" w:sz="4" w:space="0"/>
              <w:right w:val="single" w:color="auto" w:sz="4" w:space="0"/>
            </w:tcBorders>
          </w:tcPr>
          <w:p w14:paraId="0C68ACC0">
            <w:pPr>
              <w:adjustRightInd w:val="0"/>
              <w:spacing w:before="161" w:beforeLines="50" w:after="161" w:afterLines="50" w:line="360" w:lineRule="atLeast"/>
              <w:jc w:val="center"/>
              <w:rPr>
                <w:rFonts w:ascii="宋体" w:hAnsi="宋体" w:cs="宋体"/>
                <w:b/>
                <w:bCs/>
                <w:color w:val="auto"/>
                <w:sz w:val="24"/>
                <w:szCs w:val="24"/>
                <w:highlight w:val="none"/>
              </w:rPr>
            </w:pPr>
          </w:p>
        </w:tc>
        <w:tc>
          <w:tcPr>
            <w:tcW w:w="952" w:type="dxa"/>
            <w:tcBorders>
              <w:top w:val="single" w:color="auto" w:sz="4" w:space="0"/>
              <w:left w:val="single" w:color="auto" w:sz="4" w:space="0"/>
              <w:bottom w:val="single" w:color="auto" w:sz="4" w:space="0"/>
              <w:right w:val="single" w:color="auto" w:sz="4" w:space="0"/>
            </w:tcBorders>
            <w:vAlign w:val="center"/>
          </w:tcPr>
          <w:p w14:paraId="2E86A50A">
            <w:pPr>
              <w:adjustRightInd w:val="0"/>
              <w:spacing w:before="161" w:beforeLines="50" w:after="161" w:afterLines="50" w:line="360" w:lineRule="atLeast"/>
              <w:jc w:val="center"/>
              <w:rPr>
                <w:rFonts w:ascii="宋体" w:hAnsi="宋体" w:cs="宋体"/>
                <w:b/>
                <w:bCs/>
                <w:color w:val="auto"/>
                <w:sz w:val="24"/>
                <w:szCs w:val="24"/>
                <w:highlight w:val="none"/>
              </w:rPr>
            </w:pPr>
          </w:p>
        </w:tc>
        <w:tc>
          <w:tcPr>
            <w:tcW w:w="952" w:type="dxa"/>
            <w:tcBorders>
              <w:top w:val="single" w:color="auto" w:sz="4" w:space="0"/>
              <w:left w:val="single" w:color="auto" w:sz="4" w:space="0"/>
              <w:bottom w:val="single" w:color="auto" w:sz="4" w:space="0"/>
              <w:right w:val="single" w:color="auto" w:sz="4" w:space="0"/>
            </w:tcBorders>
            <w:vAlign w:val="center"/>
          </w:tcPr>
          <w:p w14:paraId="6F313FA1">
            <w:pPr>
              <w:adjustRightInd w:val="0"/>
              <w:spacing w:before="161" w:beforeLines="50" w:after="161" w:afterLines="50" w:line="360" w:lineRule="atLeast"/>
              <w:jc w:val="center"/>
              <w:rPr>
                <w:rFonts w:ascii="宋体" w:hAnsi="宋体" w:cs="宋体"/>
                <w:b/>
                <w:bCs/>
                <w:color w:val="auto"/>
                <w:sz w:val="24"/>
                <w:szCs w:val="24"/>
                <w:highlight w:val="none"/>
              </w:rPr>
            </w:pPr>
          </w:p>
        </w:tc>
        <w:tc>
          <w:tcPr>
            <w:tcW w:w="952" w:type="dxa"/>
            <w:tcBorders>
              <w:top w:val="single" w:color="auto" w:sz="4" w:space="0"/>
              <w:left w:val="single" w:color="auto" w:sz="4" w:space="0"/>
              <w:bottom w:val="single" w:color="auto" w:sz="4" w:space="0"/>
              <w:right w:val="single" w:color="auto" w:sz="4" w:space="0"/>
            </w:tcBorders>
            <w:vAlign w:val="center"/>
          </w:tcPr>
          <w:p w14:paraId="0254B2F7">
            <w:pPr>
              <w:adjustRightInd w:val="0"/>
              <w:spacing w:before="161" w:beforeLines="50" w:after="161" w:afterLines="50" w:line="360" w:lineRule="atLeast"/>
              <w:jc w:val="center"/>
              <w:rPr>
                <w:rFonts w:ascii="宋体" w:hAnsi="宋体" w:cs="宋体"/>
                <w:b/>
                <w:bCs/>
                <w:color w:val="auto"/>
                <w:sz w:val="24"/>
                <w:szCs w:val="24"/>
                <w:highlight w:val="none"/>
              </w:rPr>
            </w:pPr>
          </w:p>
        </w:tc>
        <w:tc>
          <w:tcPr>
            <w:tcW w:w="1418" w:type="dxa"/>
            <w:tcBorders>
              <w:top w:val="single" w:color="auto" w:sz="4" w:space="0"/>
              <w:left w:val="single" w:color="auto" w:sz="4" w:space="0"/>
              <w:bottom w:val="single" w:color="auto" w:sz="4" w:space="0"/>
              <w:right w:val="single" w:color="auto" w:sz="4" w:space="0"/>
            </w:tcBorders>
            <w:vAlign w:val="center"/>
          </w:tcPr>
          <w:p w14:paraId="41974872">
            <w:pPr>
              <w:adjustRightInd w:val="0"/>
              <w:spacing w:before="161" w:beforeLines="50" w:after="161" w:afterLines="50" w:line="360" w:lineRule="atLeast"/>
              <w:jc w:val="center"/>
              <w:rPr>
                <w:rFonts w:ascii="宋体" w:hAnsi="宋体" w:cs="宋体"/>
                <w:b/>
                <w:bCs/>
                <w:color w:val="auto"/>
                <w:sz w:val="24"/>
                <w:szCs w:val="24"/>
                <w:highlight w:val="none"/>
              </w:rPr>
            </w:pPr>
          </w:p>
        </w:tc>
        <w:tc>
          <w:tcPr>
            <w:tcW w:w="992" w:type="dxa"/>
            <w:tcBorders>
              <w:top w:val="single" w:color="auto" w:sz="4" w:space="0"/>
              <w:left w:val="single" w:color="auto" w:sz="4" w:space="0"/>
              <w:bottom w:val="single" w:color="auto" w:sz="4" w:space="0"/>
              <w:right w:val="single" w:color="auto" w:sz="4" w:space="0"/>
            </w:tcBorders>
            <w:vAlign w:val="center"/>
          </w:tcPr>
          <w:p w14:paraId="26853968">
            <w:pPr>
              <w:adjustRightInd w:val="0"/>
              <w:spacing w:before="161" w:beforeLines="50" w:after="161" w:afterLines="50" w:line="360" w:lineRule="atLeast"/>
              <w:jc w:val="center"/>
              <w:rPr>
                <w:rFonts w:ascii="宋体" w:hAnsi="宋体" w:cs="宋体"/>
                <w:b/>
                <w:bCs/>
                <w:color w:val="auto"/>
                <w:sz w:val="24"/>
                <w:szCs w:val="24"/>
                <w:highlight w:val="none"/>
              </w:rPr>
            </w:pPr>
          </w:p>
        </w:tc>
      </w:tr>
      <w:tr w14:paraId="573A5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auto" w:sz="4" w:space="0"/>
              <w:left w:val="single" w:color="auto" w:sz="4" w:space="0"/>
              <w:bottom w:val="single" w:color="auto" w:sz="4" w:space="0"/>
              <w:right w:val="single" w:color="auto" w:sz="4" w:space="0"/>
            </w:tcBorders>
            <w:vAlign w:val="center"/>
          </w:tcPr>
          <w:p w14:paraId="0094F0A2">
            <w:pPr>
              <w:adjustRightInd w:val="0"/>
              <w:spacing w:before="161" w:beforeLines="50" w:after="161" w:afterLines="50" w:line="360" w:lineRule="atLeast"/>
              <w:jc w:val="center"/>
              <w:rPr>
                <w:rFonts w:ascii="宋体" w:hAnsi="宋体" w:cs="宋体"/>
                <w:b/>
                <w:bCs/>
                <w:color w:val="auto"/>
                <w:sz w:val="24"/>
                <w:szCs w:val="24"/>
                <w:highlight w:val="none"/>
              </w:rPr>
            </w:pPr>
          </w:p>
        </w:tc>
        <w:tc>
          <w:tcPr>
            <w:tcW w:w="992" w:type="dxa"/>
            <w:tcBorders>
              <w:top w:val="single" w:color="auto" w:sz="4" w:space="0"/>
              <w:left w:val="single" w:color="auto" w:sz="4" w:space="0"/>
              <w:bottom w:val="single" w:color="auto" w:sz="4" w:space="0"/>
              <w:right w:val="single" w:color="auto" w:sz="4" w:space="0"/>
            </w:tcBorders>
            <w:vAlign w:val="center"/>
          </w:tcPr>
          <w:p w14:paraId="328987A0">
            <w:pPr>
              <w:adjustRightInd w:val="0"/>
              <w:spacing w:before="161" w:beforeLines="50" w:after="161" w:afterLines="50" w:line="360" w:lineRule="atLeast"/>
              <w:jc w:val="center"/>
              <w:rPr>
                <w:rFonts w:ascii="宋体" w:hAnsi="宋体" w:cs="宋体"/>
                <w:b/>
                <w:bCs/>
                <w:color w:val="auto"/>
                <w:sz w:val="24"/>
                <w:szCs w:val="24"/>
                <w:highlight w:val="none"/>
              </w:rPr>
            </w:pPr>
          </w:p>
        </w:tc>
        <w:tc>
          <w:tcPr>
            <w:tcW w:w="1296" w:type="dxa"/>
            <w:tcBorders>
              <w:top w:val="single" w:color="auto" w:sz="4" w:space="0"/>
              <w:left w:val="single" w:color="auto" w:sz="4" w:space="0"/>
              <w:bottom w:val="single" w:color="auto" w:sz="4" w:space="0"/>
              <w:right w:val="single" w:color="auto" w:sz="4" w:space="0"/>
            </w:tcBorders>
          </w:tcPr>
          <w:p w14:paraId="3600A959">
            <w:pPr>
              <w:adjustRightInd w:val="0"/>
              <w:spacing w:before="161" w:beforeLines="50" w:after="161" w:afterLines="50" w:line="360" w:lineRule="atLeast"/>
              <w:jc w:val="center"/>
              <w:rPr>
                <w:rFonts w:ascii="宋体" w:hAnsi="宋体" w:cs="宋体"/>
                <w:b/>
                <w:bCs/>
                <w:color w:val="auto"/>
                <w:sz w:val="24"/>
                <w:szCs w:val="24"/>
                <w:highlight w:val="none"/>
              </w:rPr>
            </w:pPr>
          </w:p>
        </w:tc>
        <w:tc>
          <w:tcPr>
            <w:tcW w:w="951" w:type="dxa"/>
            <w:tcBorders>
              <w:top w:val="single" w:color="auto" w:sz="4" w:space="0"/>
              <w:left w:val="single" w:color="auto" w:sz="4" w:space="0"/>
              <w:bottom w:val="single" w:color="auto" w:sz="4" w:space="0"/>
              <w:right w:val="single" w:color="auto" w:sz="4" w:space="0"/>
            </w:tcBorders>
          </w:tcPr>
          <w:p w14:paraId="5653B464">
            <w:pPr>
              <w:adjustRightInd w:val="0"/>
              <w:spacing w:before="161" w:beforeLines="50" w:after="161" w:afterLines="50" w:line="360" w:lineRule="atLeast"/>
              <w:jc w:val="center"/>
              <w:rPr>
                <w:rFonts w:ascii="宋体" w:hAnsi="宋体" w:cs="宋体"/>
                <w:b/>
                <w:bCs/>
                <w:color w:val="auto"/>
                <w:sz w:val="24"/>
                <w:szCs w:val="24"/>
                <w:highlight w:val="none"/>
              </w:rPr>
            </w:pPr>
          </w:p>
        </w:tc>
        <w:tc>
          <w:tcPr>
            <w:tcW w:w="952" w:type="dxa"/>
            <w:tcBorders>
              <w:top w:val="single" w:color="auto" w:sz="4" w:space="0"/>
              <w:left w:val="single" w:color="auto" w:sz="4" w:space="0"/>
              <w:bottom w:val="single" w:color="auto" w:sz="4" w:space="0"/>
              <w:right w:val="single" w:color="auto" w:sz="4" w:space="0"/>
            </w:tcBorders>
            <w:vAlign w:val="center"/>
          </w:tcPr>
          <w:p w14:paraId="34742EC4">
            <w:pPr>
              <w:adjustRightInd w:val="0"/>
              <w:spacing w:before="161" w:beforeLines="50" w:after="161" w:afterLines="50" w:line="360" w:lineRule="atLeast"/>
              <w:jc w:val="center"/>
              <w:rPr>
                <w:rFonts w:ascii="宋体" w:hAnsi="宋体" w:cs="宋体"/>
                <w:b/>
                <w:bCs/>
                <w:color w:val="auto"/>
                <w:sz w:val="24"/>
                <w:szCs w:val="24"/>
                <w:highlight w:val="none"/>
              </w:rPr>
            </w:pPr>
          </w:p>
        </w:tc>
        <w:tc>
          <w:tcPr>
            <w:tcW w:w="952" w:type="dxa"/>
            <w:tcBorders>
              <w:top w:val="single" w:color="auto" w:sz="4" w:space="0"/>
              <w:left w:val="single" w:color="auto" w:sz="4" w:space="0"/>
              <w:bottom w:val="single" w:color="auto" w:sz="4" w:space="0"/>
              <w:right w:val="single" w:color="auto" w:sz="4" w:space="0"/>
            </w:tcBorders>
            <w:vAlign w:val="center"/>
          </w:tcPr>
          <w:p w14:paraId="6ECB91CC">
            <w:pPr>
              <w:adjustRightInd w:val="0"/>
              <w:spacing w:before="161" w:beforeLines="50" w:after="161" w:afterLines="50" w:line="360" w:lineRule="atLeast"/>
              <w:jc w:val="center"/>
              <w:rPr>
                <w:rFonts w:ascii="宋体" w:hAnsi="宋体" w:cs="宋体"/>
                <w:b/>
                <w:bCs/>
                <w:color w:val="auto"/>
                <w:sz w:val="24"/>
                <w:szCs w:val="24"/>
                <w:highlight w:val="none"/>
              </w:rPr>
            </w:pPr>
          </w:p>
        </w:tc>
        <w:tc>
          <w:tcPr>
            <w:tcW w:w="952" w:type="dxa"/>
            <w:tcBorders>
              <w:top w:val="single" w:color="auto" w:sz="4" w:space="0"/>
              <w:left w:val="single" w:color="auto" w:sz="4" w:space="0"/>
              <w:bottom w:val="single" w:color="auto" w:sz="4" w:space="0"/>
              <w:right w:val="single" w:color="auto" w:sz="4" w:space="0"/>
            </w:tcBorders>
            <w:vAlign w:val="center"/>
          </w:tcPr>
          <w:p w14:paraId="0BA089A8">
            <w:pPr>
              <w:adjustRightInd w:val="0"/>
              <w:spacing w:before="161" w:beforeLines="50" w:after="161" w:afterLines="50" w:line="360" w:lineRule="atLeast"/>
              <w:jc w:val="center"/>
              <w:rPr>
                <w:rFonts w:ascii="宋体" w:hAnsi="宋体" w:cs="宋体"/>
                <w:b/>
                <w:bCs/>
                <w:color w:val="auto"/>
                <w:sz w:val="24"/>
                <w:szCs w:val="24"/>
                <w:highlight w:val="none"/>
              </w:rPr>
            </w:pPr>
          </w:p>
        </w:tc>
        <w:tc>
          <w:tcPr>
            <w:tcW w:w="1418" w:type="dxa"/>
            <w:tcBorders>
              <w:top w:val="single" w:color="auto" w:sz="4" w:space="0"/>
              <w:left w:val="single" w:color="auto" w:sz="4" w:space="0"/>
              <w:bottom w:val="single" w:color="auto" w:sz="4" w:space="0"/>
              <w:right w:val="single" w:color="auto" w:sz="4" w:space="0"/>
            </w:tcBorders>
            <w:vAlign w:val="center"/>
          </w:tcPr>
          <w:p w14:paraId="6460BF09">
            <w:pPr>
              <w:adjustRightInd w:val="0"/>
              <w:spacing w:before="161" w:beforeLines="50" w:after="161" w:afterLines="50" w:line="360" w:lineRule="atLeast"/>
              <w:jc w:val="center"/>
              <w:rPr>
                <w:rFonts w:ascii="宋体" w:hAnsi="宋体" w:cs="宋体"/>
                <w:b/>
                <w:bCs/>
                <w:color w:val="auto"/>
                <w:sz w:val="24"/>
                <w:szCs w:val="24"/>
                <w:highlight w:val="none"/>
              </w:rPr>
            </w:pPr>
          </w:p>
        </w:tc>
        <w:tc>
          <w:tcPr>
            <w:tcW w:w="992" w:type="dxa"/>
            <w:tcBorders>
              <w:top w:val="single" w:color="auto" w:sz="4" w:space="0"/>
              <w:left w:val="single" w:color="auto" w:sz="4" w:space="0"/>
              <w:bottom w:val="single" w:color="auto" w:sz="4" w:space="0"/>
              <w:right w:val="single" w:color="auto" w:sz="4" w:space="0"/>
            </w:tcBorders>
            <w:vAlign w:val="center"/>
          </w:tcPr>
          <w:p w14:paraId="23A7A405">
            <w:pPr>
              <w:adjustRightInd w:val="0"/>
              <w:spacing w:before="161" w:beforeLines="50" w:after="161" w:afterLines="50" w:line="360" w:lineRule="atLeast"/>
              <w:jc w:val="center"/>
              <w:rPr>
                <w:rFonts w:ascii="宋体" w:hAnsi="宋体" w:cs="宋体"/>
                <w:b/>
                <w:bCs/>
                <w:color w:val="auto"/>
                <w:sz w:val="24"/>
                <w:szCs w:val="24"/>
                <w:highlight w:val="none"/>
              </w:rPr>
            </w:pPr>
          </w:p>
        </w:tc>
      </w:tr>
      <w:tr w14:paraId="3F9FC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auto" w:sz="4" w:space="0"/>
              <w:left w:val="single" w:color="auto" w:sz="4" w:space="0"/>
              <w:bottom w:val="single" w:color="auto" w:sz="4" w:space="0"/>
              <w:right w:val="single" w:color="auto" w:sz="4" w:space="0"/>
            </w:tcBorders>
            <w:vAlign w:val="center"/>
          </w:tcPr>
          <w:p w14:paraId="79D6F0D6">
            <w:pPr>
              <w:adjustRightInd w:val="0"/>
              <w:spacing w:before="161" w:beforeLines="50" w:after="161" w:afterLines="50" w:line="360" w:lineRule="atLeast"/>
              <w:jc w:val="center"/>
              <w:rPr>
                <w:rFonts w:ascii="宋体" w:hAnsi="宋体" w:cs="宋体"/>
                <w:b/>
                <w:bCs/>
                <w:color w:val="auto"/>
                <w:sz w:val="24"/>
                <w:szCs w:val="24"/>
                <w:highlight w:val="none"/>
              </w:rPr>
            </w:pPr>
          </w:p>
        </w:tc>
        <w:tc>
          <w:tcPr>
            <w:tcW w:w="992" w:type="dxa"/>
            <w:tcBorders>
              <w:top w:val="single" w:color="auto" w:sz="4" w:space="0"/>
              <w:left w:val="single" w:color="auto" w:sz="4" w:space="0"/>
              <w:bottom w:val="single" w:color="auto" w:sz="4" w:space="0"/>
              <w:right w:val="single" w:color="auto" w:sz="4" w:space="0"/>
            </w:tcBorders>
            <w:vAlign w:val="center"/>
          </w:tcPr>
          <w:p w14:paraId="470BB36D">
            <w:pPr>
              <w:adjustRightInd w:val="0"/>
              <w:spacing w:before="161" w:beforeLines="50" w:after="161" w:afterLines="50" w:line="360" w:lineRule="atLeast"/>
              <w:jc w:val="center"/>
              <w:rPr>
                <w:rFonts w:ascii="宋体" w:hAnsi="宋体" w:cs="宋体"/>
                <w:b/>
                <w:bCs/>
                <w:color w:val="auto"/>
                <w:sz w:val="24"/>
                <w:szCs w:val="24"/>
                <w:highlight w:val="none"/>
              </w:rPr>
            </w:pPr>
          </w:p>
        </w:tc>
        <w:tc>
          <w:tcPr>
            <w:tcW w:w="1296" w:type="dxa"/>
            <w:tcBorders>
              <w:top w:val="single" w:color="auto" w:sz="4" w:space="0"/>
              <w:left w:val="single" w:color="auto" w:sz="4" w:space="0"/>
              <w:bottom w:val="single" w:color="auto" w:sz="4" w:space="0"/>
              <w:right w:val="single" w:color="auto" w:sz="4" w:space="0"/>
            </w:tcBorders>
          </w:tcPr>
          <w:p w14:paraId="21B2743F">
            <w:pPr>
              <w:adjustRightInd w:val="0"/>
              <w:spacing w:before="161" w:beforeLines="50" w:after="161" w:afterLines="50" w:line="360" w:lineRule="atLeast"/>
              <w:jc w:val="center"/>
              <w:rPr>
                <w:rFonts w:ascii="宋体" w:hAnsi="宋体" w:cs="宋体"/>
                <w:b/>
                <w:bCs/>
                <w:color w:val="auto"/>
                <w:sz w:val="24"/>
                <w:szCs w:val="24"/>
                <w:highlight w:val="none"/>
              </w:rPr>
            </w:pPr>
          </w:p>
        </w:tc>
        <w:tc>
          <w:tcPr>
            <w:tcW w:w="951" w:type="dxa"/>
            <w:tcBorders>
              <w:top w:val="single" w:color="auto" w:sz="4" w:space="0"/>
              <w:left w:val="single" w:color="auto" w:sz="4" w:space="0"/>
              <w:bottom w:val="single" w:color="auto" w:sz="4" w:space="0"/>
              <w:right w:val="single" w:color="auto" w:sz="4" w:space="0"/>
            </w:tcBorders>
          </w:tcPr>
          <w:p w14:paraId="3D213705">
            <w:pPr>
              <w:adjustRightInd w:val="0"/>
              <w:spacing w:before="161" w:beforeLines="50" w:after="161" w:afterLines="50" w:line="360" w:lineRule="atLeast"/>
              <w:jc w:val="center"/>
              <w:rPr>
                <w:rFonts w:ascii="宋体" w:hAnsi="宋体" w:cs="宋体"/>
                <w:b/>
                <w:bCs/>
                <w:color w:val="auto"/>
                <w:sz w:val="24"/>
                <w:szCs w:val="24"/>
                <w:highlight w:val="none"/>
              </w:rPr>
            </w:pPr>
          </w:p>
        </w:tc>
        <w:tc>
          <w:tcPr>
            <w:tcW w:w="952" w:type="dxa"/>
            <w:tcBorders>
              <w:top w:val="single" w:color="auto" w:sz="4" w:space="0"/>
              <w:left w:val="single" w:color="auto" w:sz="4" w:space="0"/>
              <w:bottom w:val="single" w:color="auto" w:sz="4" w:space="0"/>
              <w:right w:val="single" w:color="auto" w:sz="4" w:space="0"/>
            </w:tcBorders>
            <w:vAlign w:val="center"/>
          </w:tcPr>
          <w:p w14:paraId="575069F3">
            <w:pPr>
              <w:adjustRightInd w:val="0"/>
              <w:spacing w:before="161" w:beforeLines="50" w:after="161" w:afterLines="50" w:line="360" w:lineRule="atLeast"/>
              <w:jc w:val="center"/>
              <w:rPr>
                <w:rFonts w:ascii="宋体" w:hAnsi="宋体" w:cs="宋体"/>
                <w:b/>
                <w:bCs/>
                <w:color w:val="auto"/>
                <w:sz w:val="24"/>
                <w:szCs w:val="24"/>
                <w:highlight w:val="none"/>
              </w:rPr>
            </w:pPr>
          </w:p>
        </w:tc>
        <w:tc>
          <w:tcPr>
            <w:tcW w:w="952" w:type="dxa"/>
            <w:tcBorders>
              <w:top w:val="single" w:color="auto" w:sz="4" w:space="0"/>
              <w:left w:val="single" w:color="auto" w:sz="4" w:space="0"/>
              <w:bottom w:val="single" w:color="auto" w:sz="4" w:space="0"/>
              <w:right w:val="single" w:color="auto" w:sz="4" w:space="0"/>
            </w:tcBorders>
            <w:vAlign w:val="center"/>
          </w:tcPr>
          <w:p w14:paraId="48612FB4">
            <w:pPr>
              <w:adjustRightInd w:val="0"/>
              <w:spacing w:before="161" w:beforeLines="50" w:after="161" w:afterLines="50" w:line="360" w:lineRule="atLeast"/>
              <w:jc w:val="center"/>
              <w:rPr>
                <w:rFonts w:ascii="宋体" w:hAnsi="宋体" w:cs="宋体"/>
                <w:b/>
                <w:bCs/>
                <w:color w:val="auto"/>
                <w:sz w:val="24"/>
                <w:szCs w:val="24"/>
                <w:highlight w:val="none"/>
              </w:rPr>
            </w:pPr>
          </w:p>
        </w:tc>
        <w:tc>
          <w:tcPr>
            <w:tcW w:w="952" w:type="dxa"/>
            <w:tcBorders>
              <w:top w:val="single" w:color="auto" w:sz="4" w:space="0"/>
              <w:left w:val="single" w:color="auto" w:sz="4" w:space="0"/>
              <w:bottom w:val="single" w:color="auto" w:sz="4" w:space="0"/>
              <w:right w:val="single" w:color="auto" w:sz="4" w:space="0"/>
            </w:tcBorders>
            <w:vAlign w:val="center"/>
          </w:tcPr>
          <w:p w14:paraId="0B649985">
            <w:pPr>
              <w:adjustRightInd w:val="0"/>
              <w:spacing w:before="161" w:beforeLines="50" w:after="161" w:afterLines="50" w:line="360" w:lineRule="atLeast"/>
              <w:jc w:val="center"/>
              <w:rPr>
                <w:rFonts w:ascii="宋体" w:hAnsi="宋体" w:cs="宋体"/>
                <w:b/>
                <w:bCs/>
                <w:color w:val="auto"/>
                <w:sz w:val="24"/>
                <w:szCs w:val="24"/>
                <w:highlight w:val="none"/>
              </w:rPr>
            </w:pPr>
          </w:p>
        </w:tc>
        <w:tc>
          <w:tcPr>
            <w:tcW w:w="1418" w:type="dxa"/>
            <w:tcBorders>
              <w:top w:val="single" w:color="auto" w:sz="4" w:space="0"/>
              <w:left w:val="single" w:color="auto" w:sz="4" w:space="0"/>
              <w:bottom w:val="single" w:color="auto" w:sz="4" w:space="0"/>
              <w:right w:val="single" w:color="auto" w:sz="4" w:space="0"/>
            </w:tcBorders>
            <w:vAlign w:val="center"/>
          </w:tcPr>
          <w:p w14:paraId="1C1D57B2">
            <w:pPr>
              <w:adjustRightInd w:val="0"/>
              <w:spacing w:before="161" w:beforeLines="50" w:after="161" w:afterLines="50" w:line="360" w:lineRule="atLeast"/>
              <w:jc w:val="center"/>
              <w:rPr>
                <w:rFonts w:ascii="宋体" w:hAnsi="宋体" w:cs="宋体"/>
                <w:b/>
                <w:bCs/>
                <w:color w:val="auto"/>
                <w:sz w:val="24"/>
                <w:szCs w:val="24"/>
                <w:highlight w:val="none"/>
              </w:rPr>
            </w:pPr>
          </w:p>
        </w:tc>
        <w:tc>
          <w:tcPr>
            <w:tcW w:w="992" w:type="dxa"/>
            <w:tcBorders>
              <w:top w:val="single" w:color="auto" w:sz="4" w:space="0"/>
              <w:left w:val="single" w:color="auto" w:sz="4" w:space="0"/>
              <w:bottom w:val="single" w:color="auto" w:sz="4" w:space="0"/>
              <w:right w:val="single" w:color="auto" w:sz="4" w:space="0"/>
            </w:tcBorders>
            <w:vAlign w:val="center"/>
          </w:tcPr>
          <w:p w14:paraId="3FF408DD">
            <w:pPr>
              <w:adjustRightInd w:val="0"/>
              <w:spacing w:before="161" w:beforeLines="50" w:after="161" w:afterLines="50" w:line="360" w:lineRule="atLeast"/>
              <w:jc w:val="center"/>
              <w:rPr>
                <w:rFonts w:ascii="宋体" w:hAnsi="宋体" w:cs="宋体"/>
                <w:b/>
                <w:bCs/>
                <w:color w:val="auto"/>
                <w:sz w:val="24"/>
                <w:szCs w:val="24"/>
                <w:highlight w:val="none"/>
              </w:rPr>
            </w:pPr>
          </w:p>
        </w:tc>
      </w:tr>
    </w:tbl>
    <w:p w14:paraId="4EFC6EBE">
      <w:pPr>
        <w:spacing w:before="161" w:beforeLines="50" w:after="161" w:afterLines="50"/>
        <w:rPr>
          <w:rFonts w:ascii="宋体" w:hAnsi="宋体" w:cs="宋体"/>
          <w:b/>
          <w:bCs/>
          <w:color w:val="auto"/>
          <w:sz w:val="24"/>
          <w:szCs w:val="24"/>
          <w:highlight w:val="none"/>
        </w:rPr>
      </w:pPr>
    </w:p>
    <w:p w14:paraId="65B8C1A6">
      <w:pPr>
        <w:spacing w:before="161" w:beforeLines="50" w:after="161" w:afterLines="50"/>
        <w:rPr>
          <w:rFonts w:ascii="宋体" w:hAnsi="宋体" w:cs="宋体"/>
          <w:b/>
          <w:bCs/>
          <w:color w:val="auto"/>
          <w:sz w:val="24"/>
          <w:szCs w:val="24"/>
          <w:highlight w:val="none"/>
        </w:rPr>
      </w:pPr>
      <w:r>
        <w:rPr>
          <w:rFonts w:hint="eastAsia" w:ascii="宋体" w:hAnsi="宋体" w:cs="宋体"/>
          <w:b/>
          <w:bCs/>
          <w:color w:val="auto"/>
          <w:sz w:val="24"/>
          <w:szCs w:val="24"/>
          <w:highlight w:val="none"/>
        </w:rPr>
        <w:t>翔安区黎林路1699号食堂运营服务人员：</w:t>
      </w:r>
    </w:p>
    <w:tbl>
      <w:tblPr>
        <w:tblStyle w:val="21"/>
        <w:tblW w:w="93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992"/>
        <w:gridCol w:w="1296"/>
        <w:gridCol w:w="951"/>
        <w:gridCol w:w="952"/>
        <w:gridCol w:w="952"/>
        <w:gridCol w:w="952"/>
        <w:gridCol w:w="1418"/>
        <w:gridCol w:w="992"/>
      </w:tblGrid>
      <w:tr w14:paraId="6DB51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auto" w:sz="4" w:space="0"/>
              <w:left w:val="single" w:color="auto" w:sz="4" w:space="0"/>
              <w:bottom w:val="single" w:color="auto" w:sz="4" w:space="0"/>
              <w:right w:val="single" w:color="auto" w:sz="4" w:space="0"/>
            </w:tcBorders>
            <w:vAlign w:val="center"/>
          </w:tcPr>
          <w:p w14:paraId="262AA844">
            <w:pPr>
              <w:adjustRightInd w:val="0"/>
              <w:spacing w:before="161" w:beforeLines="50" w:after="161" w:afterLines="50" w:line="360" w:lineRule="atLeast"/>
              <w:jc w:val="center"/>
              <w:rPr>
                <w:rFonts w:ascii="宋体" w:hAnsi="宋体" w:cs="宋体"/>
                <w:b/>
                <w:bCs/>
                <w:color w:val="auto"/>
                <w:sz w:val="24"/>
                <w:szCs w:val="24"/>
                <w:highlight w:val="none"/>
              </w:rPr>
            </w:pPr>
            <w:r>
              <w:rPr>
                <w:rFonts w:hint="eastAsia" w:ascii="宋体" w:hAnsi="宋体" w:cs="宋体"/>
                <w:b/>
                <w:bCs/>
                <w:color w:val="auto"/>
                <w:sz w:val="24"/>
                <w:szCs w:val="24"/>
                <w:highlight w:val="none"/>
              </w:rPr>
              <w:t>序号</w:t>
            </w:r>
          </w:p>
        </w:tc>
        <w:tc>
          <w:tcPr>
            <w:tcW w:w="992" w:type="dxa"/>
            <w:tcBorders>
              <w:top w:val="single" w:color="auto" w:sz="4" w:space="0"/>
              <w:left w:val="single" w:color="auto" w:sz="4" w:space="0"/>
              <w:bottom w:val="single" w:color="auto" w:sz="4" w:space="0"/>
              <w:right w:val="single" w:color="auto" w:sz="4" w:space="0"/>
            </w:tcBorders>
            <w:vAlign w:val="center"/>
          </w:tcPr>
          <w:p w14:paraId="16EFD842">
            <w:pPr>
              <w:adjustRightInd w:val="0"/>
              <w:spacing w:before="161" w:beforeLines="50" w:after="161" w:afterLines="50" w:line="360" w:lineRule="atLeast"/>
              <w:jc w:val="center"/>
              <w:rPr>
                <w:rFonts w:ascii="宋体" w:hAnsi="宋体" w:cs="宋体"/>
                <w:b/>
                <w:bCs/>
                <w:color w:val="auto"/>
                <w:sz w:val="24"/>
                <w:szCs w:val="24"/>
                <w:highlight w:val="none"/>
              </w:rPr>
            </w:pPr>
            <w:r>
              <w:rPr>
                <w:rFonts w:hint="eastAsia" w:ascii="宋体" w:hAnsi="宋体" w:cs="宋体"/>
                <w:b/>
                <w:bCs/>
                <w:color w:val="auto"/>
                <w:sz w:val="24"/>
                <w:szCs w:val="24"/>
                <w:highlight w:val="none"/>
              </w:rPr>
              <w:t>姓名</w:t>
            </w:r>
          </w:p>
        </w:tc>
        <w:tc>
          <w:tcPr>
            <w:tcW w:w="1296" w:type="dxa"/>
            <w:tcBorders>
              <w:top w:val="single" w:color="auto" w:sz="4" w:space="0"/>
              <w:left w:val="single" w:color="auto" w:sz="4" w:space="0"/>
              <w:bottom w:val="single" w:color="auto" w:sz="4" w:space="0"/>
              <w:right w:val="single" w:color="auto" w:sz="4" w:space="0"/>
            </w:tcBorders>
            <w:vAlign w:val="center"/>
          </w:tcPr>
          <w:p w14:paraId="34A23CB5">
            <w:pPr>
              <w:adjustRightInd w:val="0"/>
              <w:spacing w:before="161" w:beforeLines="50" w:after="161" w:afterLines="50" w:line="360" w:lineRule="atLeast"/>
              <w:jc w:val="center"/>
              <w:rPr>
                <w:rFonts w:ascii="宋体" w:hAnsi="宋体" w:cs="宋体"/>
                <w:b/>
                <w:bCs/>
                <w:color w:val="auto"/>
                <w:sz w:val="24"/>
                <w:szCs w:val="24"/>
                <w:highlight w:val="none"/>
              </w:rPr>
            </w:pPr>
            <w:r>
              <w:rPr>
                <w:rFonts w:hint="eastAsia" w:ascii="宋体" w:hAnsi="宋体" w:cs="宋体"/>
                <w:b/>
                <w:bCs/>
                <w:color w:val="auto"/>
                <w:sz w:val="24"/>
                <w:szCs w:val="24"/>
                <w:highlight w:val="none"/>
              </w:rPr>
              <w:t>在本项目中的职位</w:t>
            </w:r>
          </w:p>
        </w:tc>
        <w:tc>
          <w:tcPr>
            <w:tcW w:w="951" w:type="dxa"/>
            <w:tcBorders>
              <w:top w:val="single" w:color="auto" w:sz="4" w:space="0"/>
              <w:left w:val="single" w:color="auto" w:sz="4" w:space="0"/>
              <w:bottom w:val="single" w:color="auto" w:sz="4" w:space="0"/>
              <w:right w:val="single" w:color="auto" w:sz="4" w:space="0"/>
            </w:tcBorders>
            <w:vAlign w:val="center"/>
          </w:tcPr>
          <w:p w14:paraId="337FFC67">
            <w:pPr>
              <w:adjustRightInd w:val="0"/>
              <w:spacing w:before="161" w:beforeLines="50" w:after="161" w:afterLines="50" w:line="360" w:lineRule="atLeast"/>
              <w:jc w:val="center"/>
              <w:rPr>
                <w:rFonts w:ascii="宋体" w:hAnsi="宋体" w:cs="宋体"/>
                <w:b/>
                <w:bCs/>
                <w:color w:val="auto"/>
                <w:sz w:val="24"/>
                <w:szCs w:val="24"/>
                <w:highlight w:val="none"/>
              </w:rPr>
            </w:pPr>
            <w:r>
              <w:rPr>
                <w:rFonts w:hint="eastAsia" w:ascii="宋体" w:hAnsi="宋体" w:cs="宋体"/>
                <w:b/>
                <w:bCs/>
                <w:color w:val="auto"/>
                <w:sz w:val="24"/>
                <w:szCs w:val="24"/>
                <w:highlight w:val="none"/>
              </w:rPr>
              <w:t>年龄</w:t>
            </w:r>
          </w:p>
        </w:tc>
        <w:tc>
          <w:tcPr>
            <w:tcW w:w="952" w:type="dxa"/>
            <w:tcBorders>
              <w:top w:val="single" w:color="auto" w:sz="4" w:space="0"/>
              <w:left w:val="single" w:color="auto" w:sz="4" w:space="0"/>
              <w:bottom w:val="single" w:color="auto" w:sz="4" w:space="0"/>
              <w:right w:val="single" w:color="auto" w:sz="4" w:space="0"/>
            </w:tcBorders>
            <w:vAlign w:val="center"/>
          </w:tcPr>
          <w:p w14:paraId="768EC12A">
            <w:pPr>
              <w:adjustRightInd w:val="0"/>
              <w:spacing w:before="161" w:beforeLines="50" w:after="161" w:afterLines="50" w:line="360" w:lineRule="atLeast"/>
              <w:jc w:val="center"/>
              <w:rPr>
                <w:rFonts w:ascii="宋体" w:hAnsi="宋体" w:cs="宋体"/>
                <w:b/>
                <w:bCs/>
                <w:color w:val="auto"/>
                <w:sz w:val="24"/>
                <w:szCs w:val="24"/>
                <w:highlight w:val="none"/>
              </w:rPr>
            </w:pPr>
            <w:r>
              <w:rPr>
                <w:rFonts w:hint="eastAsia" w:ascii="宋体" w:hAnsi="宋体" w:cs="宋体"/>
                <w:b/>
                <w:bCs/>
                <w:color w:val="auto"/>
                <w:sz w:val="24"/>
                <w:szCs w:val="24"/>
                <w:highlight w:val="none"/>
              </w:rPr>
              <w:t>学历</w:t>
            </w:r>
          </w:p>
        </w:tc>
        <w:tc>
          <w:tcPr>
            <w:tcW w:w="952" w:type="dxa"/>
            <w:tcBorders>
              <w:top w:val="single" w:color="auto" w:sz="4" w:space="0"/>
              <w:left w:val="single" w:color="auto" w:sz="4" w:space="0"/>
              <w:bottom w:val="single" w:color="auto" w:sz="4" w:space="0"/>
              <w:right w:val="single" w:color="auto" w:sz="4" w:space="0"/>
            </w:tcBorders>
            <w:vAlign w:val="center"/>
          </w:tcPr>
          <w:p w14:paraId="45B83C60">
            <w:pPr>
              <w:adjustRightInd w:val="0"/>
              <w:spacing w:before="161" w:beforeLines="50" w:after="161" w:afterLines="50" w:line="360" w:lineRule="atLeast"/>
              <w:jc w:val="center"/>
              <w:rPr>
                <w:rFonts w:ascii="宋体" w:hAnsi="宋体" w:cs="宋体"/>
                <w:b/>
                <w:bCs/>
                <w:color w:val="auto"/>
                <w:sz w:val="24"/>
                <w:szCs w:val="24"/>
                <w:highlight w:val="none"/>
              </w:rPr>
            </w:pPr>
            <w:r>
              <w:rPr>
                <w:rFonts w:hint="eastAsia" w:ascii="宋体" w:hAnsi="宋体" w:cs="宋体"/>
                <w:b/>
                <w:bCs/>
                <w:color w:val="auto"/>
                <w:sz w:val="24"/>
                <w:szCs w:val="24"/>
                <w:highlight w:val="none"/>
              </w:rPr>
              <w:t>专业</w:t>
            </w:r>
          </w:p>
        </w:tc>
        <w:tc>
          <w:tcPr>
            <w:tcW w:w="952" w:type="dxa"/>
            <w:tcBorders>
              <w:top w:val="single" w:color="auto" w:sz="4" w:space="0"/>
              <w:left w:val="single" w:color="auto" w:sz="4" w:space="0"/>
              <w:bottom w:val="single" w:color="auto" w:sz="4" w:space="0"/>
              <w:right w:val="single" w:color="auto" w:sz="4" w:space="0"/>
            </w:tcBorders>
            <w:vAlign w:val="center"/>
          </w:tcPr>
          <w:p w14:paraId="7DDAE62B">
            <w:pPr>
              <w:adjustRightInd w:val="0"/>
              <w:spacing w:before="161" w:beforeLines="50" w:after="161" w:afterLines="50" w:line="360" w:lineRule="atLeast"/>
              <w:jc w:val="center"/>
              <w:rPr>
                <w:rFonts w:ascii="宋体" w:hAnsi="宋体" w:cs="宋体"/>
                <w:b/>
                <w:bCs/>
                <w:color w:val="auto"/>
                <w:sz w:val="24"/>
                <w:szCs w:val="24"/>
                <w:highlight w:val="none"/>
              </w:rPr>
            </w:pPr>
            <w:r>
              <w:rPr>
                <w:rFonts w:hint="eastAsia" w:ascii="宋体" w:hAnsi="宋体" w:cs="宋体"/>
                <w:b/>
                <w:bCs/>
                <w:color w:val="auto"/>
                <w:sz w:val="24"/>
                <w:szCs w:val="24"/>
                <w:highlight w:val="none"/>
              </w:rPr>
              <w:t>职称</w:t>
            </w:r>
          </w:p>
        </w:tc>
        <w:tc>
          <w:tcPr>
            <w:tcW w:w="1418" w:type="dxa"/>
            <w:tcBorders>
              <w:top w:val="single" w:color="auto" w:sz="4" w:space="0"/>
              <w:left w:val="single" w:color="auto" w:sz="4" w:space="0"/>
              <w:bottom w:val="single" w:color="auto" w:sz="4" w:space="0"/>
              <w:right w:val="single" w:color="auto" w:sz="4" w:space="0"/>
            </w:tcBorders>
            <w:vAlign w:val="center"/>
          </w:tcPr>
          <w:p w14:paraId="37D279B2">
            <w:pPr>
              <w:adjustRightInd w:val="0"/>
              <w:spacing w:before="161" w:beforeLines="50" w:after="161" w:afterLines="50" w:line="360" w:lineRule="atLeast"/>
              <w:jc w:val="center"/>
              <w:rPr>
                <w:rFonts w:ascii="宋体" w:hAnsi="宋体" w:cs="宋体"/>
                <w:b/>
                <w:bCs/>
                <w:color w:val="auto"/>
                <w:sz w:val="24"/>
                <w:szCs w:val="24"/>
                <w:highlight w:val="none"/>
              </w:rPr>
            </w:pPr>
            <w:r>
              <w:rPr>
                <w:rFonts w:hint="eastAsia" w:ascii="宋体" w:hAnsi="宋体" w:cs="宋体"/>
                <w:b/>
                <w:bCs/>
                <w:color w:val="auto"/>
                <w:sz w:val="24"/>
                <w:szCs w:val="24"/>
                <w:highlight w:val="none"/>
              </w:rPr>
              <w:t>职业资格</w:t>
            </w:r>
          </w:p>
        </w:tc>
        <w:tc>
          <w:tcPr>
            <w:tcW w:w="992" w:type="dxa"/>
            <w:tcBorders>
              <w:top w:val="single" w:color="auto" w:sz="4" w:space="0"/>
              <w:left w:val="single" w:color="auto" w:sz="4" w:space="0"/>
              <w:bottom w:val="single" w:color="auto" w:sz="4" w:space="0"/>
              <w:right w:val="single" w:color="auto" w:sz="4" w:space="0"/>
            </w:tcBorders>
            <w:vAlign w:val="center"/>
          </w:tcPr>
          <w:p w14:paraId="464C4A75">
            <w:pPr>
              <w:adjustRightInd w:val="0"/>
              <w:spacing w:before="161" w:beforeLines="50" w:after="161" w:afterLines="50" w:line="360" w:lineRule="atLeast"/>
              <w:jc w:val="center"/>
              <w:rPr>
                <w:rFonts w:ascii="宋体" w:hAnsi="宋体" w:cs="宋体"/>
                <w:b/>
                <w:bCs/>
                <w:color w:val="auto"/>
                <w:sz w:val="24"/>
                <w:szCs w:val="24"/>
                <w:highlight w:val="none"/>
              </w:rPr>
            </w:pPr>
            <w:r>
              <w:rPr>
                <w:rFonts w:hint="eastAsia" w:ascii="宋体" w:hAnsi="宋体" w:cs="宋体"/>
                <w:b/>
                <w:bCs/>
                <w:color w:val="auto"/>
                <w:sz w:val="24"/>
                <w:szCs w:val="24"/>
                <w:highlight w:val="none"/>
              </w:rPr>
              <w:t>其他</w:t>
            </w:r>
          </w:p>
        </w:tc>
      </w:tr>
      <w:tr w14:paraId="40220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auto" w:sz="4" w:space="0"/>
              <w:left w:val="single" w:color="auto" w:sz="4" w:space="0"/>
              <w:bottom w:val="single" w:color="auto" w:sz="4" w:space="0"/>
              <w:right w:val="single" w:color="auto" w:sz="4" w:space="0"/>
            </w:tcBorders>
            <w:vAlign w:val="center"/>
          </w:tcPr>
          <w:p w14:paraId="6803242C">
            <w:pPr>
              <w:adjustRightInd w:val="0"/>
              <w:spacing w:before="161" w:beforeLines="50" w:after="161" w:afterLines="50" w:line="360" w:lineRule="atLeast"/>
              <w:jc w:val="center"/>
              <w:rPr>
                <w:rFonts w:ascii="宋体" w:hAnsi="宋体" w:cs="宋体"/>
                <w:b/>
                <w:bCs/>
                <w:color w:val="auto"/>
                <w:sz w:val="24"/>
                <w:szCs w:val="24"/>
                <w:highlight w:val="none"/>
              </w:rPr>
            </w:pPr>
          </w:p>
        </w:tc>
        <w:tc>
          <w:tcPr>
            <w:tcW w:w="992" w:type="dxa"/>
            <w:tcBorders>
              <w:top w:val="single" w:color="auto" w:sz="4" w:space="0"/>
              <w:left w:val="single" w:color="auto" w:sz="4" w:space="0"/>
              <w:bottom w:val="single" w:color="auto" w:sz="4" w:space="0"/>
              <w:right w:val="single" w:color="auto" w:sz="4" w:space="0"/>
            </w:tcBorders>
            <w:vAlign w:val="center"/>
          </w:tcPr>
          <w:p w14:paraId="067E22EA">
            <w:pPr>
              <w:adjustRightInd w:val="0"/>
              <w:spacing w:before="161" w:beforeLines="50" w:after="161" w:afterLines="50" w:line="360" w:lineRule="atLeast"/>
              <w:jc w:val="center"/>
              <w:rPr>
                <w:rFonts w:ascii="宋体" w:hAnsi="宋体" w:cs="宋体"/>
                <w:b/>
                <w:bCs/>
                <w:color w:val="auto"/>
                <w:sz w:val="24"/>
                <w:szCs w:val="24"/>
                <w:highlight w:val="none"/>
              </w:rPr>
            </w:pPr>
          </w:p>
        </w:tc>
        <w:tc>
          <w:tcPr>
            <w:tcW w:w="1296" w:type="dxa"/>
            <w:tcBorders>
              <w:top w:val="single" w:color="auto" w:sz="4" w:space="0"/>
              <w:left w:val="single" w:color="auto" w:sz="4" w:space="0"/>
              <w:bottom w:val="single" w:color="auto" w:sz="4" w:space="0"/>
              <w:right w:val="single" w:color="auto" w:sz="4" w:space="0"/>
            </w:tcBorders>
          </w:tcPr>
          <w:p w14:paraId="0A8305D0">
            <w:pPr>
              <w:adjustRightInd w:val="0"/>
              <w:spacing w:before="161" w:beforeLines="50" w:after="161" w:afterLines="50" w:line="360" w:lineRule="atLeast"/>
              <w:jc w:val="center"/>
              <w:rPr>
                <w:rFonts w:ascii="宋体" w:hAnsi="宋体" w:cs="宋体"/>
                <w:b/>
                <w:bCs/>
                <w:color w:val="auto"/>
                <w:sz w:val="24"/>
                <w:szCs w:val="24"/>
                <w:highlight w:val="none"/>
              </w:rPr>
            </w:pPr>
          </w:p>
        </w:tc>
        <w:tc>
          <w:tcPr>
            <w:tcW w:w="951" w:type="dxa"/>
            <w:tcBorders>
              <w:top w:val="single" w:color="auto" w:sz="4" w:space="0"/>
              <w:left w:val="single" w:color="auto" w:sz="4" w:space="0"/>
              <w:bottom w:val="single" w:color="auto" w:sz="4" w:space="0"/>
              <w:right w:val="single" w:color="auto" w:sz="4" w:space="0"/>
            </w:tcBorders>
          </w:tcPr>
          <w:p w14:paraId="4036C340">
            <w:pPr>
              <w:adjustRightInd w:val="0"/>
              <w:spacing w:before="161" w:beforeLines="50" w:after="161" w:afterLines="50" w:line="360" w:lineRule="atLeast"/>
              <w:jc w:val="center"/>
              <w:rPr>
                <w:rFonts w:ascii="宋体" w:hAnsi="宋体" w:cs="宋体"/>
                <w:b/>
                <w:bCs/>
                <w:color w:val="auto"/>
                <w:sz w:val="24"/>
                <w:szCs w:val="24"/>
                <w:highlight w:val="none"/>
              </w:rPr>
            </w:pPr>
          </w:p>
        </w:tc>
        <w:tc>
          <w:tcPr>
            <w:tcW w:w="952" w:type="dxa"/>
            <w:tcBorders>
              <w:top w:val="single" w:color="auto" w:sz="4" w:space="0"/>
              <w:left w:val="single" w:color="auto" w:sz="4" w:space="0"/>
              <w:bottom w:val="single" w:color="auto" w:sz="4" w:space="0"/>
              <w:right w:val="single" w:color="auto" w:sz="4" w:space="0"/>
            </w:tcBorders>
            <w:vAlign w:val="center"/>
          </w:tcPr>
          <w:p w14:paraId="13CC7AD4">
            <w:pPr>
              <w:adjustRightInd w:val="0"/>
              <w:spacing w:before="161" w:beforeLines="50" w:after="161" w:afterLines="50" w:line="360" w:lineRule="atLeast"/>
              <w:jc w:val="center"/>
              <w:rPr>
                <w:rFonts w:ascii="宋体" w:hAnsi="宋体" w:cs="宋体"/>
                <w:b/>
                <w:bCs/>
                <w:color w:val="auto"/>
                <w:sz w:val="24"/>
                <w:szCs w:val="24"/>
                <w:highlight w:val="none"/>
              </w:rPr>
            </w:pPr>
          </w:p>
        </w:tc>
        <w:tc>
          <w:tcPr>
            <w:tcW w:w="952" w:type="dxa"/>
            <w:tcBorders>
              <w:top w:val="single" w:color="auto" w:sz="4" w:space="0"/>
              <w:left w:val="single" w:color="auto" w:sz="4" w:space="0"/>
              <w:bottom w:val="single" w:color="auto" w:sz="4" w:space="0"/>
              <w:right w:val="single" w:color="auto" w:sz="4" w:space="0"/>
            </w:tcBorders>
            <w:vAlign w:val="center"/>
          </w:tcPr>
          <w:p w14:paraId="4D651900">
            <w:pPr>
              <w:adjustRightInd w:val="0"/>
              <w:spacing w:before="161" w:beforeLines="50" w:after="161" w:afterLines="50" w:line="360" w:lineRule="atLeast"/>
              <w:jc w:val="center"/>
              <w:rPr>
                <w:rFonts w:ascii="宋体" w:hAnsi="宋体" w:cs="宋体"/>
                <w:b/>
                <w:bCs/>
                <w:color w:val="auto"/>
                <w:sz w:val="24"/>
                <w:szCs w:val="24"/>
                <w:highlight w:val="none"/>
              </w:rPr>
            </w:pPr>
          </w:p>
        </w:tc>
        <w:tc>
          <w:tcPr>
            <w:tcW w:w="952" w:type="dxa"/>
            <w:tcBorders>
              <w:top w:val="single" w:color="auto" w:sz="4" w:space="0"/>
              <w:left w:val="single" w:color="auto" w:sz="4" w:space="0"/>
              <w:bottom w:val="single" w:color="auto" w:sz="4" w:space="0"/>
              <w:right w:val="single" w:color="auto" w:sz="4" w:space="0"/>
            </w:tcBorders>
            <w:vAlign w:val="center"/>
          </w:tcPr>
          <w:p w14:paraId="74FF9D4E">
            <w:pPr>
              <w:adjustRightInd w:val="0"/>
              <w:spacing w:before="161" w:beforeLines="50" w:after="161" w:afterLines="50" w:line="360" w:lineRule="atLeast"/>
              <w:jc w:val="center"/>
              <w:rPr>
                <w:rFonts w:ascii="宋体" w:hAnsi="宋体" w:cs="宋体"/>
                <w:b/>
                <w:bCs/>
                <w:color w:val="auto"/>
                <w:sz w:val="24"/>
                <w:szCs w:val="24"/>
                <w:highlight w:val="none"/>
              </w:rPr>
            </w:pPr>
          </w:p>
        </w:tc>
        <w:tc>
          <w:tcPr>
            <w:tcW w:w="1418" w:type="dxa"/>
            <w:tcBorders>
              <w:top w:val="single" w:color="auto" w:sz="4" w:space="0"/>
              <w:left w:val="single" w:color="auto" w:sz="4" w:space="0"/>
              <w:bottom w:val="single" w:color="auto" w:sz="4" w:space="0"/>
              <w:right w:val="single" w:color="auto" w:sz="4" w:space="0"/>
            </w:tcBorders>
            <w:vAlign w:val="center"/>
          </w:tcPr>
          <w:p w14:paraId="01A9EBE0">
            <w:pPr>
              <w:adjustRightInd w:val="0"/>
              <w:spacing w:before="161" w:beforeLines="50" w:after="161" w:afterLines="50" w:line="360" w:lineRule="atLeast"/>
              <w:jc w:val="center"/>
              <w:rPr>
                <w:rFonts w:ascii="宋体" w:hAnsi="宋体" w:cs="宋体"/>
                <w:b/>
                <w:bCs/>
                <w:color w:val="auto"/>
                <w:sz w:val="24"/>
                <w:szCs w:val="24"/>
                <w:highlight w:val="none"/>
              </w:rPr>
            </w:pPr>
          </w:p>
        </w:tc>
        <w:tc>
          <w:tcPr>
            <w:tcW w:w="992" w:type="dxa"/>
            <w:tcBorders>
              <w:top w:val="single" w:color="auto" w:sz="4" w:space="0"/>
              <w:left w:val="single" w:color="auto" w:sz="4" w:space="0"/>
              <w:bottom w:val="single" w:color="auto" w:sz="4" w:space="0"/>
              <w:right w:val="single" w:color="auto" w:sz="4" w:space="0"/>
            </w:tcBorders>
            <w:vAlign w:val="center"/>
          </w:tcPr>
          <w:p w14:paraId="2838297B">
            <w:pPr>
              <w:adjustRightInd w:val="0"/>
              <w:spacing w:before="161" w:beforeLines="50" w:after="161" w:afterLines="50" w:line="360" w:lineRule="atLeast"/>
              <w:jc w:val="center"/>
              <w:rPr>
                <w:rFonts w:ascii="宋体" w:hAnsi="宋体" w:cs="宋体"/>
                <w:b/>
                <w:bCs/>
                <w:color w:val="auto"/>
                <w:sz w:val="24"/>
                <w:szCs w:val="24"/>
                <w:highlight w:val="none"/>
              </w:rPr>
            </w:pPr>
          </w:p>
        </w:tc>
      </w:tr>
      <w:tr w14:paraId="52573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auto" w:sz="4" w:space="0"/>
              <w:left w:val="single" w:color="auto" w:sz="4" w:space="0"/>
              <w:bottom w:val="single" w:color="auto" w:sz="4" w:space="0"/>
              <w:right w:val="single" w:color="auto" w:sz="4" w:space="0"/>
            </w:tcBorders>
            <w:vAlign w:val="center"/>
          </w:tcPr>
          <w:p w14:paraId="0B033778">
            <w:pPr>
              <w:adjustRightInd w:val="0"/>
              <w:spacing w:before="161" w:beforeLines="50" w:after="161" w:afterLines="50" w:line="360" w:lineRule="atLeast"/>
              <w:jc w:val="center"/>
              <w:rPr>
                <w:rFonts w:ascii="宋体" w:hAnsi="宋体" w:cs="宋体"/>
                <w:b/>
                <w:bCs/>
                <w:color w:val="auto"/>
                <w:sz w:val="24"/>
                <w:szCs w:val="24"/>
                <w:highlight w:val="none"/>
              </w:rPr>
            </w:pPr>
          </w:p>
        </w:tc>
        <w:tc>
          <w:tcPr>
            <w:tcW w:w="992" w:type="dxa"/>
            <w:tcBorders>
              <w:top w:val="single" w:color="auto" w:sz="4" w:space="0"/>
              <w:left w:val="single" w:color="auto" w:sz="4" w:space="0"/>
              <w:bottom w:val="single" w:color="auto" w:sz="4" w:space="0"/>
              <w:right w:val="single" w:color="auto" w:sz="4" w:space="0"/>
            </w:tcBorders>
            <w:vAlign w:val="center"/>
          </w:tcPr>
          <w:p w14:paraId="67F5D4A4">
            <w:pPr>
              <w:adjustRightInd w:val="0"/>
              <w:spacing w:before="161" w:beforeLines="50" w:after="161" w:afterLines="50" w:line="360" w:lineRule="atLeast"/>
              <w:jc w:val="center"/>
              <w:rPr>
                <w:rFonts w:ascii="宋体" w:hAnsi="宋体" w:cs="宋体"/>
                <w:b/>
                <w:bCs/>
                <w:color w:val="auto"/>
                <w:sz w:val="24"/>
                <w:szCs w:val="24"/>
                <w:highlight w:val="none"/>
              </w:rPr>
            </w:pPr>
          </w:p>
        </w:tc>
        <w:tc>
          <w:tcPr>
            <w:tcW w:w="1296" w:type="dxa"/>
            <w:tcBorders>
              <w:top w:val="single" w:color="auto" w:sz="4" w:space="0"/>
              <w:left w:val="single" w:color="auto" w:sz="4" w:space="0"/>
              <w:bottom w:val="single" w:color="auto" w:sz="4" w:space="0"/>
              <w:right w:val="single" w:color="auto" w:sz="4" w:space="0"/>
            </w:tcBorders>
          </w:tcPr>
          <w:p w14:paraId="15D8D322">
            <w:pPr>
              <w:adjustRightInd w:val="0"/>
              <w:spacing w:before="161" w:beforeLines="50" w:after="161" w:afterLines="50" w:line="360" w:lineRule="atLeast"/>
              <w:jc w:val="center"/>
              <w:rPr>
                <w:rFonts w:ascii="宋体" w:hAnsi="宋体" w:cs="宋体"/>
                <w:b/>
                <w:bCs/>
                <w:color w:val="auto"/>
                <w:sz w:val="24"/>
                <w:szCs w:val="24"/>
                <w:highlight w:val="none"/>
              </w:rPr>
            </w:pPr>
          </w:p>
        </w:tc>
        <w:tc>
          <w:tcPr>
            <w:tcW w:w="951" w:type="dxa"/>
            <w:tcBorders>
              <w:top w:val="single" w:color="auto" w:sz="4" w:space="0"/>
              <w:left w:val="single" w:color="auto" w:sz="4" w:space="0"/>
              <w:bottom w:val="single" w:color="auto" w:sz="4" w:space="0"/>
              <w:right w:val="single" w:color="auto" w:sz="4" w:space="0"/>
            </w:tcBorders>
          </w:tcPr>
          <w:p w14:paraId="0ED8EFF2">
            <w:pPr>
              <w:adjustRightInd w:val="0"/>
              <w:spacing w:before="161" w:beforeLines="50" w:after="161" w:afterLines="50" w:line="360" w:lineRule="atLeast"/>
              <w:jc w:val="center"/>
              <w:rPr>
                <w:rFonts w:ascii="宋体" w:hAnsi="宋体" w:cs="宋体"/>
                <w:b/>
                <w:bCs/>
                <w:color w:val="auto"/>
                <w:sz w:val="24"/>
                <w:szCs w:val="24"/>
                <w:highlight w:val="none"/>
              </w:rPr>
            </w:pPr>
          </w:p>
        </w:tc>
        <w:tc>
          <w:tcPr>
            <w:tcW w:w="952" w:type="dxa"/>
            <w:tcBorders>
              <w:top w:val="single" w:color="auto" w:sz="4" w:space="0"/>
              <w:left w:val="single" w:color="auto" w:sz="4" w:space="0"/>
              <w:bottom w:val="single" w:color="auto" w:sz="4" w:space="0"/>
              <w:right w:val="single" w:color="auto" w:sz="4" w:space="0"/>
            </w:tcBorders>
            <w:vAlign w:val="center"/>
          </w:tcPr>
          <w:p w14:paraId="3355B08E">
            <w:pPr>
              <w:adjustRightInd w:val="0"/>
              <w:spacing w:before="161" w:beforeLines="50" w:after="161" w:afterLines="50" w:line="360" w:lineRule="atLeast"/>
              <w:jc w:val="center"/>
              <w:rPr>
                <w:rFonts w:ascii="宋体" w:hAnsi="宋体" w:cs="宋体"/>
                <w:b/>
                <w:bCs/>
                <w:color w:val="auto"/>
                <w:sz w:val="24"/>
                <w:szCs w:val="24"/>
                <w:highlight w:val="none"/>
              </w:rPr>
            </w:pPr>
          </w:p>
        </w:tc>
        <w:tc>
          <w:tcPr>
            <w:tcW w:w="952" w:type="dxa"/>
            <w:tcBorders>
              <w:top w:val="single" w:color="auto" w:sz="4" w:space="0"/>
              <w:left w:val="single" w:color="auto" w:sz="4" w:space="0"/>
              <w:bottom w:val="single" w:color="auto" w:sz="4" w:space="0"/>
              <w:right w:val="single" w:color="auto" w:sz="4" w:space="0"/>
            </w:tcBorders>
            <w:vAlign w:val="center"/>
          </w:tcPr>
          <w:p w14:paraId="35855F89">
            <w:pPr>
              <w:adjustRightInd w:val="0"/>
              <w:spacing w:before="161" w:beforeLines="50" w:after="161" w:afterLines="50" w:line="360" w:lineRule="atLeast"/>
              <w:jc w:val="center"/>
              <w:rPr>
                <w:rFonts w:ascii="宋体" w:hAnsi="宋体" w:cs="宋体"/>
                <w:b/>
                <w:bCs/>
                <w:color w:val="auto"/>
                <w:sz w:val="24"/>
                <w:szCs w:val="24"/>
                <w:highlight w:val="none"/>
              </w:rPr>
            </w:pPr>
          </w:p>
        </w:tc>
        <w:tc>
          <w:tcPr>
            <w:tcW w:w="952" w:type="dxa"/>
            <w:tcBorders>
              <w:top w:val="single" w:color="auto" w:sz="4" w:space="0"/>
              <w:left w:val="single" w:color="auto" w:sz="4" w:space="0"/>
              <w:bottom w:val="single" w:color="auto" w:sz="4" w:space="0"/>
              <w:right w:val="single" w:color="auto" w:sz="4" w:space="0"/>
            </w:tcBorders>
            <w:vAlign w:val="center"/>
          </w:tcPr>
          <w:p w14:paraId="0E66A497">
            <w:pPr>
              <w:adjustRightInd w:val="0"/>
              <w:spacing w:before="161" w:beforeLines="50" w:after="161" w:afterLines="50" w:line="360" w:lineRule="atLeast"/>
              <w:jc w:val="center"/>
              <w:rPr>
                <w:rFonts w:ascii="宋体" w:hAnsi="宋体" w:cs="宋体"/>
                <w:b/>
                <w:bCs/>
                <w:color w:val="auto"/>
                <w:sz w:val="24"/>
                <w:szCs w:val="24"/>
                <w:highlight w:val="none"/>
              </w:rPr>
            </w:pPr>
          </w:p>
        </w:tc>
        <w:tc>
          <w:tcPr>
            <w:tcW w:w="1418" w:type="dxa"/>
            <w:tcBorders>
              <w:top w:val="single" w:color="auto" w:sz="4" w:space="0"/>
              <w:left w:val="single" w:color="auto" w:sz="4" w:space="0"/>
              <w:bottom w:val="single" w:color="auto" w:sz="4" w:space="0"/>
              <w:right w:val="single" w:color="auto" w:sz="4" w:space="0"/>
            </w:tcBorders>
            <w:vAlign w:val="center"/>
          </w:tcPr>
          <w:p w14:paraId="336E0D17">
            <w:pPr>
              <w:adjustRightInd w:val="0"/>
              <w:spacing w:before="161" w:beforeLines="50" w:after="161" w:afterLines="50" w:line="360" w:lineRule="atLeast"/>
              <w:jc w:val="center"/>
              <w:rPr>
                <w:rFonts w:ascii="宋体" w:hAnsi="宋体" w:cs="宋体"/>
                <w:b/>
                <w:bCs/>
                <w:color w:val="auto"/>
                <w:sz w:val="24"/>
                <w:szCs w:val="24"/>
                <w:highlight w:val="none"/>
              </w:rPr>
            </w:pPr>
          </w:p>
        </w:tc>
        <w:tc>
          <w:tcPr>
            <w:tcW w:w="992" w:type="dxa"/>
            <w:tcBorders>
              <w:top w:val="single" w:color="auto" w:sz="4" w:space="0"/>
              <w:left w:val="single" w:color="auto" w:sz="4" w:space="0"/>
              <w:bottom w:val="single" w:color="auto" w:sz="4" w:space="0"/>
              <w:right w:val="single" w:color="auto" w:sz="4" w:space="0"/>
            </w:tcBorders>
            <w:vAlign w:val="center"/>
          </w:tcPr>
          <w:p w14:paraId="2C30B2B7">
            <w:pPr>
              <w:adjustRightInd w:val="0"/>
              <w:spacing w:before="161" w:beforeLines="50" w:after="161" w:afterLines="50" w:line="360" w:lineRule="atLeast"/>
              <w:jc w:val="center"/>
              <w:rPr>
                <w:rFonts w:ascii="宋体" w:hAnsi="宋体" w:cs="宋体"/>
                <w:b/>
                <w:bCs/>
                <w:color w:val="auto"/>
                <w:sz w:val="24"/>
                <w:szCs w:val="24"/>
                <w:highlight w:val="none"/>
              </w:rPr>
            </w:pPr>
          </w:p>
        </w:tc>
      </w:tr>
      <w:tr w14:paraId="76E5F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auto" w:sz="4" w:space="0"/>
              <w:left w:val="single" w:color="auto" w:sz="4" w:space="0"/>
              <w:bottom w:val="single" w:color="auto" w:sz="4" w:space="0"/>
              <w:right w:val="single" w:color="auto" w:sz="4" w:space="0"/>
            </w:tcBorders>
            <w:vAlign w:val="center"/>
          </w:tcPr>
          <w:p w14:paraId="4AC35D8C">
            <w:pPr>
              <w:adjustRightInd w:val="0"/>
              <w:spacing w:before="161" w:beforeLines="50" w:after="161" w:afterLines="50" w:line="360" w:lineRule="atLeast"/>
              <w:jc w:val="center"/>
              <w:rPr>
                <w:rFonts w:ascii="宋体" w:hAnsi="宋体" w:cs="宋体"/>
                <w:b/>
                <w:bCs/>
                <w:color w:val="auto"/>
                <w:sz w:val="24"/>
                <w:szCs w:val="24"/>
                <w:highlight w:val="none"/>
              </w:rPr>
            </w:pPr>
          </w:p>
        </w:tc>
        <w:tc>
          <w:tcPr>
            <w:tcW w:w="992" w:type="dxa"/>
            <w:tcBorders>
              <w:top w:val="single" w:color="auto" w:sz="4" w:space="0"/>
              <w:left w:val="single" w:color="auto" w:sz="4" w:space="0"/>
              <w:bottom w:val="single" w:color="auto" w:sz="4" w:space="0"/>
              <w:right w:val="single" w:color="auto" w:sz="4" w:space="0"/>
            </w:tcBorders>
            <w:vAlign w:val="center"/>
          </w:tcPr>
          <w:p w14:paraId="3DCC9D47">
            <w:pPr>
              <w:adjustRightInd w:val="0"/>
              <w:spacing w:before="161" w:beforeLines="50" w:after="161" w:afterLines="50" w:line="360" w:lineRule="atLeast"/>
              <w:jc w:val="center"/>
              <w:rPr>
                <w:rFonts w:ascii="宋体" w:hAnsi="宋体" w:cs="宋体"/>
                <w:b/>
                <w:bCs/>
                <w:color w:val="auto"/>
                <w:sz w:val="24"/>
                <w:szCs w:val="24"/>
                <w:highlight w:val="none"/>
              </w:rPr>
            </w:pPr>
          </w:p>
        </w:tc>
        <w:tc>
          <w:tcPr>
            <w:tcW w:w="1296" w:type="dxa"/>
            <w:tcBorders>
              <w:top w:val="single" w:color="auto" w:sz="4" w:space="0"/>
              <w:left w:val="single" w:color="auto" w:sz="4" w:space="0"/>
              <w:bottom w:val="single" w:color="auto" w:sz="4" w:space="0"/>
              <w:right w:val="single" w:color="auto" w:sz="4" w:space="0"/>
            </w:tcBorders>
          </w:tcPr>
          <w:p w14:paraId="5306929C">
            <w:pPr>
              <w:adjustRightInd w:val="0"/>
              <w:spacing w:before="161" w:beforeLines="50" w:after="161" w:afterLines="50" w:line="360" w:lineRule="atLeast"/>
              <w:jc w:val="center"/>
              <w:rPr>
                <w:rFonts w:ascii="宋体" w:hAnsi="宋体" w:cs="宋体"/>
                <w:b/>
                <w:bCs/>
                <w:color w:val="auto"/>
                <w:sz w:val="24"/>
                <w:szCs w:val="24"/>
                <w:highlight w:val="none"/>
              </w:rPr>
            </w:pPr>
          </w:p>
        </w:tc>
        <w:tc>
          <w:tcPr>
            <w:tcW w:w="951" w:type="dxa"/>
            <w:tcBorders>
              <w:top w:val="single" w:color="auto" w:sz="4" w:space="0"/>
              <w:left w:val="single" w:color="auto" w:sz="4" w:space="0"/>
              <w:bottom w:val="single" w:color="auto" w:sz="4" w:space="0"/>
              <w:right w:val="single" w:color="auto" w:sz="4" w:space="0"/>
            </w:tcBorders>
          </w:tcPr>
          <w:p w14:paraId="1837CF42">
            <w:pPr>
              <w:adjustRightInd w:val="0"/>
              <w:spacing w:before="161" w:beforeLines="50" w:after="161" w:afterLines="50" w:line="360" w:lineRule="atLeast"/>
              <w:jc w:val="center"/>
              <w:rPr>
                <w:rFonts w:ascii="宋体" w:hAnsi="宋体" w:cs="宋体"/>
                <w:b/>
                <w:bCs/>
                <w:color w:val="auto"/>
                <w:sz w:val="24"/>
                <w:szCs w:val="24"/>
                <w:highlight w:val="none"/>
              </w:rPr>
            </w:pPr>
          </w:p>
        </w:tc>
        <w:tc>
          <w:tcPr>
            <w:tcW w:w="952" w:type="dxa"/>
            <w:tcBorders>
              <w:top w:val="single" w:color="auto" w:sz="4" w:space="0"/>
              <w:left w:val="single" w:color="auto" w:sz="4" w:space="0"/>
              <w:bottom w:val="single" w:color="auto" w:sz="4" w:space="0"/>
              <w:right w:val="single" w:color="auto" w:sz="4" w:space="0"/>
            </w:tcBorders>
            <w:vAlign w:val="center"/>
          </w:tcPr>
          <w:p w14:paraId="1588911D">
            <w:pPr>
              <w:adjustRightInd w:val="0"/>
              <w:spacing w:before="161" w:beforeLines="50" w:after="161" w:afterLines="50" w:line="360" w:lineRule="atLeast"/>
              <w:jc w:val="center"/>
              <w:rPr>
                <w:rFonts w:ascii="宋体" w:hAnsi="宋体" w:cs="宋体"/>
                <w:b/>
                <w:bCs/>
                <w:color w:val="auto"/>
                <w:sz w:val="24"/>
                <w:szCs w:val="24"/>
                <w:highlight w:val="none"/>
              </w:rPr>
            </w:pPr>
          </w:p>
        </w:tc>
        <w:tc>
          <w:tcPr>
            <w:tcW w:w="952" w:type="dxa"/>
            <w:tcBorders>
              <w:top w:val="single" w:color="auto" w:sz="4" w:space="0"/>
              <w:left w:val="single" w:color="auto" w:sz="4" w:space="0"/>
              <w:bottom w:val="single" w:color="auto" w:sz="4" w:space="0"/>
              <w:right w:val="single" w:color="auto" w:sz="4" w:space="0"/>
            </w:tcBorders>
            <w:vAlign w:val="center"/>
          </w:tcPr>
          <w:p w14:paraId="5E26E62C">
            <w:pPr>
              <w:adjustRightInd w:val="0"/>
              <w:spacing w:before="161" w:beforeLines="50" w:after="161" w:afterLines="50" w:line="360" w:lineRule="atLeast"/>
              <w:jc w:val="center"/>
              <w:rPr>
                <w:rFonts w:ascii="宋体" w:hAnsi="宋体" w:cs="宋体"/>
                <w:b/>
                <w:bCs/>
                <w:color w:val="auto"/>
                <w:sz w:val="24"/>
                <w:szCs w:val="24"/>
                <w:highlight w:val="none"/>
              </w:rPr>
            </w:pPr>
          </w:p>
        </w:tc>
        <w:tc>
          <w:tcPr>
            <w:tcW w:w="952" w:type="dxa"/>
            <w:tcBorders>
              <w:top w:val="single" w:color="auto" w:sz="4" w:space="0"/>
              <w:left w:val="single" w:color="auto" w:sz="4" w:space="0"/>
              <w:bottom w:val="single" w:color="auto" w:sz="4" w:space="0"/>
              <w:right w:val="single" w:color="auto" w:sz="4" w:space="0"/>
            </w:tcBorders>
            <w:vAlign w:val="center"/>
          </w:tcPr>
          <w:p w14:paraId="646980D0">
            <w:pPr>
              <w:adjustRightInd w:val="0"/>
              <w:spacing w:before="161" w:beforeLines="50" w:after="161" w:afterLines="50" w:line="360" w:lineRule="atLeast"/>
              <w:jc w:val="center"/>
              <w:rPr>
                <w:rFonts w:ascii="宋体" w:hAnsi="宋体" w:cs="宋体"/>
                <w:b/>
                <w:bCs/>
                <w:color w:val="auto"/>
                <w:sz w:val="24"/>
                <w:szCs w:val="24"/>
                <w:highlight w:val="none"/>
              </w:rPr>
            </w:pPr>
          </w:p>
        </w:tc>
        <w:tc>
          <w:tcPr>
            <w:tcW w:w="1418" w:type="dxa"/>
            <w:tcBorders>
              <w:top w:val="single" w:color="auto" w:sz="4" w:space="0"/>
              <w:left w:val="single" w:color="auto" w:sz="4" w:space="0"/>
              <w:bottom w:val="single" w:color="auto" w:sz="4" w:space="0"/>
              <w:right w:val="single" w:color="auto" w:sz="4" w:space="0"/>
            </w:tcBorders>
            <w:vAlign w:val="center"/>
          </w:tcPr>
          <w:p w14:paraId="2DAFAE88">
            <w:pPr>
              <w:adjustRightInd w:val="0"/>
              <w:spacing w:before="161" w:beforeLines="50" w:after="161" w:afterLines="50" w:line="360" w:lineRule="atLeast"/>
              <w:jc w:val="center"/>
              <w:rPr>
                <w:rFonts w:ascii="宋体" w:hAnsi="宋体" w:cs="宋体"/>
                <w:b/>
                <w:bCs/>
                <w:color w:val="auto"/>
                <w:sz w:val="24"/>
                <w:szCs w:val="24"/>
                <w:highlight w:val="none"/>
              </w:rPr>
            </w:pPr>
          </w:p>
        </w:tc>
        <w:tc>
          <w:tcPr>
            <w:tcW w:w="992" w:type="dxa"/>
            <w:tcBorders>
              <w:top w:val="single" w:color="auto" w:sz="4" w:space="0"/>
              <w:left w:val="single" w:color="auto" w:sz="4" w:space="0"/>
              <w:bottom w:val="single" w:color="auto" w:sz="4" w:space="0"/>
              <w:right w:val="single" w:color="auto" w:sz="4" w:space="0"/>
            </w:tcBorders>
            <w:vAlign w:val="center"/>
          </w:tcPr>
          <w:p w14:paraId="421194B1">
            <w:pPr>
              <w:adjustRightInd w:val="0"/>
              <w:spacing w:before="161" w:beforeLines="50" w:after="161" w:afterLines="50" w:line="360" w:lineRule="atLeast"/>
              <w:jc w:val="center"/>
              <w:rPr>
                <w:rFonts w:ascii="宋体" w:hAnsi="宋体" w:cs="宋体"/>
                <w:b/>
                <w:bCs/>
                <w:color w:val="auto"/>
                <w:sz w:val="24"/>
                <w:szCs w:val="24"/>
                <w:highlight w:val="none"/>
              </w:rPr>
            </w:pPr>
          </w:p>
        </w:tc>
      </w:tr>
      <w:tr w14:paraId="66047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auto" w:sz="4" w:space="0"/>
              <w:left w:val="single" w:color="auto" w:sz="4" w:space="0"/>
              <w:bottom w:val="single" w:color="auto" w:sz="4" w:space="0"/>
              <w:right w:val="single" w:color="auto" w:sz="4" w:space="0"/>
            </w:tcBorders>
            <w:vAlign w:val="center"/>
          </w:tcPr>
          <w:p w14:paraId="7E8FC852">
            <w:pPr>
              <w:adjustRightInd w:val="0"/>
              <w:spacing w:before="161" w:beforeLines="50" w:after="161" w:afterLines="50" w:line="360" w:lineRule="atLeast"/>
              <w:jc w:val="center"/>
              <w:rPr>
                <w:rFonts w:ascii="宋体" w:hAnsi="宋体" w:cs="宋体"/>
                <w:b/>
                <w:bCs/>
                <w:color w:val="auto"/>
                <w:sz w:val="24"/>
                <w:szCs w:val="24"/>
                <w:highlight w:val="none"/>
              </w:rPr>
            </w:pPr>
          </w:p>
        </w:tc>
        <w:tc>
          <w:tcPr>
            <w:tcW w:w="992" w:type="dxa"/>
            <w:tcBorders>
              <w:top w:val="single" w:color="auto" w:sz="4" w:space="0"/>
              <w:left w:val="single" w:color="auto" w:sz="4" w:space="0"/>
              <w:bottom w:val="single" w:color="auto" w:sz="4" w:space="0"/>
              <w:right w:val="single" w:color="auto" w:sz="4" w:space="0"/>
            </w:tcBorders>
            <w:vAlign w:val="center"/>
          </w:tcPr>
          <w:p w14:paraId="7E4A3CEC">
            <w:pPr>
              <w:adjustRightInd w:val="0"/>
              <w:spacing w:before="161" w:beforeLines="50" w:after="161" w:afterLines="50" w:line="360" w:lineRule="atLeast"/>
              <w:jc w:val="center"/>
              <w:rPr>
                <w:rFonts w:ascii="宋体" w:hAnsi="宋体" w:cs="宋体"/>
                <w:b/>
                <w:bCs/>
                <w:color w:val="auto"/>
                <w:sz w:val="24"/>
                <w:szCs w:val="24"/>
                <w:highlight w:val="none"/>
              </w:rPr>
            </w:pPr>
          </w:p>
        </w:tc>
        <w:tc>
          <w:tcPr>
            <w:tcW w:w="1296" w:type="dxa"/>
            <w:tcBorders>
              <w:top w:val="single" w:color="auto" w:sz="4" w:space="0"/>
              <w:left w:val="single" w:color="auto" w:sz="4" w:space="0"/>
              <w:bottom w:val="single" w:color="auto" w:sz="4" w:space="0"/>
              <w:right w:val="single" w:color="auto" w:sz="4" w:space="0"/>
            </w:tcBorders>
          </w:tcPr>
          <w:p w14:paraId="372AA506">
            <w:pPr>
              <w:adjustRightInd w:val="0"/>
              <w:spacing w:before="161" w:beforeLines="50" w:after="161" w:afterLines="50" w:line="360" w:lineRule="atLeast"/>
              <w:jc w:val="center"/>
              <w:rPr>
                <w:rFonts w:ascii="宋体" w:hAnsi="宋体" w:cs="宋体"/>
                <w:b/>
                <w:bCs/>
                <w:color w:val="auto"/>
                <w:sz w:val="24"/>
                <w:szCs w:val="24"/>
                <w:highlight w:val="none"/>
              </w:rPr>
            </w:pPr>
          </w:p>
        </w:tc>
        <w:tc>
          <w:tcPr>
            <w:tcW w:w="951" w:type="dxa"/>
            <w:tcBorders>
              <w:top w:val="single" w:color="auto" w:sz="4" w:space="0"/>
              <w:left w:val="single" w:color="auto" w:sz="4" w:space="0"/>
              <w:bottom w:val="single" w:color="auto" w:sz="4" w:space="0"/>
              <w:right w:val="single" w:color="auto" w:sz="4" w:space="0"/>
            </w:tcBorders>
          </w:tcPr>
          <w:p w14:paraId="5231FD15">
            <w:pPr>
              <w:adjustRightInd w:val="0"/>
              <w:spacing w:before="161" w:beforeLines="50" w:after="161" w:afterLines="50" w:line="360" w:lineRule="atLeast"/>
              <w:jc w:val="center"/>
              <w:rPr>
                <w:rFonts w:ascii="宋体" w:hAnsi="宋体" w:cs="宋体"/>
                <w:b/>
                <w:bCs/>
                <w:color w:val="auto"/>
                <w:sz w:val="24"/>
                <w:szCs w:val="24"/>
                <w:highlight w:val="none"/>
              </w:rPr>
            </w:pPr>
          </w:p>
        </w:tc>
        <w:tc>
          <w:tcPr>
            <w:tcW w:w="952" w:type="dxa"/>
            <w:tcBorders>
              <w:top w:val="single" w:color="auto" w:sz="4" w:space="0"/>
              <w:left w:val="single" w:color="auto" w:sz="4" w:space="0"/>
              <w:bottom w:val="single" w:color="auto" w:sz="4" w:space="0"/>
              <w:right w:val="single" w:color="auto" w:sz="4" w:space="0"/>
            </w:tcBorders>
            <w:vAlign w:val="center"/>
          </w:tcPr>
          <w:p w14:paraId="357A1AB0">
            <w:pPr>
              <w:adjustRightInd w:val="0"/>
              <w:spacing w:before="161" w:beforeLines="50" w:after="161" w:afterLines="50" w:line="360" w:lineRule="atLeast"/>
              <w:jc w:val="center"/>
              <w:rPr>
                <w:rFonts w:ascii="宋体" w:hAnsi="宋体" w:cs="宋体"/>
                <w:b/>
                <w:bCs/>
                <w:color w:val="auto"/>
                <w:sz w:val="24"/>
                <w:szCs w:val="24"/>
                <w:highlight w:val="none"/>
              </w:rPr>
            </w:pPr>
          </w:p>
        </w:tc>
        <w:tc>
          <w:tcPr>
            <w:tcW w:w="952" w:type="dxa"/>
            <w:tcBorders>
              <w:top w:val="single" w:color="auto" w:sz="4" w:space="0"/>
              <w:left w:val="single" w:color="auto" w:sz="4" w:space="0"/>
              <w:bottom w:val="single" w:color="auto" w:sz="4" w:space="0"/>
              <w:right w:val="single" w:color="auto" w:sz="4" w:space="0"/>
            </w:tcBorders>
            <w:vAlign w:val="center"/>
          </w:tcPr>
          <w:p w14:paraId="367D7459">
            <w:pPr>
              <w:adjustRightInd w:val="0"/>
              <w:spacing w:before="161" w:beforeLines="50" w:after="161" w:afterLines="50" w:line="360" w:lineRule="atLeast"/>
              <w:jc w:val="center"/>
              <w:rPr>
                <w:rFonts w:ascii="宋体" w:hAnsi="宋体" w:cs="宋体"/>
                <w:b/>
                <w:bCs/>
                <w:color w:val="auto"/>
                <w:sz w:val="24"/>
                <w:szCs w:val="24"/>
                <w:highlight w:val="none"/>
              </w:rPr>
            </w:pPr>
          </w:p>
        </w:tc>
        <w:tc>
          <w:tcPr>
            <w:tcW w:w="952" w:type="dxa"/>
            <w:tcBorders>
              <w:top w:val="single" w:color="auto" w:sz="4" w:space="0"/>
              <w:left w:val="single" w:color="auto" w:sz="4" w:space="0"/>
              <w:bottom w:val="single" w:color="auto" w:sz="4" w:space="0"/>
              <w:right w:val="single" w:color="auto" w:sz="4" w:space="0"/>
            </w:tcBorders>
            <w:vAlign w:val="center"/>
          </w:tcPr>
          <w:p w14:paraId="4E29E2EA">
            <w:pPr>
              <w:adjustRightInd w:val="0"/>
              <w:spacing w:before="161" w:beforeLines="50" w:after="161" w:afterLines="50" w:line="360" w:lineRule="atLeast"/>
              <w:jc w:val="center"/>
              <w:rPr>
                <w:rFonts w:ascii="宋体" w:hAnsi="宋体" w:cs="宋体"/>
                <w:b/>
                <w:bCs/>
                <w:color w:val="auto"/>
                <w:sz w:val="24"/>
                <w:szCs w:val="24"/>
                <w:highlight w:val="none"/>
              </w:rPr>
            </w:pPr>
          </w:p>
        </w:tc>
        <w:tc>
          <w:tcPr>
            <w:tcW w:w="1418" w:type="dxa"/>
            <w:tcBorders>
              <w:top w:val="single" w:color="auto" w:sz="4" w:space="0"/>
              <w:left w:val="single" w:color="auto" w:sz="4" w:space="0"/>
              <w:bottom w:val="single" w:color="auto" w:sz="4" w:space="0"/>
              <w:right w:val="single" w:color="auto" w:sz="4" w:space="0"/>
            </w:tcBorders>
            <w:vAlign w:val="center"/>
          </w:tcPr>
          <w:p w14:paraId="49386574">
            <w:pPr>
              <w:adjustRightInd w:val="0"/>
              <w:spacing w:before="161" w:beforeLines="50" w:after="161" w:afterLines="50" w:line="360" w:lineRule="atLeast"/>
              <w:jc w:val="center"/>
              <w:rPr>
                <w:rFonts w:ascii="宋体" w:hAnsi="宋体" w:cs="宋体"/>
                <w:b/>
                <w:bCs/>
                <w:color w:val="auto"/>
                <w:sz w:val="24"/>
                <w:szCs w:val="24"/>
                <w:highlight w:val="none"/>
              </w:rPr>
            </w:pPr>
          </w:p>
        </w:tc>
        <w:tc>
          <w:tcPr>
            <w:tcW w:w="992" w:type="dxa"/>
            <w:tcBorders>
              <w:top w:val="single" w:color="auto" w:sz="4" w:space="0"/>
              <w:left w:val="single" w:color="auto" w:sz="4" w:space="0"/>
              <w:bottom w:val="single" w:color="auto" w:sz="4" w:space="0"/>
              <w:right w:val="single" w:color="auto" w:sz="4" w:space="0"/>
            </w:tcBorders>
            <w:vAlign w:val="center"/>
          </w:tcPr>
          <w:p w14:paraId="4EA58A1C">
            <w:pPr>
              <w:adjustRightInd w:val="0"/>
              <w:spacing w:before="161" w:beforeLines="50" w:after="161" w:afterLines="50" w:line="360" w:lineRule="atLeast"/>
              <w:jc w:val="center"/>
              <w:rPr>
                <w:rFonts w:ascii="宋体" w:hAnsi="宋体" w:cs="宋体"/>
                <w:b/>
                <w:bCs/>
                <w:color w:val="auto"/>
                <w:sz w:val="24"/>
                <w:szCs w:val="24"/>
                <w:highlight w:val="none"/>
              </w:rPr>
            </w:pPr>
          </w:p>
        </w:tc>
      </w:tr>
    </w:tbl>
    <w:p w14:paraId="11BB85B1">
      <w:pPr>
        <w:spacing w:before="161" w:beforeLines="50" w:after="161" w:afterLines="50"/>
        <w:rPr>
          <w:rFonts w:ascii="宋体" w:hAnsi="宋体" w:cs="宋体"/>
          <w:b/>
          <w:bCs/>
          <w:color w:val="auto"/>
          <w:sz w:val="24"/>
          <w:szCs w:val="24"/>
          <w:highlight w:val="none"/>
        </w:rPr>
      </w:pPr>
      <w:r>
        <w:rPr>
          <w:rFonts w:hint="eastAsia" w:ascii="宋体" w:hAnsi="宋体" w:cs="宋体"/>
          <w:b/>
          <w:bCs/>
          <w:color w:val="auto"/>
          <w:sz w:val="24"/>
          <w:szCs w:val="24"/>
          <w:highlight w:val="none"/>
        </w:rPr>
        <w:t>注：投标人应提供上述人员的学历、职称、职业资格、社保等相关证书或证明的复印件，原件备查。</w:t>
      </w:r>
    </w:p>
    <w:p w14:paraId="4E8B6213">
      <w:pPr>
        <w:spacing w:line="360" w:lineRule="auto"/>
        <w:ind w:firstLine="4200" w:firstLineChars="1750"/>
        <w:rPr>
          <w:rFonts w:ascii="宋体" w:hAnsi="宋体" w:cs="宋体"/>
          <w:color w:val="auto"/>
          <w:sz w:val="24"/>
          <w:szCs w:val="24"/>
          <w:highlight w:val="none"/>
        </w:rPr>
      </w:pPr>
    </w:p>
    <w:p w14:paraId="1A4A531E">
      <w:pPr>
        <w:spacing w:line="360" w:lineRule="auto"/>
        <w:ind w:firstLine="4200" w:firstLineChars="1750"/>
        <w:rPr>
          <w:rFonts w:ascii="宋体" w:hAnsi="宋体" w:cs="宋体"/>
          <w:color w:val="auto"/>
          <w:sz w:val="24"/>
          <w:szCs w:val="24"/>
          <w:highlight w:val="none"/>
        </w:rPr>
      </w:pPr>
      <w:r>
        <w:rPr>
          <w:rFonts w:hint="eastAsia" w:ascii="宋体" w:hAnsi="宋体" w:cs="宋体"/>
          <w:color w:val="auto"/>
          <w:sz w:val="24"/>
          <w:szCs w:val="24"/>
          <w:highlight w:val="none"/>
        </w:rPr>
        <w:t>投标人代表签字：</w:t>
      </w:r>
      <w:r>
        <w:rPr>
          <w:rFonts w:hint="eastAsia" w:ascii="宋体" w:hAnsi="宋体" w:cs="宋体"/>
          <w:color w:val="auto"/>
          <w:sz w:val="24"/>
          <w:szCs w:val="24"/>
          <w:highlight w:val="none"/>
          <w:u w:val="single"/>
        </w:rPr>
        <w:t xml:space="preserve">                  </w:t>
      </w:r>
    </w:p>
    <w:p w14:paraId="34F35286">
      <w:pPr>
        <w:spacing w:line="360" w:lineRule="auto"/>
        <w:ind w:firstLine="4200" w:firstLineChars="1750"/>
        <w:rPr>
          <w:rFonts w:ascii="宋体" w:hAnsi="宋体" w:cs="宋体"/>
          <w:color w:val="auto"/>
          <w:sz w:val="24"/>
          <w:szCs w:val="24"/>
          <w:highlight w:val="none"/>
          <w:u w:val="single"/>
        </w:rPr>
      </w:pPr>
      <w:r>
        <w:rPr>
          <w:rFonts w:hint="eastAsia" w:ascii="宋体" w:hAnsi="宋体" w:cs="宋体"/>
          <w:color w:val="auto"/>
          <w:sz w:val="24"/>
          <w:szCs w:val="24"/>
          <w:highlight w:val="none"/>
        </w:rPr>
        <w:t>日          期：</w:t>
      </w:r>
      <w:r>
        <w:rPr>
          <w:rFonts w:hint="eastAsia" w:ascii="宋体" w:hAnsi="宋体" w:cs="宋体"/>
          <w:color w:val="auto"/>
          <w:sz w:val="24"/>
          <w:szCs w:val="24"/>
          <w:highlight w:val="none"/>
          <w:u w:val="single"/>
        </w:rPr>
        <w:t xml:space="preserve">                  </w:t>
      </w:r>
    </w:p>
    <w:bookmarkEnd w:id="149"/>
    <w:bookmarkEnd w:id="150"/>
    <w:bookmarkEnd w:id="151"/>
    <w:bookmarkEnd w:id="152"/>
    <w:bookmarkEnd w:id="153"/>
    <w:bookmarkEnd w:id="154"/>
    <w:bookmarkEnd w:id="155"/>
    <w:bookmarkEnd w:id="156"/>
    <w:bookmarkEnd w:id="157"/>
    <w:p w14:paraId="6BB09CA9">
      <w:pPr>
        <w:pStyle w:val="47"/>
        <w:spacing w:line="360" w:lineRule="auto"/>
        <w:jc w:val="center"/>
        <w:outlineLvl w:val="1"/>
        <w:rPr>
          <w:rFonts w:hAnsi="宋体" w:cs="宋体"/>
          <w:color w:val="auto"/>
          <w:sz w:val="24"/>
          <w:szCs w:val="24"/>
          <w:highlight w:val="none"/>
          <w:u w:val="single"/>
        </w:rPr>
      </w:pPr>
      <w:bookmarkStart w:id="158" w:name="_Toc6682"/>
      <w:bookmarkStart w:id="159" w:name="_Toc11470"/>
      <w:bookmarkStart w:id="160" w:name="_Toc1021"/>
      <w:bookmarkStart w:id="161" w:name="_Toc22447"/>
      <w:bookmarkStart w:id="162" w:name="_Toc8534"/>
      <w:bookmarkStart w:id="163" w:name="_Toc14601"/>
      <w:bookmarkStart w:id="164" w:name="_Toc11566"/>
      <w:bookmarkStart w:id="165" w:name="_Toc25431"/>
      <w:bookmarkStart w:id="166" w:name="_Toc31080"/>
      <w:bookmarkStart w:id="167" w:name="_Toc25247"/>
      <w:r>
        <w:rPr>
          <w:rFonts w:hint="eastAsia" w:hAnsi="宋体" w:cs="宋体"/>
          <w:b/>
          <w:bCs/>
          <w:color w:val="auto"/>
          <w:sz w:val="32"/>
          <w:szCs w:val="32"/>
          <w:highlight w:val="none"/>
        </w:rPr>
        <w:t>六、技术规格和商务响应表</w:t>
      </w:r>
      <w:bookmarkEnd w:id="158"/>
      <w:bookmarkEnd w:id="159"/>
      <w:bookmarkEnd w:id="160"/>
      <w:bookmarkEnd w:id="161"/>
      <w:bookmarkEnd w:id="162"/>
      <w:bookmarkEnd w:id="163"/>
      <w:bookmarkEnd w:id="164"/>
      <w:bookmarkEnd w:id="165"/>
      <w:bookmarkEnd w:id="166"/>
      <w:bookmarkEnd w:id="167"/>
    </w:p>
    <w:p w14:paraId="54C36F2C">
      <w:pPr>
        <w:pStyle w:val="47"/>
        <w:spacing w:line="360" w:lineRule="auto"/>
        <w:ind w:left="1"/>
        <w:outlineLvl w:val="9"/>
        <w:rPr>
          <w:rFonts w:hAnsi="宋体" w:cs="宋体"/>
          <w:color w:val="auto"/>
          <w:sz w:val="24"/>
          <w:szCs w:val="24"/>
          <w:highlight w:val="none"/>
        </w:rPr>
      </w:pPr>
      <w:bookmarkStart w:id="168" w:name="_Toc8344"/>
      <w:bookmarkStart w:id="169" w:name="_Toc23697"/>
      <w:bookmarkStart w:id="170" w:name="_Toc29178"/>
      <w:bookmarkStart w:id="171" w:name="_Toc24268"/>
      <w:bookmarkStart w:id="172" w:name="_Toc12921"/>
      <w:bookmarkStart w:id="173" w:name="_Toc9485"/>
      <w:bookmarkStart w:id="174" w:name="_Toc24908"/>
      <w:bookmarkStart w:id="175" w:name="_Toc20077"/>
      <w:bookmarkStart w:id="176" w:name="_Toc26023"/>
      <w:r>
        <w:rPr>
          <w:rFonts w:hint="eastAsia" w:hAnsi="宋体" w:cs="宋体"/>
          <w:color w:val="auto"/>
          <w:sz w:val="24"/>
          <w:szCs w:val="24"/>
          <w:highlight w:val="none"/>
        </w:rPr>
        <w:t>投标人（全称并加盖公章）：                         招标编号</w:t>
      </w:r>
      <w:bookmarkEnd w:id="168"/>
      <w:bookmarkEnd w:id="169"/>
      <w:bookmarkEnd w:id="170"/>
      <w:bookmarkEnd w:id="171"/>
      <w:bookmarkEnd w:id="172"/>
      <w:bookmarkEnd w:id="173"/>
      <w:bookmarkEnd w:id="174"/>
      <w:bookmarkEnd w:id="175"/>
      <w:bookmarkEnd w:id="176"/>
      <w:r>
        <w:rPr>
          <w:rFonts w:hint="eastAsia" w:hAnsi="宋体" w:cs="宋体"/>
          <w:color w:val="auto"/>
          <w:sz w:val="24"/>
          <w:szCs w:val="24"/>
          <w:highlight w:val="none"/>
        </w:rPr>
        <w:t>：</w:t>
      </w:r>
      <w:r>
        <w:rPr>
          <w:rFonts w:hint="eastAsia" w:hAnsi="宋体" w:cs="宋体"/>
          <w:color w:val="auto"/>
          <w:sz w:val="24"/>
          <w:szCs w:val="24"/>
          <w:highlight w:val="none"/>
        </w:rPr>
        <w:tab/>
      </w:r>
    </w:p>
    <w:tbl>
      <w:tblPr>
        <w:tblStyle w:val="21"/>
        <w:tblW w:w="9193" w:type="dxa"/>
        <w:tblInd w:w="-4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6"/>
        <w:gridCol w:w="771"/>
        <w:gridCol w:w="1085"/>
        <w:gridCol w:w="1795"/>
        <w:gridCol w:w="2217"/>
        <w:gridCol w:w="1434"/>
        <w:gridCol w:w="795"/>
      </w:tblGrid>
      <w:tr w14:paraId="438A3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2" w:hRule="atLeast"/>
        </w:trPr>
        <w:tc>
          <w:tcPr>
            <w:tcW w:w="4747" w:type="dxa"/>
            <w:gridSpan w:val="4"/>
            <w:tcBorders>
              <w:top w:val="single" w:color="auto" w:sz="4" w:space="0"/>
              <w:left w:val="single" w:color="auto" w:sz="4" w:space="0"/>
              <w:bottom w:val="single" w:color="auto" w:sz="4" w:space="0"/>
              <w:right w:val="single" w:color="auto" w:sz="4" w:space="0"/>
            </w:tcBorders>
            <w:vAlign w:val="center"/>
          </w:tcPr>
          <w:p w14:paraId="099D8194">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招标要求</w:t>
            </w:r>
          </w:p>
        </w:tc>
        <w:tc>
          <w:tcPr>
            <w:tcW w:w="4446" w:type="dxa"/>
            <w:gridSpan w:val="3"/>
            <w:tcBorders>
              <w:top w:val="single" w:color="auto" w:sz="4" w:space="0"/>
              <w:left w:val="single" w:color="auto" w:sz="4" w:space="0"/>
              <w:bottom w:val="single" w:color="auto" w:sz="4" w:space="0"/>
              <w:right w:val="single" w:color="auto" w:sz="4" w:space="0"/>
            </w:tcBorders>
            <w:vAlign w:val="center"/>
          </w:tcPr>
          <w:p w14:paraId="359B0463">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投标响应</w:t>
            </w:r>
          </w:p>
        </w:tc>
      </w:tr>
      <w:tr w14:paraId="77A45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3" w:hRule="atLeast"/>
        </w:trPr>
        <w:tc>
          <w:tcPr>
            <w:tcW w:w="1096" w:type="dxa"/>
            <w:tcBorders>
              <w:top w:val="single" w:color="auto" w:sz="4" w:space="0"/>
              <w:left w:val="single" w:color="auto" w:sz="4" w:space="0"/>
              <w:bottom w:val="single" w:color="auto" w:sz="4" w:space="0"/>
              <w:right w:val="single" w:color="auto" w:sz="4" w:space="0"/>
            </w:tcBorders>
            <w:vAlign w:val="center"/>
          </w:tcPr>
          <w:p w14:paraId="29D408BC">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合同包/品目号</w:t>
            </w:r>
          </w:p>
        </w:tc>
        <w:tc>
          <w:tcPr>
            <w:tcW w:w="771" w:type="dxa"/>
            <w:tcBorders>
              <w:top w:val="single" w:color="auto" w:sz="4" w:space="0"/>
              <w:left w:val="single" w:color="auto" w:sz="4" w:space="0"/>
              <w:bottom w:val="single" w:color="auto" w:sz="4" w:space="0"/>
              <w:right w:val="single" w:color="auto" w:sz="4" w:space="0"/>
            </w:tcBorders>
            <w:vAlign w:val="center"/>
          </w:tcPr>
          <w:p w14:paraId="15BB4012">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项目名称</w:t>
            </w:r>
          </w:p>
        </w:tc>
        <w:tc>
          <w:tcPr>
            <w:tcW w:w="1085" w:type="dxa"/>
            <w:tcBorders>
              <w:top w:val="single" w:color="auto" w:sz="4" w:space="0"/>
              <w:left w:val="single" w:color="auto" w:sz="4" w:space="0"/>
              <w:bottom w:val="single" w:color="auto" w:sz="4" w:space="0"/>
              <w:right w:val="single" w:color="auto" w:sz="4" w:space="0"/>
            </w:tcBorders>
            <w:vAlign w:val="center"/>
          </w:tcPr>
          <w:p w14:paraId="1A714A2E">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规格条目号</w:t>
            </w:r>
          </w:p>
        </w:tc>
        <w:tc>
          <w:tcPr>
            <w:tcW w:w="1795" w:type="dxa"/>
            <w:tcBorders>
              <w:top w:val="single" w:color="auto" w:sz="4" w:space="0"/>
              <w:left w:val="single" w:color="auto" w:sz="4" w:space="0"/>
              <w:bottom w:val="single" w:color="auto" w:sz="4" w:space="0"/>
              <w:right w:val="single" w:color="auto" w:sz="4" w:space="0"/>
            </w:tcBorders>
            <w:vAlign w:val="center"/>
          </w:tcPr>
          <w:p w14:paraId="7767E9D2">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招标文件要求</w:t>
            </w:r>
          </w:p>
        </w:tc>
        <w:tc>
          <w:tcPr>
            <w:tcW w:w="2217" w:type="dxa"/>
            <w:tcBorders>
              <w:top w:val="single" w:color="auto" w:sz="4" w:space="0"/>
              <w:left w:val="single" w:color="auto" w:sz="4" w:space="0"/>
              <w:bottom w:val="single" w:color="auto" w:sz="4" w:space="0"/>
              <w:right w:val="single" w:color="auto" w:sz="4" w:space="0"/>
            </w:tcBorders>
            <w:vAlign w:val="center"/>
          </w:tcPr>
          <w:p w14:paraId="5ECA74C3">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投标响应情况</w:t>
            </w:r>
          </w:p>
        </w:tc>
        <w:tc>
          <w:tcPr>
            <w:tcW w:w="1434" w:type="dxa"/>
            <w:tcBorders>
              <w:top w:val="single" w:color="auto" w:sz="4" w:space="0"/>
              <w:left w:val="single" w:color="auto" w:sz="4" w:space="0"/>
              <w:bottom w:val="single" w:color="auto" w:sz="4" w:space="0"/>
              <w:right w:val="single" w:color="auto" w:sz="4" w:space="0"/>
            </w:tcBorders>
            <w:vAlign w:val="center"/>
          </w:tcPr>
          <w:p w14:paraId="6DEB186D">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投标响应对应的页码</w:t>
            </w:r>
          </w:p>
        </w:tc>
        <w:tc>
          <w:tcPr>
            <w:tcW w:w="795" w:type="dxa"/>
            <w:tcBorders>
              <w:top w:val="single" w:color="auto" w:sz="4" w:space="0"/>
              <w:left w:val="single" w:color="auto" w:sz="4" w:space="0"/>
              <w:bottom w:val="single" w:color="auto" w:sz="4" w:space="0"/>
              <w:right w:val="single" w:color="auto" w:sz="4" w:space="0"/>
            </w:tcBorders>
            <w:vAlign w:val="center"/>
          </w:tcPr>
          <w:p w14:paraId="78854E4D">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偏离说明</w:t>
            </w:r>
          </w:p>
        </w:tc>
      </w:tr>
      <w:tr w14:paraId="49F82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4" w:hRule="atLeast"/>
        </w:trPr>
        <w:tc>
          <w:tcPr>
            <w:tcW w:w="1096" w:type="dxa"/>
            <w:tcBorders>
              <w:top w:val="single" w:color="auto" w:sz="4" w:space="0"/>
              <w:left w:val="single" w:color="auto" w:sz="4" w:space="0"/>
              <w:bottom w:val="single" w:color="auto" w:sz="4" w:space="0"/>
              <w:right w:val="single" w:color="auto" w:sz="4" w:space="0"/>
            </w:tcBorders>
          </w:tcPr>
          <w:p w14:paraId="1D08BF95">
            <w:pPr>
              <w:spacing w:line="360" w:lineRule="auto"/>
              <w:rPr>
                <w:rFonts w:ascii="宋体" w:hAnsi="宋体" w:cs="宋体"/>
                <w:color w:val="auto"/>
                <w:sz w:val="24"/>
                <w:szCs w:val="24"/>
                <w:highlight w:val="none"/>
              </w:rPr>
            </w:pPr>
          </w:p>
        </w:tc>
        <w:tc>
          <w:tcPr>
            <w:tcW w:w="771" w:type="dxa"/>
            <w:tcBorders>
              <w:top w:val="single" w:color="auto" w:sz="4" w:space="0"/>
              <w:left w:val="single" w:color="auto" w:sz="4" w:space="0"/>
              <w:bottom w:val="single" w:color="auto" w:sz="4" w:space="0"/>
              <w:right w:val="single" w:color="auto" w:sz="4" w:space="0"/>
            </w:tcBorders>
          </w:tcPr>
          <w:p w14:paraId="307670F5">
            <w:pPr>
              <w:spacing w:line="360" w:lineRule="auto"/>
              <w:rPr>
                <w:rFonts w:ascii="宋体" w:hAnsi="宋体" w:cs="宋体"/>
                <w:color w:val="auto"/>
                <w:sz w:val="24"/>
                <w:szCs w:val="24"/>
                <w:highlight w:val="none"/>
              </w:rPr>
            </w:pPr>
          </w:p>
        </w:tc>
        <w:tc>
          <w:tcPr>
            <w:tcW w:w="1085" w:type="dxa"/>
            <w:tcBorders>
              <w:top w:val="single" w:color="auto" w:sz="4" w:space="0"/>
              <w:left w:val="single" w:color="auto" w:sz="4" w:space="0"/>
              <w:bottom w:val="single" w:color="auto" w:sz="4" w:space="0"/>
              <w:right w:val="single" w:color="auto" w:sz="4" w:space="0"/>
            </w:tcBorders>
          </w:tcPr>
          <w:p w14:paraId="6836C55D">
            <w:pPr>
              <w:spacing w:line="360" w:lineRule="auto"/>
              <w:rPr>
                <w:rFonts w:ascii="宋体" w:hAnsi="宋体" w:cs="宋体"/>
                <w:color w:val="auto"/>
                <w:sz w:val="24"/>
                <w:szCs w:val="24"/>
                <w:highlight w:val="none"/>
              </w:rPr>
            </w:pPr>
          </w:p>
        </w:tc>
        <w:tc>
          <w:tcPr>
            <w:tcW w:w="1795" w:type="dxa"/>
            <w:tcBorders>
              <w:top w:val="single" w:color="auto" w:sz="4" w:space="0"/>
              <w:left w:val="single" w:color="auto" w:sz="4" w:space="0"/>
              <w:bottom w:val="single" w:color="auto" w:sz="4" w:space="0"/>
              <w:right w:val="single" w:color="auto" w:sz="4" w:space="0"/>
            </w:tcBorders>
          </w:tcPr>
          <w:p w14:paraId="67AE44B7">
            <w:pPr>
              <w:spacing w:line="360" w:lineRule="auto"/>
              <w:rPr>
                <w:rFonts w:ascii="宋体" w:hAnsi="宋体" w:cs="宋体"/>
                <w:color w:val="auto"/>
                <w:sz w:val="24"/>
                <w:szCs w:val="24"/>
                <w:highlight w:val="none"/>
              </w:rPr>
            </w:pPr>
          </w:p>
        </w:tc>
        <w:tc>
          <w:tcPr>
            <w:tcW w:w="2217" w:type="dxa"/>
            <w:tcBorders>
              <w:top w:val="single" w:color="auto" w:sz="4" w:space="0"/>
              <w:left w:val="single" w:color="auto" w:sz="4" w:space="0"/>
              <w:bottom w:val="single" w:color="auto" w:sz="4" w:space="0"/>
              <w:right w:val="single" w:color="auto" w:sz="4" w:space="0"/>
            </w:tcBorders>
          </w:tcPr>
          <w:p w14:paraId="7675F283">
            <w:pPr>
              <w:spacing w:line="360" w:lineRule="auto"/>
              <w:rPr>
                <w:rFonts w:ascii="宋体" w:hAnsi="宋体" w:cs="宋体"/>
                <w:color w:val="auto"/>
                <w:sz w:val="24"/>
                <w:szCs w:val="24"/>
                <w:highlight w:val="none"/>
              </w:rPr>
            </w:pPr>
          </w:p>
        </w:tc>
        <w:tc>
          <w:tcPr>
            <w:tcW w:w="1434" w:type="dxa"/>
            <w:tcBorders>
              <w:top w:val="single" w:color="auto" w:sz="4" w:space="0"/>
              <w:left w:val="single" w:color="auto" w:sz="4" w:space="0"/>
              <w:bottom w:val="single" w:color="auto" w:sz="4" w:space="0"/>
              <w:right w:val="single" w:color="auto" w:sz="4" w:space="0"/>
            </w:tcBorders>
          </w:tcPr>
          <w:p w14:paraId="2473229E">
            <w:pPr>
              <w:spacing w:line="360" w:lineRule="auto"/>
              <w:rPr>
                <w:rFonts w:ascii="宋体" w:hAnsi="宋体" w:cs="宋体"/>
                <w:color w:val="auto"/>
                <w:sz w:val="24"/>
                <w:szCs w:val="24"/>
                <w:highlight w:val="none"/>
              </w:rPr>
            </w:pPr>
          </w:p>
        </w:tc>
        <w:tc>
          <w:tcPr>
            <w:tcW w:w="795" w:type="dxa"/>
            <w:tcBorders>
              <w:top w:val="single" w:color="auto" w:sz="4" w:space="0"/>
              <w:left w:val="single" w:color="auto" w:sz="4" w:space="0"/>
              <w:bottom w:val="single" w:color="auto" w:sz="4" w:space="0"/>
              <w:right w:val="single" w:color="auto" w:sz="4" w:space="0"/>
            </w:tcBorders>
          </w:tcPr>
          <w:p w14:paraId="7992DEF5">
            <w:pPr>
              <w:spacing w:line="360" w:lineRule="auto"/>
              <w:rPr>
                <w:rFonts w:ascii="宋体" w:hAnsi="宋体" w:cs="宋体"/>
                <w:color w:val="auto"/>
                <w:sz w:val="24"/>
                <w:szCs w:val="24"/>
                <w:highlight w:val="none"/>
              </w:rPr>
            </w:pPr>
          </w:p>
        </w:tc>
      </w:tr>
      <w:tr w14:paraId="14810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4" w:hRule="atLeast"/>
        </w:trPr>
        <w:tc>
          <w:tcPr>
            <w:tcW w:w="1096" w:type="dxa"/>
            <w:tcBorders>
              <w:top w:val="single" w:color="auto" w:sz="4" w:space="0"/>
              <w:left w:val="single" w:color="auto" w:sz="4" w:space="0"/>
              <w:bottom w:val="single" w:color="auto" w:sz="4" w:space="0"/>
              <w:right w:val="single" w:color="auto" w:sz="4" w:space="0"/>
            </w:tcBorders>
          </w:tcPr>
          <w:p w14:paraId="0FDE2D37">
            <w:pPr>
              <w:spacing w:line="360" w:lineRule="auto"/>
              <w:rPr>
                <w:rFonts w:ascii="宋体" w:hAnsi="宋体" w:cs="宋体"/>
                <w:color w:val="auto"/>
                <w:sz w:val="24"/>
                <w:szCs w:val="24"/>
                <w:highlight w:val="none"/>
              </w:rPr>
            </w:pPr>
          </w:p>
        </w:tc>
        <w:tc>
          <w:tcPr>
            <w:tcW w:w="771" w:type="dxa"/>
            <w:tcBorders>
              <w:top w:val="single" w:color="auto" w:sz="4" w:space="0"/>
              <w:left w:val="single" w:color="auto" w:sz="4" w:space="0"/>
              <w:bottom w:val="single" w:color="auto" w:sz="4" w:space="0"/>
              <w:right w:val="single" w:color="auto" w:sz="4" w:space="0"/>
            </w:tcBorders>
          </w:tcPr>
          <w:p w14:paraId="03AD764F">
            <w:pPr>
              <w:spacing w:line="360" w:lineRule="auto"/>
              <w:rPr>
                <w:rFonts w:ascii="宋体" w:hAnsi="宋体" w:cs="宋体"/>
                <w:color w:val="auto"/>
                <w:sz w:val="24"/>
                <w:szCs w:val="24"/>
                <w:highlight w:val="none"/>
              </w:rPr>
            </w:pPr>
          </w:p>
        </w:tc>
        <w:tc>
          <w:tcPr>
            <w:tcW w:w="1085" w:type="dxa"/>
            <w:tcBorders>
              <w:top w:val="single" w:color="auto" w:sz="4" w:space="0"/>
              <w:left w:val="single" w:color="auto" w:sz="4" w:space="0"/>
              <w:bottom w:val="single" w:color="auto" w:sz="4" w:space="0"/>
              <w:right w:val="single" w:color="auto" w:sz="4" w:space="0"/>
            </w:tcBorders>
          </w:tcPr>
          <w:p w14:paraId="760DE72E">
            <w:pPr>
              <w:spacing w:line="360" w:lineRule="auto"/>
              <w:rPr>
                <w:rFonts w:ascii="宋体" w:hAnsi="宋体" w:cs="宋体"/>
                <w:color w:val="auto"/>
                <w:sz w:val="24"/>
                <w:szCs w:val="24"/>
                <w:highlight w:val="none"/>
              </w:rPr>
            </w:pPr>
          </w:p>
        </w:tc>
        <w:tc>
          <w:tcPr>
            <w:tcW w:w="1795" w:type="dxa"/>
            <w:tcBorders>
              <w:top w:val="single" w:color="auto" w:sz="4" w:space="0"/>
              <w:left w:val="single" w:color="auto" w:sz="4" w:space="0"/>
              <w:bottom w:val="single" w:color="auto" w:sz="4" w:space="0"/>
              <w:right w:val="single" w:color="auto" w:sz="4" w:space="0"/>
            </w:tcBorders>
          </w:tcPr>
          <w:p w14:paraId="2189630C">
            <w:pPr>
              <w:spacing w:line="360" w:lineRule="auto"/>
              <w:rPr>
                <w:rFonts w:ascii="宋体" w:hAnsi="宋体" w:cs="宋体"/>
                <w:color w:val="auto"/>
                <w:sz w:val="24"/>
                <w:szCs w:val="24"/>
                <w:highlight w:val="none"/>
              </w:rPr>
            </w:pPr>
          </w:p>
        </w:tc>
        <w:tc>
          <w:tcPr>
            <w:tcW w:w="2217" w:type="dxa"/>
            <w:tcBorders>
              <w:top w:val="single" w:color="auto" w:sz="4" w:space="0"/>
              <w:left w:val="single" w:color="auto" w:sz="4" w:space="0"/>
              <w:bottom w:val="single" w:color="auto" w:sz="4" w:space="0"/>
              <w:right w:val="single" w:color="auto" w:sz="4" w:space="0"/>
            </w:tcBorders>
          </w:tcPr>
          <w:p w14:paraId="2C962B8D">
            <w:pPr>
              <w:spacing w:line="360" w:lineRule="auto"/>
              <w:rPr>
                <w:rFonts w:ascii="宋体" w:hAnsi="宋体" w:cs="宋体"/>
                <w:color w:val="auto"/>
                <w:sz w:val="24"/>
                <w:szCs w:val="24"/>
                <w:highlight w:val="none"/>
              </w:rPr>
            </w:pPr>
          </w:p>
        </w:tc>
        <w:tc>
          <w:tcPr>
            <w:tcW w:w="1434" w:type="dxa"/>
            <w:tcBorders>
              <w:top w:val="single" w:color="auto" w:sz="4" w:space="0"/>
              <w:left w:val="single" w:color="auto" w:sz="4" w:space="0"/>
              <w:bottom w:val="single" w:color="auto" w:sz="4" w:space="0"/>
              <w:right w:val="single" w:color="auto" w:sz="4" w:space="0"/>
            </w:tcBorders>
          </w:tcPr>
          <w:p w14:paraId="281584D7">
            <w:pPr>
              <w:spacing w:line="360" w:lineRule="auto"/>
              <w:rPr>
                <w:rFonts w:ascii="宋体" w:hAnsi="宋体" w:cs="宋体"/>
                <w:color w:val="auto"/>
                <w:sz w:val="24"/>
                <w:szCs w:val="24"/>
                <w:highlight w:val="none"/>
              </w:rPr>
            </w:pPr>
          </w:p>
        </w:tc>
        <w:tc>
          <w:tcPr>
            <w:tcW w:w="795" w:type="dxa"/>
            <w:tcBorders>
              <w:top w:val="single" w:color="auto" w:sz="4" w:space="0"/>
              <w:left w:val="single" w:color="auto" w:sz="4" w:space="0"/>
              <w:bottom w:val="single" w:color="auto" w:sz="4" w:space="0"/>
              <w:right w:val="single" w:color="auto" w:sz="4" w:space="0"/>
            </w:tcBorders>
          </w:tcPr>
          <w:p w14:paraId="785FEA6C">
            <w:pPr>
              <w:spacing w:line="360" w:lineRule="auto"/>
              <w:rPr>
                <w:rFonts w:ascii="宋体" w:hAnsi="宋体" w:cs="宋体"/>
                <w:color w:val="auto"/>
                <w:sz w:val="24"/>
                <w:szCs w:val="24"/>
                <w:highlight w:val="none"/>
              </w:rPr>
            </w:pPr>
          </w:p>
        </w:tc>
      </w:tr>
      <w:tr w14:paraId="17D2B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4" w:hRule="atLeast"/>
        </w:trPr>
        <w:tc>
          <w:tcPr>
            <w:tcW w:w="1096" w:type="dxa"/>
            <w:tcBorders>
              <w:top w:val="single" w:color="auto" w:sz="4" w:space="0"/>
              <w:left w:val="single" w:color="auto" w:sz="4" w:space="0"/>
              <w:bottom w:val="single" w:color="auto" w:sz="4" w:space="0"/>
              <w:right w:val="single" w:color="auto" w:sz="4" w:space="0"/>
            </w:tcBorders>
          </w:tcPr>
          <w:p w14:paraId="1D75AD73">
            <w:pPr>
              <w:spacing w:line="360" w:lineRule="auto"/>
              <w:rPr>
                <w:rFonts w:ascii="宋体" w:hAnsi="宋体" w:cs="宋体"/>
                <w:color w:val="auto"/>
                <w:sz w:val="24"/>
                <w:szCs w:val="24"/>
                <w:highlight w:val="none"/>
              </w:rPr>
            </w:pPr>
          </w:p>
        </w:tc>
        <w:tc>
          <w:tcPr>
            <w:tcW w:w="771" w:type="dxa"/>
            <w:tcBorders>
              <w:top w:val="single" w:color="auto" w:sz="4" w:space="0"/>
              <w:left w:val="single" w:color="auto" w:sz="4" w:space="0"/>
              <w:bottom w:val="single" w:color="auto" w:sz="4" w:space="0"/>
              <w:right w:val="single" w:color="auto" w:sz="4" w:space="0"/>
            </w:tcBorders>
          </w:tcPr>
          <w:p w14:paraId="288FD344">
            <w:pPr>
              <w:spacing w:line="360" w:lineRule="auto"/>
              <w:rPr>
                <w:rFonts w:ascii="宋体" w:hAnsi="宋体" w:cs="宋体"/>
                <w:color w:val="auto"/>
                <w:sz w:val="24"/>
                <w:szCs w:val="24"/>
                <w:highlight w:val="none"/>
              </w:rPr>
            </w:pPr>
          </w:p>
        </w:tc>
        <w:tc>
          <w:tcPr>
            <w:tcW w:w="1085" w:type="dxa"/>
            <w:tcBorders>
              <w:top w:val="single" w:color="auto" w:sz="4" w:space="0"/>
              <w:left w:val="single" w:color="auto" w:sz="4" w:space="0"/>
              <w:bottom w:val="single" w:color="auto" w:sz="4" w:space="0"/>
              <w:right w:val="single" w:color="auto" w:sz="4" w:space="0"/>
            </w:tcBorders>
          </w:tcPr>
          <w:p w14:paraId="4368779A">
            <w:pPr>
              <w:spacing w:line="360" w:lineRule="auto"/>
              <w:rPr>
                <w:rFonts w:ascii="宋体" w:hAnsi="宋体" w:cs="宋体"/>
                <w:color w:val="auto"/>
                <w:sz w:val="24"/>
                <w:szCs w:val="24"/>
                <w:highlight w:val="none"/>
              </w:rPr>
            </w:pPr>
          </w:p>
        </w:tc>
        <w:tc>
          <w:tcPr>
            <w:tcW w:w="1795" w:type="dxa"/>
            <w:tcBorders>
              <w:top w:val="single" w:color="auto" w:sz="4" w:space="0"/>
              <w:left w:val="single" w:color="auto" w:sz="4" w:space="0"/>
              <w:bottom w:val="single" w:color="auto" w:sz="4" w:space="0"/>
              <w:right w:val="single" w:color="auto" w:sz="4" w:space="0"/>
            </w:tcBorders>
          </w:tcPr>
          <w:p w14:paraId="678E4E15">
            <w:pPr>
              <w:spacing w:line="360" w:lineRule="auto"/>
              <w:rPr>
                <w:rFonts w:ascii="宋体" w:hAnsi="宋体" w:cs="宋体"/>
                <w:color w:val="auto"/>
                <w:sz w:val="24"/>
                <w:szCs w:val="24"/>
                <w:highlight w:val="none"/>
              </w:rPr>
            </w:pPr>
          </w:p>
        </w:tc>
        <w:tc>
          <w:tcPr>
            <w:tcW w:w="2217" w:type="dxa"/>
            <w:tcBorders>
              <w:top w:val="single" w:color="auto" w:sz="4" w:space="0"/>
              <w:left w:val="single" w:color="auto" w:sz="4" w:space="0"/>
              <w:bottom w:val="single" w:color="auto" w:sz="4" w:space="0"/>
              <w:right w:val="single" w:color="auto" w:sz="4" w:space="0"/>
            </w:tcBorders>
          </w:tcPr>
          <w:p w14:paraId="6EAEAA53">
            <w:pPr>
              <w:spacing w:line="360" w:lineRule="auto"/>
              <w:rPr>
                <w:rFonts w:ascii="宋体" w:hAnsi="宋体" w:cs="宋体"/>
                <w:color w:val="auto"/>
                <w:sz w:val="24"/>
                <w:szCs w:val="24"/>
                <w:highlight w:val="none"/>
              </w:rPr>
            </w:pPr>
          </w:p>
        </w:tc>
        <w:tc>
          <w:tcPr>
            <w:tcW w:w="1434" w:type="dxa"/>
            <w:tcBorders>
              <w:top w:val="single" w:color="auto" w:sz="4" w:space="0"/>
              <w:left w:val="single" w:color="auto" w:sz="4" w:space="0"/>
              <w:bottom w:val="single" w:color="auto" w:sz="4" w:space="0"/>
              <w:right w:val="single" w:color="auto" w:sz="4" w:space="0"/>
            </w:tcBorders>
          </w:tcPr>
          <w:p w14:paraId="07EC8005">
            <w:pPr>
              <w:spacing w:line="360" w:lineRule="auto"/>
              <w:rPr>
                <w:rFonts w:ascii="宋体" w:hAnsi="宋体" w:cs="宋体"/>
                <w:color w:val="auto"/>
                <w:sz w:val="24"/>
                <w:szCs w:val="24"/>
                <w:highlight w:val="none"/>
              </w:rPr>
            </w:pPr>
          </w:p>
        </w:tc>
        <w:tc>
          <w:tcPr>
            <w:tcW w:w="795" w:type="dxa"/>
            <w:tcBorders>
              <w:top w:val="single" w:color="auto" w:sz="4" w:space="0"/>
              <w:left w:val="single" w:color="auto" w:sz="4" w:space="0"/>
              <w:bottom w:val="single" w:color="auto" w:sz="4" w:space="0"/>
              <w:right w:val="single" w:color="auto" w:sz="4" w:space="0"/>
            </w:tcBorders>
          </w:tcPr>
          <w:p w14:paraId="028C6824">
            <w:pPr>
              <w:spacing w:line="360" w:lineRule="auto"/>
              <w:rPr>
                <w:rFonts w:ascii="宋体" w:hAnsi="宋体" w:cs="宋体"/>
                <w:color w:val="auto"/>
                <w:sz w:val="24"/>
                <w:szCs w:val="24"/>
                <w:highlight w:val="none"/>
              </w:rPr>
            </w:pPr>
          </w:p>
        </w:tc>
      </w:tr>
      <w:tr w14:paraId="3AD28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4" w:hRule="atLeast"/>
        </w:trPr>
        <w:tc>
          <w:tcPr>
            <w:tcW w:w="1096" w:type="dxa"/>
            <w:tcBorders>
              <w:top w:val="single" w:color="auto" w:sz="4" w:space="0"/>
              <w:left w:val="single" w:color="auto" w:sz="4" w:space="0"/>
              <w:bottom w:val="single" w:color="auto" w:sz="4" w:space="0"/>
              <w:right w:val="single" w:color="auto" w:sz="4" w:space="0"/>
            </w:tcBorders>
          </w:tcPr>
          <w:p w14:paraId="041D97A2">
            <w:pPr>
              <w:spacing w:line="360" w:lineRule="auto"/>
              <w:rPr>
                <w:rFonts w:ascii="宋体" w:hAnsi="宋体" w:cs="宋体"/>
                <w:color w:val="auto"/>
                <w:sz w:val="24"/>
                <w:szCs w:val="24"/>
                <w:highlight w:val="none"/>
              </w:rPr>
            </w:pPr>
          </w:p>
        </w:tc>
        <w:tc>
          <w:tcPr>
            <w:tcW w:w="771" w:type="dxa"/>
            <w:tcBorders>
              <w:top w:val="single" w:color="auto" w:sz="4" w:space="0"/>
              <w:left w:val="single" w:color="auto" w:sz="4" w:space="0"/>
              <w:bottom w:val="single" w:color="auto" w:sz="4" w:space="0"/>
              <w:right w:val="single" w:color="auto" w:sz="4" w:space="0"/>
            </w:tcBorders>
          </w:tcPr>
          <w:p w14:paraId="45CAF712">
            <w:pPr>
              <w:spacing w:line="360" w:lineRule="auto"/>
              <w:rPr>
                <w:rFonts w:ascii="宋体" w:hAnsi="宋体" w:cs="宋体"/>
                <w:color w:val="auto"/>
                <w:sz w:val="24"/>
                <w:szCs w:val="24"/>
                <w:highlight w:val="none"/>
              </w:rPr>
            </w:pPr>
          </w:p>
        </w:tc>
        <w:tc>
          <w:tcPr>
            <w:tcW w:w="1085" w:type="dxa"/>
            <w:tcBorders>
              <w:top w:val="single" w:color="auto" w:sz="4" w:space="0"/>
              <w:left w:val="single" w:color="auto" w:sz="4" w:space="0"/>
              <w:bottom w:val="single" w:color="auto" w:sz="4" w:space="0"/>
              <w:right w:val="single" w:color="auto" w:sz="4" w:space="0"/>
            </w:tcBorders>
          </w:tcPr>
          <w:p w14:paraId="3D2735CE">
            <w:pPr>
              <w:spacing w:line="360" w:lineRule="auto"/>
              <w:rPr>
                <w:rFonts w:ascii="宋体" w:hAnsi="宋体" w:cs="宋体"/>
                <w:color w:val="auto"/>
                <w:sz w:val="24"/>
                <w:szCs w:val="24"/>
                <w:highlight w:val="none"/>
              </w:rPr>
            </w:pPr>
          </w:p>
        </w:tc>
        <w:tc>
          <w:tcPr>
            <w:tcW w:w="1795" w:type="dxa"/>
            <w:tcBorders>
              <w:top w:val="single" w:color="auto" w:sz="4" w:space="0"/>
              <w:left w:val="single" w:color="auto" w:sz="4" w:space="0"/>
              <w:bottom w:val="single" w:color="auto" w:sz="4" w:space="0"/>
              <w:right w:val="single" w:color="auto" w:sz="4" w:space="0"/>
            </w:tcBorders>
          </w:tcPr>
          <w:p w14:paraId="5F4885D7">
            <w:pPr>
              <w:spacing w:line="360" w:lineRule="auto"/>
              <w:rPr>
                <w:rFonts w:ascii="宋体" w:hAnsi="宋体" w:cs="宋体"/>
                <w:color w:val="auto"/>
                <w:sz w:val="24"/>
                <w:szCs w:val="24"/>
                <w:highlight w:val="none"/>
              </w:rPr>
            </w:pPr>
          </w:p>
        </w:tc>
        <w:tc>
          <w:tcPr>
            <w:tcW w:w="2217" w:type="dxa"/>
            <w:tcBorders>
              <w:top w:val="single" w:color="auto" w:sz="4" w:space="0"/>
              <w:left w:val="single" w:color="auto" w:sz="4" w:space="0"/>
              <w:bottom w:val="single" w:color="auto" w:sz="4" w:space="0"/>
              <w:right w:val="single" w:color="auto" w:sz="4" w:space="0"/>
            </w:tcBorders>
          </w:tcPr>
          <w:p w14:paraId="08131C9C">
            <w:pPr>
              <w:spacing w:line="360" w:lineRule="auto"/>
              <w:rPr>
                <w:rFonts w:ascii="宋体" w:hAnsi="宋体" w:cs="宋体"/>
                <w:color w:val="auto"/>
                <w:sz w:val="24"/>
                <w:szCs w:val="24"/>
                <w:highlight w:val="none"/>
              </w:rPr>
            </w:pPr>
          </w:p>
        </w:tc>
        <w:tc>
          <w:tcPr>
            <w:tcW w:w="1434" w:type="dxa"/>
            <w:tcBorders>
              <w:top w:val="single" w:color="auto" w:sz="4" w:space="0"/>
              <w:left w:val="single" w:color="auto" w:sz="4" w:space="0"/>
              <w:bottom w:val="single" w:color="auto" w:sz="4" w:space="0"/>
              <w:right w:val="single" w:color="auto" w:sz="4" w:space="0"/>
            </w:tcBorders>
          </w:tcPr>
          <w:p w14:paraId="021CB6E9">
            <w:pPr>
              <w:spacing w:line="360" w:lineRule="auto"/>
              <w:rPr>
                <w:rFonts w:ascii="宋体" w:hAnsi="宋体" w:cs="宋体"/>
                <w:color w:val="auto"/>
                <w:sz w:val="24"/>
                <w:szCs w:val="24"/>
                <w:highlight w:val="none"/>
              </w:rPr>
            </w:pPr>
          </w:p>
        </w:tc>
        <w:tc>
          <w:tcPr>
            <w:tcW w:w="795" w:type="dxa"/>
            <w:tcBorders>
              <w:top w:val="single" w:color="auto" w:sz="4" w:space="0"/>
              <w:left w:val="single" w:color="auto" w:sz="4" w:space="0"/>
              <w:bottom w:val="single" w:color="auto" w:sz="4" w:space="0"/>
              <w:right w:val="single" w:color="auto" w:sz="4" w:space="0"/>
            </w:tcBorders>
          </w:tcPr>
          <w:p w14:paraId="42D83C44">
            <w:pPr>
              <w:spacing w:line="360" w:lineRule="auto"/>
              <w:rPr>
                <w:rFonts w:ascii="宋体" w:hAnsi="宋体" w:cs="宋体"/>
                <w:color w:val="auto"/>
                <w:sz w:val="24"/>
                <w:szCs w:val="24"/>
                <w:highlight w:val="none"/>
              </w:rPr>
            </w:pPr>
          </w:p>
        </w:tc>
      </w:tr>
      <w:tr w14:paraId="2A1E5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4" w:hRule="atLeast"/>
        </w:trPr>
        <w:tc>
          <w:tcPr>
            <w:tcW w:w="1096" w:type="dxa"/>
            <w:tcBorders>
              <w:top w:val="single" w:color="auto" w:sz="4" w:space="0"/>
              <w:left w:val="single" w:color="auto" w:sz="4" w:space="0"/>
              <w:bottom w:val="single" w:color="auto" w:sz="4" w:space="0"/>
              <w:right w:val="single" w:color="auto" w:sz="4" w:space="0"/>
            </w:tcBorders>
          </w:tcPr>
          <w:p w14:paraId="03BF8A7C">
            <w:pPr>
              <w:spacing w:line="360" w:lineRule="auto"/>
              <w:rPr>
                <w:rFonts w:ascii="宋体" w:hAnsi="宋体" w:cs="宋体"/>
                <w:color w:val="auto"/>
                <w:sz w:val="24"/>
                <w:szCs w:val="24"/>
                <w:highlight w:val="none"/>
              </w:rPr>
            </w:pPr>
          </w:p>
        </w:tc>
        <w:tc>
          <w:tcPr>
            <w:tcW w:w="771" w:type="dxa"/>
            <w:tcBorders>
              <w:top w:val="single" w:color="auto" w:sz="4" w:space="0"/>
              <w:left w:val="single" w:color="auto" w:sz="4" w:space="0"/>
              <w:bottom w:val="single" w:color="auto" w:sz="4" w:space="0"/>
              <w:right w:val="single" w:color="auto" w:sz="4" w:space="0"/>
            </w:tcBorders>
          </w:tcPr>
          <w:p w14:paraId="1824389E">
            <w:pPr>
              <w:spacing w:line="360" w:lineRule="auto"/>
              <w:rPr>
                <w:rFonts w:ascii="宋体" w:hAnsi="宋体" w:cs="宋体"/>
                <w:color w:val="auto"/>
                <w:sz w:val="24"/>
                <w:szCs w:val="24"/>
                <w:highlight w:val="none"/>
              </w:rPr>
            </w:pPr>
          </w:p>
        </w:tc>
        <w:tc>
          <w:tcPr>
            <w:tcW w:w="1085" w:type="dxa"/>
            <w:tcBorders>
              <w:top w:val="single" w:color="auto" w:sz="4" w:space="0"/>
              <w:left w:val="single" w:color="auto" w:sz="4" w:space="0"/>
              <w:bottom w:val="single" w:color="auto" w:sz="4" w:space="0"/>
              <w:right w:val="single" w:color="auto" w:sz="4" w:space="0"/>
            </w:tcBorders>
          </w:tcPr>
          <w:p w14:paraId="0BC16D9A">
            <w:pPr>
              <w:spacing w:line="360" w:lineRule="auto"/>
              <w:rPr>
                <w:rFonts w:ascii="宋体" w:hAnsi="宋体" w:cs="宋体"/>
                <w:color w:val="auto"/>
                <w:sz w:val="24"/>
                <w:szCs w:val="24"/>
                <w:highlight w:val="none"/>
              </w:rPr>
            </w:pPr>
          </w:p>
        </w:tc>
        <w:tc>
          <w:tcPr>
            <w:tcW w:w="1795" w:type="dxa"/>
            <w:tcBorders>
              <w:top w:val="single" w:color="auto" w:sz="4" w:space="0"/>
              <w:left w:val="single" w:color="auto" w:sz="4" w:space="0"/>
              <w:bottom w:val="single" w:color="auto" w:sz="4" w:space="0"/>
              <w:right w:val="single" w:color="auto" w:sz="4" w:space="0"/>
            </w:tcBorders>
          </w:tcPr>
          <w:p w14:paraId="2EBC307F">
            <w:pPr>
              <w:spacing w:line="360" w:lineRule="auto"/>
              <w:rPr>
                <w:rFonts w:ascii="宋体" w:hAnsi="宋体" w:cs="宋体"/>
                <w:color w:val="auto"/>
                <w:sz w:val="24"/>
                <w:szCs w:val="24"/>
                <w:highlight w:val="none"/>
              </w:rPr>
            </w:pPr>
          </w:p>
        </w:tc>
        <w:tc>
          <w:tcPr>
            <w:tcW w:w="2217" w:type="dxa"/>
            <w:tcBorders>
              <w:top w:val="single" w:color="auto" w:sz="4" w:space="0"/>
              <w:left w:val="single" w:color="auto" w:sz="4" w:space="0"/>
              <w:bottom w:val="single" w:color="auto" w:sz="4" w:space="0"/>
              <w:right w:val="single" w:color="auto" w:sz="4" w:space="0"/>
            </w:tcBorders>
          </w:tcPr>
          <w:p w14:paraId="2860DC5C">
            <w:pPr>
              <w:spacing w:line="360" w:lineRule="auto"/>
              <w:rPr>
                <w:rFonts w:ascii="宋体" w:hAnsi="宋体" w:cs="宋体"/>
                <w:color w:val="auto"/>
                <w:sz w:val="24"/>
                <w:szCs w:val="24"/>
                <w:highlight w:val="none"/>
              </w:rPr>
            </w:pPr>
          </w:p>
        </w:tc>
        <w:tc>
          <w:tcPr>
            <w:tcW w:w="1434" w:type="dxa"/>
            <w:tcBorders>
              <w:top w:val="single" w:color="auto" w:sz="4" w:space="0"/>
              <w:left w:val="single" w:color="auto" w:sz="4" w:space="0"/>
              <w:bottom w:val="single" w:color="auto" w:sz="4" w:space="0"/>
              <w:right w:val="single" w:color="auto" w:sz="4" w:space="0"/>
            </w:tcBorders>
          </w:tcPr>
          <w:p w14:paraId="04852B1A">
            <w:pPr>
              <w:spacing w:line="360" w:lineRule="auto"/>
              <w:rPr>
                <w:rFonts w:ascii="宋体" w:hAnsi="宋体" w:cs="宋体"/>
                <w:color w:val="auto"/>
                <w:sz w:val="24"/>
                <w:szCs w:val="24"/>
                <w:highlight w:val="none"/>
              </w:rPr>
            </w:pPr>
          </w:p>
        </w:tc>
        <w:tc>
          <w:tcPr>
            <w:tcW w:w="795" w:type="dxa"/>
            <w:tcBorders>
              <w:top w:val="single" w:color="auto" w:sz="4" w:space="0"/>
              <w:left w:val="single" w:color="auto" w:sz="4" w:space="0"/>
              <w:bottom w:val="single" w:color="auto" w:sz="4" w:space="0"/>
              <w:right w:val="single" w:color="auto" w:sz="4" w:space="0"/>
            </w:tcBorders>
          </w:tcPr>
          <w:p w14:paraId="688F55C0">
            <w:pPr>
              <w:spacing w:line="360" w:lineRule="auto"/>
              <w:rPr>
                <w:rFonts w:ascii="宋体" w:hAnsi="宋体" w:cs="宋体"/>
                <w:color w:val="auto"/>
                <w:sz w:val="24"/>
                <w:szCs w:val="24"/>
                <w:highlight w:val="none"/>
              </w:rPr>
            </w:pPr>
          </w:p>
        </w:tc>
      </w:tr>
      <w:tr w14:paraId="5749B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4" w:hRule="atLeast"/>
        </w:trPr>
        <w:tc>
          <w:tcPr>
            <w:tcW w:w="1096" w:type="dxa"/>
            <w:tcBorders>
              <w:top w:val="single" w:color="auto" w:sz="4" w:space="0"/>
              <w:left w:val="single" w:color="auto" w:sz="4" w:space="0"/>
              <w:bottom w:val="single" w:color="auto" w:sz="4" w:space="0"/>
              <w:right w:val="single" w:color="auto" w:sz="4" w:space="0"/>
            </w:tcBorders>
          </w:tcPr>
          <w:p w14:paraId="774713BF">
            <w:pPr>
              <w:spacing w:line="360" w:lineRule="auto"/>
              <w:rPr>
                <w:rFonts w:ascii="宋体" w:hAnsi="宋体" w:cs="宋体"/>
                <w:color w:val="auto"/>
                <w:sz w:val="24"/>
                <w:szCs w:val="24"/>
                <w:highlight w:val="none"/>
              </w:rPr>
            </w:pPr>
          </w:p>
        </w:tc>
        <w:tc>
          <w:tcPr>
            <w:tcW w:w="771" w:type="dxa"/>
            <w:tcBorders>
              <w:top w:val="single" w:color="auto" w:sz="4" w:space="0"/>
              <w:left w:val="single" w:color="auto" w:sz="4" w:space="0"/>
              <w:bottom w:val="single" w:color="auto" w:sz="4" w:space="0"/>
              <w:right w:val="single" w:color="auto" w:sz="4" w:space="0"/>
            </w:tcBorders>
          </w:tcPr>
          <w:p w14:paraId="511002A7">
            <w:pPr>
              <w:spacing w:line="360" w:lineRule="auto"/>
              <w:rPr>
                <w:rFonts w:ascii="宋体" w:hAnsi="宋体" w:cs="宋体"/>
                <w:color w:val="auto"/>
                <w:sz w:val="24"/>
                <w:szCs w:val="24"/>
                <w:highlight w:val="none"/>
              </w:rPr>
            </w:pPr>
          </w:p>
        </w:tc>
        <w:tc>
          <w:tcPr>
            <w:tcW w:w="1085" w:type="dxa"/>
            <w:tcBorders>
              <w:top w:val="single" w:color="auto" w:sz="4" w:space="0"/>
              <w:left w:val="single" w:color="auto" w:sz="4" w:space="0"/>
              <w:bottom w:val="single" w:color="auto" w:sz="4" w:space="0"/>
              <w:right w:val="single" w:color="auto" w:sz="4" w:space="0"/>
            </w:tcBorders>
          </w:tcPr>
          <w:p w14:paraId="2282DDF9">
            <w:pPr>
              <w:spacing w:line="360" w:lineRule="auto"/>
              <w:rPr>
                <w:rFonts w:ascii="宋体" w:hAnsi="宋体" w:cs="宋体"/>
                <w:color w:val="auto"/>
                <w:sz w:val="24"/>
                <w:szCs w:val="24"/>
                <w:highlight w:val="none"/>
              </w:rPr>
            </w:pPr>
          </w:p>
        </w:tc>
        <w:tc>
          <w:tcPr>
            <w:tcW w:w="1795" w:type="dxa"/>
            <w:tcBorders>
              <w:top w:val="single" w:color="auto" w:sz="4" w:space="0"/>
              <w:left w:val="single" w:color="auto" w:sz="4" w:space="0"/>
              <w:bottom w:val="single" w:color="auto" w:sz="4" w:space="0"/>
              <w:right w:val="single" w:color="auto" w:sz="4" w:space="0"/>
            </w:tcBorders>
          </w:tcPr>
          <w:p w14:paraId="1860F1F7">
            <w:pPr>
              <w:spacing w:line="360" w:lineRule="auto"/>
              <w:rPr>
                <w:rFonts w:ascii="宋体" w:hAnsi="宋体" w:cs="宋体"/>
                <w:color w:val="auto"/>
                <w:sz w:val="24"/>
                <w:szCs w:val="24"/>
                <w:highlight w:val="none"/>
              </w:rPr>
            </w:pPr>
          </w:p>
        </w:tc>
        <w:tc>
          <w:tcPr>
            <w:tcW w:w="2217" w:type="dxa"/>
            <w:tcBorders>
              <w:top w:val="single" w:color="auto" w:sz="4" w:space="0"/>
              <w:left w:val="single" w:color="auto" w:sz="4" w:space="0"/>
              <w:bottom w:val="single" w:color="auto" w:sz="4" w:space="0"/>
              <w:right w:val="single" w:color="auto" w:sz="4" w:space="0"/>
            </w:tcBorders>
          </w:tcPr>
          <w:p w14:paraId="3AD4B159">
            <w:pPr>
              <w:spacing w:line="360" w:lineRule="auto"/>
              <w:rPr>
                <w:rFonts w:ascii="宋体" w:hAnsi="宋体" w:cs="宋体"/>
                <w:color w:val="auto"/>
                <w:sz w:val="24"/>
                <w:szCs w:val="24"/>
                <w:highlight w:val="none"/>
              </w:rPr>
            </w:pPr>
          </w:p>
        </w:tc>
        <w:tc>
          <w:tcPr>
            <w:tcW w:w="1434" w:type="dxa"/>
            <w:tcBorders>
              <w:top w:val="single" w:color="auto" w:sz="4" w:space="0"/>
              <w:left w:val="single" w:color="auto" w:sz="4" w:space="0"/>
              <w:bottom w:val="single" w:color="auto" w:sz="4" w:space="0"/>
              <w:right w:val="single" w:color="auto" w:sz="4" w:space="0"/>
            </w:tcBorders>
          </w:tcPr>
          <w:p w14:paraId="156BB88B">
            <w:pPr>
              <w:spacing w:line="360" w:lineRule="auto"/>
              <w:rPr>
                <w:rFonts w:ascii="宋体" w:hAnsi="宋体" w:cs="宋体"/>
                <w:color w:val="auto"/>
                <w:sz w:val="24"/>
                <w:szCs w:val="24"/>
                <w:highlight w:val="none"/>
              </w:rPr>
            </w:pPr>
          </w:p>
        </w:tc>
        <w:tc>
          <w:tcPr>
            <w:tcW w:w="795" w:type="dxa"/>
            <w:tcBorders>
              <w:top w:val="single" w:color="auto" w:sz="4" w:space="0"/>
              <w:left w:val="single" w:color="auto" w:sz="4" w:space="0"/>
              <w:bottom w:val="single" w:color="auto" w:sz="4" w:space="0"/>
              <w:right w:val="single" w:color="auto" w:sz="4" w:space="0"/>
            </w:tcBorders>
          </w:tcPr>
          <w:p w14:paraId="50405DCE">
            <w:pPr>
              <w:spacing w:line="360" w:lineRule="auto"/>
              <w:rPr>
                <w:rFonts w:ascii="宋体" w:hAnsi="宋体" w:cs="宋体"/>
                <w:color w:val="auto"/>
                <w:sz w:val="24"/>
                <w:szCs w:val="24"/>
                <w:highlight w:val="none"/>
              </w:rPr>
            </w:pPr>
          </w:p>
        </w:tc>
      </w:tr>
      <w:tr w14:paraId="2AFB2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4" w:hRule="atLeast"/>
        </w:trPr>
        <w:tc>
          <w:tcPr>
            <w:tcW w:w="9193" w:type="dxa"/>
            <w:gridSpan w:val="7"/>
            <w:tcBorders>
              <w:top w:val="single" w:color="auto" w:sz="4" w:space="0"/>
              <w:left w:val="single" w:color="auto" w:sz="4" w:space="0"/>
              <w:bottom w:val="single" w:color="auto" w:sz="4" w:space="0"/>
              <w:right w:val="single" w:color="auto" w:sz="4" w:space="0"/>
            </w:tcBorders>
          </w:tcPr>
          <w:p w14:paraId="19845ECE">
            <w:pPr>
              <w:spacing w:line="360" w:lineRule="auto"/>
              <w:rPr>
                <w:rFonts w:cs="宋体"/>
                <w:color w:val="auto"/>
                <w:sz w:val="24"/>
                <w:szCs w:val="28"/>
                <w:highlight w:val="none"/>
              </w:rPr>
            </w:pPr>
            <w:r>
              <w:rPr>
                <w:rFonts w:hint="eastAsia" w:cs="宋体"/>
                <w:color w:val="auto"/>
                <w:sz w:val="24"/>
                <w:szCs w:val="28"/>
                <w:highlight w:val="none"/>
              </w:rPr>
              <w:t>投标人承诺：</w:t>
            </w:r>
            <w:r>
              <w:rPr>
                <w:rFonts w:hint="eastAsia" w:cs="宋体"/>
                <w:b/>
                <w:bCs/>
                <w:color w:val="auto"/>
                <w:sz w:val="24"/>
                <w:szCs w:val="28"/>
                <w:highlight w:val="none"/>
                <w:u w:val="single"/>
              </w:rPr>
              <w:t>本投标人接受招标文件全部★号条款及其他条款的要求，中标后不再提出异议</w:t>
            </w:r>
            <w:r>
              <w:rPr>
                <w:rFonts w:cs="宋体"/>
                <w:b/>
                <w:bCs/>
                <w:color w:val="auto"/>
                <w:sz w:val="24"/>
                <w:szCs w:val="28"/>
                <w:highlight w:val="none"/>
                <w:u w:val="single"/>
              </w:rPr>
              <w:t>。</w:t>
            </w:r>
            <w:r>
              <w:rPr>
                <w:rFonts w:hint="eastAsia" w:cs="宋体"/>
                <w:color w:val="auto"/>
                <w:sz w:val="24"/>
                <w:szCs w:val="28"/>
                <w:highlight w:val="none"/>
              </w:rPr>
              <w:t>本投标人提交的投标文件若与招标文件的技术、商务部分要求存在不同（正、负偏离）的，均已在上述偏离表中逐条列明，</w:t>
            </w:r>
            <w:r>
              <w:rPr>
                <w:rFonts w:hint="eastAsia" w:cs="宋体"/>
                <w:b/>
                <w:bCs/>
                <w:color w:val="auto"/>
                <w:sz w:val="24"/>
                <w:szCs w:val="28"/>
                <w:highlight w:val="none"/>
                <w:u w:val="single"/>
              </w:rPr>
              <w:t>除上述偏离表的内容外，本投标人接受招标文件全部★号条款及其他条款的要求，中标后不再提出异议，</w:t>
            </w:r>
            <w:r>
              <w:rPr>
                <w:rFonts w:hint="eastAsia" w:cs="宋体"/>
                <w:color w:val="auto"/>
                <w:sz w:val="24"/>
                <w:szCs w:val="28"/>
                <w:highlight w:val="none"/>
                <w:u w:val="single"/>
              </w:rPr>
              <w:t>本</w:t>
            </w:r>
            <w:r>
              <w:rPr>
                <w:rFonts w:hint="eastAsia" w:cs="宋体"/>
                <w:color w:val="auto"/>
                <w:sz w:val="24"/>
                <w:szCs w:val="28"/>
                <w:highlight w:val="none"/>
              </w:rPr>
              <w:t>投标人在中标后再提出不能满足招标文件要求的，采购人有权取消本投标人投标资格或者单方解除合同，所造成的一切责任和损失由本投标人承担。</w:t>
            </w:r>
          </w:p>
          <w:p w14:paraId="6687E288">
            <w:pPr>
              <w:spacing w:line="360" w:lineRule="auto"/>
              <w:rPr>
                <w:rFonts w:ascii="宋体" w:hAnsi="宋体" w:cs="宋体"/>
                <w:color w:val="auto"/>
                <w:sz w:val="24"/>
                <w:szCs w:val="24"/>
                <w:highlight w:val="none"/>
              </w:rPr>
            </w:pPr>
            <w:r>
              <w:rPr>
                <w:rFonts w:hint="eastAsia" w:cs="宋体"/>
                <w:color w:val="auto"/>
                <w:sz w:val="24"/>
                <w:szCs w:val="28"/>
                <w:highlight w:val="none"/>
              </w:rPr>
              <w:t>投标人</w:t>
            </w:r>
            <w:r>
              <w:rPr>
                <w:rFonts w:hint="eastAsia" w:hAnsi="宋体" w:cs="宋体"/>
                <w:color w:val="auto"/>
                <w:sz w:val="24"/>
                <w:szCs w:val="24"/>
                <w:highlight w:val="none"/>
              </w:rPr>
              <w:t>（全称并加盖公章）</w:t>
            </w:r>
            <w:r>
              <w:rPr>
                <w:rFonts w:hint="eastAsia" w:cs="宋体"/>
                <w:color w:val="auto"/>
                <w:sz w:val="24"/>
                <w:szCs w:val="28"/>
                <w:highlight w:val="none"/>
              </w:rPr>
              <w:t>：</w:t>
            </w:r>
          </w:p>
        </w:tc>
      </w:tr>
    </w:tbl>
    <w:p w14:paraId="3EDE1A30">
      <w:pPr>
        <w:spacing w:line="360" w:lineRule="auto"/>
        <w:rPr>
          <w:rFonts w:ascii="宋体" w:hAnsi="宋体" w:cs="宋体"/>
          <w:color w:val="auto"/>
          <w:sz w:val="24"/>
          <w:szCs w:val="24"/>
          <w:highlight w:val="none"/>
        </w:rPr>
      </w:pPr>
    </w:p>
    <w:p w14:paraId="4107C0CC">
      <w:pPr>
        <w:spacing w:line="360" w:lineRule="auto"/>
        <w:rPr>
          <w:rFonts w:ascii="宋体" w:hAnsi="宋体" w:cs="宋体"/>
          <w:color w:val="auto"/>
          <w:sz w:val="24"/>
          <w:szCs w:val="24"/>
          <w:highlight w:val="none"/>
        </w:rPr>
      </w:pPr>
    </w:p>
    <w:p w14:paraId="4FB60917">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 xml:space="preserve">投标人代表签字： </w:t>
      </w:r>
      <w:r>
        <w:rPr>
          <w:rFonts w:hint="eastAsia" w:ascii="宋体" w:hAnsi="宋体" w:cs="宋体"/>
          <w:color w:val="auto"/>
          <w:sz w:val="24"/>
          <w:szCs w:val="24"/>
          <w:highlight w:val="none"/>
          <w:u w:val="single"/>
        </w:rPr>
        <w:t xml:space="preserve">           </w:t>
      </w:r>
    </w:p>
    <w:p w14:paraId="53198587">
      <w:pPr>
        <w:spacing w:line="360" w:lineRule="auto"/>
        <w:rPr>
          <w:rFonts w:ascii="宋体" w:hAnsi="宋体" w:cs="宋体"/>
          <w:color w:val="auto"/>
          <w:sz w:val="24"/>
          <w:szCs w:val="24"/>
          <w:highlight w:val="none"/>
        </w:rPr>
      </w:pPr>
    </w:p>
    <w:p w14:paraId="6ABF0E03">
      <w:pPr>
        <w:spacing w:line="360" w:lineRule="auto"/>
        <w:jc w:val="center"/>
        <w:rPr>
          <w:rFonts w:ascii="宋体" w:hAnsi="宋体" w:cs="宋体"/>
          <w:color w:val="auto"/>
          <w:sz w:val="24"/>
          <w:szCs w:val="24"/>
          <w:highlight w:val="none"/>
        </w:rPr>
        <w:sectPr>
          <w:type w:val="nextColumn"/>
          <w:pgSz w:w="11907" w:h="16840"/>
          <w:pgMar w:top="1440" w:right="1752" w:bottom="1440" w:left="1752" w:header="851" w:footer="992" w:gutter="0"/>
          <w:cols w:space="720" w:num="1"/>
          <w:docGrid w:type="linesAndChars" w:linePitch="323" w:charSpace="-2"/>
        </w:sectPr>
      </w:pPr>
      <w:r>
        <w:rPr>
          <w:rFonts w:hint="eastAsia" w:ascii="宋体" w:hAnsi="宋体" w:cs="宋体"/>
          <w:color w:val="auto"/>
          <w:sz w:val="24"/>
          <w:szCs w:val="24"/>
          <w:highlight w:val="none"/>
        </w:rPr>
        <w:br w:type="page"/>
      </w:r>
    </w:p>
    <w:p w14:paraId="5D156C6F">
      <w:pPr>
        <w:spacing w:after="161" w:afterLines="50" w:line="360" w:lineRule="auto"/>
        <w:jc w:val="center"/>
        <w:rPr>
          <w:rFonts w:ascii="宋体" w:hAnsi="宋体" w:cs="宋体"/>
          <w:b/>
          <w:color w:val="auto"/>
          <w:sz w:val="32"/>
          <w:szCs w:val="32"/>
          <w:highlight w:val="none"/>
        </w:rPr>
      </w:pPr>
      <w:r>
        <w:rPr>
          <w:rFonts w:hint="eastAsia" w:ascii="宋体" w:hAnsi="宋体" w:cs="宋体"/>
          <w:b/>
          <w:color w:val="auto"/>
          <w:sz w:val="32"/>
          <w:szCs w:val="32"/>
          <w:highlight w:val="none"/>
        </w:rPr>
        <w:t>“★”号条款逐条响应情况表</w:t>
      </w:r>
    </w:p>
    <w:p w14:paraId="48B31324">
      <w:pPr>
        <w:rPr>
          <w:rFonts w:ascii="宋体" w:hAnsi="宋体" w:cs="宋体"/>
          <w:bCs/>
          <w:color w:val="auto"/>
          <w:sz w:val="24"/>
          <w:highlight w:val="none"/>
        </w:rPr>
      </w:pPr>
      <w:r>
        <w:rPr>
          <w:rFonts w:hint="eastAsia" w:ascii="宋体" w:hAnsi="宋体" w:cs="宋体"/>
          <w:color w:val="auto"/>
          <w:sz w:val="24"/>
          <w:highlight w:val="none"/>
        </w:rPr>
        <w:t>投标</w:t>
      </w:r>
      <w:r>
        <w:rPr>
          <w:rFonts w:hint="eastAsia" w:ascii="宋体" w:hAnsi="宋体" w:cs="宋体"/>
          <w:bCs/>
          <w:color w:val="auto"/>
          <w:sz w:val="24"/>
          <w:highlight w:val="none"/>
        </w:rPr>
        <w:t>人名称</w:t>
      </w:r>
      <w:r>
        <w:rPr>
          <w:rFonts w:ascii="宋体" w:hAnsi="宋体" w:cs="宋体"/>
          <w:bCs/>
          <w:color w:val="auto"/>
          <w:sz w:val="24"/>
          <w:highlight w:val="none"/>
        </w:rPr>
        <w:t>（加盖公章）</w:t>
      </w:r>
      <w:r>
        <w:rPr>
          <w:rFonts w:hint="eastAsia" w:ascii="宋体" w:hAnsi="宋体" w:cs="宋体"/>
          <w:bCs/>
          <w:color w:val="auto"/>
          <w:sz w:val="24"/>
          <w:highlight w:val="none"/>
        </w:rPr>
        <w:t>：</w:t>
      </w:r>
    </w:p>
    <w:tbl>
      <w:tblPr>
        <w:tblStyle w:val="21"/>
        <w:tblW w:w="98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2"/>
        <w:gridCol w:w="5812"/>
        <w:gridCol w:w="992"/>
        <w:gridCol w:w="850"/>
        <w:gridCol w:w="1347"/>
      </w:tblGrid>
      <w:tr w14:paraId="2BDE8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0" w:hRule="atLeast"/>
          <w:jc w:val="center"/>
        </w:trPr>
        <w:tc>
          <w:tcPr>
            <w:tcW w:w="872" w:type="dxa"/>
            <w:vAlign w:val="center"/>
          </w:tcPr>
          <w:p w14:paraId="585244EC">
            <w:pPr>
              <w:widowControl/>
              <w:jc w:val="left"/>
              <w:rPr>
                <w:rFonts w:ascii="宋体" w:hAnsi="宋体" w:cs="宋体"/>
                <w:b/>
                <w:bCs/>
                <w:color w:val="auto"/>
                <w:sz w:val="24"/>
                <w:highlight w:val="none"/>
              </w:rPr>
            </w:pPr>
            <w:r>
              <w:rPr>
                <w:rFonts w:hint="eastAsia" w:ascii="宋体" w:hAnsi="宋体" w:cs="宋体"/>
                <w:b/>
                <w:bCs/>
                <w:color w:val="auto"/>
                <w:sz w:val="24"/>
                <w:highlight w:val="none"/>
              </w:rPr>
              <w:t>序号</w:t>
            </w:r>
          </w:p>
        </w:tc>
        <w:tc>
          <w:tcPr>
            <w:tcW w:w="5812" w:type="dxa"/>
            <w:vAlign w:val="center"/>
          </w:tcPr>
          <w:p w14:paraId="3ADE42E4">
            <w:pPr>
              <w:widowControl/>
              <w:jc w:val="center"/>
              <w:rPr>
                <w:rFonts w:ascii="宋体" w:hAnsi="宋体" w:cs="宋体"/>
                <w:b/>
                <w:bCs/>
                <w:color w:val="auto"/>
                <w:sz w:val="24"/>
                <w:highlight w:val="none"/>
              </w:rPr>
            </w:pPr>
            <w:r>
              <w:rPr>
                <w:rFonts w:hint="eastAsia" w:ascii="宋体" w:hAnsi="宋体" w:cs="宋体"/>
                <w:b/>
                <w:bCs/>
                <w:color w:val="auto"/>
                <w:sz w:val="24"/>
                <w:highlight w:val="none"/>
              </w:rPr>
              <w:t>招标文件要求</w:t>
            </w:r>
          </w:p>
        </w:tc>
        <w:tc>
          <w:tcPr>
            <w:tcW w:w="992" w:type="dxa"/>
            <w:vAlign w:val="center"/>
          </w:tcPr>
          <w:p w14:paraId="41BAE9CE">
            <w:pPr>
              <w:widowControl/>
              <w:jc w:val="center"/>
              <w:rPr>
                <w:rFonts w:ascii="宋体" w:hAnsi="宋体" w:cs="宋体"/>
                <w:b/>
                <w:bCs/>
                <w:color w:val="auto"/>
                <w:sz w:val="24"/>
                <w:highlight w:val="none"/>
              </w:rPr>
            </w:pPr>
            <w:r>
              <w:rPr>
                <w:rFonts w:hint="eastAsia" w:ascii="宋体" w:hAnsi="宋体" w:cs="宋体"/>
                <w:b/>
                <w:bCs/>
                <w:color w:val="auto"/>
                <w:sz w:val="24"/>
                <w:highlight w:val="none"/>
              </w:rPr>
              <w:t>投标响应情况</w:t>
            </w:r>
          </w:p>
        </w:tc>
        <w:tc>
          <w:tcPr>
            <w:tcW w:w="850" w:type="dxa"/>
            <w:vAlign w:val="center"/>
          </w:tcPr>
          <w:p w14:paraId="1D4902D0">
            <w:pPr>
              <w:widowControl/>
              <w:jc w:val="center"/>
              <w:rPr>
                <w:rFonts w:ascii="宋体" w:hAnsi="宋体" w:cs="宋体"/>
                <w:b/>
                <w:bCs/>
                <w:color w:val="auto"/>
                <w:sz w:val="24"/>
                <w:highlight w:val="none"/>
              </w:rPr>
            </w:pPr>
            <w:r>
              <w:rPr>
                <w:rFonts w:hint="eastAsia" w:ascii="宋体" w:hAnsi="宋体" w:cs="宋体"/>
                <w:b/>
                <w:bCs/>
                <w:color w:val="auto"/>
                <w:sz w:val="24"/>
                <w:highlight w:val="none"/>
              </w:rPr>
              <w:t>偏离说明</w:t>
            </w:r>
          </w:p>
        </w:tc>
        <w:tc>
          <w:tcPr>
            <w:tcW w:w="1347" w:type="dxa"/>
            <w:vAlign w:val="center"/>
          </w:tcPr>
          <w:p w14:paraId="3F8AE984">
            <w:pPr>
              <w:widowControl/>
              <w:jc w:val="center"/>
              <w:rPr>
                <w:rFonts w:ascii="宋体" w:hAnsi="宋体" w:cs="宋体"/>
                <w:b/>
                <w:bCs/>
                <w:color w:val="auto"/>
                <w:sz w:val="24"/>
                <w:highlight w:val="none"/>
              </w:rPr>
            </w:pPr>
            <w:r>
              <w:rPr>
                <w:rFonts w:hint="eastAsia" w:ascii="宋体" w:hAnsi="宋体" w:cs="宋体"/>
                <w:b/>
                <w:bCs/>
                <w:color w:val="auto"/>
                <w:sz w:val="24"/>
                <w:highlight w:val="none"/>
              </w:rPr>
              <w:t>相关证明资料对应页码</w:t>
            </w:r>
          </w:p>
        </w:tc>
      </w:tr>
      <w:tr w14:paraId="43815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872" w:type="dxa"/>
            <w:vAlign w:val="center"/>
          </w:tcPr>
          <w:p w14:paraId="4C726704">
            <w:pPr>
              <w:widowControl/>
              <w:numPr>
                <w:ilvl w:val="0"/>
                <w:numId w:val="3"/>
              </w:numPr>
              <w:ind w:left="197" w:hanging="197"/>
              <w:jc w:val="center"/>
              <w:rPr>
                <w:rFonts w:ascii="宋体" w:hAnsi="宋体" w:cs="宋体"/>
                <w:bCs/>
                <w:color w:val="auto"/>
                <w:sz w:val="24"/>
                <w:highlight w:val="none"/>
              </w:rPr>
            </w:pPr>
          </w:p>
        </w:tc>
        <w:tc>
          <w:tcPr>
            <w:tcW w:w="5812" w:type="dxa"/>
          </w:tcPr>
          <w:p w14:paraId="291FD70D">
            <w:pPr>
              <w:widowControl/>
              <w:numPr>
                <w:ilvl w:val="2"/>
                <w:numId w:val="0"/>
              </w:numPr>
              <w:tabs>
                <w:tab w:val="left" w:pos="964"/>
              </w:tabs>
              <w:adjustRightInd w:val="0"/>
              <w:spacing w:line="360" w:lineRule="auto"/>
              <w:ind w:firstLine="480" w:firstLineChars="200"/>
              <w:jc w:val="left"/>
              <w:textAlignment w:val="baseline"/>
              <w:rPr>
                <w:rFonts w:ascii="宋体" w:hAnsi="宋体" w:cs="宋体"/>
                <w:b/>
                <w:color w:val="auto"/>
                <w:sz w:val="24"/>
                <w:szCs w:val="21"/>
                <w:highlight w:val="none"/>
              </w:rPr>
            </w:pPr>
          </w:p>
        </w:tc>
        <w:tc>
          <w:tcPr>
            <w:tcW w:w="992" w:type="dxa"/>
            <w:vAlign w:val="center"/>
          </w:tcPr>
          <w:p w14:paraId="33491EB2">
            <w:pPr>
              <w:widowControl/>
              <w:jc w:val="center"/>
              <w:rPr>
                <w:rFonts w:ascii="宋体" w:hAnsi="宋体" w:cs="宋体"/>
                <w:bCs/>
                <w:color w:val="auto"/>
                <w:sz w:val="24"/>
                <w:highlight w:val="none"/>
              </w:rPr>
            </w:pPr>
          </w:p>
        </w:tc>
        <w:tc>
          <w:tcPr>
            <w:tcW w:w="850" w:type="dxa"/>
            <w:vAlign w:val="center"/>
          </w:tcPr>
          <w:p w14:paraId="34D82DD3">
            <w:pPr>
              <w:widowControl/>
              <w:jc w:val="center"/>
              <w:rPr>
                <w:rFonts w:ascii="宋体" w:hAnsi="宋体" w:cs="宋体"/>
                <w:bCs/>
                <w:color w:val="auto"/>
                <w:sz w:val="24"/>
                <w:highlight w:val="none"/>
              </w:rPr>
            </w:pPr>
          </w:p>
        </w:tc>
        <w:tc>
          <w:tcPr>
            <w:tcW w:w="1347" w:type="dxa"/>
            <w:vAlign w:val="center"/>
          </w:tcPr>
          <w:p w14:paraId="18DBC2D7">
            <w:pPr>
              <w:widowControl/>
              <w:jc w:val="center"/>
              <w:rPr>
                <w:rFonts w:ascii="宋体" w:hAnsi="宋体" w:cs="宋体"/>
                <w:bCs/>
                <w:color w:val="auto"/>
                <w:sz w:val="24"/>
                <w:highlight w:val="none"/>
              </w:rPr>
            </w:pPr>
          </w:p>
        </w:tc>
      </w:tr>
      <w:tr w14:paraId="4F47B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872" w:type="dxa"/>
            <w:vAlign w:val="center"/>
          </w:tcPr>
          <w:p w14:paraId="3E60BCD2">
            <w:pPr>
              <w:widowControl/>
              <w:numPr>
                <w:ilvl w:val="0"/>
                <w:numId w:val="3"/>
              </w:numPr>
              <w:ind w:left="197" w:hanging="197"/>
              <w:jc w:val="center"/>
              <w:rPr>
                <w:rFonts w:ascii="宋体" w:hAnsi="宋体" w:cs="宋体"/>
                <w:bCs/>
                <w:color w:val="auto"/>
                <w:sz w:val="24"/>
                <w:highlight w:val="none"/>
              </w:rPr>
            </w:pPr>
          </w:p>
        </w:tc>
        <w:tc>
          <w:tcPr>
            <w:tcW w:w="5812" w:type="dxa"/>
          </w:tcPr>
          <w:p w14:paraId="68F0A493">
            <w:pPr>
              <w:numPr>
                <w:ilvl w:val="2"/>
                <w:numId w:val="0"/>
              </w:numPr>
              <w:tabs>
                <w:tab w:val="left" w:pos="964"/>
              </w:tabs>
              <w:adjustRightInd w:val="0"/>
              <w:spacing w:line="360" w:lineRule="auto"/>
              <w:ind w:firstLine="480" w:firstLineChars="200"/>
              <w:textAlignment w:val="baseline"/>
              <w:rPr>
                <w:rFonts w:ascii="宋体" w:hAnsi="宋体" w:cs="宋体"/>
                <w:b/>
                <w:color w:val="auto"/>
                <w:sz w:val="24"/>
                <w:szCs w:val="21"/>
                <w:highlight w:val="none"/>
              </w:rPr>
            </w:pPr>
          </w:p>
        </w:tc>
        <w:tc>
          <w:tcPr>
            <w:tcW w:w="992" w:type="dxa"/>
            <w:vAlign w:val="center"/>
          </w:tcPr>
          <w:p w14:paraId="5B4911BE">
            <w:pPr>
              <w:widowControl/>
              <w:jc w:val="center"/>
              <w:rPr>
                <w:rFonts w:ascii="宋体" w:hAnsi="宋体" w:cs="宋体"/>
                <w:bCs/>
                <w:color w:val="auto"/>
                <w:sz w:val="24"/>
                <w:highlight w:val="none"/>
              </w:rPr>
            </w:pPr>
          </w:p>
        </w:tc>
        <w:tc>
          <w:tcPr>
            <w:tcW w:w="850" w:type="dxa"/>
            <w:vAlign w:val="center"/>
          </w:tcPr>
          <w:p w14:paraId="123CAA01">
            <w:pPr>
              <w:widowControl/>
              <w:jc w:val="center"/>
              <w:rPr>
                <w:rFonts w:ascii="宋体" w:hAnsi="宋体" w:cs="宋体"/>
                <w:bCs/>
                <w:color w:val="auto"/>
                <w:sz w:val="24"/>
                <w:highlight w:val="none"/>
              </w:rPr>
            </w:pPr>
          </w:p>
        </w:tc>
        <w:tc>
          <w:tcPr>
            <w:tcW w:w="1347" w:type="dxa"/>
            <w:vAlign w:val="center"/>
          </w:tcPr>
          <w:p w14:paraId="4804C418">
            <w:pPr>
              <w:widowControl/>
              <w:jc w:val="center"/>
              <w:rPr>
                <w:rFonts w:ascii="宋体" w:hAnsi="宋体" w:cs="宋体"/>
                <w:bCs/>
                <w:color w:val="auto"/>
                <w:sz w:val="24"/>
                <w:highlight w:val="none"/>
              </w:rPr>
            </w:pPr>
          </w:p>
        </w:tc>
      </w:tr>
      <w:tr w14:paraId="5C89C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872" w:type="dxa"/>
            <w:vAlign w:val="center"/>
          </w:tcPr>
          <w:p w14:paraId="60F4D181">
            <w:pPr>
              <w:widowControl/>
              <w:numPr>
                <w:ilvl w:val="0"/>
                <w:numId w:val="3"/>
              </w:numPr>
              <w:ind w:left="197" w:hanging="197"/>
              <w:jc w:val="center"/>
              <w:rPr>
                <w:rFonts w:ascii="宋体" w:hAnsi="宋体" w:cs="宋体"/>
                <w:bCs/>
                <w:color w:val="auto"/>
                <w:sz w:val="24"/>
                <w:highlight w:val="none"/>
              </w:rPr>
            </w:pPr>
          </w:p>
        </w:tc>
        <w:tc>
          <w:tcPr>
            <w:tcW w:w="5812" w:type="dxa"/>
          </w:tcPr>
          <w:p w14:paraId="742A854F">
            <w:pPr>
              <w:numPr>
                <w:ilvl w:val="2"/>
                <w:numId w:val="0"/>
              </w:numPr>
              <w:tabs>
                <w:tab w:val="left" w:pos="964"/>
              </w:tabs>
              <w:adjustRightInd w:val="0"/>
              <w:spacing w:line="360" w:lineRule="auto"/>
              <w:ind w:firstLine="480" w:firstLineChars="200"/>
              <w:textAlignment w:val="baseline"/>
              <w:rPr>
                <w:rFonts w:ascii="宋体" w:hAnsi="宋体" w:cs="宋体"/>
                <w:b/>
                <w:bCs/>
                <w:color w:val="auto"/>
                <w:sz w:val="24"/>
                <w:szCs w:val="21"/>
                <w:highlight w:val="none"/>
              </w:rPr>
            </w:pPr>
          </w:p>
        </w:tc>
        <w:tc>
          <w:tcPr>
            <w:tcW w:w="992" w:type="dxa"/>
            <w:vAlign w:val="center"/>
          </w:tcPr>
          <w:p w14:paraId="28781B0A">
            <w:pPr>
              <w:widowControl/>
              <w:jc w:val="center"/>
              <w:rPr>
                <w:rFonts w:ascii="宋体" w:hAnsi="宋体" w:cs="宋体"/>
                <w:bCs/>
                <w:color w:val="auto"/>
                <w:sz w:val="24"/>
                <w:highlight w:val="none"/>
              </w:rPr>
            </w:pPr>
          </w:p>
        </w:tc>
        <w:tc>
          <w:tcPr>
            <w:tcW w:w="850" w:type="dxa"/>
            <w:vAlign w:val="center"/>
          </w:tcPr>
          <w:p w14:paraId="23A02F2B">
            <w:pPr>
              <w:widowControl/>
              <w:jc w:val="center"/>
              <w:rPr>
                <w:rFonts w:ascii="宋体" w:hAnsi="宋体" w:cs="宋体"/>
                <w:bCs/>
                <w:color w:val="auto"/>
                <w:sz w:val="24"/>
                <w:highlight w:val="none"/>
              </w:rPr>
            </w:pPr>
          </w:p>
        </w:tc>
        <w:tc>
          <w:tcPr>
            <w:tcW w:w="1347" w:type="dxa"/>
            <w:vAlign w:val="center"/>
          </w:tcPr>
          <w:p w14:paraId="388B05BA">
            <w:pPr>
              <w:widowControl/>
              <w:jc w:val="center"/>
              <w:rPr>
                <w:rFonts w:ascii="宋体" w:hAnsi="宋体" w:cs="宋体"/>
                <w:bCs/>
                <w:color w:val="auto"/>
                <w:sz w:val="24"/>
                <w:highlight w:val="none"/>
              </w:rPr>
            </w:pPr>
          </w:p>
        </w:tc>
      </w:tr>
      <w:tr w14:paraId="2C97D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872" w:type="dxa"/>
            <w:vAlign w:val="center"/>
          </w:tcPr>
          <w:p w14:paraId="7F9B5D6E">
            <w:pPr>
              <w:widowControl/>
              <w:numPr>
                <w:ilvl w:val="0"/>
                <w:numId w:val="3"/>
              </w:numPr>
              <w:ind w:left="197" w:hanging="197"/>
              <w:jc w:val="center"/>
              <w:rPr>
                <w:rFonts w:ascii="宋体" w:hAnsi="宋体" w:cs="宋体"/>
                <w:bCs/>
                <w:color w:val="auto"/>
                <w:sz w:val="24"/>
                <w:highlight w:val="none"/>
              </w:rPr>
            </w:pPr>
          </w:p>
        </w:tc>
        <w:tc>
          <w:tcPr>
            <w:tcW w:w="5812" w:type="dxa"/>
          </w:tcPr>
          <w:p w14:paraId="59407DB7">
            <w:pPr>
              <w:numPr>
                <w:ilvl w:val="2"/>
                <w:numId w:val="0"/>
              </w:numPr>
              <w:tabs>
                <w:tab w:val="left" w:pos="964"/>
              </w:tabs>
              <w:adjustRightInd w:val="0"/>
              <w:spacing w:line="360" w:lineRule="auto"/>
              <w:ind w:firstLine="480" w:firstLineChars="200"/>
              <w:textAlignment w:val="baseline"/>
              <w:rPr>
                <w:rFonts w:ascii="宋体" w:hAnsi="宋体" w:cs="宋体"/>
                <w:b/>
                <w:color w:val="auto"/>
                <w:sz w:val="24"/>
                <w:szCs w:val="21"/>
                <w:highlight w:val="none"/>
              </w:rPr>
            </w:pPr>
          </w:p>
        </w:tc>
        <w:tc>
          <w:tcPr>
            <w:tcW w:w="992" w:type="dxa"/>
            <w:vAlign w:val="center"/>
          </w:tcPr>
          <w:p w14:paraId="44DBA555">
            <w:pPr>
              <w:widowControl/>
              <w:jc w:val="center"/>
              <w:rPr>
                <w:rFonts w:ascii="宋体" w:hAnsi="宋体" w:cs="宋体"/>
                <w:bCs/>
                <w:color w:val="auto"/>
                <w:sz w:val="24"/>
                <w:highlight w:val="none"/>
              </w:rPr>
            </w:pPr>
          </w:p>
        </w:tc>
        <w:tc>
          <w:tcPr>
            <w:tcW w:w="850" w:type="dxa"/>
            <w:vAlign w:val="center"/>
          </w:tcPr>
          <w:p w14:paraId="1FC7CF5B">
            <w:pPr>
              <w:widowControl/>
              <w:jc w:val="center"/>
              <w:rPr>
                <w:rFonts w:ascii="宋体" w:hAnsi="宋体" w:cs="宋体"/>
                <w:bCs/>
                <w:color w:val="auto"/>
                <w:sz w:val="24"/>
                <w:highlight w:val="none"/>
              </w:rPr>
            </w:pPr>
          </w:p>
        </w:tc>
        <w:tc>
          <w:tcPr>
            <w:tcW w:w="1347" w:type="dxa"/>
            <w:vAlign w:val="center"/>
          </w:tcPr>
          <w:p w14:paraId="017A5EB3">
            <w:pPr>
              <w:widowControl/>
              <w:jc w:val="center"/>
              <w:rPr>
                <w:rFonts w:ascii="宋体" w:hAnsi="宋体" w:cs="宋体"/>
                <w:bCs/>
                <w:color w:val="auto"/>
                <w:sz w:val="24"/>
                <w:highlight w:val="none"/>
              </w:rPr>
            </w:pPr>
          </w:p>
        </w:tc>
      </w:tr>
      <w:tr w14:paraId="63774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872" w:type="dxa"/>
            <w:vAlign w:val="center"/>
          </w:tcPr>
          <w:p w14:paraId="6C33165C">
            <w:pPr>
              <w:widowControl/>
              <w:numPr>
                <w:ilvl w:val="0"/>
                <w:numId w:val="3"/>
              </w:numPr>
              <w:ind w:left="197" w:hanging="197"/>
              <w:jc w:val="center"/>
              <w:rPr>
                <w:rFonts w:ascii="宋体" w:hAnsi="宋体" w:cs="宋体"/>
                <w:bCs/>
                <w:color w:val="auto"/>
                <w:sz w:val="24"/>
                <w:highlight w:val="none"/>
              </w:rPr>
            </w:pPr>
          </w:p>
        </w:tc>
        <w:tc>
          <w:tcPr>
            <w:tcW w:w="5812" w:type="dxa"/>
          </w:tcPr>
          <w:p w14:paraId="77CD5E41">
            <w:pPr>
              <w:numPr>
                <w:ilvl w:val="2"/>
                <w:numId w:val="0"/>
              </w:numPr>
              <w:tabs>
                <w:tab w:val="left" w:pos="964"/>
              </w:tabs>
              <w:adjustRightInd w:val="0"/>
              <w:spacing w:line="360" w:lineRule="auto"/>
              <w:ind w:firstLine="480" w:firstLineChars="200"/>
              <w:textAlignment w:val="baseline"/>
              <w:rPr>
                <w:rFonts w:ascii="宋体" w:hAnsi="宋体" w:cs="宋体"/>
                <w:b/>
                <w:color w:val="auto"/>
                <w:sz w:val="24"/>
                <w:szCs w:val="21"/>
                <w:highlight w:val="none"/>
              </w:rPr>
            </w:pPr>
          </w:p>
        </w:tc>
        <w:tc>
          <w:tcPr>
            <w:tcW w:w="992" w:type="dxa"/>
            <w:vAlign w:val="center"/>
          </w:tcPr>
          <w:p w14:paraId="3BBFADAC">
            <w:pPr>
              <w:widowControl/>
              <w:jc w:val="center"/>
              <w:rPr>
                <w:rFonts w:ascii="宋体" w:hAnsi="宋体" w:cs="宋体"/>
                <w:bCs/>
                <w:color w:val="auto"/>
                <w:sz w:val="24"/>
                <w:highlight w:val="none"/>
              </w:rPr>
            </w:pPr>
          </w:p>
        </w:tc>
        <w:tc>
          <w:tcPr>
            <w:tcW w:w="850" w:type="dxa"/>
            <w:vAlign w:val="center"/>
          </w:tcPr>
          <w:p w14:paraId="432CD98F">
            <w:pPr>
              <w:widowControl/>
              <w:jc w:val="center"/>
              <w:rPr>
                <w:rFonts w:ascii="宋体" w:hAnsi="宋体" w:cs="宋体"/>
                <w:bCs/>
                <w:color w:val="auto"/>
                <w:sz w:val="24"/>
                <w:highlight w:val="none"/>
              </w:rPr>
            </w:pPr>
          </w:p>
        </w:tc>
        <w:tc>
          <w:tcPr>
            <w:tcW w:w="1347" w:type="dxa"/>
            <w:vAlign w:val="center"/>
          </w:tcPr>
          <w:p w14:paraId="6E50E754">
            <w:pPr>
              <w:widowControl/>
              <w:jc w:val="center"/>
              <w:rPr>
                <w:rFonts w:ascii="宋体" w:hAnsi="宋体" w:cs="宋体"/>
                <w:bCs/>
                <w:color w:val="auto"/>
                <w:sz w:val="24"/>
                <w:highlight w:val="none"/>
              </w:rPr>
            </w:pPr>
          </w:p>
        </w:tc>
      </w:tr>
      <w:tr w14:paraId="1775D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872" w:type="dxa"/>
            <w:vAlign w:val="center"/>
          </w:tcPr>
          <w:p w14:paraId="6020257D">
            <w:pPr>
              <w:widowControl/>
              <w:numPr>
                <w:ilvl w:val="0"/>
                <w:numId w:val="3"/>
              </w:numPr>
              <w:ind w:left="197" w:hanging="197"/>
              <w:jc w:val="center"/>
              <w:rPr>
                <w:rFonts w:ascii="宋体" w:hAnsi="宋体" w:cs="宋体"/>
                <w:bCs/>
                <w:color w:val="auto"/>
                <w:sz w:val="24"/>
                <w:highlight w:val="none"/>
              </w:rPr>
            </w:pPr>
          </w:p>
        </w:tc>
        <w:tc>
          <w:tcPr>
            <w:tcW w:w="5812" w:type="dxa"/>
          </w:tcPr>
          <w:p w14:paraId="5D9805C0">
            <w:pPr>
              <w:wordWrap w:val="0"/>
              <w:spacing w:line="360" w:lineRule="auto"/>
              <w:ind w:firstLine="480" w:firstLineChars="200"/>
              <w:contextualSpacing/>
              <w:rPr>
                <w:rFonts w:ascii="宋体" w:hAnsi="宋体" w:cs="宋体"/>
                <w:b/>
                <w:color w:val="auto"/>
                <w:sz w:val="24"/>
                <w:szCs w:val="21"/>
                <w:highlight w:val="none"/>
              </w:rPr>
            </w:pPr>
          </w:p>
        </w:tc>
        <w:tc>
          <w:tcPr>
            <w:tcW w:w="992" w:type="dxa"/>
            <w:vAlign w:val="center"/>
          </w:tcPr>
          <w:p w14:paraId="201A0F59">
            <w:pPr>
              <w:widowControl/>
              <w:jc w:val="center"/>
              <w:rPr>
                <w:rFonts w:ascii="宋体" w:hAnsi="宋体" w:cs="宋体"/>
                <w:bCs/>
                <w:color w:val="auto"/>
                <w:sz w:val="24"/>
                <w:highlight w:val="none"/>
              </w:rPr>
            </w:pPr>
          </w:p>
        </w:tc>
        <w:tc>
          <w:tcPr>
            <w:tcW w:w="850" w:type="dxa"/>
            <w:vAlign w:val="center"/>
          </w:tcPr>
          <w:p w14:paraId="6333A696">
            <w:pPr>
              <w:widowControl/>
              <w:jc w:val="center"/>
              <w:rPr>
                <w:rFonts w:ascii="宋体" w:hAnsi="宋体" w:cs="宋体"/>
                <w:bCs/>
                <w:color w:val="auto"/>
                <w:sz w:val="24"/>
                <w:highlight w:val="none"/>
              </w:rPr>
            </w:pPr>
          </w:p>
        </w:tc>
        <w:tc>
          <w:tcPr>
            <w:tcW w:w="1347" w:type="dxa"/>
            <w:vAlign w:val="center"/>
          </w:tcPr>
          <w:p w14:paraId="0AEE4782">
            <w:pPr>
              <w:widowControl/>
              <w:jc w:val="center"/>
              <w:rPr>
                <w:rFonts w:ascii="宋体" w:hAnsi="宋体" w:cs="宋体"/>
                <w:bCs/>
                <w:color w:val="auto"/>
                <w:sz w:val="24"/>
                <w:highlight w:val="none"/>
              </w:rPr>
            </w:pPr>
          </w:p>
        </w:tc>
      </w:tr>
      <w:tr w14:paraId="58575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872" w:type="dxa"/>
            <w:vAlign w:val="center"/>
          </w:tcPr>
          <w:p w14:paraId="36BE8B78">
            <w:pPr>
              <w:widowControl/>
              <w:numPr>
                <w:ilvl w:val="0"/>
                <w:numId w:val="3"/>
              </w:numPr>
              <w:ind w:left="197" w:hanging="197"/>
              <w:jc w:val="center"/>
              <w:rPr>
                <w:rFonts w:ascii="宋体" w:hAnsi="宋体" w:cs="宋体"/>
                <w:bCs/>
                <w:color w:val="auto"/>
                <w:sz w:val="24"/>
                <w:highlight w:val="none"/>
              </w:rPr>
            </w:pPr>
          </w:p>
        </w:tc>
        <w:tc>
          <w:tcPr>
            <w:tcW w:w="5812" w:type="dxa"/>
          </w:tcPr>
          <w:p w14:paraId="1BDCF3DB">
            <w:pPr>
              <w:numPr>
                <w:ilvl w:val="2"/>
                <w:numId w:val="0"/>
              </w:numPr>
              <w:tabs>
                <w:tab w:val="left" w:pos="964"/>
              </w:tabs>
              <w:adjustRightInd w:val="0"/>
              <w:spacing w:line="360" w:lineRule="auto"/>
              <w:ind w:firstLine="480" w:firstLineChars="200"/>
              <w:textAlignment w:val="baseline"/>
              <w:rPr>
                <w:rFonts w:ascii="宋体" w:hAnsi="宋体" w:cs="宋体"/>
                <w:b/>
                <w:color w:val="auto"/>
                <w:sz w:val="24"/>
                <w:szCs w:val="21"/>
                <w:highlight w:val="none"/>
              </w:rPr>
            </w:pPr>
          </w:p>
        </w:tc>
        <w:tc>
          <w:tcPr>
            <w:tcW w:w="992" w:type="dxa"/>
            <w:vAlign w:val="center"/>
          </w:tcPr>
          <w:p w14:paraId="76FA9B24">
            <w:pPr>
              <w:widowControl/>
              <w:jc w:val="center"/>
              <w:rPr>
                <w:rFonts w:ascii="宋体" w:hAnsi="宋体" w:cs="宋体"/>
                <w:bCs/>
                <w:color w:val="auto"/>
                <w:sz w:val="24"/>
                <w:highlight w:val="none"/>
              </w:rPr>
            </w:pPr>
          </w:p>
        </w:tc>
        <w:tc>
          <w:tcPr>
            <w:tcW w:w="850" w:type="dxa"/>
            <w:vAlign w:val="center"/>
          </w:tcPr>
          <w:p w14:paraId="27A230A3">
            <w:pPr>
              <w:widowControl/>
              <w:jc w:val="center"/>
              <w:rPr>
                <w:rFonts w:ascii="宋体" w:hAnsi="宋体" w:cs="宋体"/>
                <w:bCs/>
                <w:color w:val="auto"/>
                <w:sz w:val="24"/>
                <w:highlight w:val="none"/>
              </w:rPr>
            </w:pPr>
          </w:p>
        </w:tc>
        <w:tc>
          <w:tcPr>
            <w:tcW w:w="1347" w:type="dxa"/>
            <w:vAlign w:val="center"/>
          </w:tcPr>
          <w:p w14:paraId="637C3EDF">
            <w:pPr>
              <w:widowControl/>
              <w:jc w:val="center"/>
              <w:rPr>
                <w:rFonts w:ascii="宋体" w:hAnsi="宋体" w:cs="宋体"/>
                <w:bCs/>
                <w:color w:val="auto"/>
                <w:sz w:val="24"/>
                <w:highlight w:val="none"/>
              </w:rPr>
            </w:pPr>
          </w:p>
        </w:tc>
      </w:tr>
      <w:tr w14:paraId="717C1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872" w:type="dxa"/>
            <w:vAlign w:val="center"/>
          </w:tcPr>
          <w:p w14:paraId="6543CD08">
            <w:pPr>
              <w:widowControl/>
              <w:numPr>
                <w:ilvl w:val="0"/>
                <w:numId w:val="3"/>
              </w:numPr>
              <w:ind w:left="197" w:hanging="197"/>
              <w:jc w:val="center"/>
              <w:rPr>
                <w:rFonts w:ascii="宋体" w:hAnsi="宋体" w:cs="宋体"/>
                <w:bCs/>
                <w:color w:val="auto"/>
                <w:sz w:val="24"/>
                <w:highlight w:val="none"/>
              </w:rPr>
            </w:pPr>
          </w:p>
        </w:tc>
        <w:tc>
          <w:tcPr>
            <w:tcW w:w="5812" w:type="dxa"/>
          </w:tcPr>
          <w:p w14:paraId="6BC7E662">
            <w:pPr>
              <w:numPr>
                <w:ilvl w:val="2"/>
                <w:numId w:val="0"/>
              </w:numPr>
              <w:tabs>
                <w:tab w:val="left" w:pos="964"/>
              </w:tabs>
              <w:adjustRightInd w:val="0"/>
              <w:spacing w:line="360" w:lineRule="auto"/>
              <w:ind w:firstLine="480" w:firstLineChars="200"/>
              <w:textAlignment w:val="baseline"/>
              <w:rPr>
                <w:rFonts w:ascii="宋体" w:hAnsi="宋体" w:cs="宋体"/>
                <w:b/>
                <w:color w:val="auto"/>
                <w:sz w:val="24"/>
                <w:szCs w:val="21"/>
                <w:highlight w:val="none"/>
              </w:rPr>
            </w:pPr>
          </w:p>
        </w:tc>
        <w:tc>
          <w:tcPr>
            <w:tcW w:w="992" w:type="dxa"/>
            <w:vAlign w:val="center"/>
          </w:tcPr>
          <w:p w14:paraId="3829CEA6">
            <w:pPr>
              <w:widowControl/>
              <w:jc w:val="center"/>
              <w:rPr>
                <w:rFonts w:ascii="宋体" w:hAnsi="宋体" w:cs="宋体"/>
                <w:bCs/>
                <w:color w:val="auto"/>
                <w:sz w:val="24"/>
                <w:highlight w:val="none"/>
              </w:rPr>
            </w:pPr>
          </w:p>
        </w:tc>
        <w:tc>
          <w:tcPr>
            <w:tcW w:w="850" w:type="dxa"/>
            <w:vAlign w:val="center"/>
          </w:tcPr>
          <w:p w14:paraId="277F85D1">
            <w:pPr>
              <w:widowControl/>
              <w:jc w:val="center"/>
              <w:rPr>
                <w:rFonts w:ascii="宋体" w:hAnsi="宋体" w:cs="宋体"/>
                <w:bCs/>
                <w:color w:val="auto"/>
                <w:sz w:val="24"/>
                <w:highlight w:val="none"/>
              </w:rPr>
            </w:pPr>
          </w:p>
        </w:tc>
        <w:tc>
          <w:tcPr>
            <w:tcW w:w="1347" w:type="dxa"/>
            <w:vAlign w:val="center"/>
          </w:tcPr>
          <w:p w14:paraId="11F30443">
            <w:pPr>
              <w:widowControl/>
              <w:jc w:val="center"/>
              <w:rPr>
                <w:rFonts w:ascii="宋体" w:hAnsi="宋体" w:cs="宋体"/>
                <w:bCs/>
                <w:color w:val="auto"/>
                <w:sz w:val="24"/>
                <w:highlight w:val="none"/>
              </w:rPr>
            </w:pPr>
          </w:p>
        </w:tc>
      </w:tr>
      <w:tr w14:paraId="54902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872" w:type="dxa"/>
            <w:vAlign w:val="center"/>
          </w:tcPr>
          <w:p w14:paraId="319D684C">
            <w:pPr>
              <w:widowControl/>
              <w:numPr>
                <w:ilvl w:val="0"/>
                <w:numId w:val="3"/>
              </w:numPr>
              <w:ind w:left="197" w:hanging="197"/>
              <w:jc w:val="center"/>
              <w:rPr>
                <w:rFonts w:ascii="宋体" w:hAnsi="宋体" w:cs="宋体"/>
                <w:bCs/>
                <w:color w:val="auto"/>
                <w:sz w:val="24"/>
                <w:highlight w:val="none"/>
              </w:rPr>
            </w:pPr>
          </w:p>
        </w:tc>
        <w:tc>
          <w:tcPr>
            <w:tcW w:w="5812" w:type="dxa"/>
          </w:tcPr>
          <w:p w14:paraId="79D9D659">
            <w:pPr>
              <w:numPr>
                <w:ilvl w:val="2"/>
                <w:numId w:val="0"/>
              </w:numPr>
              <w:tabs>
                <w:tab w:val="left" w:pos="964"/>
              </w:tabs>
              <w:adjustRightInd w:val="0"/>
              <w:spacing w:line="360" w:lineRule="auto"/>
              <w:ind w:firstLine="480" w:firstLineChars="200"/>
              <w:textAlignment w:val="baseline"/>
              <w:rPr>
                <w:rFonts w:ascii="宋体" w:hAnsi="宋体" w:cs="宋体"/>
                <w:b/>
                <w:color w:val="auto"/>
                <w:sz w:val="24"/>
                <w:szCs w:val="21"/>
                <w:highlight w:val="none"/>
              </w:rPr>
            </w:pPr>
          </w:p>
        </w:tc>
        <w:tc>
          <w:tcPr>
            <w:tcW w:w="992" w:type="dxa"/>
            <w:vAlign w:val="center"/>
          </w:tcPr>
          <w:p w14:paraId="742C80C5">
            <w:pPr>
              <w:widowControl/>
              <w:jc w:val="center"/>
              <w:rPr>
                <w:rFonts w:ascii="宋体" w:hAnsi="宋体" w:cs="宋体"/>
                <w:bCs/>
                <w:color w:val="auto"/>
                <w:sz w:val="24"/>
                <w:highlight w:val="none"/>
              </w:rPr>
            </w:pPr>
          </w:p>
        </w:tc>
        <w:tc>
          <w:tcPr>
            <w:tcW w:w="850" w:type="dxa"/>
            <w:vAlign w:val="center"/>
          </w:tcPr>
          <w:p w14:paraId="6B942707">
            <w:pPr>
              <w:widowControl/>
              <w:jc w:val="center"/>
              <w:rPr>
                <w:rFonts w:ascii="宋体" w:hAnsi="宋体" w:cs="宋体"/>
                <w:bCs/>
                <w:color w:val="auto"/>
                <w:sz w:val="24"/>
                <w:highlight w:val="none"/>
              </w:rPr>
            </w:pPr>
          </w:p>
        </w:tc>
        <w:tc>
          <w:tcPr>
            <w:tcW w:w="1347" w:type="dxa"/>
            <w:vAlign w:val="center"/>
          </w:tcPr>
          <w:p w14:paraId="00D335F5">
            <w:pPr>
              <w:widowControl/>
              <w:jc w:val="center"/>
              <w:rPr>
                <w:rFonts w:ascii="宋体" w:hAnsi="宋体" w:cs="宋体"/>
                <w:bCs/>
                <w:color w:val="auto"/>
                <w:sz w:val="24"/>
                <w:highlight w:val="none"/>
              </w:rPr>
            </w:pPr>
          </w:p>
        </w:tc>
      </w:tr>
    </w:tbl>
    <w:p w14:paraId="3235587E">
      <w:pPr>
        <w:spacing w:line="360" w:lineRule="auto"/>
        <w:jc w:val="left"/>
        <w:rPr>
          <w:rFonts w:ascii="宋体" w:hAnsi="宋体" w:cs="宋体"/>
          <w:color w:val="auto"/>
          <w:sz w:val="24"/>
          <w:szCs w:val="24"/>
          <w:highlight w:val="none"/>
        </w:rPr>
        <w:sectPr>
          <w:pgSz w:w="11907" w:h="16840"/>
          <w:pgMar w:top="1440" w:right="1752" w:bottom="1440" w:left="1752" w:header="851" w:footer="992" w:gutter="0"/>
          <w:cols w:space="720" w:num="1"/>
          <w:docGrid w:type="linesAndChars" w:linePitch="323" w:charSpace="-2"/>
        </w:sectPr>
      </w:pPr>
      <w:r>
        <w:rPr>
          <w:rFonts w:hint="eastAsia" w:ascii="宋体" w:hAnsi="宋体" w:cs="宋体"/>
          <w:color w:val="auto"/>
          <w:sz w:val="24"/>
          <w:szCs w:val="24"/>
          <w:highlight w:val="none"/>
        </w:rPr>
        <w:t>注：1、</w:t>
      </w:r>
      <w:r>
        <w:rPr>
          <w:rFonts w:hint="eastAsia" w:ascii="宋体" w:hAnsi="宋体" w:cs="宋体"/>
          <w:color w:val="auto"/>
          <w:kern w:val="0"/>
          <w:sz w:val="24"/>
          <w:szCs w:val="24"/>
          <w:highlight w:val="none"/>
        </w:rPr>
        <w:t>投标人应对招标文件中的“</w:t>
      </w:r>
      <w:r>
        <w:rPr>
          <w:rFonts w:hint="eastAsia" w:ascii="宋体" w:hAnsi="宋体" w:cs="宋体"/>
          <w:iCs/>
          <w:color w:val="auto"/>
          <w:sz w:val="24"/>
          <w:szCs w:val="24"/>
          <w:highlight w:val="none"/>
        </w:rPr>
        <w:t>★</w:t>
      </w:r>
      <w:r>
        <w:rPr>
          <w:rFonts w:hint="eastAsia" w:ascii="宋体" w:hAnsi="宋体" w:cs="宋体"/>
          <w:color w:val="auto"/>
          <w:kern w:val="0"/>
          <w:sz w:val="24"/>
          <w:szCs w:val="24"/>
          <w:highlight w:val="none"/>
        </w:rPr>
        <w:t>”号条款进行逐条响应，否则评标委员会对其投标做出不利评审，投标人必须自行承担责任</w:t>
      </w:r>
      <w:r>
        <w:rPr>
          <w:rFonts w:hint="eastAsia" w:ascii="宋体" w:hAnsi="宋体" w:cs="宋体"/>
          <w:color w:val="auto"/>
          <w:sz w:val="24"/>
          <w:szCs w:val="24"/>
          <w:highlight w:val="none"/>
        </w:rPr>
        <w:t>。投标人存在弄虚作假行为的，将依法承担相应的法律责任。</w:t>
      </w:r>
    </w:p>
    <w:p w14:paraId="36F29387">
      <w:pPr>
        <w:pStyle w:val="6"/>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承诺书</w:t>
      </w:r>
    </w:p>
    <w:p w14:paraId="57433910">
      <w:pPr>
        <w:spacing w:line="360" w:lineRule="auto"/>
        <w:jc w:val="center"/>
        <w:rPr>
          <w:rFonts w:ascii="宋体" w:hAnsi="宋体" w:cs="宋体"/>
          <w:b/>
          <w:color w:val="auto"/>
          <w:sz w:val="32"/>
          <w:szCs w:val="32"/>
          <w:highlight w:val="none"/>
        </w:rPr>
      </w:pPr>
    </w:p>
    <w:p w14:paraId="366ABF7A">
      <w:pPr>
        <w:pStyle w:val="13"/>
        <w:rPr>
          <w:rFonts w:ascii="宋体" w:hAnsi="宋体" w:cs="宋体"/>
          <w:color w:val="auto"/>
          <w:sz w:val="24"/>
          <w:szCs w:val="24"/>
          <w:highlight w:val="none"/>
        </w:rPr>
      </w:pPr>
      <w:r>
        <w:rPr>
          <w:rFonts w:hint="eastAsia" w:ascii="宋体" w:hAnsi="宋体" w:cs="宋体"/>
          <w:color w:val="auto"/>
          <w:sz w:val="24"/>
          <w:szCs w:val="24"/>
          <w:highlight w:val="none"/>
        </w:rPr>
        <w:t>我司承诺：</w:t>
      </w:r>
    </w:p>
    <w:p w14:paraId="4099FBEE">
      <w:pPr>
        <w:pStyle w:val="6"/>
        <w:rPr>
          <w:color w:val="auto"/>
          <w:highlight w:val="none"/>
        </w:rPr>
      </w:pPr>
    </w:p>
    <w:p w14:paraId="05B4344C">
      <w:pPr>
        <w:spacing w:line="360" w:lineRule="auto"/>
        <w:jc w:val="center"/>
        <w:rPr>
          <w:rFonts w:ascii="宋体" w:hAnsi="宋体" w:cs="宋体"/>
          <w:b/>
          <w:bCs/>
          <w:color w:val="auto"/>
          <w:sz w:val="22"/>
          <w:szCs w:val="24"/>
          <w:highlight w:val="none"/>
        </w:rPr>
      </w:pPr>
      <w:bookmarkStart w:id="177" w:name="_Toc1669397363"/>
      <w:bookmarkStart w:id="178" w:name="_Toc25282"/>
      <w:bookmarkStart w:id="179" w:name="_Toc32018"/>
      <w:r>
        <w:rPr>
          <w:rFonts w:hint="eastAsia" w:ascii="宋体" w:hAnsi="宋体" w:cs="宋体"/>
          <w:b/>
          <w:bCs/>
          <w:color w:val="auto"/>
          <w:sz w:val="22"/>
          <w:szCs w:val="24"/>
          <w:highlight w:val="none"/>
        </w:rPr>
        <w:t>（内容可根据招标文件要求自行扩展拟定）</w:t>
      </w:r>
      <w:bookmarkEnd w:id="177"/>
      <w:bookmarkEnd w:id="178"/>
      <w:bookmarkEnd w:id="179"/>
    </w:p>
    <w:p w14:paraId="7849F999">
      <w:pPr>
        <w:pStyle w:val="6"/>
        <w:spacing w:line="360" w:lineRule="auto"/>
        <w:rPr>
          <w:rFonts w:ascii="宋体" w:hAnsi="宋体" w:cs="宋体"/>
          <w:color w:val="auto"/>
          <w:highlight w:val="none"/>
        </w:rPr>
      </w:pPr>
    </w:p>
    <w:p w14:paraId="5365E5B0">
      <w:pPr>
        <w:autoSpaceDE w:val="0"/>
        <w:autoSpaceDN w:val="0"/>
        <w:spacing w:line="360" w:lineRule="auto"/>
        <w:ind w:firstLine="480" w:firstLineChars="200"/>
        <w:jc w:val="left"/>
        <w:rPr>
          <w:rFonts w:ascii="宋体" w:hAnsi="宋体" w:cs="宋体"/>
          <w:bCs/>
          <w:color w:val="auto"/>
          <w:sz w:val="24"/>
          <w:szCs w:val="21"/>
          <w:highlight w:val="none"/>
        </w:rPr>
      </w:pPr>
      <w:r>
        <w:rPr>
          <w:rFonts w:hint="eastAsia" w:ascii="宋体" w:hAnsi="宋体" w:cs="宋体"/>
          <w:bCs/>
          <w:color w:val="auto"/>
          <w:sz w:val="24"/>
          <w:szCs w:val="21"/>
          <w:highlight w:val="none"/>
        </w:rPr>
        <w:t>特此承诺！</w:t>
      </w:r>
    </w:p>
    <w:p w14:paraId="584E50C9">
      <w:pPr>
        <w:autoSpaceDE w:val="0"/>
        <w:autoSpaceDN w:val="0"/>
        <w:spacing w:line="360" w:lineRule="auto"/>
        <w:ind w:firstLine="4920" w:firstLineChars="2050"/>
        <w:jc w:val="left"/>
        <w:rPr>
          <w:rFonts w:ascii="宋体" w:hAnsi="宋体" w:cs="宋体"/>
          <w:bCs/>
          <w:color w:val="auto"/>
          <w:sz w:val="24"/>
          <w:szCs w:val="21"/>
          <w:highlight w:val="none"/>
        </w:rPr>
      </w:pPr>
      <w:r>
        <w:rPr>
          <w:rFonts w:hint="eastAsia" w:ascii="宋体" w:hAnsi="宋体" w:cs="宋体"/>
          <w:bCs/>
          <w:color w:val="auto"/>
          <w:sz w:val="24"/>
          <w:szCs w:val="21"/>
          <w:highlight w:val="none"/>
        </w:rPr>
        <w:t xml:space="preserve">投标人名称（盖公章）：   </w:t>
      </w:r>
    </w:p>
    <w:p w14:paraId="726AB94B">
      <w:pPr>
        <w:pStyle w:val="9"/>
        <w:spacing w:line="360" w:lineRule="auto"/>
        <w:rPr>
          <w:rFonts w:hAnsi="宋体" w:cs="宋体"/>
          <w:color w:val="auto"/>
          <w:sz w:val="24"/>
          <w:szCs w:val="24"/>
          <w:highlight w:val="none"/>
        </w:rPr>
      </w:pPr>
      <w:r>
        <w:rPr>
          <w:rFonts w:hint="eastAsia" w:hAnsi="宋体" w:cs="宋体"/>
          <w:bCs/>
          <w:color w:val="auto"/>
          <w:sz w:val="24"/>
          <w:highlight w:val="none"/>
        </w:rPr>
        <w:t xml:space="preserve">                                     日期：    年   月   日</w:t>
      </w:r>
    </w:p>
    <w:p w14:paraId="375E6522">
      <w:pPr>
        <w:spacing w:line="360" w:lineRule="auto"/>
        <w:jc w:val="center"/>
        <w:rPr>
          <w:color w:val="auto"/>
          <w:highlight w:val="none"/>
        </w:rPr>
        <w:sectPr>
          <w:pgSz w:w="11907" w:h="16840"/>
          <w:pgMar w:top="1440" w:right="1752" w:bottom="1440" w:left="1752" w:header="851" w:footer="992" w:gutter="0"/>
          <w:cols w:space="720" w:num="1"/>
          <w:docGrid w:type="linesAndChars" w:linePitch="323" w:charSpace="-2"/>
        </w:sectPr>
      </w:pPr>
    </w:p>
    <w:p w14:paraId="080571F6">
      <w:pPr>
        <w:spacing w:line="360" w:lineRule="auto"/>
        <w:jc w:val="center"/>
        <w:outlineLvl w:val="1"/>
        <w:rPr>
          <w:rFonts w:ascii="宋体" w:hAnsi="宋体" w:cs="宋体"/>
          <w:color w:val="auto"/>
          <w:sz w:val="32"/>
          <w:szCs w:val="32"/>
          <w:highlight w:val="none"/>
        </w:rPr>
      </w:pPr>
      <w:bookmarkStart w:id="180" w:name="_Toc28316"/>
      <w:r>
        <w:rPr>
          <w:rFonts w:hint="eastAsia" w:ascii="宋体" w:hAnsi="宋体" w:cs="宋体"/>
          <w:b/>
          <w:color w:val="auto"/>
          <w:sz w:val="32"/>
          <w:szCs w:val="32"/>
          <w:highlight w:val="none"/>
        </w:rPr>
        <w:t>七、投标人的资格证明文件</w:t>
      </w:r>
      <w:bookmarkEnd w:id="180"/>
    </w:p>
    <w:p w14:paraId="49909801">
      <w:pPr>
        <w:pStyle w:val="47"/>
        <w:spacing w:line="360" w:lineRule="auto"/>
        <w:outlineLvl w:val="9"/>
        <w:rPr>
          <w:rFonts w:hAnsi="宋体" w:cs="宋体"/>
          <w:color w:val="auto"/>
          <w:sz w:val="32"/>
          <w:szCs w:val="32"/>
          <w:highlight w:val="none"/>
        </w:rPr>
      </w:pPr>
    </w:p>
    <w:p w14:paraId="708557ED">
      <w:pPr>
        <w:spacing w:line="360" w:lineRule="auto"/>
        <w:jc w:val="center"/>
        <w:rPr>
          <w:rFonts w:ascii="宋体" w:hAnsi="宋体" w:cs="宋体"/>
          <w:color w:val="auto"/>
          <w:sz w:val="24"/>
          <w:szCs w:val="24"/>
          <w:highlight w:val="none"/>
        </w:rPr>
      </w:pPr>
      <w:r>
        <w:rPr>
          <w:rFonts w:hint="eastAsia" w:ascii="宋体" w:hAnsi="宋体" w:cs="宋体"/>
          <w:b/>
          <w:color w:val="auto"/>
          <w:sz w:val="32"/>
          <w:szCs w:val="32"/>
          <w:highlight w:val="none"/>
        </w:rPr>
        <w:t>关于资格的声明函</w:t>
      </w:r>
    </w:p>
    <w:p w14:paraId="4FADAD88">
      <w:pPr>
        <w:spacing w:line="360" w:lineRule="auto"/>
        <w:jc w:val="center"/>
        <w:rPr>
          <w:rFonts w:ascii="宋体" w:hAnsi="宋体" w:cs="宋体"/>
          <w:color w:val="auto"/>
          <w:sz w:val="24"/>
          <w:szCs w:val="24"/>
          <w:highlight w:val="none"/>
        </w:rPr>
      </w:pPr>
    </w:p>
    <w:p w14:paraId="78080C10">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w:t>
      </w:r>
    </w:p>
    <w:p w14:paraId="5D42A175">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关于贵方</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年</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月</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日第</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 xml:space="preserve"> （招标编号）投标邀请，本签字人愿意参加投标，提供招标文件“招标服务及要求”中规定的</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（合同包/品目号）</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（服务名称），并证明提交的下列文件和说明是准确的和真实的。</w:t>
      </w:r>
    </w:p>
    <w:p w14:paraId="08522724">
      <w:pPr>
        <w:spacing w:line="360" w:lineRule="auto"/>
        <w:ind w:firstLine="480" w:firstLineChars="200"/>
        <w:rPr>
          <w:rFonts w:ascii="宋体" w:hAnsi="宋体" w:cs="宋体"/>
          <w:color w:val="auto"/>
          <w:sz w:val="24"/>
          <w:szCs w:val="24"/>
          <w:highlight w:val="none"/>
        </w:rPr>
      </w:pPr>
    </w:p>
    <w:p w14:paraId="5A321E6E">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1．本签字人确认资格文件中的说明以及投标文件中所有提交的文件和材料是真实的、准确的。</w:t>
      </w:r>
    </w:p>
    <w:p w14:paraId="40010A03">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2．我方的资格声明正本一份，副本</w:t>
      </w:r>
      <w:r>
        <w:rPr>
          <w:rFonts w:hint="eastAsia" w:ascii="宋体" w:hAnsi="宋体" w:cs="宋体"/>
          <w:color w:val="auto"/>
          <w:sz w:val="24"/>
          <w:szCs w:val="24"/>
          <w:highlight w:val="none"/>
          <w:u w:val="single"/>
        </w:rPr>
        <w:t>四</w:t>
      </w:r>
      <w:r>
        <w:rPr>
          <w:rFonts w:hint="eastAsia" w:ascii="宋体" w:hAnsi="宋体" w:cs="宋体"/>
          <w:color w:val="auto"/>
          <w:sz w:val="24"/>
          <w:szCs w:val="24"/>
          <w:highlight w:val="none"/>
        </w:rPr>
        <w:t>份，最终盖章签字投标文件扫描件刻录u盘（或光盘）2份，随投标文件一同递交。</w:t>
      </w:r>
    </w:p>
    <w:p w14:paraId="2145CAE3">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 xml:space="preserve"> </w:t>
      </w:r>
    </w:p>
    <w:p w14:paraId="657CDBDB">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 xml:space="preserve">    </w:t>
      </w:r>
    </w:p>
    <w:p w14:paraId="0A370299">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投标人（全称并加盖公章）：</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 xml:space="preserve">                     </w:t>
      </w:r>
    </w:p>
    <w:p w14:paraId="777D8450">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地     址：</w:t>
      </w:r>
      <w:r>
        <w:rPr>
          <w:rFonts w:hint="eastAsia" w:ascii="宋体" w:hAnsi="宋体" w:cs="宋体"/>
          <w:color w:val="auto"/>
          <w:sz w:val="24"/>
          <w:szCs w:val="24"/>
          <w:highlight w:val="none"/>
          <w:u w:val="single"/>
        </w:rPr>
        <w:t xml:space="preserve">                         </w:t>
      </w:r>
    </w:p>
    <w:p w14:paraId="3880661F">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邮     编：</w:t>
      </w:r>
      <w:r>
        <w:rPr>
          <w:rFonts w:hint="eastAsia" w:ascii="宋体" w:hAnsi="宋体" w:cs="宋体"/>
          <w:color w:val="auto"/>
          <w:sz w:val="24"/>
          <w:szCs w:val="24"/>
          <w:highlight w:val="none"/>
          <w:u w:val="single"/>
        </w:rPr>
        <w:t xml:space="preserve">                         </w:t>
      </w:r>
    </w:p>
    <w:p w14:paraId="3D56EC52">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电 话/传 真：</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 xml:space="preserve"> 电子信箱：</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 xml:space="preserve"> </w:t>
      </w:r>
    </w:p>
    <w:p w14:paraId="39283D4B">
      <w:pPr>
        <w:spacing w:line="360" w:lineRule="auto"/>
        <w:jc w:val="center"/>
        <w:rPr>
          <w:rFonts w:ascii="宋体" w:hAnsi="宋体" w:cs="宋体"/>
          <w:b/>
          <w:color w:val="auto"/>
          <w:sz w:val="24"/>
          <w:szCs w:val="24"/>
          <w:highlight w:val="none"/>
        </w:rPr>
      </w:pPr>
      <w:r>
        <w:rPr>
          <w:rFonts w:hint="eastAsia" w:ascii="宋体" w:hAnsi="宋体" w:cs="宋体"/>
          <w:color w:val="auto"/>
          <w:sz w:val="24"/>
          <w:szCs w:val="24"/>
          <w:highlight w:val="none"/>
        </w:rPr>
        <w:t xml:space="preserve">投标人代表签字： </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 xml:space="preserve">                            </w:t>
      </w:r>
    </w:p>
    <w:p w14:paraId="0141229F">
      <w:pPr>
        <w:spacing w:line="360" w:lineRule="auto"/>
        <w:rPr>
          <w:rFonts w:ascii="宋体" w:hAnsi="宋体" w:cs="宋体"/>
          <w:b/>
          <w:color w:val="auto"/>
          <w:sz w:val="24"/>
          <w:szCs w:val="24"/>
          <w:highlight w:val="none"/>
        </w:rPr>
      </w:pPr>
    </w:p>
    <w:p w14:paraId="0B1E5D00">
      <w:pPr>
        <w:spacing w:line="360" w:lineRule="auto"/>
        <w:jc w:val="center"/>
        <w:rPr>
          <w:rFonts w:ascii="宋体" w:hAnsi="宋体" w:cs="宋体"/>
          <w:b/>
          <w:color w:val="auto"/>
          <w:sz w:val="24"/>
          <w:szCs w:val="24"/>
          <w:highlight w:val="none"/>
        </w:rPr>
      </w:pPr>
    </w:p>
    <w:p w14:paraId="732A4280">
      <w:pPr>
        <w:widowControl/>
        <w:spacing w:line="360" w:lineRule="auto"/>
        <w:jc w:val="left"/>
        <w:rPr>
          <w:rFonts w:ascii="宋体" w:hAnsi="宋体" w:cs="宋体"/>
          <w:color w:val="auto"/>
          <w:sz w:val="24"/>
          <w:szCs w:val="24"/>
          <w:highlight w:val="none"/>
        </w:rPr>
        <w:sectPr>
          <w:pgSz w:w="11907" w:h="16840"/>
          <w:pgMar w:top="1440" w:right="1752" w:bottom="1440" w:left="1752" w:header="851" w:footer="992" w:gutter="0"/>
          <w:cols w:space="720" w:num="1"/>
          <w:docGrid w:type="linesAndChars" w:linePitch="323" w:charSpace="-2"/>
        </w:sectPr>
      </w:pPr>
    </w:p>
    <w:p w14:paraId="3DD6717A">
      <w:pPr>
        <w:spacing w:line="360" w:lineRule="auto"/>
        <w:jc w:val="center"/>
        <w:rPr>
          <w:rFonts w:ascii="宋体" w:hAnsi="宋体" w:cs="宋体"/>
          <w:color w:val="auto"/>
          <w:sz w:val="24"/>
          <w:szCs w:val="24"/>
          <w:highlight w:val="none"/>
        </w:rPr>
      </w:pPr>
      <w:r>
        <w:rPr>
          <w:rFonts w:hint="eastAsia" w:ascii="宋体" w:hAnsi="宋体" w:cs="宋体"/>
          <w:b/>
          <w:color w:val="auto"/>
          <w:sz w:val="32"/>
          <w:szCs w:val="32"/>
          <w:highlight w:val="none"/>
        </w:rPr>
        <w:t>投标人的资格声明</w:t>
      </w:r>
    </w:p>
    <w:p w14:paraId="5CAB86BC">
      <w:pPr>
        <w:spacing w:line="360" w:lineRule="auto"/>
        <w:jc w:val="center"/>
        <w:rPr>
          <w:rFonts w:ascii="宋体" w:hAnsi="宋体" w:cs="宋体"/>
          <w:color w:val="auto"/>
          <w:sz w:val="24"/>
          <w:szCs w:val="24"/>
          <w:highlight w:val="none"/>
        </w:rPr>
      </w:pPr>
    </w:p>
    <w:p w14:paraId="64C5E735">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 xml:space="preserve">1．投标人概况：                                   </w:t>
      </w:r>
    </w:p>
    <w:p w14:paraId="02B70BD9">
      <w:pPr>
        <w:spacing w:line="360" w:lineRule="auto"/>
        <w:rPr>
          <w:rFonts w:ascii="宋体" w:hAnsi="宋体" w:cs="宋体"/>
          <w:color w:val="auto"/>
          <w:sz w:val="24"/>
          <w:szCs w:val="24"/>
          <w:highlight w:val="none"/>
          <w:u w:val="single"/>
        </w:rPr>
      </w:pPr>
      <w:r>
        <w:rPr>
          <w:rFonts w:hint="eastAsia" w:ascii="宋体" w:hAnsi="宋体" w:cs="宋体"/>
          <w:color w:val="auto"/>
          <w:sz w:val="24"/>
          <w:szCs w:val="24"/>
          <w:highlight w:val="none"/>
        </w:rPr>
        <w:t xml:space="preserve">        Ａ．投标人名称：</w:t>
      </w:r>
      <w:r>
        <w:rPr>
          <w:rFonts w:hint="eastAsia" w:ascii="宋体" w:hAnsi="宋体" w:cs="宋体"/>
          <w:color w:val="auto"/>
          <w:sz w:val="24"/>
          <w:szCs w:val="24"/>
          <w:highlight w:val="none"/>
          <w:u w:val="single"/>
        </w:rPr>
        <w:t xml:space="preserve">                               </w:t>
      </w:r>
    </w:p>
    <w:p w14:paraId="1C9769AD">
      <w:pPr>
        <w:spacing w:line="360" w:lineRule="auto"/>
        <w:rPr>
          <w:rFonts w:ascii="宋体" w:hAnsi="宋体" w:cs="宋体"/>
          <w:color w:val="auto"/>
          <w:sz w:val="24"/>
          <w:szCs w:val="24"/>
          <w:highlight w:val="none"/>
          <w:u w:val="single"/>
        </w:rPr>
      </w:pPr>
      <w:r>
        <w:rPr>
          <w:rFonts w:hint="eastAsia" w:ascii="宋体" w:hAnsi="宋体" w:cs="宋体"/>
          <w:color w:val="auto"/>
          <w:sz w:val="24"/>
          <w:szCs w:val="24"/>
          <w:highlight w:val="none"/>
        </w:rPr>
        <w:t xml:space="preserve">        Ｂ．注册地址：</w:t>
      </w:r>
      <w:r>
        <w:rPr>
          <w:rFonts w:hint="eastAsia" w:ascii="宋体" w:hAnsi="宋体" w:cs="宋体"/>
          <w:color w:val="auto"/>
          <w:sz w:val="24"/>
          <w:szCs w:val="24"/>
          <w:highlight w:val="none"/>
          <w:u w:val="single"/>
        </w:rPr>
        <w:t xml:space="preserve">                                 </w:t>
      </w:r>
    </w:p>
    <w:p w14:paraId="437E8975">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 xml:space="preserve">            传真：</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电话：</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 xml:space="preserve">  邮编：</w:t>
      </w:r>
      <w:r>
        <w:rPr>
          <w:rFonts w:hint="eastAsia" w:ascii="宋体" w:hAnsi="宋体" w:cs="宋体"/>
          <w:color w:val="auto"/>
          <w:sz w:val="24"/>
          <w:szCs w:val="24"/>
          <w:highlight w:val="none"/>
          <w:u w:val="single"/>
        </w:rPr>
        <w:t xml:space="preserve">         </w:t>
      </w:r>
    </w:p>
    <w:p w14:paraId="0F539E69">
      <w:pPr>
        <w:spacing w:line="360" w:lineRule="auto"/>
        <w:rPr>
          <w:rFonts w:ascii="宋体" w:hAnsi="宋体" w:cs="宋体"/>
          <w:color w:val="auto"/>
          <w:sz w:val="24"/>
          <w:szCs w:val="24"/>
          <w:highlight w:val="none"/>
          <w:u w:val="single"/>
        </w:rPr>
      </w:pPr>
      <w:r>
        <w:rPr>
          <w:rFonts w:hint="eastAsia" w:ascii="宋体" w:hAnsi="宋体" w:cs="宋体"/>
          <w:color w:val="auto"/>
          <w:sz w:val="24"/>
          <w:szCs w:val="24"/>
          <w:highlight w:val="none"/>
        </w:rPr>
        <w:t xml:space="preserve">        Ｃ．成立或注册日期：</w:t>
      </w:r>
      <w:r>
        <w:rPr>
          <w:rFonts w:hint="eastAsia" w:ascii="宋体" w:hAnsi="宋体" w:cs="宋体"/>
          <w:color w:val="auto"/>
          <w:sz w:val="24"/>
          <w:szCs w:val="24"/>
          <w:highlight w:val="none"/>
          <w:u w:val="single"/>
        </w:rPr>
        <w:t xml:space="preserve">                      </w:t>
      </w:r>
    </w:p>
    <w:p w14:paraId="576BFAD7">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 xml:space="preserve">        Ｄ．法定代表人：</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（姓名、职务）</w:t>
      </w:r>
    </w:p>
    <w:p w14:paraId="0C68E39C">
      <w:pPr>
        <w:spacing w:line="360" w:lineRule="auto"/>
        <w:rPr>
          <w:rFonts w:ascii="宋体" w:hAnsi="宋体" w:cs="宋体"/>
          <w:color w:val="auto"/>
          <w:sz w:val="24"/>
          <w:szCs w:val="24"/>
          <w:highlight w:val="none"/>
          <w:u w:val="single"/>
        </w:rPr>
      </w:pPr>
      <w:r>
        <w:rPr>
          <w:rFonts w:hint="eastAsia" w:ascii="宋体" w:hAnsi="宋体" w:cs="宋体"/>
          <w:color w:val="auto"/>
          <w:sz w:val="24"/>
          <w:szCs w:val="24"/>
          <w:highlight w:val="none"/>
        </w:rPr>
        <w:t xml:space="preserve">        实收资本：</w:t>
      </w:r>
      <w:r>
        <w:rPr>
          <w:rFonts w:hint="eastAsia" w:ascii="宋体" w:hAnsi="宋体" w:cs="宋体"/>
          <w:color w:val="auto"/>
          <w:sz w:val="24"/>
          <w:szCs w:val="24"/>
          <w:highlight w:val="none"/>
          <w:u w:val="single"/>
        </w:rPr>
        <w:t xml:space="preserve">                    </w:t>
      </w:r>
    </w:p>
    <w:p w14:paraId="3895F91A">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 xml:space="preserve">        其中 国家资本：</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 xml:space="preserve"> 法人资本：</w:t>
      </w:r>
      <w:r>
        <w:rPr>
          <w:rFonts w:hint="eastAsia" w:ascii="宋体" w:hAnsi="宋体" w:cs="宋体"/>
          <w:color w:val="auto"/>
          <w:sz w:val="24"/>
          <w:szCs w:val="24"/>
          <w:highlight w:val="none"/>
          <w:u w:val="single"/>
        </w:rPr>
        <w:t xml:space="preserve">           </w:t>
      </w:r>
    </w:p>
    <w:p w14:paraId="7001232A">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 xml:space="preserve">             个人资本：</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 xml:space="preserve"> 外商资本：</w:t>
      </w:r>
      <w:r>
        <w:rPr>
          <w:rFonts w:hint="eastAsia" w:ascii="宋体" w:hAnsi="宋体" w:cs="宋体"/>
          <w:color w:val="auto"/>
          <w:sz w:val="24"/>
          <w:szCs w:val="24"/>
          <w:highlight w:val="none"/>
          <w:u w:val="single"/>
        </w:rPr>
        <w:t xml:space="preserve">           </w:t>
      </w:r>
    </w:p>
    <w:p w14:paraId="5C2C21BB">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 xml:space="preserve">    Ｅ．最近资产负债表（到 </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年</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 xml:space="preserve">月 </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日为止）。</w:t>
      </w:r>
    </w:p>
    <w:p w14:paraId="450C0E92">
      <w:pPr>
        <w:spacing w:line="360" w:lineRule="auto"/>
        <w:rPr>
          <w:rFonts w:ascii="宋体" w:hAnsi="宋体" w:cs="宋体"/>
          <w:color w:val="auto"/>
          <w:sz w:val="24"/>
          <w:szCs w:val="24"/>
          <w:highlight w:val="none"/>
          <w:u w:val="single"/>
        </w:rPr>
      </w:pPr>
      <w:r>
        <w:rPr>
          <w:rFonts w:hint="eastAsia" w:ascii="宋体" w:hAnsi="宋体" w:cs="宋体"/>
          <w:color w:val="auto"/>
          <w:sz w:val="24"/>
          <w:szCs w:val="24"/>
          <w:highlight w:val="none"/>
        </w:rPr>
        <w:t xml:space="preserve">        (1）固定资产合计：</w:t>
      </w:r>
      <w:r>
        <w:rPr>
          <w:rFonts w:hint="eastAsia" w:ascii="宋体" w:hAnsi="宋体" w:cs="宋体"/>
          <w:color w:val="auto"/>
          <w:sz w:val="24"/>
          <w:szCs w:val="24"/>
          <w:highlight w:val="none"/>
          <w:u w:val="single"/>
        </w:rPr>
        <w:t xml:space="preserve">                   </w:t>
      </w:r>
    </w:p>
    <w:p w14:paraId="61F3CED5">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 xml:space="preserve">        (2）流动资产合计：</w:t>
      </w:r>
      <w:r>
        <w:rPr>
          <w:rFonts w:hint="eastAsia" w:ascii="宋体" w:hAnsi="宋体" w:cs="宋体"/>
          <w:color w:val="auto"/>
          <w:sz w:val="24"/>
          <w:szCs w:val="24"/>
          <w:highlight w:val="none"/>
          <w:u w:val="single"/>
        </w:rPr>
        <w:t xml:space="preserve">                   </w:t>
      </w:r>
    </w:p>
    <w:p w14:paraId="5799458F">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 xml:space="preserve">        (3）长期负债合计：</w:t>
      </w:r>
      <w:r>
        <w:rPr>
          <w:rFonts w:hint="eastAsia" w:ascii="宋体" w:hAnsi="宋体" w:cs="宋体"/>
          <w:color w:val="auto"/>
          <w:sz w:val="24"/>
          <w:szCs w:val="24"/>
          <w:highlight w:val="none"/>
          <w:u w:val="single"/>
        </w:rPr>
        <w:t xml:space="preserve">                   </w:t>
      </w:r>
    </w:p>
    <w:p w14:paraId="4AE7810C">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 xml:space="preserve">        (4）流动负债合计：</w:t>
      </w:r>
      <w:r>
        <w:rPr>
          <w:rFonts w:hint="eastAsia" w:ascii="宋体" w:hAnsi="宋体" w:cs="宋体"/>
          <w:color w:val="auto"/>
          <w:sz w:val="24"/>
          <w:szCs w:val="24"/>
          <w:highlight w:val="none"/>
          <w:u w:val="single"/>
        </w:rPr>
        <w:t xml:space="preserve">                   </w:t>
      </w:r>
    </w:p>
    <w:p w14:paraId="5617BE9C">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 xml:space="preserve">    Ｆ．最近损益表（到</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年</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月</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日为止）。</w:t>
      </w:r>
    </w:p>
    <w:p w14:paraId="53CA7EF1">
      <w:pPr>
        <w:spacing w:line="360" w:lineRule="auto"/>
        <w:rPr>
          <w:rFonts w:ascii="宋体" w:hAnsi="宋体" w:cs="宋体"/>
          <w:color w:val="auto"/>
          <w:sz w:val="24"/>
          <w:szCs w:val="24"/>
          <w:highlight w:val="none"/>
          <w:u w:val="single"/>
        </w:rPr>
      </w:pPr>
      <w:r>
        <w:rPr>
          <w:rFonts w:hint="eastAsia" w:ascii="宋体" w:hAnsi="宋体" w:cs="宋体"/>
          <w:color w:val="auto"/>
          <w:sz w:val="24"/>
          <w:szCs w:val="24"/>
          <w:highlight w:val="none"/>
        </w:rPr>
        <w:t>(1)本年（期）利润总额累计：</w:t>
      </w:r>
      <w:r>
        <w:rPr>
          <w:rFonts w:hint="eastAsia" w:ascii="宋体" w:hAnsi="宋体" w:cs="宋体"/>
          <w:color w:val="auto"/>
          <w:sz w:val="24"/>
          <w:szCs w:val="24"/>
          <w:highlight w:val="none"/>
          <w:u w:val="single"/>
        </w:rPr>
        <w:t xml:space="preserve">            </w:t>
      </w:r>
    </w:p>
    <w:p w14:paraId="3C7224B0">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 xml:space="preserve">(2)本年（期）净利润累计： </w:t>
      </w:r>
      <w:r>
        <w:rPr>
          <w:rFonts w:hint="eastAsia" w:ascii="宋体" w:hAnsi="宋体" w:cs="宋体"/>
          <w:color w:val="auto"/>
          <w:sz w:val="24"/>
          <w:szCs w:val="24"/>
          <w:highlight w:val="none"/>
          <w:u w:val="single"/>
        </w:rPr>
        <w:t xml:space="preserve">             </w:t>
      </w:r>
    </w:p>
    <w:p w14:paraId="64DB90A8">
      <w:pPr>
        <w:spacing w:line="360" w:lineRule="auto"/>
        <w:rPr>
          <w:rFonts w:ascii="宋体" w:hAnsi="宋体" w:cs="宋体"/>
          <w:color w:val="auto"/>
          <w:sz w:val="24"/>
          <w:szCs w:val="24"/>
          <w:highlight w:val="none"/>
        </w:rPr>
      </w:pPr>
    </w:p>
    <w:p w14:paraId="01D4492D">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2．我方在此声明，我方具备并满足下列各项条款的规定。本声明如有虚假或不实之处，我方将失去合格投标人资格且我方的投标保证金将不予退还。</w:t>
      </w:r>
    </w:p>
    <w:p w14:paraId="787A2C1B">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 xml:space="preserve">（1）具有独立承担民事责任的能力； </w:t>
      </w:r>
    </w:p>
    <w:p w14:paraId="3265E429">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 xml:space="preserve">　　（2）具有良好的商业信誉和健全的财务会计制度； </w:t>
      </w:r>
    </w:p>
    <w:p w14:paraId="0337EFD8">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 xml:space="preserve">　　（3）具有履行合同所必需的设备和专业技术能力； </w:t>
      </w:r>
    </w:p>
    <w:p w14:paraId="2471A510">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 xml:space="preserve">　　（4）有依法缴纳税收和社会保障资金的良好记录； </w:t>
      </w:r>
    </w:p>
    <w:p w14:paraId="4856CD73">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 xml:space="preserve">　　（5）近三年内，在经营活动中没有重大违法记录。 </w:t>
      </w:r>
    </w:p>
    <w:p w14:paraId="09EA5D77">
      <w:pPr>
        <w:spacing w:line="360" w:lineRule="auto"/>
        <w:rPr>
          <w:rFonts w:ascii="宋体" w:hAnsi="宋体" w:cs="宋体"/>
          <w:color w:val="auto"/>
          <w:sz w:val="24"/>
          <w:szCs w:val="24"/>
          <w:highlight w:val="none"/>
        </w:rPr>
      </w:pPr>
    </w:p>
    <w:p w14:paraId="72394B6C">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3．最近三年投标服务在国内主要用户的名称和地址：</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07"/>
        <w:gridCol w:w="2299"/>
        <w:gridCol w:w="1045"/>
        <w:gridCol w:w="1463"/>
        <w:gridCol w:w="1404"/>
      </w:tblGrid>
      <w:tr w14:paraId="2F04C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407" w:type="dxa"/>
            <w:tcBorders>
              <w:top w:val="single" w:color="auto" w:sz="4" w:space="0"/>
              <w:left w:val="single" w:color="auto" w:sz="4" w:space="0"/>
              <w:bottom w:val="single" w:color="auto" w:sz="4" w:space="0"/>
              <w:right w:val="single" w:color="auto" w:sz="4" w:space="0"/>
            </w:tcBorders>
          </w:tcPr>
          <w:p w14:paraId="3997CD00">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用户名称和地址</w:t>
            </w:r>
          </w:p>
        </w:tc>
        <w:tc>
          <w:tcPr>
            <w:tcW w:w="2299" w:type="dxa"/>
            <w:tcBorders>
              <w:top w:val="single" w:color="auto" w:sz="4" w:space="0"/>
              <w:left w:val="single" w:color="auto" w:sz="4" w:space="0"/>
              <w:bottom w:val="single" w:color="auto" w:sz="4" w:space="0"/>
              <w:right w:val="single" w:color="auto" w:sz="4" w:space="0"/>
            </w:tcBorders>
          </w:tcPr>
          <w:p w14:paraId="43A29072">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销售服务名称、规格</w:t>
            </w:r>
          </w:p>
        </w:tc>
        <w:tc>
          <w:tcPr>
            <w:tcW w:w="1045" w:type="dxa"/>
            <w:tcBorders>
              <w:top w:val="single" w:color="auto" w:sz="4" w:space="0"/>
              <w:left w:val="single" w:color="auto" w:sz="4" w:space="0"/>
              <w:bottom w:val="single" w:color="auto" w:sz="4" w:space="0"/>
              <w:right w:val="single" w:color="auto" w:sz="4" w:space="0"/>
            </w:tcBorders>
          </w:tcPr>
          <w:p w14:paraId="714EBF65">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数量</w:t>
            </w:r>
          </w:p>
        </w:tc>
        <w:tc>
          <w:tcPr>
            <w:tcW w:w="1463" w:type="dxa"/>
            <w:tcBorders>
              <w:top w:val="single" w:color="auto" w:sz="4" w:space="0"/>
              <w:left w:val="single" w:color="auto" w:sz="4" w:space="0"/>
              <w:bottom w:val="single" w:color="auto" w:sz="4" w:space="0"/>
              <w:right w:val="single" w:color="auto" w:sz="4" w:space="0"/>
            </w:tcBorders>
          </w:tcPr>
          <w:p w14:paraId="726CB7C7">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服务期</w:t>
            </w:r>
          </w:p>
        </w:tc>
        <w:tc>
          <w:tcPr>
            <w:tcW w:w="1404" w:type="dxa"/>
            <w:tcBorders>
              <w:top w:val="single" w:color="auto" w:sz="4" w:space="0"/>
              <w:left w:val="single" w:color="auto" w:sz="4" w:space="0"/>
              <w:bottom w:val="single" w:color="auto" w:sz="4" w:space="0"/>
              <w:right w:val="single" w:color="auto" w:sz="4" w:space="0"/>
            </w:tcBorders>
          </w:tcPr>
          <w:p w14:paraId="358D4B00">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运行状况</w:t>
            </w:r>
          </w:p>
        </w:tc>
      </w:tr>
      <w:tr w14:paraId="418CA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407" w:type="dxa"/>
            <w:tcBorders>
              <w:top w:val="single" w:color="auto" w:sz="4" w:space="0"/>
              <w:left w:val="single" w:color="auto" w:sz="4" w:space="0"/>
              <w:bottom w:val="single" w:color="auto" w:sz="4" w:space="0"/>
              <w:right w:val="single" w:color="auto" w:sz="4" w:space="0"/>
            </w:tcBorders>
          </w:tcPr>
          <w:p w14:paraId="48D318A2">
            <w:pPr>
              <w:spacing w:line="360" w:lineRule="auto"/>
              <w:rPr>
                <w:rFonts w:ascii="宋体" w:hAnsi="宋体" w:cs="宋体"/>
                <w:color w:val="auto"/>
                <w:sz w:val="24"/>
                <w:szCs w:val="24"/>
                <w:highlight w:val="none"/>
              </w:rPr>
            </w:pPr>
          </w:p>
        </w:tc>
        <w:tc>
          <w:tcPr>
            <w:tcW w:w="2299" w:type="dxa"/>
            <w:tcBorders>
              <w:top w:val="single" w:color="auto" w:sz="4" w:space="0"/>
              <w:left w:val="single" w:color="auto" w:sz="4" w:space="0"/>
              <w:bottom w:val="single" w:color="auto" w:sz="4" w:space="0"/>
              <w:right w:val="single" w:color="auto" w:sz="4" w:space="0"/>
            </w:tcBorders>
          </w:tcPr>
          <w:p w14:paraId="13652635">
            <w:pPr>
              <w:spacing w:line="360" w:lineRule="auto"/>
              <w:rPr>
                <w:rFonts w:ascii="宋体" w:hAnsi="宋体" w:cs="宋体"/>
                <w:color w:val="auto"/>
                <w:sz w:val="24"/>
                <w:szCs w:val="24"/>
                <w:highlight w:val="none"/>
              </w:rPr>
            </w:pPr>
          </w:p>
        </w:tc>
        <w:tc>
          <w:tcPr>
            <w:tcW w:w="1045" w:type="dxa"/>
            <w:tcBorders>
              <w:top w:val="single" w:color="auto" w:sz="4" w:space="0"/>
              <w:left w:val="single" w:color="auto" w:sz="4" w:space="0"/>
              <w:bottom w:val="single" w:color="auto" w:sz="4" w:space="0"/>
              <w:right w:val="single" w:color="auto" w:sz="4" w:space="0"/>
            </w:tcBorders>
          </w:tcPr>
          <w:p w14:paraId="293077F8">
            <w:pPr>
              <w:spacing w:line="360" w:lineRule="auto"/>
              <w:rPr>
                <w:rFonts w:ascii="宋体" w:hAnsi="宋体" w:cs="宋体"/>
                <w:color w:val="auto"/>
                <w:sz w:val="24"/>
                <w:szCs w:val="24"/>
                <w:highlight w:val="none"/>
              </w:rPr>
            </w:pPr>
          </w:p>
        </w:tc>
        <w:tc>
          <w:tcPr>
            <w:tcW w:w="1463" w:type="dxa"/>
            <w:tcBorders>
              <w:top w:val="single" w:color="auto" w:sz="4" w:space="0"/>
              <w:left w:val="single" w:color="auto" w:sz="4" w:space="0"/>
              <w:bottom w:val="single" w:color="auto" w:sz="4" w:space="0"/>
              <w:right w:val="single" w:color="auto" w:sz="4" w:space="0"/>
            </w:tcBorders>
          </w:tcPr>
          <w:p w14:paraId="79AA8C70">
            <w:pPr>
              <w:spacing w:line="360" w:lineRule="auto"/>
              <w:rPr>
                <w:rFonts w:ascii="宋体" w:hAnsi="宋体" w:cs="宋体"/>
                <w:color w:val="auto"/>
                <w:sz w:val="24"/>
                <w:szCs w:val="24"/>
                <w:highlight w:val="none"/>
              </w:rPr>
            </w:pPr>
          </w:p>
        </w:tc>
        <w:tc>
          <w:tcPr>
            <w:tcW w:w="1404" w:type="dxa"/>
            <w:tcBorders>
              <w:top w:val="single" w:color="auto" w:sz="4" w:space="0"/>
              <w:left w:val="single" w:color="auto" w:sz="4" w:space="0"/>
              <w:bottom w:val="single" w:color="auto" w:sz="4" w:space="0"/>
              <w:right w:val="single" w:color="auto" w:sz="4" w:space="0"/>
            </w:tcBorders>
          </w:tcPr>
          <w:p w14:paraId="6C46C492">
            <w:pPr>
              <w:spacing w:line="360" w:lineRule="auto"/>
              <w:rPr>
                <w:rFonts w:ascii="宋体" w:hAnsi="宋体" w:cs="宋体"/>
                <w:color w:val="auto"/>
                <w:sz w:val="24"/>
                <w:szCs w:val="24"/>
                <w:highlight w:val="none"/>
              </w:rPr>
            </w:pPr>
          </w:p>
        </w:tc>
      </w:tr>
      <w:tr w14:paraId="0D9C4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407" w:type="dxa"/>
            <w:tcBorders>
              <w:top w:val="single" w:color="auto" w:sz="4" w:space="0"/>
              <w:left w:val="single" w:color="auto" w:sz="4" w:space="0"/>
              <w:bottom w:val="single" w:color="auto" w:sz="4" w:space="0"/>
              <w:right w:val="single" w:color="auto" w:sz="4" w:space="0"/>
            </w:tcBorders>
          </w:tcPr>
          <w:p w14:paraId="30997DA4">
            <w:pPr>
              <w:spacing w:line="360" w:lineRule="auto"/>
              <w:rPr>
                <w:rFonts w:ascii="宋体" w:hAnsi="宋体" w:cs="宋体"/>
                <w:color w:val="auto"/>
                <w:sz w:val="24"/>
                <w:szCs w:val="24"/>
                <w:highlight w:val="none"/>
              </w:rPr>
            </w:pPr>
          </w:p>
        </w:tc>
        <w:tc>
          <w:tcPr>
            <w:tcW w:w="2299" w:type="dxa"/>
            <w:tcBorders>
              <w:top w:val="single" w:color="auto" w:sz="4" w:space="0"/>
              <w:left w:val="single" w:color="auto" w:sz="4" w:space="0"/>
              <w:bottom w:val="single" w:color="auto" w:sz="4" w:space="0"/>
              <w:right w:val="single" w:color="auto" w:sz="4" w:space="0"/>
            </w:tcBorders>
          </w:tcPr>
          <w:p w14:paraId="263F5CFD">
            <w:pPr>
              <w:spacing w:line="360" w:lineRule="auto"/>
              <w:rPr>
                <w:rFonts w:ascii="宋体" w:hAnsi="宋体" w:cs="宋体"/>
                <w:color w:val="auto"/>
                <w:sz w:val="24"/>
                <w:szCs w:val="24"/>
                <w:highlight w:val="none"/>
              </w:rPr>
            </w:pPr>
          </w:p>
        </w:tc>
        <w:tc>
          <w:tcPr>
            <w:tcW w:w="1045" w:type="dxa"/>
            <w:tcBorders>
              <w:top w:val="single" w:color="auto" w:sz="4" w:space="0"/>
              <w:left w:val="single" w:color="auto" w:sz="4" w:space="0"/>
              <w:bottom w:val="single" w:color="auto" w:sz="4" w:space="0"/>
              <w:right w:val="single" w:color="auto" w:sz="4" w:space="0"/>
            </w:tcBorders>
          </w:tcPr>
          <w:p w14:paraId="43A89F0D">
            <w:pPr>
              <w:spacing w:line="360" w:lineRule="auto"/>
              <w:rPr>
                <w:rFonts w:ascii="宋体" w:hAnsi="宋体" w:cs="宋体"/>
                <w:color w:val="auto"/>
                <w:sz w:val="24"/>
                <w:szCs w:val="24"/>
                <w:highlight w:val="none"/>
              </w:rPr>
            </w:pPr>
          </w:p>
        </w:tc>
        <w:tc>
          <w:tcPr>
            <w:tcW w:w="1463" w:type="dxa"/>
            <w:tcBorders>
              <w:top w:val="single" w:color="auto" w:sz="4" w:space="0"/>
              <w:left w:val="single" w:color="auto" w:sz="4" w:space="0"/>
              <w:bottom w:val="single" w:color="auto" w:sz="4" w:space="0"/>
              <w:right w:val="single" w:color="auto" w:sz="4" w:space="0"/>
            </w:tcBorders>
          </w:tcPr>
          <w:p w14:paraId="02ABF529">
            <w:pPr>
              <w:spacing w:line="360" w:lineRule="auto"/>
              <w:rPr>
                <w:rFonts w:ascii="宋体" w:hAnsi="宋体" w:cs="宋体"/>
                <w:color w:val="auto"/>
                <w:sz w:val="24"/>
                <w:szCs w:val="24"/>
                <w:highlight w:val="none"/>
              </w:rPr>
            </w:pPr>
          </w:p>
        </w:tc>
        <w:tc>
          <w:tcPr>
            <w:tcW w:w="1404" w:type="dxa"/>
            <w:tcBorders>
              <w:top w:val="single" w:color="auto" w:sz="4" w:space="0"/>
              <w:left w:val="single" w:color="auto" w:sz="4" w:space="0"/>
              <w:bottom w:val="single" w:color="auto" w:sz="4" w:space="0"/>
              <w:right w:val="single" w:color="auto" w:sz="4" w:space="0"/>
            </w:tcBorders>
          </w:tcPr>
          <w:p w14:paraId="2172B74D">
            <w:pPr>
              <w:spacing w:line="360" w:lineRule="auto"/>
              <w:rPr>
                <w:rFonts w:ascii="宋体" w:hAnsi="宋体" w:cs="宋体"/>
                <w:color w:val="auto"/>
                <w:sz w:val="24"/>
                <w:szCs w:val="24"/>
                <w:highlight w:val="none"/>
              </w:rPr>
            </w:pPr>
          </w:p>
        </w:tc>
      </w:tr>
      <w:tr w14:paraId="47B45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407" w:type="dxa"/>
            <w:tcBorders>
              <w:top w:val="single" w:color="auto" w:sz="4" w:space="0"/>
              <w:left w:val="single" w:color="auto" w:sz="4" w:space="0"/>
              <w:bottom w:val="single" w:color="auto" w:sz="4" w:space="0"/>
              <w:right w:val="single" w:color="auto" w:sz="4" w:space="0"/>
            </w:tcBorders>
          </w:tcPr>
          <w:p w14:paraId="0513C8BF">
            <w:pPr>
              <w:spacing w:line="360" w:lineRule="auto"/>
              <w:rPr>
                <w:rFonts w:ascii="宋体" w:hAnsi="宋体" w:cs="宋体"/>
                <w:color w:val="auto"/>
                <w:sz w:val="24"/>
                <w:szCs w:val="24"/>
                <w:highlight w:val="none"/>
              </w:rPr>
            </w:pPr>
          </w:p>
        </w:tc>
        <w:tc>
          <w:tcPr>
            <w:tcW w:w="2299" w:type="dxa"/>
            <w:tcBorders>
              <w:top w:val="single" w:color="auto" w:sz="4" w:space="0"/>
              <w:left w:val="single" w:color="auto" w:sz="4" w:space="0"/>
              <w:bottom w:val="single" w:color="auto" w:sz="4" w:space="0"/>
              <w:right w:val="single" w:color="auto" w:sz="4" w:space="0"/>
            </w:tcBorders>
          </w:tcPr>
          <w:p w14:paraId="0E80A233">
            <w:pPr>
              <w:spacing w:line="360" w:lineRule="auto"/>
              <w:rPr>
                <w:rFonts w:ascii="宋体" w:hAnsi="宋体" w:cs="宋体"/>
                <w:color w:val="auto"/>
                <w:sz w:val="24"/>
                <w:szCs w:val="24"/>
                <w:highlight w:val="none"/>
              </w:rPr>
            </w:pPr>
          </w:p>
        </w:tc>
        <w:tc>
          <w:tcPr>
            <w:tcW w:w="1045" w:type="dxa"/>
            <w:tcBorders>
              <w:top w:val="single" w:color="auto" w:sz="4" w:space="0"/>
              <w:left w:val="single" w:color="auto" w:sz="4" w:space="0"/>
              <w:bottom w:val="single" w:color="auto" w:sz="4" w:space="0"/>
              <w:right w:val="single" w:color="auto" w:sz="4" w:space="0"/>
            </w:tcBorders>
          </w:tcPr>
          <w:p w14:paraId="647C1E7C">
            <w:pPr>
              <w:spacing w:line="360" w:lineRule="auto"/>
              <w:rPr>
                <w:rFonts w:ascii="宋体" w:hAnsi="宋体" w:cs="宋体"/>
                <w:color w:val="auto"/>
                <w:sz w:val="24"/>
                <w:szCs w:val="24"/>
                <w:highlight w:val="none"/>
              </w:rPr>
            </w:pPr>
          </w:p>
        </w:tc>
        <w:tc>
          <w:tcPr>
            <w:tcW w:w="1463" w:type="dxa"/>
            <w:tcBorders>
              <w:top w:val="single" w:color="auto" w:sz="4" w:space="0"/>
              <w:left w:val="single" w:color="auto" w:sz="4" w:space="0"/>
              <w:bottom w:val="single" w:color="auto" w:sz="4" w:space="0"/>
              <w:right w:val="single" w:color="auto" w:sz="4" w:space="0"/>
            </w:tcBorders>
          </w:tcPr>
          <w:p w14:paraId="12FB9F6E">
            <w:pPr>
              <w:spacing w:line="360" w:lineRule="auto"/>
              <w:rPr>
                <w:rFonts w:ascii="宋体" w:hAnsi="宋体" w:cs="宋体"/>
                <w:color w:val="auto"/>
                <w:sz w:val="24"/>
                <w:szCs w:val="24"/>
                <w:highlight w:val="none"/>
              </w:rPr>
            </w:pPr>
          </w:p>
        </w:tc>
        <w:tc>
          <w:tcPr>
            <w:tcW w:w="1404" w:type="dxa"/>
            <w:tcBorders>
              <w:top w:val="single" w:color="auto" w:sz="4" w:space="0"/>
              <w:left w:val="single" w:color="auto" w:sz="4" w:space="0"/>
              <w:bottom w:val="single" w:color="auto" w:sz="4" w:space="0"/>
              <w:right w:val="single" w:color="auto" w:sz="4" w:space="0"/>
            </w:tcBorders>
          </w:tcPr>
          <w:p w14:paraId="5277C0BD">
            <w:pPr>
              <w:spacing w:line="360" w:lineRule="auto"/>
              <w:rPr>
                <w:rFonts w:ascii="宋体" w:hAnsi="宋体" w:cs="宋体"/>
                <w:color w:val="auto"/>
                <w:sz w:val="24"/>
                <w:szCs w:val="24"/>
                <w:highlight w:val="none"/>
              </w:rPr>
            </w:pPr>
          </w:p>
        </w:tc>
      </w:tr>
      <w:tr w14:paraId="25DED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407" w:type="dxa"/>
            <w:tcBorders>
              <w:top w:val="single" w:color="auto" w:sz="4" w:space="0"/>
              <w:left w:val="single" w:color="auto" w:sz="4" w:space="0"/>
              <w:bottom w:val="single" w:color="auto" w:sz="4" w:space="0"/>
              <w:right w:val="single" w:color="auto" w:sz="4" w:space="0"/>
            </w:tcBorders>
          </w:tcPr>
          <w:p w14:paraId="367AB692">
            <w:pPr>
              <w:spacing w:line="360" w:lineRule="auto"/>
              <w:rPr>
                <w:rFonts w:ascii="宋体" w:hAnsi="宋体" w:cs="宋体"/>
                <w:color w:val="auto"/>
                <w:sz w:val="24"/>
                <w:szCs w:val="24"/>
                <w:highlight w:val="none"/>
              </w:rPr>
            </w:pPr>
          </w:p>
        </w:tc>
        <w:tc>
          <w:tcPr>
            <w:tcW w:w="2299" w:type="dxa"/>
            <w:tcBorders>
              <w:top w:val="single" w:color="auto" w:sz="4" w:space="0"/>
              <w:left w:val="single" w:color="auto" w:sz="4" w:space="0"/>
              <w:bottom w:val="single" w:color="auto" w:sz="4" w:space="0"/>
              <w:right w:val="single" w:color="auto" w:sz="4" w:space="0"/>
            </w:tcBorders>
          </w:tcPr>
          <w:p w14:paraId="026211C4">
            <w:pPr>
              <w:spacing w:line="360" w:lineRule="auto"/>
              <w:rPr>
                <w:rFonts w:ascii="宋体" w:hAnsi="宋体" w:cs="宋体"/>
                <w:color w:val="auto"/>
                <w:sz w:val="24"/>
                <w:szCs w:val="24"/>
                <w:highlight w:val="none"/>
              </w:rPr>
            </w:pPr>
          </w:p>
        </w:tc>
        <w:tc>
          <w:tcPr>
            <w:tcW w:w="1045" w:type="dxa"/>
            <w:tcBorders>
              <w:top w:val="single" w:color="auto" w:sz="4" w:space="0"/>
              <w:left w:val="single" w:color="auto" w:sz="4" w:space="0"/>
              <w:bottom w:val="single" w:color="auto" w:sz="4" w:space="0"/>
              <w:right w:val="single" w:color="auto" w:sz="4" w:space="0"/>
            </w:tcBorders>
          </w:tcPr>
          <w:p w14:paraId="648825D9">
            <w:pPr>
              <w:spacing w:line="360" w:lineRule="auto"/>
              <w:rPr>
                <w:rFonts w:ascii="宋体" w:hAnsi="宋体" w:cs="宋体"/>
                <w:color w:val="auto"/>
                <w:sz w:val="24"/>
                <w:szCs w:val="24"/>
                <w:highlight w:val="none"/>
              </w:rPr>
            </w:pPr>
          </w:p>
        </w:tc>
        <w:tc>
          <w:tcPr>
            <w:tcW w:w="1463" w:type="dxa"/>
            <w:tcBorders>
              <w:top w:val="single" w:color="auto" w:sz="4" w:space="0"/>
              <w:left w:val="single" w:color="auto" w:sz="4" w:space="0"/>
              <w:bottom w:val="single" w:color="auto" w:sz="4" w:space="0"/>
              <w:right w:val="single" w:color="auto" w:sz="4" w:space="0"/>
            </w:tcBorders>
          </w:tcPr>
          <w:p w14:paraId="3A4AE873">
            <w:pPr>
              <w:spacing w:line="360" w:lineRule="auto"/>
              <w:rPr>
                <w:rFonts w:ascii="宋体" w:hAnsi="宋体" w:cs="宋体"/>
                <w:color w:val="auto"/>
                <w:sz w:val="24"/>
                <w:szCs w:val="24"/>
                <w:highlight w:val="none"/>
              </w:rPr>
            </w:pPr>
          </w:p>
        </w:tc>
        <w:tc>
          <w:tcPr>
            <w:tcW w:w="1404" w:type="dxa"/>
            <w:tcBorders>
              <w:top w:val="single" w:color="auto" w:sz="4" w:space="0"/>
              <w:left w:val="single" w:color="auto" w:sz="4" w:space="0"/>
              <w:bottom w:val="single" w:color="auto" w:sz="4" w:space="0"/>
              <w:right w:val="single" w:color="auto" w:sz="4" w:space="0"/>
            </w:tcBorders>
          </w:tcPr>
          <w:p w14:paraId="70590086">
            <w:pPr>
              <w:spacing w:line="360" w:lineRule="auto"/>
              <w:rPr>
                <w:rFonts w:ascii="宋体" w:hAnsi="宋体" w:cs="宋体"/>
                <w:color w:val="auto"/>
                <w:sz w:val="24"/>
                <w:szCs w:val="24"/>
                <w:highlight w:val="none"/>
              </w:rPr>
            </w:pPr>
          </w:p>
        </w:tc>
      </w:tr>
      <w:tr w14:paraId="51C0F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407" w:type="dxa"/>
            <w:tcBorders>
              <w:top w:val="single" w:color="auto" w:sz="4" w:space="0"/>
              <w:left w:val="single" w:color="auto" w:sz="4" w:space="0"/>
              <w:bottom w:val="single" w:color="auto" w:sz="4" w:space="0"/>
              <w:right w:val="single" w:color="auto" w:sz="4" w:space="0"/>
            </w:tcBorders>
          </w:tcPr>
          <w:p w14:paraId="65CF23D3">
            <w:pPr>
              <w:spacing w:line="360" w:lineRule="auto"/>
              <w:rPr>
                <w:rFonts w:ascii="宋体" w:hAnsi="宋体" w:cs="宋体"/>
                <w:color w:val="auto"/>
                <w:sz w:val="24"/>
                <w:szCs w:val="24"/>
                <w:highlight w:val="none"/>
              </w:rPr>
            </w:pPr>
          </w:p>
        </w:tc>
        <w:tc>
          <w:tcPr>
            <w:tcW w:w="2299" w:type="dxa"/>
            <w:tcBorders>
              <w:top w:val="single" w:color="auto" w:sz="4" w:space="0"/>
              <w:left w:val="single" w:color="auto" w:sz="4" w:space="0"/>
              <w:bottom w:val="single" w:color="auto" w:sz="4" w:space="0"/>
              <w:right w:val="single" w:color="auto" w:sz="4" w:space="0"/>
            </w:tcBorders>
          </w:tcPr>
          <w:p w14:paraId="54050183">
            <w:pPr>
              <w:spacing w:line="360" w:lineRule="auto"/>
              <w:rPr>
                <w:rFonts w:ascii="宋体" w:hAnsi="宋体" w:cs="宋体"/>
                <w:color w:val="auto"/>
                <w:sz w:val="24"/>
                <w:szCs w:val="24"/>
                <w:highlight w:val="none"/>
              </w:rPr>
            </w:pPr>
          </w:p>
        </w:tc>
        <w:tc>
          <w:tcPr>
            <w:tcW w:w="1045" w:type="dxa"/>
            <w:tcBorders>
              <w:top w:val="single" w:color="auto" w:sz="4" w:space="0"/>
              <w:left w:val="single" w:color="auto" w:sz="4" w:space="0"/>
              <w:bottom w:val="single" w:color="auto" w:sz="4" w:space="0"/>
              <w:right w:val="single" w:color="auto" w:sz="4" w:space="0"/>
            </w:tcBorders>
          </w:tcPr>
          <w:p w14:paraId="71732226">
            <w:pPr>
              <w:spacing w:line="360" w:lineRule="auto"/>
              <w:rPr>
                <w:rFonts w:ascii="宋体" w:hAnsi="宋体" w:cs="宋体"/>
                <w:color w:val="auto"/>
                <w:sz w:val="24"/>
                <w:szCs w:val="24"/>
                <w:highlight w:val="none"/>
              </w:rPr>
            </w:pPr>
          </w:p>
        </w:tc>
        <w:tc>
          <w:tcPr>
            <w:tcW w:w="1463" w:type="dxa"/>
            <w:tcBorders>
              <w:top w:val="single" w:color="auto" w:sz="4" w:space="0"/>
              <w:left w:val="single" w:color="auto" w:sz="4" w:space="0"/>
              <w:bottom w:val="single" w:color="auto" w:sz="4" w:space="0"/>
              <w:right w:val="single" w:color="auto" w:sz="4" w:space="0"/>
            </w:tcBorders>
          </w:tcPr>
          <w:p w14:paraId="6167A013">
            <w:pPr>
              <w:spacing w:line="360" w:lineRule="auto"/>
              <w:rPr>
                <w:rFonts w:ascii="宋体" w:hAnsi="宋体" w:cs="宋体"/>
                <w:color w:val="auto"/>
                <w:sz w:val="24"/>
                <w:szCs w:val="24"/>
                <w:highlight w:val="none"/>
              </w:rPr>
            </w:pPr>
          </w:p>
        </w:tc>
        <w:tc>
          <w:tcPr>
            <w:tcW w:w="1404" w:type="dxa"/>
            <w:tcBorders>
              <w:top w:val="single" w:color="auto" w:sz="4" w:space="0"/>
              <w:left w:val="single" w:color="auto" w:sz="4" w:space="0"/>
              <w:bottom w:val="single" w:color="auto" w:sz="4" w:space="0"/>
              <w:right w:val="single" w:color="auto" w:sz="4" w:space="0"/>
            </w:tcBorders>
          </w:tcPr>
          <w:p w14:paraId="384714F7">
            <w:pPr>
              <w:spacing w:line="360" w:lineRule="auto"/>
              <w:rPr>
                <w:rFonts w:ascii="宋体" w:hAnsi="宋体" w:cs="宋体"/>
                <w:color w:val="auto"/>
                <w:sz w:val="24"/>
                <w:szCs w:val="24"/>
                <w:highlight w:val="none"/>
              </w:rPr>
            </w:pPr>
          </w:p>
        </w:tc>
      </w:tr>
      <w:tr w14:paraId="2AE1A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407" w:type="dxa"/>
            <w:tcBorders>
              <w:top w:val="single" w:color="auto" w:sz="4" w:space="0"/>
              <w:left w:val="single" w:color="auto" w:sz="4" w:space="0"/>
              <w:bottom w:val="single" w:color="auto" w:sz="4" w:space="0"/>
              <w:right w:val="single" w:color="auto" w:sz="4" w:space="0"/>
            </w:tcBorders>
          </w:tcPr>
          <w:p w14:paraId="4711FDFA">
            <w:pPr>
              <w:spacing w:line="360" w:lineRule="auto"/>
              <w:rPr>
                <w:rFonts w:ascii="宋体" w:hAnsi="宋体" w:cs="宋体"/>
                <w:color w:val="auto"/>
                <w:sz w:val="24"/>
                <w:szCs w:val="24"/>
                <w:highlight w:val="none"/>
              </w:rPr>
            </w:pPr>
          </w:p>
        </w:tc>
        <w:tc>
          <w:tcPr>
            <w:tcW w:w="2299" w:type="dxa"/>
            <w:tcBorders>
              <w:top w:val="single" w:color="auto" w:sz="4" w:space="0"/>
              <w:left w:val="single" w:color="auto" w:sz="4" w:space="0"/>
              <w:bottom w:val="single" w:color="auto" w:sz="4" w:space="0"/>
              <w:right w:val="single" w:color="auto" w:sz="4" w:space="0"/>
            </w:tcBorders>
          </w:tcPr>
          <w:p w14:paraId="4F941FEE">
            <w:pPr>
              <w:spacing w:line="360" w:lineRule="auto"/>
              <w:rPr>
                <w:rFonts w:ascii="宋体" w:hAnsi="宋体" w:cs="宋体"/>
                <w:color w:val="auto"/>
                <w:sz w:val="24"/>
                <w:szCs w:val="24"/>
                <w:highlight w:val="none"/>
              </w:rPr>
            </w:pPr>
          </w:p>
        </w:tc>
        <w:tc>
          <w:tcPr>
            <w:tcW w:w="1045" w:type="dxa"/>
            <w:tcBorders>
              <w:top w:val="single" w:color="auto" w:sz="4" w:space="0"/>
              <w:left w:val="single" w:color="auto" w:sz="4" w:space="0"/>
              <w:bottom w:val="single" w:color="auto" w:sz="4" w:space="0"/>
              <w:right w:val="single" w:color="auto" w:sz="4" w:space="0"/>
            </w:tcBorders>
          </w:tcPr>
          <w:p w14:paraId="2674FA19">
            <w:pPr>
              <w:spacing w:line="360" w:lineRule="auto"/>
              <w:rPr>
                <w:rFonts w:ascii="宋体" w:hAnsi="宋体" w:cs="宋体"/>
                <w:color w:val="auto"/>
                <w:sz w:val="24"/>
                <w:szCs w:val="24"/>
                <w:highlight w:val="none"/>
              </w:rPr>
            </w:pPr>
          </w:p>
        </w:tc>
        <w:tc>
          <w:tcPr>
            <w:tcW w:w="1463" w:type="dxa"/>
            <w:tcBorders>
              <w:top w:val="single" w:color="auto" w:sz="4" w:space="0"/>
              <w:left w:val="single" w:color="auto" w:sz="4" w:space="0"/>
              <w:bottom w:val="single" w:color="auto" w:sz="4" w:space="0"/>
              <w:right w:val="single" w:color="auto" w:sz="4" w:space="0"/>
            </w:tcBorders>
          </w:tcPr>
          <w:p w14:paraId="5B6C8E65">
            <w:pPr>
              <w:spacing w:line="360" w:lineRule="auto"/>
              <w:rPr>
                <w:rFonts w:ascii="宋体" w:hAnsi="宋体" w:cs="宋体"/>
                <w:color w:val="auto"/>
                <w:sz w:val="24"/>
                <w:szCs w:val="24"/>
                <w:highlight w:val="none"/>
              </w:rPr>
            </w:pPr>
          </w:p>
        </w:tc>
        <w:tc>
          <w:tcPr>
            <w:tcW w:w="1404" w:type="dxa"/>
            <w:tcBorders>
              <w:top w:val="single" w:color="auto" w:sz="4" w:space="0"/>
              <w:left w:val="single" w:color="auto" w:sz="4" w:space="0"/>
              <w:bottom w:val="single" w:color="auto" w:sz="4" w:space="0"/>
              <w:right w:val="single" w:color="auto" w:sz="4" w:space="0"/>
            </w:tcBorders>
          </w:tcPr>
          <w:p w14:paraId="5268571B">
            <w:pPr>
              <w:spacing w:line="360" w:lineRule="auto"/>
              <w:rPr>
                <w:rFonts w:ascii="宋体" w:hAnsi="宋体" w:cs="宋体"/>
                <w:color w:val="auto"/>
                <w:sz w:val="24"/>
                <w:szCs w:val="24"/>
                <w:highlight w:val="none"/>
              </w:rPr>
            </w:pPr>
          </w:p>
        </w:tc>
      </w:tr>
    </w:tbl>
    <w:p w14:paraId="35F31A67">
      <w:pPr>
        <w:spacing w:line="360" w:lineRule="auto"/>
        <w:rPr>
          <w:rFonts w:ascii="宋体" w:hAnsi="宋体" w:cs="宋体"/>
          <w:color w:val="auto"/>
          <w:sz w:val="24"/>
          <w:szCs w:val="24"/>
          <w:highlight w:val="none"/>
        </w:rPr>
      </w:pPr>
    </w:p>
    <w:p w14:paraId="5EE5333F">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 xml:space="preserve">  4. 单位营业执照、税务登记证见附件。</w:t>
      </w:r>
    </w:p>
    <w:p w14:paraId="11060AD6">
      <w:pPr>
        <w:spacing w:line="360" w:lineRule="auto"/>
        <w:rPr>
          <w:rFonts w:ascii="宋体" w:hAnsi="宋体" w:cs="宋体"/>
          <w:color w:val="auto"/>
          <w:sz w:val="24"/>
          <w:szCs w:val="24"/>
          <w:highlight w:val="none"/>
        </w:rPr>
      </w:pPr>
    </w:p>
    <w:p w14:paraId="12A9F298">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就我方全部所知，兹证明上述声明是真实、正确的，并已提供了全部现有资料和数据，我方同意根据贵方要求出示文件予以证实。</w:t>
      </w:r>
    </w:p>
    <w:p w14:paraId="46EFBD8C">
      <w:pPr>
        <w:spacing w:line="360" w:lineRule="auto"/>
        <w:rPr>
          <w:rFonts w:ascii="宋体" w:hAnsi="宋体" w:cs="宋体"/>
          <w:color w:val="auto"/>
          <w:sz w:val="24"/>
          <w:szCs w:val="24"/>
          <w:highlight w:val="none"/>
        </w:rPr>
      </w:pPr>
    </w:p>
    <w:p w14:paraId="05174971">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 xml:space="preserve">    投标人（全称并加盖公章）：</w:t>
      </w:r>
      <w:r>
        <w:rPr>
          <w:rFonts w:hint="eastAsia" w:ascii="宋体" w:hAnsi="宋体" w:cs="宋体"/>
          <w:color w:val="auto"/>
          <w:sz w:val="24"/>
          <w:szCs w:val="24"/>
          <w:highlight w:val="none"/>
          <w:u w:val="single"/>
        </w:rPr>
        <w:t xml:space="preserve">                   </w:t>
      </w:r>
    </w:p>
    <w:p w14:paraId="2CE7FD77">
      <w:pPr>
        <w:spacing w:line="360" w:lineRule="auto"/>
        <w:rPr>
          <w:rFonts w:ascii="宋体" w:hAnsi="宋体" w:cs="宋体"/>
          <w:color w:val="auto"/>
          <w:sz w:val="24"/>
          <w:szCs w:val="24"/>
          <w:highlight w:val="none"/>
          <w:u w:val="single"/>
        </w:rPr>
      </w:pPr>
      <w:r>
        <w:rPr>
          <w:rFonts w:hint="eastAsia" w:ascii="宋体" w:hAnsi="宋体" w:cs="宋体"/>
          <w:color w:val="auto"/>
          <w:sz w:val="24"/>
          <w:szCs w:val="24"/>
          <w:highlight w:val="none"/>
        </w:rPr>
        <w:t xml:space="preserve">    投标人代表签字：</w:t>
      </w:r>
      <w:r>
        <w:rPr>
          <w:rFonts w:hint="eastAsia" w:ascii="宋体" w:hAnsi="宋体" w:cs="宋体"/>
          <w:color w:val="auto"/>
          <w:sz w:val="24"/>
          <w:szCs w:val="24"/>
          <w:highlight w:val="none"/>
          <w:u w:val="single"/>
        </w:rPr>
        <w:t xml:space="preserve">                            </w:t>
      </w:r>
    </w:p>
    <w:p w14:paraId="472D2E80">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 xml:space="preserve">    日      期：</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年</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 xml:space="preserve">月 </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 xml:space="preserve"> 日</w:t>
      </w:r>
    </w:p>
    <w:p w14:paraId="2A211D07">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传      真：</w:t>
      </w:r>
      <w:r>
        <w:rPr>
          <w:rFonts w:hint="eastAsia" w:ascii="宋体" w:hAnsi="宋体" w:cs="宋体"/>
          <w:color w:val="auto"/>
          <w:sz w:val="24"/>
          <w:szCs w:val="24"/>
          <w:highlight w:val="none"/>
          <w:u w:val="single"/>
        </w:rPr>
        <w:t xml:space="preserve">                </w:t>
      </w:r>
    </w:p>
    <w:p w14:paraId="42D34D79">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电      话：</w:t>
      </w:r>
      <w:r>
        <w:rPr>
          <w:rFonts w:hint="eastAsia" w:ascii="宋体" w:hAnsi="宋体" w:cs="宋体"/>
          <w:color w:val="auto"/>
          <w:sz w:val="24"/>
          <w:szCs w:val="24"/>
          <w:highlight w:val="none"/>
          <w:u w:val="single"/>
        </w:rPr>
        <w:t xml:space="preserve">                </w:t>
      </w:r>
    </w:p>
    <w:p w14:paraId="52DC60A9">
      <w:pPr>
        <w:spacing w:line="360" w:lineRule="auto"/>
        <w:rPr>
          <w:rFonts w:ascii="宋体" w:hAnsi="宋体" w:cs="宋体"/>
          <w:color w:val="auto"/>
          <w:sz w:val="24"/>
          <w:szCs w:val="24"/>
          <w:highlight w:val="none"/>
        </w:rPr>
      </w:pPr>
    </w:p>
    <w:p w14:paraId="5CC2E34F">
      <w:pPr>
        <w:spacing w:line="360" w:lineRule="auto"/>
        <w:rPr>
          <w:rFonts w:ascii="宋体" w:hAnsi="宋体" w:cs="宋体"/>
          <w:color w:val="auto"/>
          <w:sz w:val="24"/>
          <w:szCs w:val="24"/>
          <w:highlight w:val="none"/>
        </w:rPr>
      </w:pPr>
    </w:p>
    <w:p w14:paraId="6C4975CD">
      <w:pPr>
        <w:pStyle w:val="47"/>
        <w:spacing w:line="360" w:lineRule="auto"/>
        <w:outlineLvl w:val="9"/>
        <w:rPr>
          <w:rFonts w:hAnsi="宋体" w:cs="宋体"/>
          <w:color w:val="auto"/>
          <w:sz w:val="24"/>
          <w:szCs w:val="24"/>
          <w:highlight w:val="none"/>
        </w:rPr>
      </w:pPr>
    </w:p>
    <w:p w14:paraId="5720AC15">
      <w:pPr>
        <w:pStyle w:val="47"/>
        <w:spacing w:line="360" w:lineRule="auto"/>
        <w:outlineLvl w:val="9"/>
        <w:rPr>
          <w:rFonts w:hAnsi="宋体" w:cs="宋体"/>
          <w:color w:val="auto"/>
          <w:sz w:val="24"/>
          <w:szCs w:val="24"/>
          <w:highlight w:val="none"/>
        </w:rPr>
      </w:pPr>
    </w:p>
    <w:p w14:paraId="7A78B56D">
      <w:pPr>
        <w:pStyle w:val="47"/>
        <w:spacing w:line="360" w:lineRule="auto"/>
        <w:outlineLvl w:val="9"/>
        <w:rPr>
          <w:rFonts w:hAnsi="宋体" w:cs="宋体"/>
          <w:color w:val="auto"/>
          <w:sz w:val="24"/>
          <w:szCs w:val="24"/>
          <w:highlight w:val="none"/>
        </w:rPr>
      </w:pPr>
    </w:p>
    <w:p w14:paraId="0DC36EE9">
      <w:pPr>
        <w:pStyle w:val="47"/>
        <w:spacing w:line="360" w:lineRule="auto"/>
        <w:outlineLvl w:val="9"/>
        <w:rPr>
          <w:rFonts w:hAnsi="宋体" w:cs="宋体"/>
          <w:color w:val="auto"/>
          <w:sz w:val="24"/>
          <w:szCs w:val="24"/>
          <w:highlight w:val="none"/>
        </w:rPr>
      </w:pPr>
    </w:p>
    <w:p w14:paraId="39EA692C">
      <w:pPr>
        <w:pStyle w:val="47"/>
        <w:spacing w:line="360" w:lineRule="auto"/>
        <w:outlineLvl w:val="9"/>
        <w:rPr>
          <w:rFonts w:hAnsi="宋体" w:cs="宋体"/>
          <w:color w:val="auto"/>
          <w:sz w:val="24"/>
          <w:szCs w:val="24"/>
          <w:highlight w:val="none"/>
        </w:rPr>
      </w:pPr>
    </w:p>
    <w:p w14:paraId="00642024">
      <w:pPr>
        <w:pStyle w:val="47"/>
        <w:spacing w:line="360" w:lineRule="auto"/>
        <w:outlineLvl w:val="9"/>
        <w:rPr>
          <w:rFonts w:hAnsi="宋体" w:cs="宋体"/>
          <w:color w:val="auto"/>
          <w:sz w:val="24"/>
          <w:szCs w:val="24"/>
          <w:highlight w:val="none"/>
        </w:rPr>
      </w:pPr>
    </w:p>
    <w:p w14:paraId="44D76E46">
      <w:pPr>
        <w:pStyle w:val="47"/>
        <w:spacing w:line="360" w:lineRule="auto"/>
        <w:jc w:val="center"/>
        <w:outlineLvl w:val="9"/>
        <w:rPr>
          <w:rFonts w:hAnsi="宋体" w:cs="宋体"/>
          <w:color w:val="auto"/>
          <w:sz w:val="24"/>
          <w:szCs w:val="24"/>
          <w:highlight w:val="none"/>
        </w:rPr>
      </w:pPr>
      <w:r>
        <w:rPr>
          <w:rFonts w:hint="eastAsia" w:hAnsi="宋体" w:cs="宋体"/>
          <w:color w:val="auto"/>
          <w:sz w:val="24"/>
          <w:szCs w:val="24"/>
          <w:highlight w:val="none"/>
        </w:rPr>
        <w:br w:type="page"/>
      </w:r>
      <w:bookmarkStart w:id="181" w:name="_Toc163"/>
      <w:bookmarkStart w:id="182" w:name="_Toc12018"/>
      <w:bookmarkStart w:id="183" w:name="_Toc23219"/>
      <w:bookmarkStart w:id="184" w:name="_Toc21384"/>
      <w:bookmarkStart w:id="185" w:name="_Toc12557"/>
      <w:bookmarkStart w:id="186" w:name="_Toc25833"/>
      <w:bookmarkStart w:id="187" w:name="_Toc30246"/>
      <w:bookmarkStart w:id="188" w:name="_Toc22151"/>
      <w:bookmarkStart w:id="189" w:name="_Toc11465"/>
      <w:r>
        <w:rPr>
          <w:rFonts w:hint="eastAsia" w:hAnsi="宋体" w:cs="宋体"/>
          <w:b/>
          <w:color w:val="auto"/>
          <w:sz w:val="32"/>
          <w:szCs w:val="32"/>
          <w:highlight w:val="none"/>
        </w:rPr>
        <w:t>单位授权书</w:t>
      </w:r>
      <w:bookmarkEnd w:id="181"/>
      <w:bookmarkEnd w:id="182"/>
      <w:bookmarkEnd w:id="183"/>
      <w:bookmarkEnd w:id="184"/>
      <w:bookmarkEnd w:id="185"/>
      <w:bookmarkEnd w:id="186"/>
      <w:bookmarkEnd w:id="187"/>
      <w:bookmarkEnd w:id="188"/>
      <w:bookmarkEnd w:id="189"/>
    </w:p>
    <w:p w14:paraId="110A5DC2">
      <w:pPr>
        <w:pStyle w:val="47"/>
        <w:spacing w:line="360" w:lineRule="auto"/>
        <w:jc w:val="center"/>
        <w:outlineLvl w:val="9"/>
        <w:rPr>
          <w:rFonts w:hAnsi="宋体" w:cs="宋体"/>
          <w:color w:val="auto"/>
          <w:sz w:val="24"/>
          <w:szCs w:val="24"/>
          <w:highlight w:val="none"/>
        </w:rPr>
      </w:pPr>
    </w:p>
    <w:p w14:paraId="5FF8CA3C">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u w:val="single"/>
        </w:rPr>
        <w:t xml:space="preserve">（招标代理机构）   </w:t>
      </w:r>
      <w:r>
        <w:rPr>
          <w:rFonts w:hint="eastAsia" w:ascii="宋体" w:hAnsi="宋体" w:cs="宋体"/>
          <w:color w:val="auto"/>
          <w:sz w:val="24"/>
          <w:szCs w:val="24"/>
          <w:highlight w:val="none"/>
        </w:rPr>
        <w:t>：</w:t>
      </w:r>
    </w:p>
    <w:p w14:paraId="07F68D0A">
      <w:pPr>
        <w:pStyle w:val="9"/>
        <w:snapToGrid w:val="0"/>
        <w:spacing w:line="360" w:lineRule="auto"/>
        <w:ind w:firstLine="480" w:firstLineChars="200"/>
        <w:jc w:val="left"/>
        <w:rPr>
          <w:rFonts w:hAnsi="宋体" w:cs="宋体"/>
          <w:color w:val="auto"/>
          <w:sz w:val="24"/>
          <w:szCs w:val="24"/>
          <w:highlight w:val="none"/>
        </w:rPr>
      </w:pPr>
      <w:r>
        <w:rPr>
          <w:rFonts w:hint="eastAsia" w:hAnsi="宋体" w:cs="宋体"/>
          <w:color w:val="auto"/>
          <w:sz w:val="24"/>
          <w:szCs w:val="24"/>
          <w:highlight w:val="none"/>
          <w:u w:val="single"/>
        </w:rPr>
        <w:t>（投标人全称）</w:t>
      </w:r>
      <w:r>
        <w:rPr>
          <w:rFonts w:hint="eastAsia" w:hAnsi="宋体" w:cs="宋体"/>
          <w:color w:val="auto"/>
          <w:sz w:val="24"/>
          <w:szCs w:val="24"/>
          <w:highlight w:val="none"/>
        </w:rPr>
        <w:t>授权</w:t>
      </w:r>
      <w:r>
        <w:rPr>
          <w:rFonts w:hint="eastAsia" w:hAnsi="宋体" w:cs="宋体"/>
          <w:color w:val="auto"/>
          <w:sz w:val="24"/>
          <w:szCs w:val="24"/>
          <w:highlight w:val="none"/>
          <w:u w:val="single"/>
        </w:rPr>
        <w:t xml:space="preserve">  （投标人代表姓名）</w:t>
      </w:r>
      <w:r>
        <w:rPr>
          <w:rFonts w:hint="eastAsia" w:hAnsi="宋体" w:cs="宋体"/>
          <w:color w:val="auto"/>
          <w:sz w:val="24"/>
          <w:szCs w:val="24"/>
          <w:highlight w:val="none"/>
        </w:rPr>
        <w:t>为投标人代表，代表本公司参加贵司组织的</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项目（招标编号</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招标活动，全权代表本公司处理投标过程的一切事宜，包括但不限于：投标、参与开标、谈判、签约等。投标人代表在投标过程中所签署的一切文件和处理与之有关的一切事务，本公司均予以认可并对此承担责任。投标人代表无转委托权。特此授权。</w:t>
      </w:r>
    </w:p>
    <w:p w14:paraId="425CA034">
      <w:pPr>
        <w:pStyle w:val="9"/>
        <w:snapToGrid w:val="0"/>
        <w:spacing w:line="360" w:lineRule="auto"/>
        <w:ind w:firstLine="480" w:firstLineChars="200"/>
        <w:jc w:val="left"/>
        <w:rPr>
          <w:rFonts w:hAnsi="宋体" w:cs="宋体"/>
          <w:color w:val="auto"/>
          <w:sz w:val="24"/>
          <w:szCs w:val="24"/>
          <w:highlight w:val="none"/>
        </w:rPr>
      </w:pPr>
      <w:r>
        <w:rPr>
          <w:rFonts w:hint="eastAsia" w:hAnsi="宋体" w:cs="宋体"/>
          <w:color w:val="auto"/>
          <w:sz w:val="24"/>
          <w:szCs w:val="24"/>
          <w:highlight w:val="none"/>
        </w:rPr>
        <w:t>本授权书自出具之日起生效。</w:t>
      </w:r>
    </w:p>
    <w:p w14:paraId="3073D694">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投标人代表：</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 xml:space="preserve">  性别：</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身份证号：</w:t>
      </w:r>
      <w:r>
        <w:rPr>
          <w:rFonts w:hint="eastAsia" w:ascii="宋体" w:hAnsi="宋体" w:cs="宋体"/>
          <w:color w:val="auto"/>
          <w:sz w:val="24"/>
          <w:szCs w:val="24"/>
          <w:highlight w:val="none"/>
          <w:u w:val="single"/>
        </w:rPr>
        <w:t xml:space="preserve">                  </w:t>
      </w:r>
    </w:p>
    <w:p w14:paraId="4CDF5FC5">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单位：</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 xml:space="preserve">  部门：</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 xml:space="preserve">    职务：</w:t>
      </w:r>
      <w:r>
        <w:rPr>
          <w:rFonts w:hint="eastAsia" w:ascii="宋体" w:hAnsi="宋体" w:cs="宋体"/>
          <w:color w:val="auto"/>
          <w:sz w:val="24"/>
          <w:szCs w:val="24"/>
          <w:highlight w:val="none"/>
          <w:u w:val="single"/>
        </w:rPr>
        <w:t xml:space="preserve">                  </w:t>
      </w:r>
    </w:p>
    <w:p w14:paraId="74794987">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详细通讯地址：</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 xml:space="preserve"> </w:t>
      </w:r>
      <w:r>
        <w:rPr>
          <w:rFonts w:hint="eastAsia" w:ascii="宋体" w:hAnsi="宋体" w:cs="宋体"/>
          <w:b/>
          <w:bCs/>
          <w:color w:val="auto"/>
          <w:sz w:val="24"/>
          <w:szCs w:val="24"/>
          <w:highlight w:val="none"/>
        </w:rPr>
        <w:t xml:space="preserve"> </w:t>
      </w:r>
      <w:r>
        <w:rPr>
          <w:rFonts w:hint="eastAsia" w:ascii="宋体" w:hAnsi="宋体" w:cs="宋体"/>
          <w:color w:val="auto"/>
          <w:sz w:val="24"/>
          <w:szCs w:val="24"/>
          <w:highlight w:val="none"/>
        </w:rPr>
        <w:t>邮政编码：</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 xml:space="preserve"> 电话：</w:t>
      </w:r>
      <w:r>
        <w:rPr>
          <w:rFonts w:hint="eastAsia" w:ascii="宋体" w:hAnsi="宋体" w:cs="宋体"/>
          <w:color w:val="auto"/>
          <w:sz w:val="24"/>
          <w:szCs w:val="24"/>
          <w:highlight w:val="none"/>
          <w:u w:val="single"/>
        </w:rPr>
        <w:t xml:space="preserve">              </w:t>
      </w:r>
    </w:p>
    <w:p w14:paraId="5B213B90">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附：被授权人身份证件</w:t>
      </w:r>
    </w:p>
    <w:p w14:paraId="60CF077F">
      <w:pPr>
        <w:spacing w:line="360" w:lineRule="auto"/>
        <w:ind w:firstLine="4080" w:firstLineChars="1700"/>
        <w:rPr>
          <w:rFonts w:ascii="宋体" w:hAnsi="宋体" w:cs="宋体"/>
          <w:color w:val="auto"/>
          <w:sz w:val="24"/>
          <w:szCs w:val="24"/>
          <w:highlight w:val="none"/>
        </w:rPr>
      </w:pPr>
      <w:r>
        <w:rPr>
          <w:rFonts w:hint="eastAsia" w:ascii="宋体" w:hAnsi="宋体" w:cs="宋体"/>
          <w:color w:val="auto"/>
          <w:sz w:val="24"/>
          <w:szCs w:val="24"/>
          <w:highlight w:val="none"/>
        </w:rPr>
        <w:t>授权方</w:t>
      </w:r>
    </w:p>
    <w:p w14:paraId="7ED10D0F">
      <w:pPr>
        <w:spacing w:line="360" w:lineRule="auto"/>
        <w:rPr>
          <w:rFonts w:ascii="宋体" w:hAnsi="宋体" w:cs="宋体"/>
          <w:color w:val="auto"/>
          <w:sz w:val="24"/>
          <w:szCs w:val="24"/>
          <w:highlight w:val="none"/>
        </w:rPr>
      </w:pPr>
    </w:p>
    <w:p w14:paraId="650AFEE0">
      <w:pPr>
        <w:spacing w:line="360" w:lineRule="auto"/>
        <w:ind w:firstLine="3960" w:firstLineChars="1650"/>
        <w:rPr>
          <w:rFonts w:ascii="宋体" w:hAnsi="宋体" w:cs="宋体"/>
          <w:color w:val="auto"/>
          <w:sz w:val="24"/>
          <w:szCs w:val="24"/>
          <w:highlight w:val="none"/>
        </w:rPr>
      </w:pPr>
      <w:r>
        <w:rPr>
          <w:rFonts w:hint="eastAsia" w:ascii="宋体" w:hAnsi="宋体" w:cs="宋体"/>
          <w:color w:val="auto"/>
          <w:sz w:val="24"/>
          <w:szCs w:val="24"/>
          <w:highlight w:val="none"/>
        </w:rPr>
        <w:t>投标人（全称并加盖公章）：</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日     期：</w:t>
      </w:r>
      <w:r>
        <w:rPr>
          <w:rFonts w:hint="eastAsia" w:ascii="宋体" w:hAnsi="宋体" w:cs="宋体"/>
          <w:color w:val="auto"/>
          <w:sz w:val="24"/>
          <w:szCs w:val="24"/>
          <w:highlight w:val="none"/>
          <w:u w:val="single"/>
        </w:rPr>
        <w:t xml:space="preserve">                       </w:t>
      </w:r>
    </w:p>
    <w:p w14:paraId="7BB15F32">
      <w:pPr>
        <w:spacing w:line="360" w:lineRule="auto"/>
        <w:rPr>
          <w:rFonts w:ascii="宋体" w:hAnsi="宋体" w:cs="宋体"/>
          <w:color w:val="auto"/>
          <w:sz w:val="24"/>
          <w:szCs w:val="24"/>
          <w:highlight w:val="none"/>
        </w:rPr>
      </w:pPr>
    </w:p>
    <w:p w14:paraId="03D02A5E">
      <w:pPr>
        <w:spacing w:line="360" w:lineRule="auto"/>
        <w:ind w:firstLine="4080" w:firstLineChars="1700"/>
        <w:rPr>
          <w:rFonts w:ascii="宋体" w:hAnsi="宋体" w:cs="宋体"/>
          <w:color w:val="auto"/>
          <w:sz w:val="24"/>
          <w:szCs w:val="24"/>
          <w:highlight w:val="none"/>
        </w:rPr>
      </w:pPr>
      <w:r>
        <w:rPr>
          <w:rFonts w:hint="eastAsia" w:ascii="宋体" w:hAnsi="宋体" w:cs="宋体"/>
          <w:color w:val="auto"/>
          <w:sz w:val="24"/>
          <w:szCs w:val="24"/>
          <w:highlight w:val="none"/>
        </w:rPr>
        <w:t>接受授权方</w:t>
      </w:r>
    </w:p>
    <w:p w14:paraId="4D88675D">
      <w:pPr>
        <w:spacing w:line="360" w:lineRule="auto"/>
        <w:ind w:firstLine="4320" w:firstLineChars="1800"/>
        <w:rPr>
          <w:rFonts w:ascii="宋体" w:hAnsi="宋体" w:cs="宋体"/>
          <w:color w:val="auto"/>
          <w:sz w:val="24"/>
          <w:szCs w:val="24"/>
          <w:highlight w:val="none"/>
        </w:rPr>
      </w:pPr>
      <w:r>
        <w:rPr>
          <w:rFonts w:hint="eastAsia" w:ascii="宋体" w:hAnsi="宋体" w:cs="宋体"/>
          <w:color w:val="auto"/>
          <w:sz w:val="24"/>
          <w:szCs w:val="24"/>
          <w:highlight w:val="none"/>
        </w:rPr>
        <w:t>投标人代表签字：</w:t>
      </w:r>
      <w:r>
        <w:rPr>
          <w:rFonts w:hint="eastAsia" w:ascii="宋体" w:hAnsi="宋体" w:cs="宋体"/>
          <w:color w:val="auto"/>
          <w:sz w:val="24"/>
          <w:szCs w:val="24"/>
          <w:highlight w:val="none"/>
          <w:u w:val="single"/>
        </w:rPr>
        <w:t xml:space="preserve">                </w:t>
      </w:r>
    </w:p>
    <w:p w14:paraId="73DF7AB1">
      <w:pPr>
        <w:spacing w:line="360" w:lineRule="auto"/>
        <w:rPr>
          <w:rFonts w:ascii="宋体" w:hAnsi="宋体" w:cs="宋体"/>
          <w:color w:val="auto"/>
          <w:sz w:val="24"/>
          <w:szCs w:val="24"/>
          <w:highlight w:val="none"/>
        </w:rPr>
      </w:pPr>
    </w:p>
    <w:p w14:paraId="75F79D1A">
      <w:pPr>
        <w:spacing w:line="360" w:lineRule="auto"/>
        <w:ind w:firstLine="4800" w:firstLineChars="2000"/>
        <w:rPr>
          <w:rFonts w:ascii="宋体" w:hAnsi="宋体" w:cs="宋体"/>
          <w:color w:val="auto"/>
          <w:sz w:val="24"/>
          <w:szCs w:val="24"/>
          <w:highlight w:val="none"/>
        </w:rPr>
      </w:pPr>
      <w:r>
        <w:rPr>
          <w:rFonts w:hint="eastAsia" w:ascii="宋体" w:hAnsi="宋体" w:cs="宋体"/>
          <w:color w:val="auto"/>
          <w:sz w:val="24"/>
          <w:szCs w:val="24"/>
          <w:highlight w:val="none"/>
        </w:rPr>
        <w:t>日     期：</w:t>
      </w:r>
      <w:r>
        <w:rPr>
          <w:rFonts w:hint="eastAsia" w:ascii="宋体" w:hAnsi="宋体" w:cs="宋体"/>
          <w:color w:val="auto"/>
          <w:sz w:val="24"/>
          <w:szCs w:val="24"/>
          <w:highlight w:val="none"/>
          <w:u w:val="single"/>
        </w:rPr>
        <w:t xml:space="preserve">                     </w:t>
      </w:r>
    </w:p>
    <w:p w14:paraId="72E47DBF">
      <w:pPr>
        <w:pStyle w:val="47"/>
        <w:spacing w:line="360" w:lineRule="auto"/>
        <w:jc w:val="center"/>
        <w:outlineLvl w:val="9"/>
        <w:rPr>
          <w:rFonts w:hAnsi="宋体" w:cs="宋体"/>
          <w:color w:val="auto"/>
          <w:sz w:val="24"/>
          <w:szCs w:val="24"/>
          <w:highlight w:val="none"/>
        </w:rPr>
      </w:pPr>
      <w:r>
        <w:rPr>
          <w:rFonts w:hint="eastAsia" w:hAnsi="宋体" w:cs="宋体"/>
          <w:color w:val="auto"/>
          <w:sz w:val="24"/>
          <w:szCs w:val="24"/>
          <w:highlight w:val="none"/>
        </w:rPr>
        <w:br w:type="page"/>
      </w:r>
      <w:bookmarkStart w:id="190" w:name="_Toc30456"/>
      <w:bookmarkStart w:id="191" w:name="_Toc5633"/>
      <w:bookmarkStart w:id="192" w:name="_Toc14637"/>
      <w:bookmarkStart w:id="193" w:name="_Toc26726"/>
      <w:bookmarkStart w:id="194" w:name="_Toc3897"/>
      <w:bookmarkStart w:id="195" w:name="_Toc14144"/>
      <w:bookmarkStart w:id="196" w:name="_Toc4659"/>
      <w:bookmarkStart w:id="197" w:name="_Toc13342"/>
      <w:bookmarkStart w:id="198" w:name="_Toc27497"/>
      <w:r>
        <w:rPr>
          <w:rFonts w:hint="eastAsia" w:hAnsi="宋体" w:cs="宋体"/>
          <w:b/>
          <w:color w:val="auto"/>
          <w:sz w:val="32"/>
          <w:szCs w:val="32"/>
          <w:highlight w:val="none"/>
        </w:rPr>
        <w:t>单位营业执照、税务登记证</w:t>
      </w:r>
      <w:bookmarkEnd w:id="190"/>
      <w:bookmarkEnd w:id="191"/>
      <w:bookmarkEnd w:id="192"/>
      <w:bookmarkEnd w:id="193"/>
      <w:bookmarkEnd w:id="194"/>
      <w:bookmarkEnd w:id="195"/>
      <w:bookmarkEnd w:id="196"/>
      <w:bookmarkEnd w:id="197"/>
      <w:bookmarkEnd w:id="198"/>
    </w:p>
    <w:p w14:paraId="189B2EC8">
      <w:pPr>
        <w:spacing w:line="360" w:lineRule="auto"/>
        <w:rPr>
          <w:rFonts w:ascii="宋体" w:hAnsi="宋体" w:cs="宋体"/>
          <w:color w:val="auto"/>
          <w:sz w:val="24"/>
          <w:szCs w:val="24"/>
          <w:highlight w:val="none"/>
        </w:rPr>
      </w:pPr>
    </w:p>
    <w:p w14:paraId="6A633A4B">
      <w:pPr>
        <w:spacing w:line="360" w:lineRule="auto"/>
        <w:rPr>
          <w:rFonts w:ascii="宋体" w:hAnsi="宋体" w:cs="宋体"/>
          <w:color w:val="auto"/>
          <w:sz w:val="24"/>
          <w:szCs w:val="24"/>
          <w:highlight w:val="none"/>
        </w:rPr>
      </w:pPr>
    </w:p>
    <w:p w14:paraId="2937541E">
      <w:pPr>
        <w:spacing w:line="360" w:lineRule="auto"/>
        <w:rPr>
          <w:rFonts w:ascii="宋体" w:hAnsi="宋体" w:cs="宋体"/>
          <w:color w:val="auto"/>
          <w:sz w:val="24"/>
          <w:szCs w:val="24"/>
          <w:highlight w:val="none"/>
        </w:rPr>
      </w:pPr>
    </w:p>
    <w:p w14:paraId="3B687F46">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w:t>
      </w:r>
    </w:p>
    <w:p w14:paraId="50F2CAAF">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现附上由</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（签发机关名称）签发的我方单位营业执照副本复印件，该执照真实有效。</w:t>
      </w:r>
    </w:p>
    <w:p w14:paraId="45EA66F9">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现附上由</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（签发机关名称）签发的我方税务登记证副本复印件，该证件已经年检，真实有效。</w:t>
      </w:r>
    </w:p>
    <w:p w14:paraId="0CD2F30A">
      <w:pPr>
        <w:spacing w:line="360" w:lineRule="auto"/>
        <w:rPr>
          <w:rFonts w:ascii="宋体" w:hAnsi="宋体" w:cs="宋体"/>
          <w:color w:val="auto"/>
          <w:sz w:val="24"/>
          <w:szCs w:val="24"/>
          <w:highlight w:val="none"/>
        </w:rPr>
      </w:pPr>
    </w:p>
    <w:p w14:paraId="0BFEC12A">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（注：单位营业执照、税务登记证提供复印件，由企业加盖公章并注明复印件与原件一致。）</w:t>
      </w:r>
    </w:p>
    <w:p w14:paraId="0ED79C3B">
      <w:pPr>
        <w:spacing w:line="360" w:lineRule="auto"/>
        <w:rPr>
          <w:rFonts w:ascii="宋体" w:hAnsi="宋体" w:cs="宋体"/>
          <w:color w:val="auto"/>
          <w:sz w:val="24"/>
          <w:szCs w:val="24"/>
          <w:highlight w:val="none"/>
        </w:rPr>
      </w:pPr>
    </w:p>
    <w:p w14:paraId="37EDF703">
      <w:pPr>
        <w:spacing w:line="360" w:lineRule="auto"/>
        <w:rPr>
          <w:rFonts w:ascii="宋体" w:hAnsi="宋体" w:cs="宋体"/>
          <w:color w:val="auto"/>
          <w:sz w:val="24"/>
          <w:szCs w:val="24"/>
          <w:highlight w:val="none"/>
        </w:rPr>
      </w:pPr>
    </w:p>
    <w:p w14:paraId="3A38D0B8">
      <w:pPr>
        <w:spacing w:line="360" w:lineRule="auto"/>
        <w:rPr>
          <w:rFonts w:ascii="宋体" w:hAnsi="宋体" w:cs="宋体"/>
          <w:color w:val="auto"/>
          <w:sz w:val="24"/>
          <w:szCs w:val="24"/>
          <w:highlight w:val="none"/>
        </w:rPr>
      </w:pPr>
    </w:p>
    <w:p w14:paraId="32BBF7B9">
      <w:pPr>
        <w:spacing w:line="360" w:lineRule="auto"/>
        <w:rPr>
          <w:rFonts w:ascii="宋体" w:hAnsi="宋体" w:cs="宋体"/>
          <w:color w:val="auto"/>
          <w:sz w:val="24"/>
          <w:szCs w:val="24"/>
          <w:highlight w:val="none"/>
        </w:rPr>
      </w:pPr>
    </w:p>
    <w:p w14:paraId="13FEF0E9">
      <w:pPr>
        <w:spacing w:line="360" w:lineRule="auto"/>
        <w:rPr>
          <w:rFonts w:ascii="宋体" w:hAnsi="宋体" w:cs="宋体"/>
          <w:color w:val="auto"/>
          <w:sz w:val="24"/>
          <w:szCs w:val="24"/>
          <w:highlight w:val="none"/>
        </w:rPr>
      </w:pPr>
    </w:p>
    <w:p w14:paraId="350EEAE9">
      <w:pPr>
        <w:spacing w:line="360" w:lineRule="auto"/>
        <w:rPr>
          <w:rFonts w:ascii="宋体" w:hAnsi="宋体" w:cs="宋体"/>
          <w:color w:val="auto"/>
          <w:sz w:val="24"/>
          <w:szCs w:val="24"/>
          <w:highlight w:val="none"/>
        </w:rPr>
      </w:pPr>
    </w:p>
    <w:p w14:paraId="48D3513C">
      <w:pPr>
        <w:spacing w:line="360" w:lineRule="auto"/>
        <w:rPr>
          <w:rFonts w:ascii="宋体" w:hAnsi="宋体" w:cs="宋体"/>
          <w:color w:val="auto"/>
          <w:sz w:val="24"/>
          <w:szCs w:val="24"/>
          <w:highlight w:val="none"/>
        </w:rPr>
      </w:pPr>
    </w:p>
    <w:p w14:paraId="4CD884C6">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 xml:space="preserve">                         投 标 人（全称并加盖公章）：</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 xml:space="preserve">     </w:t>
      </w:r>
    </w:p>
    <w:p w14:paraId="4C7DE2B0">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 xml:space="preserve">                         投标人代表签字：</w:t>
      </w:r>
      <w:r>
        <w:rPr>
          <w:rFonts w:hint="eastAsia" w:ascii="宋体" w:hAnsi="宋体" w:cs="宋体"/>
          <w:color w:val="auto"/>
          <w:sz w:val="24"/>
          <w:szCs w:val="24"/>
          <w:highlight w:val="none"/>
          <w:u w:val="single"/>
        </w:rPr>
        <w:t xml:space="preserve">                         </w:t>
      </w:r>
    </w:p>
    <w:p w14:paraId="7F2A003D">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 xml:space="preserve">                         日      期：</w:t>
      </w:r>
      <w:r>
        <w:rPr>
          <w:rFonts w:hint="eastAsia" w:ascii="宋体" w:hAnsi="宋体" w:cs="宋体"/>
          <w:color w:val="auto"/>
          <w:sz w:val="24"/>
          <w:szCs w:val="24"/>
          <w:highlight w:val="none"/>
          <w:u w:val="single"/>
        </w:rPr>
        <w:t xml:space="preserve">                                </w:t>
      </w:r>
    </w:p>
    <w:p w14:paraId="61D24DFD">
      <w:pPr>
        <w:spacing w:line="360" w:lineRule="auto"/>
        <w:rPr>
          <w:rFonts w:ascii="宋体" w:hAnsi="宋体" w:cs="宋体"/>
          <w:color w:val="auto"/>
          <w:sz w:val="24"/>
          <w:szCs w:val="24"/>
          <w:highlight w:val="none"/>
        </w:rPr>
      </w:pPr>
    </w:p>
    <w:p w14:paraId="0C21CAE6">
      <w:pPr>
        <w:spacing w:line="360" w:lineRule="auto"/>
        <w:rPr>
          <w:rFonts w:ascii="宋体" w:hAnsi="宋体" w:cs="宋体"/>
          <w:color w:val="auto"/>
          <w:sz w:val="24"/>
          <w:szCs w:val="24"/>
          <w:highlight w:val="none"/>
        </w:rPr>
      </w:pPr>
    </w:p>
    <w:p w14:paraId="57F28565">
      <w:pPr>
        <w:spacing w:line="360" w:lineRule="auto"/>
        <w:rPr>
          <w:rFonts w:ascii="宋体" w:hAnsi="宋体" w:cs="宋体"/>
          <w:color w:val="auto"/>
          <w:sz w:val="24"/>
          <w:szCs w:val="24"/>
          <w:highlight w:val="none"/>
        </w:rPr>
      </w:pPr>
    </w:p>
    <w:p w14:paraId="42844A25">
      <w:pPr>
        <w:rPr>
          <w:color w:val="auto"/>
          <w:highlight w:val="none"/>
        </w:rPr>
      </w:pPr>
      <w:r>
        <w:rPr>
          <w:rFonts w:hint="eastAsia" w:ascii="宋体" w:hAnsi="宋体" w:cs="宋体"/>
          <w:color w:val="auto"/>
          <w:sz w:val="24"/>
          <w:szCs w:val="24"/>
          <w:highlight w:val="none"/>
        </w:rPr>
        <w:br w:type="page"/>
      </w:r>
    </w:p>
    <w:p w14:paraId="270050B5">
      <w:pPr>
        <w:spacing w:line="360" w:lineRule="auto"/>
        <w:jc w:val="center"/>
        <w:rPr>
          <w:rFonts w:ascii="宋体" w:hAnsi="宋体" w:cs="宋体"/>
          <w:b/>
          <w:bCs/>
          <w:color w:val="auto"/>
          <w:sz w:val="32"/>
          <w:szCs w:val="32"/>
          <w:highlight w:val="none"/>
        </w:rPr>
        <w:sectPr>
          <w:pgSz w:w="11906" w:h="16838"/>
          <w:pgMar w:top="1440" w:right="1800" w:bottom="1440" w:left="1800" w:header="851" w:footer="992" w:gutter="0"/>
          <w:cols w:space="720" w:num="1"/>
          <w:docGrid w:type="lines" w:linePitch="312" w:charSpace="0"/>
        </w:sectPr>
      </w:pPr>
    </w:p>
    <w:p w14:paraId="1E59FF48">
      <w:pPr>
        <w:spacing w:line="360" w:lineRule="auto"/>
        <w:jc w:val="center"/>
        <w:outlineLvl w:val="1"/>
        <w:rPr>
          <w:rFonts w:ascii="宋体" w:hAnsi="宋体" w:cs="宋体"/>
          <w:b/>
          <w:bCs/>
          <w:color w:val="auto"/>
          <w:sz w:val="32"/>
          <w:szCs w:val="32"/>
          <w:highlight w:val="none"/>
        </w:rPr>
        <w:sectPr>
          <w:pgSz w:w="11906" w:h="16838"/>
          <w:pgMar w:top="1440" w:right="1800" w:bottom="1440" w:left="1800" w:header="851" w:footer="992" w:gutter="0"/>
          <w:cols w:space="720" w:num="1"/>
          <w:docGrid w:type="lines" w:linePitch="312" w:charSpace="0"/>
        </w:sectPr>
      </w:pPr>
      <w:bookmarkStart w:id="199" w:name="_Toc18379"/>
      <w:r>
        <w:rPr>
          <w:rFonts w:hint="eastAsia" w:ascii="宋体" w:hAnsi="宋体" w:cs="宋体"/>
          <w:b/>
          <w:bCs/>
          <w:color w:val="auto"/>
          <w:sz w:val="32"/>
          <w:szCs w:val="32"/>
          <w:highlight w:val="none"/>
        </w:rPr>
        <w:t>八、服务方案及质量保证措施</w:t>
      </w:r>
      <w:bookmarkEnd w:id="199"/>
    </w:p>
    <w:p w14:paraId="2D65721F">
      <w:pPr>
        <w:spacing w:line="360" w:lineRule="auto"/>
        <w:jc w:val="center"/>
        <w:outlineLvl w:val="1"/>
        <w:rPr>
          <w:rFonts w:ascii="宋体" w:hAnsi="宋体" w:cs="宋体"/>
          <w:color w:val="auto"/>
          <w:sz w:val="24"/>
          <w:szCs w:val="24"/>
          <w:highlight w:val="none"/>
        </w:rPr>
      </w:pPr>
      <w:bookmarkStart w:id="200" w:name="_Toc15220"/>
      <w:r>
        <w:rPr>
          <w:rFonts w:hint="eastAsia" w:ascii="宋体" w:hAnsi="宋体" w:cs="宋体"/>
          <w:b/>
          <w:bCs/>
          <w:color w:val="auto"/>
          <w:sz w:val="32"/>
          <w:szCs w:val="32"/>
          <w:highlight w:val="none"/>
        </w:rPr>
        <w:t>九、代理服务费承诺书</w:t>
      </w:r>
      <w:bookmarkEnd w:id="200"/>
    </w:p>
    <w:p w14:paraId="0EBB5F26">
      <w:pPr>
        <w:pStyle w:val="47"/>
        <w:spacing w:line="360" w:lineRule="auto"/>
        <w:jc w:val="center"/>
        <w:outlineLvl w:val="9"/>
        <w:rPr>
          <w:rFonts w:hAnsi="宋体" w:cs="宋体"/>
          <w:color w:val="auto"/>
          <w:sz w:val="24"/>
          <w:szCs w:val="24"/>
          <w:highlight w:val="none"/>
        </w:rPr>
      </w:pPr>
    </w:p>
    <w:p w14:paraId="63776E43">
      <w:pPr>
        <w:pStyle w:val="47"/>
        <w:spacing w:line="360" w:lineRule="auto"/>
        <w:jc w:val="center"/>
        <w:outlineLvl w:val="9"/>
        <w:rPr>
          <w:rFonts w:hAnsi="宋体" w:cs="宋体"/>
          <w:color w:val="auto"/>
          <w:sz w:val="24"/>
          <w:szCs w:val="24"/>
          <w:highlight w:val="none"/>
        </w:rPr>
      </w:pPr>
      <w:r>
        <w:rPr>
          <w:rFonts w:hint="eastAsia" w:hAnsi="宋体" w:cs="宋体"/>
          <w:color w:val="auto"/>
          <w:sz w:val="24"/>
          <w:szCs w:val="24"/>
          <w:highlight w:val="none"/>
        </w:rPr>
        <w:t xml:space="preserve">                                </w:t>
      </w:r>
    </w:p>
    <w:p w14:paraId="08871CB5">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致：</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 xml:space="preserve"> </w:t>
      </w:r>
    </w:p>
    <w:p w14:paraId="53B2D2ED">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 xml:space="preserve">  </w:t>
      </w:r>
    </w:p>
    <w:p w14:paraId="6EEBAA1E">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我司在贵司组织的</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项目招标中投标（招标编号：</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），如获中标，我们保证按招标文件的规定，以汇款、转账方式向贵司缴交代理服务费。</w:t>
      </w:r>
    </w:p>
    <w:p w14:paraId="3346A359">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我司一旦中标，承诺凭中标通知书原件按招标文件的规定签订合同，并最迟应于合同签订前缴交代理服务费，否则，我司同意贵司在厦门招投标网上对我司“不按规定缴交代理服务费的行为”进行公示。若自公示之日起3个工作日内，我司仍未缴交代理服务费的，我司同意按每日1%计取违约金。</w:t>
      </w:r>
    </w:p>
    <w:p w14:paraId="450827C2">
      <w:pPr>
        <w:spacing w:line="360" w:lineRule="auto"/>
        <w:rPr>
          <w:rFonts w:ascii="宋体" w:hAnsi="宋体" w:cs="宋体"/>
          <w:color w:val="auto"/>
          <w:sz w:val="24"/>
          <w:szCs w:val="24"/>
          <w:highlight w:val="none"/>
        </w:rPr>
      </w:pPr>
    </w:p>
    <w:p w14:paraId="78BE64C7">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特此承诺！</w:t>
      </w:r>
    </w:p>
    <w:p w14:paraId="0C983993">
      <w:pPr>
        <w:spacing w:line="360" w:lineRule="auto"/>
        <w:rPr>
          <w:rFonts w:ascii="宋体" w:hAnsi="宋体" w:cs="宋体"/>
          <w:color w:val="auto"/>
          <w:sz w:val="24"/>
          <w:szCs w:val="24"/>
          <w:highlight w:val="none"/>
        </w:rPr>
      </w:pPr>
    </w:p>
    <w:p w14:paraId="7E604C56">
      <w:pPr>
        <w:spacing w:line="360" w:lineRule="auto"/>
        <w:rPr>
          <w:rFonts w:ascii="宋体" w:hAnsi="宋体" w:cs="宋体"/>
          <w:color w:val="auto"/>
          <w:sz w:val="24"/>
          <w:szCs w:val="24"/>
          <w:highlight w:val="none"/>
          <w:u w:val="single"/>
        </w:rPr>
      </w:pPr>
      <w:r>
        <w:rPr>
          <w:rFonts w:hint="eastAsia" w:ascii="宋体" w:hAnsi="宋体" w:cs="宋体"/>
          <w:color w:val="auto"/>
          <w:sz w:val="24"/>
          <w:szCs w:val="24"/>
          <w:highlight w:val="none"/>
        </w:rPr>
        <w:t xml:space="preserve">                            投标人（全称）： </w:t>
      </w:r>
      <w:r>
        <w:rPr>
          <w:rFonts w:hint="eastAsia" w:ascii="宋体" w:hAnsi="宋体" w:cs="宋体"/>
          <w:color w:val="auto"/>
          <w:sz w:val="24"/>
          <w:szCs w:val="24"/>
          <w:highlight w:val="none"/>
          <w:u w:val="single"/>
        </w:rPr>
        <w:t xml:space="preserve">                          </w:t>
      </w:r>
    </w:p>
    <w:p w14:paraId="6EBF327F">
      <w:pPr>
        <w:spacing w:line="360" w:lineRule="auto"/>
        <w:ind w:firstLine="3360" w:firstLineChars="1400"/>
        <w:rPr>
          <w:rFonts w:ascii="宋体" w:hAnsi="宋体" w:cs="宋体"/>
          <w:color w:val="auto"/>
          <w:sz w:val="24"/>
          <w:szCs w:val="24"/>
          <w:highlight w:val="none"/>
          <w:u w:val="single"/>
        </w:rPr>
      </w:pPr>
      <w:r>
        <w:rPr>
          <w:rFonts w:hint="eastAsia" w:ascii="宋体" w:hAnsi="宋体" w:cs="宋体"/>
          <w:color w:val="auto"/>
          <w:sz w:val="24"/>
          <w:szCs w:val="24"/>
          <w:highlight w:val="none"/>
        </w:rPr>
        <w:t>邮 编：</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电 话：</w:t>
      </w:r>
      <w:r>
        <w:rPr>
          <w:rFonts w:hint="eastAsia" w:ascii="宋体" w:hAnsi="宋体" w:cs="宋体"/>
          <w:color w:val="auto"/>
          <w:sz w:val="24"/>
          <w:szCs w:val="24"/>
          <w:highlight w:val="none"/>
          <w:u w:val="single"/>
        </w:rPr>
        <w:t xml:space="preserve">          </w:t>
      </w:r>
    </w:p>
    <w:p w14:paraId="0B0ACEBA">
      <w:pPr>
        <w:spacing w:line="360" w:lineRule="auto"/>
        <w:rPr>
          <w:rFonts w:ascii="宋体" w:hAnsi="宋体" w:cs="宋体"/>
          <w:color w:val="auto"/>
          <w:sz w:val="24"/>
          <w:szCs w:val="24"/>
          <w:highlight w:val="none"/>
          <w:u w:val="single"/>
        </w:rPr>
      </w:pPr>
      <w:r>
        <w:rPr>
          <w:rFonts w:hint="eastAsia" w:ascii="宋体" w:hAnsi="宋体" w:cs="宋体"/>
          <w:color w:val="auto"/>
          <w:sz w:val="24"/>
          <w:szCs w:val="24"/>
          <w:highlight w:val="none"/>
        </w:rPr>
        <w:t xml:space="preserve">                            传 真：</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 xml:space="preserve">日 期： </w:t>
      </w:r>
      <w:r>
        <w:rPr>
          <w:rFonts w:hint="eastAsia" w:ascii="宋体" w:hAnsi="宋体" w:cs="宋体"/>
          <w:color w:val="auto"/>
          <w:sz w:val="24"/>
          <w:szCs w:val="24"/>
          <w:highlight w:val="none"/>
          <w:u w:val="single"/>
        </w:rPr>
        <w:t xml:space="preserve">         </w:t>
      </w:r>
    </w:p>
    <w:p w14:paraId="369D0D9E">
      <w:pPr>
        <w:spacing w:line="360" w:lineRule="auto"/>
        <w:rPr>
          <w:rFonts w:ascii="宋体" w:hAnsi="宋体" w:cs="宋体"/>
          <w:color w:val="auto"/>
          <w:sz w:val="24"/>
          <w:szCs w:val="24"/>
          <w:highlight w:val="none"/>
        </w:rPr>
      </w:pPr>
    </w:p>
    <w:p w14:paraId="6EC843DB">
      <w:pPr>
        <w:spacing w:line="360" w:lineRule="auto"/>
        <w:rPr>
          <w:rFonts w:ascii="宋体" w:hAnsi="宋体" w:cs="宋体"/>
          <w:color w:val="auto"/>
          <w:sz w:val="24"/>
          <w:szCs w:val="24"/>
          <w:highlight w:val="none"/>
        </w:rPr>
      </w:pPr>
    </w:p>
    <w:p w14:paraId="0A149E34">
      <w:pPr>
        <w:spacing w:line="360" w:lineRule="auto"/>
        <w:rPr>
          <w:rFonts w:ascii="宋体" w:hAnsi="宋体" w:cs="宋体"/>
          <w:color w:val="auto"/>
          <w:sz w:val="24"/>
          <w:szCs w:val="24"/>
          <w:highlight w:val="none"/>
        </w:rPr>
      </w:pPr>
    </w:p>
    <w:p w14:paraId="7E4610D7">
      <w:pPr>
        <w:spacing w:line="360" w:lineRule="auto"/>
        <w:rPr>
          <w:rFonts w:ascii="宋体" w:hAnsi="宋体" w:cs="宋体"/>
          <w:color w:val="auto"/>
          <w:sz w:val="24"/>
          <w:szCs w:val="24"/>
          <w:highlight w:val="none"/>
        </w:rPr>
      </w:pPr>
    </w:p>
    <w:p w14:paraId="31D00EA7">
      <w:pPr>
        <w:spacing w:line="360" w:lineRule="auto"/>
        <w:rPr>
          <w:rFonts w:ascii="宋体" w:hAnsi="宋体" w:cs="宋体"/>
          <w:bCs/>
          <w:color w:val="auto"/>
          <w:sz w:val="24"/>
          <w:szCs w:val="24"/>
          <w:highlight w:val="none"/>
        </w:rPr>
      </w:pPr>
    </w:p>
    <w:p w14:paraId="50DC3ED4">
      <w:pPr>
        <w:spacing w:line="360" w:lineRule="auto"/>
        <w:rPr>
          <w:rFonts w:ascii="宋体" w:hAnsi="宋体" w:cs="宋体"/>
          <w:bCs/>
          <w:color w:val="auto"/>
          <w:sz w:val="24"/>
          <w:szCs w:val="24"/>
          <w:highlight w:val="none"/>
        </w:rPr>
      </w:pPr>
    </w:p>
    <w:p w14:paraId="78D08E3D">
      <w:pPr>
        <w:spacing w:line="360" w:lineRule="auto"/>
        <w:rPr>
          <w:rFonts w:ascii="宋体" w:hAnsi="宋体" w:cs="宋体"/>
          <w:bCs/>
          <w:color w:val="auto"/>
          <w:sz w:val="24"/>
          <w:szCs w:val="24"/>
          <w:highlight w:val="none"/>
        </w:rPr>
      </w:pPr>
    </w:p>
    <w:p w14:paraId="27899F5E">
      <w:pPr>
        <w:spacing w:line="360" w:lineRule="auto"/>
        <w:rPr>
          <w:rFonts w:ascii="宋体" w:hAnsi="宋体" w:cs="宋体"/>
          <w:bCs/>
          <w:color w:val="auto"/>
          <w:sz w:val="24"/>
          <w:szCs w:val="24"/>
          <w:highlight w:val="none"/>
        </w:rPr>
      </w:pPr>
    </w:p>
    <w:p w14:paraId="5E9E1CD0">
      <w:pPr>
        <w:spacing w:line="360" w:lineRule="auto"/>
        <w:rPr>
          <w:rFonts w:ascii="宋体" w:hAnsi="宋体" w:cs="宋体"/>
          <w:bCs/>
          <w:color w:val="auto"/>
          <w:sz w:val="24"/>
          <w:szCs w:val="24"/>
          <w:highlight w:val="none"/>
        </w:rPr>
      </w:pPr>
    </w:p>
    <w:p w14:paraId="797CD46B">
      <w:pPr>
        <w:spacing w:line="360" w:lineRule="auto"/>
        <w:rPr>
          <w:rFonts w:ascii="宋体" w:hAnsi="宋体" w:cs="宋体"/>
          <w:bCs/>
          <w:color w:val="auto"/>
          <w:sz w:val="24"/>
          <w:szCs w:val="24"/>
          <w:highlight w:val="none"/>
        </w:rPr>
      </w:pPr>
    </w:p>
    <w:p w14:paraId="5353094A">
      <w:pPr>
        <w:spacing w:line="360" w:lineRule="auto"/>
        <w:rPr>
          <w:rFonts w:ascii="宋体" w:hAnsi="宋体" w:cs="宋体"/>
          <w:bCs/>
          <w:color w:val="auto"/>
          <w:sz w:val="24"/>
          <w:szCs w:val="24"/>
          <w:highlight w:val="none"/>
        </w:rPr>
      </w:pPr>
    </w:p>
    <w:p w14:paraId="55FC861D">
      <w:pPr>
        <w:spacing w:line="360" w:lineRule="auto"/>
        <w:rPr>
          <w:rFonts w:ascii="宋体" w:hAnsi="宋体" w:cs="宋体"/>
          <w:bCs/>
          <w:color w:val="auto"/>
          <w:sz w:val="32"/>
          <w:szCs w:val="32"/>
          <w:highlight w:val="none"/>
        </w:rPr>
      </w:pPr>
      <w:r>
        <w:rPr>
          <w:rFonts w:hint="eastAsia" w:ascii="宋体" w:hAnsi="宋体" w:cs="宋体"/>
          <w:bCs/>
          <w:color w:val="auto"/>
          <w:sz w:val="32"/>
          <w:szCs w:val="32"/>
          <w:highlight w:val="none"/>
        </w:rPr>
        <w:t>附：廉洁承诺书</w:t>
      </w:r>
    </w:p>
    <w:p w14:paraId="6B41549D">
      <w:pPr>
        <w:widowControl/>
        <w:spacing w:line="360" w:lineRule="auto"/>
        <w:jc w:val="center"/>
        <w:rPr>
          <w:rFonts w:ascii="宋体" w:hAnsi="宋体" w:cs="宋体"/>
          <w:b/>
          <w:color w:val="auto"/>
          <w:sz w:val="24"/>
          <w:szCs w:val="24"/>
          <w:highlight w:val="none"/>
        </w:rPr>
      </w:pPr>
      <w:r>
        <w:rPr>
          <w:rFonts w:hint="eastAsia" w:ascii="宋体" w:hAnsi="宋体" w:cs="宋体"/>
          <w:b/>
          <w:color w:val="auto"/>
          <w:sz w:val="32"/>
          <w:szCs w:val="32"/>
          <w:highlight w:val="none"/>
        </w:rPr>
        <w:t>廉洁承诺书</w:t>
      </w:r>
    </w:p>
    <w:p w14:paraId="6BF81207">
      <w:pPr>
        <w:widowControl/>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 xml:space="preserve">为促进廉洁自律有关规定的落实，打击贿赂、以权谋私等违法犯罪行为，保证各项经营活动健康有序开展，维护员工职业操守，提高合作效率，本单位在与厦门万翔招标有限公司开展投标业务活动中承诺： </w:t>
      </w:r>
    </w:p>
    <w:p w14:paraId="3CB6AA8E">
      <w:pPr>
        <w:widowControl/>
        <w:spacing w:line="360" w:lineRule="auto"/>
        <w:ind w:firstLine="482" w:firstLineChars="201"/>
        <w:jc w:val="left"/>
        <w:rPr>
          <w:rFonts w:ascii="宋体" w:hAnsi="宋体" w:cs="宋体"/>
          <w:color w:val="auto"/>
          <w:sz w:val="24"/>
          <w:szCs w:val="24"/>
          <w:highlight w:val="none"/>
        </w:rPr>
      </w:pPr>
      <w:r>
        <w:rPr>
          <w:rFonts w:hint="eastAsia" w:ascii="宋体" w:hAnsi="宋体" w:cs="宋体"/>
          <w:color w:val="auto"/>
          <w:sz w:val="24"/>
          <w:szCs w:val="24"/>
          <w:highlight w:val="none"/>
        </w:rPr>
        <w:t>一、自觉遵守国家法律、法规，按照《中国共产党纪律处分条例》《中华人民共和国反不正当竞争法》《关于禁止商业贿赂行为的暂行规定》以及有关要求进行各项业务活动。</w:t>
      </w:r>
    </w:p>
    <w:p w14:paraId="6C74A854">
      <w:pPr>
        <w:widowControl/>
        <w:spacing w:line="360" w:lineRule="auto"/>
        <w:ind w:firstLine="482" w:firstLineChars="201"/>
        <w:jc w:val="left"/>
        <w:rPr>
          <w:rFonts w:ascii="宋体" w:hAnsi="宋体" w:cs="宋体"/>
          <w:color w:val="auto"/>
          <w:sz w:val="24"/>
          <w:szCs w:val="24"/>
          <w:highlight w:val="none"/>
        </w:rPr>
      </w:pPr>
      <w:r>
        <w:rPr>
          <w:rFonts w:hint="eastAsia" w:ascii="宋体" w:hAnsi="宋体" w:cs="宋体"/>
          <w:color w:val="auto"/>
          <w:sz w:val="24"/>
          <w:szCs w:val="24"/>
          <w:highlight w:val="none"/>
        </w:rPr>
        <w:t>二、不向厦门万翔招标有限公司的工作人员及其亲属馈赠礼金、礼品（含有价证券）；不向厦门万翔招标有限公司的工作人员提供任何应由其个人支付报酬的劳务（如：建、修住宅等）和其它服务；不为厦门万翔招标有限公司的工作人员安排可能影响公正执行公务的任何活动（如：旅游、高消费宴请、娱乐等）；不为厦门万翔招标有限公司的工作人员支付应由其个人支付的任何赞助费、宣传费、咨询费、劳务费等；不为厦门万翔招标有限公司的工作人员报销任何名义的个人消费凭证；不为厦门万翔招标有限公司的工作人员安排违反社会公德的活动；不为厦门万翔招标有限公司的工作人员提供经商、办企业、消费提供特殊便利或优惠等。</w:t>
      </w:r>
    </w:p>
    <w:p w14:paraId="064D61B3">
      <w:pPr>
        <w:widowControl/>
        <w:spacing w:line="360" w:lineRule="auto"/>
        <w:ind w:firstLine="482" w:firstLineChars="201"/>
        <w:jc w:val="left"/>
        <w:rPr>
          <w:rFonts w:ascii="宋体" w:hAnsi="宋体" w:cs="宋体"/>
          <w:color w:val="auto"/>
          <w:sz w:val="24"/>
          <w:szCs w:val="24"/>
          <w:highlight w:val="none"/>
        </w:rPr>
      </w:pPr>
      <w:r>
        <w:rPr>
          <w:rFonts w:hint="eastAsia" w:ascii="宋体" w:hAnsi="宋体" w:cs="宋体"/>
          <w:color w:val="auto"/>
          <w:sz w:val="24"/>
          <w:szCs w:val="24"/>
          <w:highlight w:val="none"/>
        </w:rPr>
        <w:t>三、不与其他经营者串通报价和投标，不排挤其他经营者的公平竞争，损害其他经营者的合法权益；不在工程建设的预决算编制工作中弄虚作假、高估冒算。</w:t>
      </w:r>
    </w:p>
    <w:p w14:paraId="3A8EE596">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四、发现厦门万翔招标有限公司的工作人员有受贿行为或索贿要求、徇私舞弊、滥用职权时，将予以举报并提供证据。举报电话：5705656或5706818；举报邮箱：</w:t>
      </w:r>
      <w:r>
        <w:rPr>
          <w:color w:val="auto"/>
          <w:highlight w:val="none"/>
        </w:rPr>
        <w:fldChar w:fldCharType="begin"/>
      </w:r>
      <w:r>
        <w:rPr>
          <w:color w:val="auto"/>
          <w:highlight w:val="none"/>
        </w:rPr>
        <w:instrText xml:space="preserve"> HYPERLINK "mailto:zpk@iport.com.cn" </w:instrText>
      </w:r>
      <w:r>
        <w:rPr>
          <w:color w:val="auto"/>
          <w:highlight w:val="none"/>
        </w:rPr>
        <w:fldChar w:fldCharType="separate"/>
      </w:r>
      <w:r>
        <w:rPr>
          <w:rStyle w:val="27"/>
          <w:rFonts w:hint="eastAsia" w:ascii="宋体" w:hAnsi="宋体" w:cs="宋体"/>
          <w:color w:val="auto"/>
          <w:sz w:val="24"/>
          <w:szCs w:val="24"/>
          <w:highlight w:val="none"/>
        </w:rPr>
        <w:t>cts@iport.com.cn</w:t>
      </w:r>
      <w:r>
        <w:rPr>
          <w:rStyle w:val="27"/>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t>；举报信件：厦门市湖里区机场北路476号四楼厦门万翔招标有限公司，总经理收。</w:t>
      </w:r>
    </w:p>
    <w:p w14:paraId="4455182D">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五、自觉接受监督，本单位及员工若有违反本承诺书（包括但不限于本承诺书所列举禁止项目），致使厦门万翔招标有限公司工作人员受到纪检监察部门党纪、政纪处分，自处分确定之日起三日内，本单位自愿支付贵公司</w:t>
      </w:r>
      <w:r>
        <w:rPr>
          <w:rFonts w:hint="eastAsia" w:ascii="宋体" w:hAnsi="宋体" w:cs="宋体"/>
          <w:color w:val="auto"/>
          <w:sz w:val="24"/>
          <w:szCs w:val="24"/>
          <w:highlight w:val="none"/>
          <w:u w:val="single"/>
        </w:rPr>
        <w:t xml:space="preserve">  2  </w:t>
      </w:r>
      <w:r>
        <w:rPr>
          <w:rFonts w:hint="eastAsia" w:ascii="宋体" w:hAnsi="宋体" w:cs="宋体"/>
          <w:color w:val="auto"/>
          <w:sz w:val="24"/>
          <w:szCs w:val="24"/>
          <w:highlight w:val="none"/>
        </w:rPr>
        <w:t>万元人民币违约金；致使厦门万翔招标有限公司工作人员受到司法机关刑事追究（判处拘役或有期徒刑以上刑罚处罚），自判决生效之日起三日内，本单位自愿支付贵公司</w:t>
      </w:r>
      <w:r>
        <w:rPr>
          <w:rFonts w:hint="eastAsia" w:ascii="宋体" w:hAnsi="宋体" w:cs="宋体"/>
          <w:color w:val="auto"/>
          <w:sz w:val="24"/>
          <w:szCs w:val="24"/>
          <w:highlight w:val="none"/>
          <w:u w:val="single"/>
        </w:rPr>
        <w:t xml:space="preserve">  5  </w:t>
      </w:r>
      <w:r>
        <w:rPr>
          <w:rFonts w:hint="eastAsia" w:ascii="宋体" w:hAnsi="宋体" w:cs="宋体"/>
          <w:color w:val="auto"/>
          <w:sz w:val="24"/>
          <w:szCs w:val="24"/>
          <w:highlight w:val="none"/>
        </w:rPr>
        <w:t>万元人民币违约金。</w:t>
      </w:r>
    </w:p>
    <w:p w14:paraId="68014075">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特此承诺。</w:t>
      </w:r>
    </w:p>
    <w:p w14:paraId="2CEE3354">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投标人名称（盖章）：</w:t>
      </w:r>
    </w:p>
    <w:p w14:paraId="5E94A082">
      <w:pPr>
        <w:spacing w:line="360" w:lineRule="auto"/>
        <w:ind w:firstLine="460" w:firstLineChars="192"/>
        <w:rPr>
          <w:rFonts w:ascii="宋体" w:hAnsi="宋体" w:cs="宋体"/>
          <w:color w:val="auto"/>
          <w:sz w:val="24"/>
          <w:szCs w:val="24"/>
          <w:highlight w:val="none"/>
        </w:rPr>
      </w:pPr>
      <w:r>
        <w:rPr>
          <w:rFonts w:hint="eastAsia" w:ascii="宋体" w:hAnsi="宋体" w:cs="宋体"/>
          <w:color w:val="auto"/>
          <w:sz w:val="24"/>
          <w:szCs w:val="24"/>
          <w:highlight w:val="none"/>
        </w:rPr>
        <w:t>法定代表人（或授权代表）：</w:t>
      </w:r>
    </w:p>
    <w:p w14:paraId="395B5C01">
      <w:pPr>
        <w:spacing w:line="360" w:lineRule="auto"/>
        <w:ind w:firstLine="460" w:firstLineChars="192"/>
        <w:rPr>
          <w:rFonts w:ascii="宋体" w:hAnsi="宋体" w:cs="宋体"/>
          <w:color w:val="auto"/>
          <w:sz w:val="24"/>
          <w:szCs w:val="24"/>
          <w:highlight w:val="none"/>
        </w:rPr>
      </w:pPr>
      <w:r>
        <w:rPr>
          <w:rFonts w:hint="eastAsia" w:ascii="宋体" w:hAnsi="宋体" w:cs="宋体"/>
          <w:color w:val="auto"/>
          <w:sz w:val="24"/>
          <w:szCs w:val="24"/>
          <w:highlight w:val="none"/>
        </w:rPr>
        <w:t>联系电话：                   日期：</w:t>
      </w:r>
    </w:p>
    <w:p w14:paraId="7C49AF3A">
      <w:pPr>
        <w:spacing w:line="360" w:lineRule="auto"/>
        <w:ind w:firstLine="460" w:firstLineChars="192"/>
        <w:rPr>
          <w:rFonts w:ascii="宋体" w:hAnsi="宋体" w:cs="宋体"/>
          <w:color w:val="auto"/>
          <w:sz w:val="24"/>
          <w:szCs w:val="24"/>
          <w:highlight w:val="none"/>
        </w:rPr>
      </w:pPr>
    </w:p>
    <w:p w14:paraId="3ABBBCC9">
      <w:pPr>
        <w:spacing w:line="360" w:lineRule="auto"/>
        <w:rPr>
          <w:rFonts w:ascii="宋体" w:hAnsi="宋体" w:cs="宋体"/>
          <w:color w:val="auto"/>
          <w:sz w:val="24"/>
          <w:szCs w:val="24"/>
          <w:highlight w:val="none"/>
        </w:rPr>
      </w:pPr>
    </w:p>
    <w:p w14:paraId="2137094B">
      <w:pPr>
        <w:spacing w:line="360" w:lineRule="auto"/>
        <w:rPr>
          <w:rFonts w:ascii="宋体" w:hAnsi="宋体" w:cs="宋体"/>
          <w:color w:val="auto"/>
          <w:sz w:val="24"/>
          <w:szCs w:val="24"/>
          <w:highlight w:val="none"/>
        </w:rPr>
      </w:pPr>
    </w:p>
    <w:p w14:paraId="1166F4AB">
      <w:pPr>
        <w:spacing w:line="360" w:lineRule="auto"/>
        <w:rPr>
          <w:rFonts w:ascii="宋体" w:hAnsi="宋体" w:cs="宋体"/>
          <w:color w:val="auto"/>
          <w:sz w:val="24"/>
          <w:szCs w:val="24"/>
          <w:highlight w:val="none"/>
        </w:rPr>
      </w:pPr>
    </w:p>
    <w:p w14:paraId="23BEBCF2">
      <w:pPr>
        <w:spacing w:line="360" w:lineRule="auto"/>
        <w:rPr>
          <w:rFonts w:ascii="宋体" w:hAnsi="宋体" w:cs="宋体"/>
          <w:color w:val="auto"/>
          <w:sz w:val="24"/>
          <w:szCs w:val="24"/>
          <w:highlight w:val="none"/>
        </w:rPr>
      </w:pPr>
    </w:p>
    <w:p w14:paraId="1E3E053F">
      <w:pPr>
        <w:spacing w:line="360" w:lineRule="auto"/>
        <w:rPr>
          <w:rFonts w:ascii="宋体" w:hAnsi="宋体" w:cs="宋体"/>
          <w:color w:val="auto"/>
          <w:sz w:val="24"/>
          <w:szCs w:val="24"/>
          <w:highlight w:val="none"/>
        </w:rPr>
      </w:pPr>
    </w:p>
    <w:p w14:paraId="7FE15629">
      <w:pPr>
        <w:spacing w:line="360" w:lineRule="auto"/>
        <w:rPr>
          <w:rFonts w:ascii="宋体" w:hAnsi="宋体" w:cs="宋体"/>
          <w:color w:val="auto"/>
          <w:sz w:val="24"/>
          <w:szCs w:val="24"/>
          <w:highlight w:val="none"/>
        </w:rPr>
      </w:pPr>
    </w:p>
    <w:p w14:paraId="7A459FA7">
      <w:pPr>
        <w:spacing w:line="360" w:lineRule="auto"/>
        <w:rPr>
          <w:rFonts w:ascii="宋体" w:hAnsi="宋体" w:cs="宋体"/>
          <w:color w:val="auto"/>
          <w:sz w:val="24"/>
          <w:szCs w:val="24"/>
          <w:highlight w:val="none"/>
        </w:rPr>
      </w:pPr>
    </w:p>
    <w:p w14:paraId="13FFAD86">
      <w:pPr>
        <w:spacing w:line="360" w:lineRule="auto"/>
        <w:rPr>
          <w:rFonts w:ascii="宋体" w:hAnsi="宋体" w:cs="宋体"/>
          <w:color w:val="auto"/>
          <w:sz w:val="24"/>
          <w:szCs w:val="24"/>
          <w:highlight w:val="none"/>
        </w:rPr>
      </w:pPr>
    </w:p>
    <w:p w14:paraId="71BBE5DA">
      <w:pPr>
        <w:spacing w:line="360" w:lineRule="auto"/>
        <w:rPr>
          <w:rFonts w:ascii="宋体" w:hAnsi="宋体" w:cs="宋体"/>
          <w:color w:val="auto"/>
          <w:sz w:val="24"/>
          <w:szCs w:val="24"/>
          <w:highlight w:val="none"/>
        </w:rPr>
      </w:pPr>
    </w:p>
    <w:p w14:paraId="1FFB9E3F">
      <w:pPr>
        <w:spacing w:line="360" w:lineRule="auto"/>
        <w:rPr>
          <w:rFonts w:ascii="宋体" w:hAnsi="宋体" w:cs="宋体"/>
          <w:color w:val="auto"/>
          <w:sz w:val="24"/>
          <w:szCs w:val="24"/>
          <w:highlight w:val="none"/>
        </w:rPr>
      </w:pPr>
    </w:p>
    <w:p w14:paraId="23ECE12C">
      <w:pPr>
        <w:spacing w:line="360" w:lineRule="auto"/>
        <w:rPr>
          <w:rFonts w:ascii="宋体" w:hAnsi="宋体" w:cs="宋体"/>
          <w:color w:val="auto"/>
          <w:sz w:val="24"/>
          <w:szCs w:val="24"/>
          <w:highlight w:val="none"/>
        </w:rPr>
      </w:pPr>
    </w:p>
    <w:p w14:paraId="192982D7">
      <w:pPr>
        <w:spacing w:line="360" w:lineRule="auto"/>
        <w:rPr>
          <w:rFonts w:ascii="宋体" w:hAnsi="宋体" w:cs="宋体"/>
          <w:color w:val="auto"/>
          <w:sz w:val="24"/>
          <w:szCs w:val="24"/>
          <w:highlight w:val="none"/>
        </w:rPr>
      </w:pPr>
    </w:p>
    <w:p w14:paraId="5A701CC8">
      <w:pPr>
        <w:spacing w:line="360" w:lineRule="auto"/>
        <w:rPr>
          <w:rFonts w:ascii="宋体" w:hAnsi="宋体" w:cs="宋体"/>
          <w:color w:val="auto"/>
          <w:sz w:val="24"/>
          <w:szCs w:val="24"/>
          <w:highlight w:val="none"/>
        </w:rPr>
      </w:pPr>
    </w:p>
    <w:p w14:paraId="626BDC27">
      <w:pPr>
        <w:spacing w:line="360" w:lineRule="auto"/>
        <w:rPr>
          <w:rFonts w:ascii="宋体" w:hAnsi="宋体" w:cs="宋体"/>
          <w:color w:val="auto"/>
          <w:sz w:val="24"/>
          <w:szCs w:val="24"/>
          <w:highlight w:val="none"/>
        </w:rPr>
      </w:pPr>
    </w:p>
    <w:p w14:paraId="675BD22D">
      <w:pPr>
        <w:spacing w:line="360" w:lineRule="auto"/>
        <w:rPr>
          <w:rFonts w:ascii="宋体" w:hAnsi="宋体" w:cs="宋体"/>
          <w:color w:val="auto"/>
          <w:sz w:val="24"/>
          <w:szCs w:val="24"/>
          <w:highlight w:val="none"/>
        </w:rPr>
      </w:pPr>
    </w:p>
    <w:p w14:paraId="62D2B99E">
      <w:pPr>
        <w:spacing w:line="360" w:lineRule="auto"/>
        <w:rPr>
          <w:rFonts w:ascii="宋体" w:hAnsi="宋体" w:cs="宋体"/>
          <w:color w:val="auto"/>
          <w:sz w:val="24"/>
          <w:szCs w:val="24"/>
          <w:highlight w:val="none"/>
        </w:rPr>
      </w:pPr>
    </w:p>
    <w:p w14:paraId="5DEEDA3B">
      <w:pPr>
        <w:spacing w:line="360" w:lineRule="auto"/>
        <w:rPr>
          <w:rFonts w:ascii="宋体" w:hAnsi="宋体" w:cs="宋体"/>
          <w:color w:val="auto"/>
          <w:sz w:val="24"/>
          <w:szCs w:val="24"/>
          <w:highlight w:val="none"/>
        </w:rPr>
      </w:pPr>
    </w:p>
    <w:p w14:paraId="3E38E1A3">
      <w:pPr>
        <w:spacing w:line="360" w:lineRule="auto"/>
        <w:rPr>
          <w:rFonts w:ascii="宋体" w:hAnsi="宋体" w:cs="宋体"/>
          <w:color w:val="auto"/>
          <w:sz w:val="24"/>
          <w:szCs w:val="24"/>
          <w:highlight w:val="none"/>
        </w:rPr>
      </w:pPr>
    </w:p>
    <w:p w14:paraId="61089EC7">
      <w:pPr>
        <w:spacing w:line="360" w:lineRule="auto"/>
        <w:rPr>
          <w:rFonts w:ascii="宋体" w:hAnsi="宋体" w:cs="宋体"/>
          <w:color w:val="auto"/>
          <w:sz w:val="24"/>
          <w:szCs w:val="24"/>
          <w:highlight w:val="none"/>
        </w:rPr>
      </w:pPr>
    </w:p>
    <w:p w14:paraId="2F150D1F">
      <w:pPr>
        <w:spacing w:line="360" w:lineRule="auto"/>
        <w:rPr>
          <w:rFonts w:ascii="宋体" w:hAnsi="宋体" w:cs="宋体"/>
          <w:color w:val="auto"/>
          <w:sz w:val="24"/>
          <w:szCs w:val="24"/>
          <w:highlight w:val="none"/>
        </w:rPr>
      </w:pPr>
    </w:p>
    <w:p w14:paraId="1EDE2402">
      <w:pPr>
        <w:spacing w:line="360" w:lineRule="auto"/>
        <w:rPr>
          <w:rFonts w:ascii="宋体" w:hAnsi="宋体" w:cs="宋体"/>
          <w:color w:val="auto"/>
          <w:sz w:val="24"/>
          <w:szCs w:val="24"/>
          <w:highlight w:val="none"/>
        </w:rPr>
      </w:pPr>
    </w:p>
    <w:p w14:paraId="262C41F3">
      <w:pPr>
        <w:spacing w:line="360" w:lineRule="auto"/>
        <w:rPr>
          <w:rFonts w:ascii="宋体" w:hAnsi="宋体" w:cs="宋体"/>
          <w:color w:val="auto"/>
          <w:sz w:val="24"/>
          <w:szCs w:val="24"/>
          <w:highlight w:val="none"/>
        </w:rPr>
      </w:pPr>
    </w:p>
    <w:p w14:paraId="6F67E9BC">
      <w:pPr>
        <w:spacing w:line="360" w:lineRule="auto"/>
        <w:rPr>
          <w:rFonts w:ascii="宋体" w:hAnsi="宋体" w:cs="宋体"/>
          <w:color w:val="auto"/>
          <w:sz w:val="24"/>
          <w:szCs w:val="24"/>
          <w:highlight w:val="none"/>
        </w:rPr>
      </w:pPr>
    </w:p>
    <w:p w14:paraId="75280017">
      <w:pPr>
        <w:spacing w:line="360" w:lineRule="auto"/>
        <w:rPr>
          <w:rFonts w:ascii="宋体" w:hAnsi="宋体" w:cs="宋体"/>
          <w:color w:val="auto"/>
          <w:sz w:val="24"/>
          <w:szCs w:val="24"/>
          <w:highlight w:val="none"/>
        </w:rPr>
      </w:pPr>
    </w:p>
    <w:p w14:paraId="1FC54EB0">
      <w:pPr>
        <w:spacing w:line="360" w:lineRule="auto"/>
        <w:ind w:firstLine="2249" w:firstLineChars="700"/>
        <w:rPr>
          <w:rFonts w:ascii="宋体" w:hAnsi="宋体" w:cs="宋体"/>
          <w:b/>
          <w:color w:val="auto"/>
          <w:sz w:val="24"/>
          <w:szCs w:val="24"/>
          <w:highlight w:val="none"/>
        </w:rPr>
      </w:pPr>
      <w:r>
        <w:rPr>
          <w:rFonts w:hint="eastAsia" w:ascii="宋体" w:hAnsi="宋体" w:cs="宋体"/>
          <w:b/>
          <w:color w:val="auto"/>
          <w:sz w:val="32"/>
          <w:szCs w:val="32"/>
          <w:highlight w:val="none"/>
        </w:rPr>
        <w:t>退还投标保证金申请表</w:t>
      </w:r>
    </w:p>
    <w:tbl>
      <w:tblPr>
        <w:tblStyle w:val="2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652"/>
        <w:gridCol w:w="4870"/>
      </w:tblGrid>
      <w:tr w14:paraId="6FE12C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3652" w:type="dxa"/>
          </w:tcPr>
          <w:p w14:paraId="5F6DD33F">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投标人名称</w:t>
            </w:r>
          </w:p>
        </w:tc>
        <w:tc>
          <w:tcPr>
            <w:tcW w:w="4870" w:type="dxa"/>
          </w:tcPr>
          <w:p w14:paraId="22164A69">
            <w:pPr>
              <w:keepNext/>
              <w:keepLines/>
              <w:spacing w:line="360" w:lineRule="auto"/>
              <w:rPr>
                <w:rFonts w:ascii="宋体" w:hAnsi="宋体" w:cs="宋体"/>
                <w:color w:val="auto"/>
                <w:sz w:val="24"/>
                <w:szCs w:val="24"/>
                <w:highlight w:val="none"/>
              </w:rPr>
            </w:pPr>
          </w:p>
        </w:tc>
      </w:tr>
      <w:tr w14:paraId="0F8D43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1" w:hRule="atLeast"/>
        </w:trPr>
        <w:tc>
          <w:tcPr>
            <w:tcW w:w="3652" w:type="dxa"/>
          </w:tcPr>
          <w:p w14:paraId="32A966AF">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组织机构代码证</w:t>
            </w:r>
          </w:p>
        </w:tc>
        <w:tc>
          <w:tcPr>
            <w:tcW w:w="4870" w:type="dxa"/>
          </w:tcPr>
          <w:p w14:paraId="5C9E5016">
            <w:pPr>
              <w:keepNext/>
              <w:keepLines/>
              <w:spacing w:line="360" w:lineRule="auto"/>
              <w:rPr>
                <w:rFonts w:ascii="宋体" w:hAnsi="宋体" w:cs="宋体"/>
                <w:color w:val="auto"/>
                <w:sz w:val="24"/>
                <w:szCs w:val="24"/>
                <w:highlight w:val="none"/>
              </w:rPr>
            </w:pPr>
          </w:p>
        </w:tc>
      </w:tr>
      <w:tr w14:paraId="1C91C6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3652" w:type="dxa"/>
          </w:tcPr>
          <w:p w14:paraId="5DF8177F">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项目编号</w:t>
            </w:r>
          </w:p>
        </w:tc>
        <w:tc>
          <w:tcPr>
            <w:tcW w:w="4870" w:type="dxa"/>
          </w:tcPr>
          <w:p w14:paraId="4516A648">
            <w:pPr>
              <w:keepNext/>
              <w:keepLines/>
              <w:spacing w:line="360" w:lineRule="auto"/>
              <w:rPr>
                <w:rFonts w:ascii="宋体" w:hAnsi="宋体" w:cs="宋体"/>
                <w:color w:val="auto"/>
                <w:sz w:val="24"/>
                <w:szCs w:val="24"/>
                <w:highlight w:val="none"/>
              </w:rPr>
            </w:pPr>
          </w:p>
        </w:tc>
      </w:tr>
      <w:tr w14:paraId="6EE45B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3652" w:type="dxa"/>
          </w:tcPr>
          <w:p w14:paraId="55EB830E">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项目名称</w:t>
            </w:r>
          </w:p>
        </w:tc>
        <w:tc>
          <w:tcPr>
            <w:tcW w:w="4870" w:type="dxa"/>
          </w:tcPr>
          <w:p w14:paraId="2EE7B41E">
            <w:pPr>
              <w:keepNext/>
              <w:keepLines/>
              <w:spacing w:line="360" w:lineRule="auto"/>
              <w:rPr>
                <w:rFonts w:ascii="宋体" w:hAnsi="宋体" w:cs="宋体"/>
                <w:color w:val="auto"/>
                <w:sz w:val="24"/>
                <w:szCs w:val="24"/>
                <w:highlight w:val="none"/>
              </w:rPr>
            </w:pPr>
          </w:p>
        </w:tc>
      </w:tr>
      <w:tr w14:paraId="0AEA5D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3652" w:type="dxa"/>
          </w:tcPr>
          <w:p w14:paraId="77E2B188">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保证金金额</w:t>
            </w:r>
          </w:p>
        </w:tc>
        <w:tc>
          <w:tcPr>
            <w:tcW w:w="4870" w:type="dxa"/>
          </w:tcPr>
          <w:p w14:paraId="3B856764">
            <w:pPr>
              <w:keepNext/>
              <w:keepLines/>
              <w:spacing w:line="360" w:lineRule="auto"/>
              <w:rPr>
                <w:rFonts w:ascii="宋体" w:hAnsi="宋体" w:cs="宋体"/>
                <w:color w:val="auto"/>
                <w:sz w:val="24"/>
                <w:szCs w:val="24"/>
                <w:highlight w:val="none"/>
              </w:rPr>
            </w:pPr>
          </w:p>
        </w:tc>
      </w:tr>
      <w:tr w14:paraId="57CD68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3652" w:type="dxa"/>
          </w:tcPr>
          <w:p w14:paraId="59277A4F">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收款单位名称</w:t>
            </w:r>
          </w:p>
        </w:tc>
        <w:tc>
          <w:tcPr>
            <w:tcW w:w="4870" w:type="dxa"/>
          </w:tcPr>
          <w:p w14:paraId="4C49C896">
            <w:pPr>
              <w:keepNext/>
              <w:keepLines/>
              <w:spacing w:line="360" w:lineRule="auto"/>
              <w:rPr>
                <w:rFonts w:ascii="宋体" w:hAnsi="宋体" w:cs="宋体"/>
                <w:color w:val="auto"/>
                <w:sz w:val="24"/>
                <w:szCs w:val="24"/>
                <w:highlight w:val="none"/>
              </w:rPr>
            </w:pPr>
          </w:p>
        </w:tc>
      </w:tr>
      <w:tr w14:paraId="5BBA78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3652" w:type="dxa"/>
          </w:tcPr>
          <w:p w14:paraId="15424B69">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开户银行（需填写完整）</w:t>
            </w:r>
          </w:p>
        </w:tc>
        <w:tc>
          <w:tcPr>
            <w:tcW w:w="4870" w:type="dxa"/>
          </w:tcPr>
          <w:p w14:paraId="7D11A352">
            <w:pPr>
              <w:keepNext/>
              <w:keepLines/>
              <w:spacing w:line="360" w:lineRule="auto"/>
              <w:rPr>
                <w:rFonts w:ascii="宋体" w:hAnsi="宋体" w:cs="宋体"/>
                <w:color w:val="auto"/>
                <w:sz w:val="24"/>
                <w:szCs w:val="24"/>
                <w:highlight w:val="none"/>
              </w:rPr>
            </w:pPr>
          </w:p>
        </w:tc>
      </w:tr>
      <w:tr w14:paraId="68377E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3652" w:type="dxa"/>
          </w:tcPr>
          <w:p w14:paraId="3F2ACC18">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开户行账号（原来转保证金账号）</w:t>
            </w:r>
          </w:p>
        </w:tc>
        <w:tc>
          <w:tcPr>
            <w:tcW w:w="4870" w:type="dxa"/>
          </w:tcPr>
          <w:p w14:paraId="62F52E57">
            <w:pPr>
              <w:keepNext/>
              <w:keepLines/>
              <w:spacing w:line="360" w:lineRule="auto"/>
              <w:rPr>
                <w:rFonts w:ascii="宋体" w:hAnsi="宋体" w:cs="宋体"/>
                <w:color w:val="auto"/>
                <w:sz w:val="24"/>
                <w:szCs w:val="24"/>
                <w:highlight w:val="none"/>
              </w:rPr>
            </w:pPr>
          </w:p>
        </w:tc>
      </w:tr>
      <w:tr w14:paraId="22EC9A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3652" w:type="dxa"/>
          </w:tcPr>
          <w:p w14:paraId="086CD701">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联系人</w:t>
            </w:r>
          </w:p>
        </w:tc>
        <w:tc>
          <w:tcPr>
            <w:tcW w:w="4870" w:type="dxa"/>
          </w:tcPr>
          <w:p w14:paraId="54B32015">
            <w:pPr>
              <w:keepNext/>
              <w:keepLines/>
              <w:spacing w:line="360" w:lineRule="auto"/>
              <w:rPr>
                <w:rFonts w:ascii="宋体" w:hAnsi="宋体" w:cs="宋体"/>
                <w:color w:val="auto"/>
                <w:sz w:val="24"/>
                <w:szCs w:val="24"/>
                <w:highlight w:val="none"/>
              </w:rPr>
            </w:pPr>
          </w:p>
        </w:tc>
      </w:tr>
      <w:tr w14:paraId="7D3FAA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3652" w:type="dxa"/>
          </w:tcPr>
          <w:p w14:paraId="3B90AC11">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联系电话</w:t>
            </w:r>
          </w:p>
        </w:tc>
        <w:tc>
          <w:tcPr>
            <w:tcW w:w="4870" w:type="dxa"/>
          </w:tcPr>
          <w:p w14:paraId="5283DBB6">
            <w:pPr>
              <w:keepNext/>
              <w:keepLines/>
              <w:spacing w:line="360" w:lineRule="auto"/>
              <w:rPr>
                <w:rFonts w:ascii="宋体" w:hAnsi="宋体" w:cs="宋体"/>
                <w:color w:val="auto"/>
                <w:sz w:val="24"/>
                <w:szCs w:val="24"/>
                <w:highlight w:val="none"/>
              </w:rPr>
            </w:pPr>
          </w:p>
        </w:tc>
      </w:tr>
    </w:tbl>
    <w:p w14:paraId="38776AFB">
      <w:pPr>
        <w:spacing w:line="360" w:lineRule="auto"/>
        <w:rPr>
          <w:rFonts w:ascii="宋体" w:hAnsi="宋体" w:cs="宋体"/>
          <w:color w:val="auto"/>
          <w:sz w:val="24"/>
          <w:szCs w:val="24"/>
          <w:highlight w:val="none"/>
        </w:rPr>
      </w:pPr>
    </w:p>
    <w:p w14:paraId="75A1F192">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 xml:space="preserve">                              （投标人名称，加盖公章）</w:t>
      </w:r>
    </w:p>
    <w:p w14:paraId="220D020A">
      <w:pPr>
        <w:spacing w:line="360" w:lineRule="auto"/>
        <w:rPr>
          <w:rFonts w:ascii="宋体" w:hAnsi="宋体" w:cs="宋体"/>
          <w:color w:val="auto"/>
          <w:sz w:val="24"/>
          <w:szCs w:val="24"/>
          <w:highlight w:val="none"/>
          <w:u w:val="single"/>
        </w:rPr>
      </w:pPr>
      <w:r>
        <w:rPr>
          <w:rFonts w:hint="eastAsia" w:ascii="宋体" w:hAnsi="宋体" w:cs="宋体"/>
          <w:color w:val="auto"/>
          <w:sz w:val="24"/>
          <w:szCs w:val="24"/>
          <w:highlight w:val="none"/>
        </w:rPr>
        <w:t xml:space="preserve">                                    年    月    日</w:t>
      </w:r>
    </w:p>
    <w:p w14:paraId="3245F58B">
      <w:pPr>
        <w:spacing w:line="360" w:lineRule="auto"/>
        <w:rPr>
          <w:rFonts w:ascii="宋体" w:hAnsi="宋体" w:cs="宋体"/>
          <w:color w:val="auto"/>
          <w:sz w:val="24"/>
          <w:szCs w:val="24"/>
          <w:highlight w:val="none"/>
        </w:rPr>
        <w:sectPr>
          <w:pgSz w:w="11906" w:h="16838"/>
          <w:pgMar w:top="1440" w:right="1800" w:bottom="1440" w:left="1800" w:header="851" w:footer="992" w:gutter="0"/>
          <w:cols w:space="720" w:num="1"/>
          <w:docGrid w:type="lines" w:linePitch="312" w:charSpace="0"/>
        </w:sectPr>
      </w:pPr>
      <w:bookmarkStart w:id="201" w:name="end_160000000000000525"/>
      <w:bookmarkEnd w:id="201"/>
    </w:p>
    <w:p w14:paraId="358D9250">
      <w:pPr>
        <w:rPr>
          <w:color w:val="auto"/>
          <w:highlight w:val="none"/>
        </w:rPr>
      </w:pPr>
    </w:p>
    <w:p w14:paraId="6C01E1B5">
      <w:pPr>
        <w:spacing w:line="360" w:lineRule="auto"/>
        <w:ind w:firstLine="3520" w:firstLineChars="1100"/>
        <w:rPr>
          <w:rFonts w:ascii="宋体" w:hAnsi="宋体" w:cs="宋体"/>
          <w:color w:val="auto"/>
          <w:sz w:val="32"/>
          <w:szCs w:val="32"/>
          <w:highlight w:val="none"/>
        </w:rPr>
      </w:pPr>
      <w:r>
        <w:rPr>
          <w:rFonts w:hint="eastAsia" w:ascii="宋体" w:hAnsi="宋体" w:cs="宋体"/>
          <w:color w:val="auto"/>
          <w:sz w:val="32"/>
          <w:szCs w:val="32"/>
          <w:highlight w:val="none"/>
        </w:rPr>
        <w:t>质疑函要求</w:t>
      </w:r>
    </w:p>
    <w:p w14:paraId="225C928F">
      <w:pPr>
        <w:spacing w:line="360" w:lineRule="auto"/>
        <w:ind w:firstLine="480" w:firstLineChars="200"/>
        <w:rPr>
          <w:rFonts w:ascii="宋体" w:hAnsi="宋体" w:cs="宋体"/>
          <w:color w:val="auto"/>
          <w:sz w:val="24"/>
          <w:szCs w:val="24"/>
          <w:highlight w:val="none"/>
        </w:rPr>
      </w:pPr>
    </w:p>
    <w:p w14:paraId="1153773B">
      <w:pPr>
        <w:pStyle w:val="18"/>
        <w:spacing w:before="0" w:beforeAutospacing="0" w:after="0" w:afterAutospacing="0" w:line="360" w:lineRule="auto"/>
        <w:rPr>
          <w:color w:val="auto"/>
          <w:kern w:val="2"/>
          <w:highlight w:val="none"/>
        </w:rPr>
      </w:pPr>
      <w:r>
        <w:rPr>
          <w:rFonts w:hint="eastAsia"/>
          <w:color w:val="auto"/>
          <w:kern w:val="2"/>
          <w:highlight w:val="none"/>
        </w:rPr>
        <w:t>供应商提出质疑应当提交质疑函和必要的证明材料。质疑函应当包括下列内容：</w:t>
      </w:r>
    </w:p>
    <w:p w14:paraId="24CA7DAC">
      <w:pPr>
        <w:pStyle w:val="18"/>
        <w:spacing w:before="0" w:beforeAutospacing="0" w:after="0" w:afterAutospacing="0" w:line="360" w:lineRule="auto"/>
        <w:rPr>
          <w:color w:val="auto"/>
          <w:kern w:val="2"/>
          <w:highlight w:val="none"/>
        </w:rPr>
      </w:pPr>
      <w:r>
        <w:rPr>
          <w:rFonts w:hint="eastAsia"/>
          <w:color w:val="auto"/>
          <w:kern w:val="2"/>
          <w:highlight w:val="none"/>
        </w:rPr>
        <w:t>(一)供应商的姓名或者名称、地址、邮编、联系人及联系电话；</w:t>
      </w:r>
    </w:p>
    <w:p w14:paraId="59D4B0C7">
      <w:pPr>
        <w:pStyle w:val="18"/>
        <w:spacing w:before="0" w:beforeAutospacing="0" w:after="0" w:afterAutospacing="0" w:line="360" w:lineRule="auto"/>
        <w:rPr>
          <w:color w:val="auto"/>
          <w:kern w:val="2"/>
          <w:highlight w:val="none"/>
        </w:rPr>
      </w:pPr>
      <w:r>
        <w:rPr>
          <w:rFonts w:hint="eastAsia"/>
          <w:color w:val="auto"/>
          <w:kern w:val="2"/>
          <w:highlight w:val="none"/>
        </w:rPr>
        <w:t>(二)质疑项目的名称、编号；</w:t>
      </w:r>
    </w:p>
    <w:p w14:paraId="1D052AD7">
      <w:pPr>
        <w:pStyle w:val="18"/>
        <w:spacing w:before="0" w:beforeAutospacing="0" w:after="0" w:afterAutospacing="0" w:line="360" w:lineRule="auto"/>
        <w:rPr>
          <w:color w:val="auto"/>
          <w:kern w:val="2"/>
          <w:highlight w:val="none"/>
        </w:rPr>
      </w:pPr>
      <w:r>
        <w:rPr>
          <w:rFonts w:hint="eastAsia"/>
          <w:color w:val="auto"/>
          <w:kern w:val="2"/>
          <w:highlight w:val="none"/>
        </w:rPr>
        <w:t>(三)具体、明确的质疑事项和与质疑事项相关的请求；</w:t>
      </w:r>
    </w:p>
    <w:p w14:paraId="40D3DFE7">
      <w:pPr>
        <w:pStyle w:val="18"/>
        <w:spacing w:before="0" w:beforeAutospacing="0" w:after="0" w:afterAutospacing="0" w:line="360" w:lineRule="auto"/>
        <w:rPr>
          <w:color w:val="auto"/>
          <w:kern w:val="2"/>
          <w:highlight w:val="none"/>
        </w:rPr>
      </w:pPr>
      <w:r>
        <w:rPr>
          <w:rFonts w:hint="eastAsia"/>
          <w:color w:val="auto"/>
          <w:kern w:val="2"/>
          <w:highlight w:val="none"/>
        </w:rPr>
        <w:t>(四)事实依据；</w:t>
      </w:r>
    </w:p>
    <w:p w14:paraId="444ACA54">
      <w:pPr>
        <w:pStyle w:val="18"/>
        <w:spacing w:before="0" w:beforeAutospacing="0" w:after="0" w:afterAutospacing="0" w:line="360" w:lineRule="auto"/>
        <w:rPr>
          <w:color w:val="auto"/>
          <w:kern w:val="2"/>
          <w:highlight w:val="none"/>
        </w:rPr>
      </w:pPr>
      <w:r>
        <w:rPr>
          <w:rFonts w:hint="eastAsia"/>
          <w:color w:val="auto"/>
          <w:kern w:val="2"/>
          <w:highlight w:val="none"/>
        </w:rPr>
        <w:t>(五)必要的法律依据；</w:t>
      </w:r>
    </w:p>
    <w:p w14:paraId="6832EC18">
      <w:pPr>
        <w:pStyle w:val="18"/>
        <w:spacing w:before="0" w:beforeAutospacing="0" w:after="0" w:afterAutospacing="0" w:line="360" w:lineRule="auto"/>
        <w:rPr>
          <w:color w:val="auto"/>
          <w:kern w:val="2"/>
          <w:highlight w:val="none"/>
        </w:rPr>
      </w:pPr>
      <w:r>
        <w:rPr>
          <w:rFonts w:hint="eastAsia"/>
          <w:color w:val="auto"/>
          <w:kern w:val="2"/>
          <w:highlight w:val="none"/>
        </w:rPr>
        <w:t>(六)提出质疑的日期。</w:t>
      </w:r>
    </w:p>
    <w:p w14:paraId="5122B1CE">
      <w:pPr>
        <w:pStyle w:val="18"/>
        <w:spacing w:before="0" w:beforeAutospacing="0" w:after="0" w:afterAutospacing="0" w:line="360" w:lineRule="auto"/>
        <w:rPr>
          <w:color w:val="auto"/>
          <w:kern w:val="2"/>
          <w:highlight w:val="none"/>
        </w:rPr>
      </w:pPr>
      <w:r>
        <w:rPr>
          <w:rFonts w:hint="eastAsia"/>
          <w:color w:val="auto"/>
          <w:kern w:val="2"/>
          <w:highlight w:val="none"/>
        </w:rPr>
        <w:t>供应商为自然人的，应当由本人签字；供应商为法人或者其他组织的，应当由法定代表人、主要负责人，或者其授权代表签字或者盖章，并加盖公章。</w:t>
      </w:r>
    </w:p>
    <w:p w14:paraId="6180E192">
      <w:pPr>
        <w:pStyle w:val="18"/>
        <w:spacing w:before="0" w:beforeAutospacing="0" w:after="0" w:afterAutospacing="0" w:line="360" w:lineRule="auto"/>
        <w:rPr>
          <w:color w:val="auto"/>
          <w:kern w:val="2"/>
          <w:highlight w:val="none"/>
        </w:rPr>
      </w:pPr>
    </w:p>
    <w:p w14:paraId="50605620">
      <w:pPr>
        <w:pStyle w:val="18"/>
        <w:spacing w:before="0" w:beforeAutospacing="0" w:after="0" w:afterAutospacing="0" w:line="360" w:lineRule="auto"/>
        <w:rPr>
          <w:color w:val="auto"/>
          <w:kern w:val="2"/>
          <w:highlight w:val="none"/>
        </w:rPr>
      </w:pPr>
    </w:p>
    <w:p w14:paraId="6BCD6389">
      <w:pPr>
        <w:pStyle w:val="18"/>
        <w:spacing w:before="0" w:beforeAutospacing="0" w:after="0" w:afterAutospacing="0" w:line="360" w:lineRule="auto"/>
        <w:rPr>
          <w:color w:val="auto"/>
          <w:kern w:val="2"/>
          <w:highlight w:val="none"/>
        </w:rPr>
      </w:pPr>
    </w:p>
    <w:p w14:paraId="3FD48351">
      <w:pPr>
        <w:pStyle w:val="18"/>
        <w:spacing w:before="0" w:beforeAutospacing="0" w:after="0" w:afterAutospacing="0" w:line="360" w:lineRule="auto"/>
        <w:ind w:firstLine="5440" w:firstLineChars="1700"/>
        <w:rPr>
          <w:color w:val="auto"/>
          <w:kern w:val="2"/>
          <w:sz w:val="32"/>
          <w:szCs w:val="32"/>
          <w:highlight w:val="none"/>
        </w:rPr>
      </w:pPr>
    </w:p>
    <w:p w14:paraId="5D5A2245">
      <w:pPr>
        <w:pStyle w:val="18"/>
        <w:spacing w:before="0" w:beforeAutospacing="0" w:after="0" w:afterAutospacing="0" w:line="360" w:lineRule="auto"/>
        <w:ind w:firstLine="5440" w:firstLineChars="1700"/>
        <w:rPr>
          <w:color w:val="auto"/>
          <w:kern w:val="2"/>
          <w:sz w:val="32"/>
          <w:szCs w:val="32"/>
          <w:highlight w:val="none"/>
        </w:rPr>
      </w:pPr>
    </w:p>
    <w:p w14:paraId="702C25AA">
      <w:pPr>
        <w:pStyle w:val="18"/>
        <w:spacing w:before="0" w:beforeAutospacing="0" w:after="0" w:afterAutospacing="0" w:line="360" w:lineRule="auto"/>
        <w:ind w:firstLine="5440" w:firstLineChars="1700"/>
        <w:rPr>
          <w:color w:val="auto"/>
          <w:kern w:val="2"/>
          <w:sz w:val="32"/>
          <w:szCs w:val="32"/>
          <w:highlight w:val="none"/>
        </w:rPr>
      </w:pPr>
    </w:p>
    <w:p w14:paraId="3F9D766D">
      <w:pPr>
        <w:pStyle w:val="18"/>
        <w:spacing w:before="0" w:beforeAutospacing="0" w:after="0" w:afterAutospacing="0" w:line="360" w:lineRule="auto"/>
        <w:ind w:firstLine="5440" w:firstLineChars="1700"/>
        <w:rPr>
          <w:color w:val="auto"/>
          <w:kern w:val="2"/>
          <w:sz w:val="32"/>
          <w:szCs w:val="32"/>
          <w:highlight w:val="none"/>
        </w:rPr>
      </w:pPr>
    </w:p>
    <w:p w14:paraId="3C05B559">
      <w:pPr>
        <w:pStyle w:val="18"/>
        <w:spacing w:before="0" w:beforeAutospacing="0" w:after="0" w:afterAutospacing="0" w:line="360" w:lineRule="auto"/>
        <w:ind w:firstLine="5440" w:firstLineChars="1700"/>
        <w:rPr>
          <w:color w:val="auto"/>
          <w:kern w:val="2"/>
          <w:sz w:val="32"/>
          <w:szCs w:val="32"/>
          <w:highlight w:val="none"/>
        </w:rPr>
      </w:pPr>
    </w:p>
    <w:p w14:paraId="5FCEF29D">
      <w:pPr>
        <w:pStyle w:val="18"/>
        <w:spacing w:before="0" w:beforeAutospacing="0" w:after="0" w:afterAutospacing="0" w:line="360" w:lineRule="auto"/>
        <w:ind w:firstLine="5440" w:firstLineChars="1700"/>
        <w:rPr>
          <w:color w:val="auto"/>
          <w:kern w:val="2"/>
          <w:sz w:val="32"/>
          <w:szCs w:val="32"/>
          <w:highlight w:val="none"/>
        </w:rPr>
      </w:pPr>
    </w:p>
    <w:p w14:paraId="452F8819">
      <w:pPr>
        <w:pStyle w:val="18"/>
        <w:spacing w:before="0" w:beforeAutospacing="0" w:after="0" w:afterAutospacing="0" w:line="360" w:lineRule="auto"/>
        <w:ind w:firstLine="5440" w:firstLineChars="1700"/>
        <w:rPr>
          <w:color w:val="auto"/>
          <w:kern w:val="2"/>
          <w:sz w:val="32"/>
          <w:szCs w:val="32"/>
          <w:highlight w:val="none"/>
        </w:rPr>
      </w:pPr>
    </w:p>
    <w:p w14:paraId="411E5735">
      <w:pPr>
        <w:pStyle w:val="18"/>
        <w:spacing w:before="0" w:beforeAutospacing="0" w:after="0" w:afterAutospacing="0" w:line="360" w:lineRule="auto"/>
        <w:ind w:firstLine="5440" w:firstLineChars="1700"/>
        <w:rPr>
          <w:color w:val="auto"/>
          <w:kern w:val="2"/>
          <w:sz w:val="32"/>
          <w:szCs w:val="32"/>
          <w:highlight w:val="none"/>
        </w:rPr>
      </w:pPr>
    </w:p>
    <w:p w14:paraId="55B3085E">
      <w:pPr>
        <w:pStyle w:val="18"/>
        <w:spacing w:before="0" w:beforeAutospacing="0" w:after="0" w:afterAutospacing="0" w:line="360" w:lineRule="auto"/>
        <w:ind w:firstLine="5440" w:firstLineChars="1700"/>
        <w:rPr>
          <w:color w:val="auto"/>
          <w:kern w:val="2"/>
          <w:sz w:val="32"/>
          <w:szCs w:val="32"/>
          <w:highlight w:val="none"/>
        </w:rPr>
      </w:pPr>
    </w:p>
    <w:p w14:paraId="3929C1ED">
      <w:pPr>
        <w:pStyle w:val="18"/>
        <w:spacing w:before="0" w:beforeAutospacing="0" w:after="0" w:afterAutospacing="0" w:line="360" w:lineRule="auto"/>
        <w:ind w:firstLine="5440" w:firstLineChars="1700"/>
        <w:rPr>
          <w:color w:val="auto"/>
          <w:kern w:val="2"/>
          <w:sz w:val="32"/>
          <w:szCs w:val="32"/>
          <w:highlight w:val="none"/>
        </w:rPr>
      </w:pPr>
    </w:p>
    <w:p w14:paraId="2836FBC8">
      <w:pPr>
        <w:pStyle w:val="18"/>
        <w:spacing w:before="0" w:beforeAutospacing="0" w:after="0" w:afterAutospacing="0" w:line="360" w:lineRule="auto"/>
        <w:ind w:firstLine="5440" w:firstLineChars="1700"/>
        <w:rPr>
          <w:color w:val="auto"/>
          <w:kern w:val="2"/>
          <w:sz w:val="32"/>
          <w:szCs w:val="32"/>
          <w:highlight w:val="none"/>
        </w:rPr>
      </w:pPr>
    </w:p>
    <w:p w14:paraId="27932BC4">
      <w:pPr>
        <w:pStyle w:val="18"/>
        <w:spacing w:before="0" w:beforeAutospacing="0" w:after="0" w:afterAutospacing="0" w:line="360" w:lineRule="auto"/>
        <w:ind w:firstLine="3200" w:firstLineChars="1000"/>
        <w:rPr>
          <w:color w:val="auto"/>
          <w:kern w:val="2"/>
          <w:sz w:val="32"/>
          <w:szCs w:val="32"/>
          <w:highlight w:val="none"/>
        </w:rPr>
      </w:pPr>
      <w:r>
        <w:rPr>
          <w:rFonts w:hint="eastAsia"/>
          <w:color w:val="auto"/>
          <w:kern w:val="2"/>
          <w:sz w:val="32"/>
          <w:szCs w:val="32"/>
          <w:highlight w:val="none"/>
        </w:rPr>
        <w:t>评分响应要求</w:t>
      </w:r>
    </w:p>
    <w:tbl>
      <w:tblPr>
        <w:tblStyle w:val="21"/>
        <w:tblW w:w="8418" w:type="dxa"/>
        <w:tblInd w:w="0" w:type="dxa"/>
        <w:tblLayout w:type="fixed"/>
        <w:tblCellMar>
          <w:top w:w="0" w:type="dxa"/>
          <w:left w:w="108" w:type="dxa"/>
          <w:bottom w:w="0" w:type="dxa"/>
          <w:right w:w="108" w:type="dxa"/>
        </w:tblCellMar>
      </w:tblPr>
      <w:tblGrid>
        <w:gridCol w:w="883"/>
        <w:gridCol w:w="3247"/>
        <w:gridCol w:w="738"/>
        <w:gridCol w:w="2962"/>
        <w:gridCol w:w="588"/>
      </w:tblGrid>
      <w:tr w14:paraId="1AE5B350">
        <w:tblPrEx>
          <w:tblCellMar>
            <w:top w:w="0" w:type="dxa"/>
            <w:left w:w="108" w:type="dxa"/>
            <w:bottom w:w="0" w:type="dxa"/>
            <w:right w:w="108" w:type="dxa"/>
          </w:tblCellMar>
        </w:tblPrEx>
        <w:tc>
          <w:tcPr>
            <w:tcW w:w="883" w:type="dxa"/>
            <w:tcBorders>
              <w:top w:val="single" w:color="auto" w:sz="4" w:space="0"/>
              <w:left w:val="single" w:color="auto" w:sz="4" w:space="0"/>
              <w:bottom w:val="single" w:color="auto" w:sz="4" w:space="0"/>
              <w:right w:val="single" w:color="auto" w:sz="4" w:space="0"/>
            </w:tcBorders>
            <w:vAlign w:val="center"/>
          </w:tcPr>
          <w:p w14:paraId="1E6EFE58">
            <w:pPr>
              <w:spacing w:line="360" w:lineRule="auto"/>
              <w:jc w:val="center"/>
              <w:rPr>
                <w:rFonts w:ascii="宋体" w:hAnsi="宋体" w:cs="宋体"/>
                <w:b/>
                <w:bCs/>
                <w:color w:val="auto"/>
                <w:sz w:val="24"/>
                <w:szCs w:val="24"/>
                <w:highlight w:val="none"/>
              </w:rPr>
            </w:pPr>
            <w:r>
              <w:rPr>
                <w:rFonts w:hint="eastAsia" w:ascii="宋体" w:hAnsi="宋体" w:cs="宋体"/>
                <w:b/>
                <w:bCs/>
                <w:color w:val="auto"/>
                <w:sz w:val="24"/>
                <w:szCs w:val="24"/>
                <w:highlight w:val="none"/>
              </w:rPr>
              <w:t>序号</w:t>
            </w:r>
          </w:p>
        </w:tc>
        <w:tc>
          <w:tcPr>
            <w:tcW w:w="3247" w:type="dxa"/>
            <w:tcBorders>
              <w:top w:val="single" w:color="auto" w:sz="4" w:space="0"/>
              <w:left w:val="single" w:color="auto" w:sz="4" w:space="0"/>
              <w:bottom w:val="single" w:color="auto" w:sz="4" w:space="0"/>
              <w:right w:val="single" w:color="auto" w:sz="4" w:space="0"/>
            </w:tcBorders>
            <w:vAlign w:val="center"/>
          </w:tcPr>
          <w:p w14:paraId="5EAE4121">
            <w:pPr>
              <w:spacing w:line="360" w:lineRule="auto"/>
              <w:jc w:val="center"/>
              <w:rPr>
                <w:rFonts w:ascii="宋体" w:hAnsi="宋体" w:cs="宋体"/>
                <w:b/>
                <w:bCs/>
                <w:color w:val="auto"/>
                <w:sz w:val="24"/>
                <w:szCs w:val="24"/>
                <w:highlight w:val="none"/>
              </w:rPr>
            </w:pPr>
            <w:r>
              <w:rPr>
                <w:rFonts w:hint="eastAsia" w:ascii="宋体" w:hAnsi="宋体" w:cs="宋体"/>
                <w:b/>
                <w:bCs/>
                <w:color w:val="auto"/>
                <w:sz w:val="24"/>
                <w:szCs w:val="24"/>
                <w:highlight w:val="none"/>
              </w:rPr>
              <w:t>细则内容</w:t>
            </w:r>
          </w:p>
        </w:tc>
        <w:tc>
          <w:tcPr>
            <w:tcW w:w="738" w:type="dxa"/>
            <w:tcBorders>
              <w:top w:val="single" w:color="auto" w:sz="4" w:space="0"/>
              <w:left w:val="single" w:color="auto" w:sz="4" w:space="0"/>
              <w:bottom w:val="single" w:color="auto" w:sz="4" w:space="0"/>
              <w:right w:val="single" w:color="auto" w:sz="4" w:space="0"/>
            </w:tcBorders>
            <w:vAlign w:val="center"/>
          </w:tcPr>
          <w:p w14:paraId="269DE689">
            <w:pPr>
              <w:spacing w:line="360" w:lineRule="auto"/>
              <w:rPr>
                <w:rFonts w:ascii="宋体" w:hAnsi="宋体" w:cs="宋体"/>
                <w:b/>
                <w:bCs/>
                <w:color w:val="auto"/>
                <w:sz w:val="24"/>
                <w:szCs w:val="24"/>
                <w:highlight w:val="none"/>
              </w:rPr>
            </w:pPr>
            <w:r>
              <w:rPr>
                <w:rFonts w:hint="eastAsia" w:ascii="宋体" w:hAnsi="宋体" w:cs="宋体"/>
                <w:b/>
                <w:bCs/>
                <w:color w:val="auto"/>
                <w:sz w:val="24"/>
                <w:szCs w:val="24"/>
                <w:highlight w:val="none"/>
              </w:rPr>
              <w:t>满分分值</w:t>
            </w:r>
          </w:p>
        </w:tc>
        <w:tc>
          <w:tcPr>
            <w:tcW w:w="2962" w:type="dxa"/>
            <w:tcBorders>
              <w:top w:val="single" w:color="auto" w:sz="4" w:space="0"/>
              <w:left w:val="single" w:color="auto" w:sz="4" w:space="0"/>
              <w:bottom w:val="single" w:color="auto" w:sz="4" w:space="0"/>
              <w:right w:val="single" w:color="auto" w:sz="4" w:space="0"/>
            </w:tcBorders>
            <w:vAlign w:val="center"/>
          </w:tcPr>
          <w:p w14:paraId="02E8DC1A">
            <w:pPr>
              <w:spacing w:line="360" w:lineRule="auto"/>
              <w:jc w:val="center"/>
              <w:rPr>
                <w:rFonts w:ascii="宋体" w:hAnsi="宋体" w:cs="宋体"/>
                <w:b/>
                <w:bCs/>
                <w:color w:val="auto"/>
                <w:sz w:val="24"/>
                <w:szCs w:val="24"/>
                <w:highlight w:val="none"/>
              </w:rPr>
            </w:pPr>
            <w:r>
              <w:rPr>
                <w:rFonts w:hint="eastAsia" w:ascii="宋体" w:hAnsi="宋体" w:cs="宋体"/>
                <w:b/>
                <w:bCs/>
                <w:color w:val="auto"/>
                <w:sz w:val="24"/>
                <w:szCs w:val="24"/>
                <w:highlight w:val="none"/>
              </w:rPr>
              <w:t>响应内容</w:t>
            </w:r>
          </w:p>
        </w:tc>
        <w:tc>
          <w:tcPr>
            <w:tcW w:w="588" w:type="dxa"/>
            <w:tcBorders>
              <w:top w:val="single" w:color="auto" w:sz="4" w:space="0"/>
              <w:left w:val="single" w:color="auto" w:sz="4" w:space="0"/>
              <w:bottom w:val="single" w:color="auto" w:sz="4" w:space="0"/>
              <w:right w:val="single" w:color="auto" w:sz="4" w:space="0"/>
            </w:tcBorders>
            <w:vAlign w:val="center"/>
          </w:tcPr>
          <w:p w14:paraId="7683623D">
            <w:pPr>
              <w:spacing w:line="360" w:lineRule="auto"/>
              <w:jc w:val="center"/>
              <w:rPr>
                <w:rFonts w:ascii="宋体" w:hAnsi="宋体" w:cs="宋体"/>
                <w:b/>
                <w:bCs/>
                <w:color w:val="auto"/>
                <w:sz w:val="24"/>
                <w:szCs w:val="24"/>
                <w:highlight w:val="none"/>
              </w:rPr>
            </w:pPr>
            <w:r>
              <w:rPr>
                <w:rFonts w:hint="eastAsia" w:ascii="宋体" w:hAnsi="宋体" w:cs="宋体"/>
                <w:b/>
                <w:bCs/>
                <w:color w:val="auto"/>
                <w:sz w:val="24"/>
                <w:szCs w:val="24"/>
                <w:highlight w:val="none"/>
              </w:rPr>
              <w:t>页码</w:t>
            </w:r>
          </w:p>
        </w:tc>
      </w:tr>
      <w:tr w14:paraId="7AEF8252">
        <w:tblPrEx>
          <w:tblCellMar>
            <w:top w:w="0" w:type="dxa"/>
            <w:left w:w="108" w:type="dxa"/>
            <w:bottom w:w="0" w:type="dxa"/>
            <w:right w:w="108" w:type="dxa"/>
          </w:tblCellMar>
        </w:tblPrEx>
        <w:tc>
          <w:tcPr>
            <w:tcW w:w="883" w:type="dxa"/>
            <w:tcBorders>
              <w:top w:val="single" w:color="auto" w:sz="4" w:space="0"/>
              <w:left w:val="single" w:color="auto" w:sz="4" w:space="0"/>
              <w:bottom w:val="single" w:color="auto" w:sz="4" w:space="0"/>
              <w:right w:val="single" w:color="auto" w:sz="4" w:space="0"/>
            </w:tcBorders>
            <w:vAlign w:val="center"/>
          </w:tcPr>
          <w:p w14:paraId="6BEFD471">
            <w:pPr>
              <w:spacing w:line="360" w:lineRule="auto"/>
              <w:jc w:val="center"/>
              <w:rPr>
                <w:rFonts w:ascii="宋体" w:hAnsi="宋体" w:cs="宋体"/>
                <w:bCs/>
                <w:color w:val="auto"/>
                <w:sz w:val="24"/>
                <w:szCs w:val="24"/>
                <w:highlight w:val="none"/>
              </w:rPr>
            </w:pPr>
            <w:r>
              <w:rPr>
                <w:rFonts w:hint="eastAsia" w:ascii="宋体" w:hAnsi="宋体" w:cs="宋体"/>
                <w:bCs/>
                <w:color w:val="auto"/>
                <w:sz w:val="24"/>
                <w:szCs w:val="24"/>
                <w:highlight w:val="none"/>
              </w:rPr>
              <w:t>1-1</w:t>
            </w:r>
          </w:p>
        </w:tc>
        <w:tc>
          <w:tcPr>
            <w:tcW w:w="3247" w:type="dxa"/>
            <w:tcBorders>
              <w:top w:val="single" w:color="auto" w:sz="4" w:space="0"/>
              <w:left w:val="single" w:color="auto" w:sz="4" w:space="0"/>
              <w:bottom w:val="single" w:color="auto" w:sz="4" w:space="0"/>
              <w:right w:val="single" w:color="auto" w:sz="4" w:space="0"/>
            </w:tcBorders>
          </w:tcPr>
          <w:p w14:paraId="3F688654">
            <w:pPr>
              <w:spacing w:line="360" w:lineRule="auto"/>
              <w:rPr>
                <w:rFonts w:ascii="宋体" w:hAnsi="宋体" w:cs="宋体"/>
                <w:bCs/>
                <w:color w:val="auto"/>
                <w:sz w:val="24"/>
                <w:szCs w:val="24"/>
                <w:highlight w:val="none"/>
              </w:rPr>
            </w:pPr>
          </w:p>
        </w:tc>
        <w:tc>
          <w:tcPr>
            <w:tcW w:w="738" w:type="dxa"/>
            <w:tcBorders>
              <w:top w:val="single" w:color="auto" w:sz="4" w:space="0"/>
              <w:left w:val="single" w:color="auto" w:sz="4" w:space="0"/>
              <w:bottom w:val="single" w:color="auto" w:sz="4" w:space="0"/>
              <w:right w:val="single" w:color="auto" w:sz="4" w:space="0"/>
            </w:tcBorders>
            <w:vAlign w:val="center"/>
          </w:tcPr>
          <w:p w14:paraId="0D9B1530">
            <w:pPr>
              <w:spacing w:line="360" w:lineRule="auto"/>
              <w:jc w:val="center"/>
              <w:rPr>
                <w:rFonts w:ascii="宋体" w:hAnsi="宋体" w:cs="宋体"/>
                <w:bCs/>
                <w:color w:val="auto"/>
                <w:sz w:val="24"/>
                <w:szCs w:val="24"/>
                <w:highlight w:val="none"/>
              </w:rPr>
            </w:pPr>
          </w:p>
        </w:tc>
        <w:tc>
          <w:tcPr>
            <w:tcW w:w="2962" w:type="dxa"/>
            <w:tcBorders>
              <w:top w:val="single" w:color="auto" w:sz="4" w:space="0"/>
              <w:left w:val="single" w:color="auto" w:sz="4" w:space="0"/>
              <w:bottom w:val="single" w:color="auto" w:sz="4" w:space="0"/>
              <w:right w:val="single" w:color="auto" w:sz="4" w:space="0"/>
            </w:tcBorders>
            <w:vAlign w:val="center"/>
          </w:tcPr>
          <w:p w14:paraId="203B1B58">
            <w:pPr>
              <w:spacing w:line="360" w:lineRule="auto"/>
              <w:jc w:val="center"/>
              <w:rPr>
                <w:rFonts w:ascii="宋体" w:hAnsi="宋体" w:cs="宋体"/>
                <w:bCs/>
                <w:color w:val="auto"/>
                <w:sz w:val="24"/>
                <w:szCs w:val="24"/>
                <w:highlight w:val="none"/>
              </w:rPr>
            </w:pPr>
          </w:p>
        </w:tc>
        <w:tc>
          <w:tcPr>
            <w:tcW w:w="588" w:type="dxa"/>
            <w:tcBorders>
              <w:top w:val="single" w:color="auto" w:sz="4" w:space="0"/>
              <w:left w:val="single" w:color="auto" w:sz="4" w:space="0"/>
              <w:bottom w:val="single" w:color="auto" w:sz="4" w:space="0"/>
              <w:right w:val="single" w:color="auto" w:sz="4" w:space="0"/>
            </w:tcBorders>
            <w:vAlign w:val="center"/>
          </w:tcPr>
          <w:p w14:paraId="57AFEF96">
            <w:pPr>
              <w:spacing w:line="360" w:lineRule="auto"/>
              <w:jc w:val="center"/>
              <w:rPr>
                <w:rFonts w:ascii="宋体" w:hAnsi="宋体" w:cs="宋体"/>
                <w:bCs/>
                <w:color w:val="auto"/>
                <w:sz w:val="24"/>
                <w:szCs w:val="24"/>
                <w:highlight w:val="none"/>
              </w:rPr>
            </w:pPr>
          </w:p>
        </w:tc>
      </w:tr>
      <w:tr w14:paraId="71A844DD">
        <w:tblPrEx>
          <w:tblCellMar>
            <w:top w:w="0" w:type="dxa"/>
            <w:left w:w="108" w:type="dxa"/>
            <w:bottom w:w="0" w:type="dxa"/>
            <w:right w:w="108" w:type="dxa"/>
          </w:tblCellMar>
        </w:tblPrEx>
        <w:tc>
          <w:tcPr>
            <w:tcW w:w="883" w:type="dxa"/>
            <w:tcBorders>
              <w:top w:val="single" w:color="auto" w:sz="4" w:space="0"/>
              <w:left w:val="single" w:color="auto" w:sz="4" w:space="0"/>
              <w:bottom w:val="single" w:color="auto" w:sz="4" w:space="0"/>
              <w:right w:val="single" w:color="auto" w:sz="4" w:space="0"/>
            </w:tcBorders>
            <w:vAlign w:val="center"/>
          </w:tcPr>
          <w:p w14:paraId="39C583C4">
            <w:pPr>
              <w:spacing w:line="360" w:lineRule="auto"/>
              <w:jc w:val="center"/>
              <w:rPr>
                <w:rFonts w:ascii="宋体" w:hAnsi="宋体" w:cs="宋体"/>
                <w:bCs/>
                <w:color w:val="auto"/>
                <w:sz w:val="24"/>
                <w:szCs w:val="24"/>
                <w:highlight w:val="none"/>
              </w:rPr>
            </w:pPr>
            <w:r>
              <w:rPr>
                <w:rFonts w:hint="eastAsia" w:ascii="宋体" w:hAnsi="宋体" w:cs="宋体"/>
                <w:bCs/>
                <w:color w:val="auto"/>
                <w:sz w:val="24"/>
                <w:szCs w:val="24"/>
                <w:highlight w:val="none"/>
              </w:rPr>
              <w:t>1-2</w:t>
            </w:r>
          </w:p>
        </w:tc>
        <w:tc>
          <w:tcPr>
            <w:tcW w:w="3247" w:type="dxa"/>
            <w:tcBorders>
              <w:top w:val="single" w:color="auto" w:sz="4" w:space="0"/>
              <w:left w:val="single" w:color="auto" w:sz="4" w:space="0"/>
              <w:bottom w:val="single" w:color="auto" w:sz="4" w:space="0"/>
              <w:right w:val="single" w:color="auto" w:sz="4" w:space="0"/>
            </w:tcBorders>
          </w:tcPr>
          <w:p w14:paraId="6C617218">
            <w:pPr>
              <w:spacing w:line="360" w:lineRule="auto"/>
              <w:rPr>
                <w:rFonts w:ascii="宋体" w:hAnsi="宋体" w:cs="宋体"/>
                <w:bCs/>
                <w:color w:val="auto"/>
                <w:sz w:val="24"/>
                <w:szCs w:val="24"/>
                <w:highlight w:val="none"/>
              </w:rPr>
            </w:pPr>
          </w:p>
        </w:tc>
        <w:tc>
          <w:tcPr>
            <w:tcW w:w="738" w:type="dxa"/>
            <w:tcBorders>
              <w:top w:val="single" w:color="auto" w:sz="4" w:space="0"/>
              <w:left w:val="single" w:color="auto" w:sz="4" w:space="0"/>
              <w:bottom w:val="single" w:color="auto" w:sz="4" w:space="0"/>
              <w:right w:val="single" w:color="auto" w:sz="4" w:space="0"/>
            </w:tcBorders>
            <w:vAlign w:val="center"/>
          </w:tcPr>
          <w:p w14:paraId="509CEA3F">
            <w:pPr>
              <w:spacing w:line="360" w:lineRule="auto"/>
              <w:jc w:val="center"/>
              <w:rPr>
                <w:rFonts w:ascii="宋体" w:hAnsi="宋体" w:cs="宋体"/>
                <w:bCs/>
                <w:color w:val="auto"/>
                <w:sz w:val="24"/>
                <w:szCs w:val="24"/>
                <w:highlight w:val="none"/>
              </w:rPr>
            </w:pPr>
          </w:p>
        </w:tc>
        <w:tc>
          <w:tcPr>
            <w:tcW w:w="2962" w:type="dxa"/>
            <w:tcBorders>
              <w:top w:val="single" w:color="auto" w:sz="4" w:space="0"/>
              <w:left w:val="single" w:color="auto" w:sz="4" w:space="0"/>
              <w:bottom w:val="single" w:color="auto" w:sz="4" w:space="0"/>
              <w:right w:val="single" w:color="auto" w:sz="4" w:space="0"/>
            </w:tcBorders>
            <w:vAlign w:val="center"/>
          </w:tcPr>
          <w:p w14:paraId="06152F72">
            <w:pPr>
              <w:spacing w:line="360" w:lineRule="auto"/>
              <w:jc w:val="center"/>
              <w:rPr>
                <w:rFonts w:ascii="宋体" w:hAnsi="宋体" w:cs="宋体"/>
                <w:bCs/>
                <w:color w:val="auto"/>
                <w:sz w:val="24"/>
                <w:szCs w:val="24"/>
                <w:highlight w:val="none"/>
              </w:rPr>
            </w:pPr>
          </w:p>
        </w:tc>
        <w:tc>
          <w:tcPr>
            <w:tcW w:w="588" w:type="dxa"/>
            <w:tcBorders>
              <w:top w:val="single" w:color="auto" w:sz="4" w:space="0"/>
              <w:left w:val="single" w:color="auto" w:sz="4" w:space="0"/>
              <w:bottom w:val="single" w:color="auto" w:sz="4" w:space="0"/>
              <w:right w:val="single" w:color="auto" w:sz="4" w:space="0"/>
            </w:tcBorders>
            <w:vAlign w:val="center"/>
          </w:tcPr>
          <w:p w14:paraId="14D386F3">
            <w:pPr>
              <w:spacing w:line="360" w:lineRule="auto"/>
              <w:jc w:val="center"/>
              <w:rPr>
                <w:rFonts w:ascii="宋体" w:hAnsi="宋体" w:cs="宋体"/>
                <w:bCs/>
                <w:color w:val="auto"/>
                <w:sz w:val="24"/>
                <w:szCs w:val="24"/>
                <w:highlight w:val="none"/>
              </w:rPr>
            </w:pPr>
          </w:p>
        </w:tc>
      </w:tr>
      <w:tr w14:paraId="5CA64E06">
        <w:tblPrEx>
          <w:tblCellMar>
            <w:top w:w="0" w:type="dxa"/>
            <w:left w:w="108" w:type="dxa"/>
            <w:bottom w:w="0" w:type="dxa"/>
            <w:right w:w="108" w:type="dxa"/>
          </w:tblCellMar>
        </w:tblPrEx>
        <w:tc>
          <w:tcPr>
            <w:tcW w:w="883" w:type="dxa"/>
            <w:tcBorders>
              <w:top w:val="single" w:color="auto" w:sz="4" w:space="0"/>
              <w:left w:val="single" w:color="auto" w:sz="4" w:space="0"/>
              <w:bottom w:val="single" w:color="auto" w:sz="4" w:space="0"/>
              <w:right w:val="single" w:color="auto" w:sz="4" w:space="0"/>
            </w:tcBorders>
            <w:vAlign w:val="center"/>
          </w:tcPr>
          <w:p w14:paraId="1C91F10C">
            <w:pPr>
              <w:spacing w:line="360" w:lineRule="auto"/>
              <w:jc w:val="center"/>
              <w:rPr>
                <w:rFonts w:ascii="宋体" w:hAnsi="宋体" w:cs="宋体"/>
                <w:bCs/>
                <w:color w:val="auto"/>
                <w:sz w:val="24"/>
                <w:szCs w:val="24"/>
                <w:highlight w:val="none"/>
              </w:rPr>
            </w:pPr>
            <w:r>
              <w:rPr>
                <w:rFonts w:hint="eastAsia" w:ascii="宋体" w:hAnsi="宋体" w:cs="宋体"/>
                <w:bCs/>
                <w:color w:val="auto"/>
                <w:sz w:val="24"/>
                <w:szCs w:val="24"/>
                <w:highlight w:val="none"/>
              </w:rPr>
              <w:t>1-3</w:t>
            </w:r>
          </w:p>
        </w:tc>
        <w:tc>
          <w:tcPr>
            <w:tcW w:w="3247" w:type="dxa"/>
            <w:tcBorders>
              <w:top w:val="single" w:color="auto" w:sz="4" w:space="0"/>
              <w:left w:val="single" w:color="auto" w:sz="4" w:space="0"/>
              <w:bottom w:val="single" w:color="auto" w:sz="4" w:space="0"/>
              <w:right w:val="single" w:color="auto" w:sz="4" w:space="0"/>
            </w:tcBorders>
          </w:tcPr>
          <w:p w14:paraId="0ECB4CAC">
            <w:pPr>
              <w:spacing w:line="360" w:lineRule="auto"/>
              <w:rPr>
                <w:rFonts w:ascii="宋体" w:hAnsi="宋体" w:cs="宋体"/>
                <w:bCs/>
                <w:color w:val="auto"/>
                <w:sz w:val="24"/>
                <w:szCs w:val="24"/>
                <w:highlight w:val="none"/>
              </w:rPr>
            </w:pPr>
          </w:p>
        </w:tc>
        <w:tc>
          <w:tcPr>
            <w:tcW w:w="738" w:type="dxa"/>
            <w:tcBorders>
              <w:top w:val="single" w:color="auto" w:sz="4" w:space="0"/>
              <w:left w:val="single" w:color="auto" w:sz="4" w:space="0"/>
              <w:bottom w:val="single" w:color="auto" w:sz="4" w:space="0"/>
              <w:right w:val="single" w:color="auto" w:sz="4" w:space="0"/>
            </w:tcBorders>
            <w:vAlign w:val="center"/>
          </w:tcPr>
          <w:p w14:paraId="711B90FB">
            <w:pPr>
              <w:spacing w:line="360" w:lineRule="auto"/>
              <w:jc w:val="center"/>
              <w:rPr>
                <w:rFonts w:ascii="宋体" w:hAnsi="宋体" w:cs="宋体"/>
                <w:bCs/>
                <w:color w:val="auto"/>
                <w:sz w:val="24"/>
                <w:szCs w:val="24"/>
                <w:highlight w:val="none"/>
              </w:rPr>
            </w:pPr>
          </w:p>
        </w:tc>
        <w:tc>
          <w:tcPr>
            <w:tcW w:w="2962" w:type="dxa"/>
            <w:tcBorders>
              <w:top w:val="single" w:color="auto" w:sz="4" w:space="0"/>
              <w:left w:val="single" w:color="auto" w:sz="4" w:space="0"/>
              <w:bottom w:val="single" w:color="auto" w:sz="4" w:space="0"/>
              <w:right w:val="single" w:color="auto" w:sz="4" w:space="0"/>
            </w:tcBorders>
            <w:vAlign w:val="center"/>
          </w:tcPr>
          <w:p w14:paraId="627812C8">
            <w:pPr>
              <w:spacing w:line="360" w:lineRule="auto"/>
              <w:jc w:val="center"/>
              <w:rPr>
                <w:rFonts w:ascii="宋体" w:hAnsi="宋体" w:cs="宋体"/>
                <w:bCs/>
                <w:color w:val="auto"/>
                <w:sz w:val="24"/>
                <w:szCs w:val="24"/>
                <w:highlight w:val="none"/>
              </w:rPr>
            </w:pPr>
          </w:p>
        </w:tc>
        <w:tc>
          <w:tcPr>
            <w:tcW w:w="588" w:type="dxa"/>
            <w:tcBorders>
              <w:top w:val="single" w:color="auto" w:sz="4" w:space="0"/>
              <w:left w:val="single" w:color="auto" w:sz="4" w:space="0"/>
              <w:bottom w:val="single" w:color="auto" w:sz="4" w:space="0"/>
              <w:right w:val="single" w:color="auto" w:sz="4" w:space="0"/>
            </w:tcBorders>
            <w:vAlign w:val="center"/>
          </w:tcPr>
          <w:p w14:paraId="6A337080">
            <w:pPr>
              <w:spacing w:line="360" w:lineRule="auto"/>
              <w:jc w:val="center"/>
              <w:rPr>
                <w:rFonts w:ascii="宋体" w:hAnsi="宋体" w:cs="宋体"/>
                <w:bCs/>
                <w:color w:val="auto"/>
                <w:sz w:val="24"/>
                <w:szCs w:val="24"/>
                <w:highlight w:val="none"/>
              </w:rPr>
            </w:pPr>
          </w:p>
        </w:tc>
      </w:tr>
      <w:tr w14:paraId="15645D2F">
        <w:tblPrEx>
          <w:tblCellMar>
            <w:top w:w="0" w:type="dxa"/>
            <w:left w:w="108" w:type="dxa"/>
            <w:bottom w:w="0" w:type="dxa"/>
            <w:right w:w="108" w:type="dxa"/>
          </w:tblCellMar>
        </w:tblPrEx>
        <w:tc>
          <w:tcPr>
            <w:tcW w:w="883" w:type="dxa"/>
            <w:tcBorders>
              <w:top w:val="single" w:color="auto" w:sz="4" w:space="0"/>
              <w:left w:val="single" w:color="auto" w:sz="4" w:space="0"/>
              <w:bottom w:val="single" w:color="auto" w:sz="4" w:space="0"/>
              <w:right w:val="single" w:color="auto" w:sz="4" w:space="0"/>
            </w:tcBorders>
            <w:vAlign w:val="center"/>
          </w:tcPr>
          <w:p w14:paraId="5DF2EC17">
            <w:pPr>
              <w:spacing w:line="360" w:lineRule="auto"/>
              <w:jc w:val="center"/>
              <w:rPr>
                <w:rFonts w:ascii="宋体" w:hAnsi="宋体" w:cs="宋体"/>
                <w:bCs/>
                <w:color w:val="auto"/>
                <w:sz w:val="24"/>
                <w:szCs w:val="24"/>
                <w:highlight w:val="none"/>
              </w:rPr>
            </w:pPr>
            <w:r>
              <w:rPr>
                <w:rFonts w:hint="eastAsia" w:ascii="宋体" w:hAnsi="宋体" w:cs="宋体"/>
                <w:bCs/>
                <w:color w:val="auto"/>
                <w:sz w:val="24"/>
                <w:szCs w:val="24"/>
                <w:highlight w:val="none"/>
              </w:rPr>
              <w:t>1-4</w:t>
            </w:r>
          </w:p>
        </w:tc>
        <w:tc>
          <w:tcPr>
            <w:tcW w:w="3247" w:type="dxa"/>
            <w:tcBorders>
              <w:top w:val="single" w:color="auto" w:sz="4" w:space="0"/>
              <w:left w:val="single" w:color="auto" w:sz="4" w:space="0"/>
              <w:bottom w:val="single" w:color="auto" w:sz="4" w:space="0"/>
              <w:right w:val="single" w:color="auto" w:sz="4" w:space="0"/>
            </w:tcBorders>
          </w:tcPr>
          <w:p w14:paraId="4BC85BE3">
            <w:pPr>
              <w:tabs>
                <w:tab w:val="left" w:pos="-1080"/>
                <w:tab w:val="left" w:pos="180"/>
                <w:tab w:val="left" w:pos="1080"/>
              </w:tabs>
              <w:spacing w:line="360" w:lineRule="auto"/>
              <w:rPr>
                <w:rFonts w:ascii="宋体" w:hAnsi="宋体" w:cs="宋体"/>
                <w:bCs/>
                <w:color w:val="auto"/>
                <w:sz w:val="24"/>
                <w:szCs w:val="24"/>
                <w:highlight w:val="none"/>
              </w:rPr>
            </w:pPr>
          </w:p>
        </w:tc>
        <w:tc>
          <w:tcPr>
            <w:tcW w:w="738" w:type="dxa"/>
            <w:tcBorders>
              <w:top w:val="single" w:color="auto" w:sz="4" w:space="0"/>
              <w:left w:val="single" w:color="auto" w:sz="4" w:space="0"/>
              <w:bottom w:val="single" w:color="auto" w:sz="4" w:space="0"/>
              <w:right w:val="single" w:color="auto" w:sz="4" w:space="0"/>
            </w:tcBorders>
            <w:vAlign w:val="center"/>
          </w:tcPr>
          <w:p w14:paraId="18525360">
            <w:pPr>
              <w:tabs>
                <w:tab w:val="left" w:pos="-1080"/>
                <w:tab w:val="left" w:pos="180"/>
                <w:tab w:val="left" w:pos="1080"/>
              </w:tabs>
              <w:spacing w:line="360" w:lineRule="auto"/>
              <w:jc w:val="center"/>
              <w:rPr>
                <w:rFonts w:ascii="宋体" w:hAnsi="宋体" w:cs="宋体"/>
                <w:bCs/>
                <w:color w:val="auto"/>
                <w:sz w:val="24"/>
                <w:szCs w:val="24"/>
                <w:highlight w:val="none"/>
              </w:rPr>
            </w:pPr>
          </w:p>
        </w:tc>
        <w:tc>
          <w:tcPr>
            <w:tcW w:w="2962" w:type="dxa"/>
            <w:tcBorders>
              <w:top w:val="single" w:color="auto" w:sz="4" w:space="0"/>
              <w:left w:val="single" w:color="auto" w:sz="4" w:space="0"/>
              <w:bottom w:val="single" w:color="auto" w:sz="4" w:space="0"/>
              <w:right w:val="single" w:color="auto" w:sz="4" w:space="0"/>
            </w:tcBorders>
            <w:vAlign w:val="center"/>
          </w:tcPr>
          <w:p w14:paraId="5B4C86B5">
            <w:pPr>
              <w:tabs>
                <w:tab w:val="left" w:pos="-1080"/>
                <w:tab w:val="left" w:pos="180"/>
                <w:tab w:val="left" w:pos="1080"/>
              </w:tabs>
              <w:spacing w:line="360" w:lineRule="auto"/>
              <w:jc w:val="center"/>
              <w:rPr>
                <w:rFonts w:ascii="宋体" w:hAnsi="宋体" w:cs="宋体"/>
                <w:bCs/>
                <w:color w:val="auto"/>
                <w:sz w:val="24"/>
                <w:szCs w:val="24"/>
                <w:highlight w:val="none"/>
              </w:rPr>
            </w:pPr>
          </w:p>
        </w:tc>
        <w:tc>
          <w:tcPr>
            <w:tcW w:w="588" w:type="dxa"/>
            <w:tcBorders>
              <w:top w:val="single" w:color="auto" w:sz="4" w:space="0"/>
              <w:left w:val="single" w:color="auto" w:sz="4" w:space="0"/>
              <w:bottom w:val="single" w:color="auto" w:sz="4" w:space="0"/>
              <w:right w:val="single" w:color="auto" w:sz="4" w:space="0"/>
            </w:tcBorders>
            <w:vAlign w:val="center"/>
          </w:tcPr>
          <w:p w14:paraId="1FAC52FE">
            <w:pPr>
              <w:tabs>
                <w:tab w:val="left" w:pos="-1080"/>
                <w:tab w:val="left" w:pos="180"/>
                <w:tab w:val="left" w:pos="1080"/>
              </w:tabs>
              <w:spacing w:line="360" w:lineRule="auto"/>
              <w:jc w:val="center"/>
              <w:rPr>
                <w:rFonts w:ascii="宋体" w:hAnsi="宋体" w:cs="宋体"/>
                <w:bCs/>
                <w:color w:val="auto"/>
                <w:sz w:val="24"/>
                <w:szCs w:val="24"/>
                <w:highlight w:val="none"/>
              </w:rPr>
            </w:pPr>
          </w:p>
        </w:tc>
      </w:tr>
      <w:tr w14:paraId="099269AA">
        <w:tblPrEx>
          <w:tblCellMar>
            <w:top w:w="0" w:type="dxa"/>
            <w:left w:w="108" w:type="dxa"/>
            <w:bottom w:w="0" w:type="dxa"/>
            <w:right w:w="108" w:type="dxa"/>
          </w:tblCellMar>
        </w:tblPrEx>
        <w:tc>
          <w:tcPr>
            <w:tcW w:w="883" w:type="dxa"/>
            <w:tcBorders>
              <w:top w:val="single" w:color="auto" w:sz="4" w:space="0"/>
              <w:left w:val="single" w:color="auto" w:sz="4" w:space="0"/>
              <w:bottom w:val="single" w:color="auto" w:sz="4" w:space="0"/>
              <w:right w:val="single" w:color="auto" w:sz="4" w:space="0"/>
            </w:tcBorders>
            <w:vAlign w:val="center"/>
          </w:tcPr>
          <w:p w14:paraId="175445D9">
            <w:pPr>
              <w:spacing w:line="360" w:lineRule="auto"/>
              <w:jc w:val="center"/>
              <w:rPr>
                <w:rFonts w:ascii="宋体" w:hAnsi="宋体" w:cs="宋体"/>
                <w:bCs/>
                <w:color w:val="auto"/>
                <w:sz w:val="24"/>
                <w:szCs w:val="24"/>
                <w:highlight w:val="none"/>
              </w:rPr>
            </w:pPr>
            <w:r>
              <w:rPr>
                <w:rFonts w:hint="eastAsia" w:ascii="宋体" w:hAnsi="宋体" w:cs="宋体"/>
                <w:bCs/>
                <w:color w:val="auto"/>
                <w:sz w:val="24"/>
                <w:szCs w:val="24"/>
                <w:highlight w:val="none"/>
              </w:rPr>
              <w:t>1-5</w:t>
            </w:r>
          </w:p>
        </w:tc>
        <w:tc>
          <w:tcPr>
            <w:tcW w:w="3247" w:type="dxa"/>
            <w:tcBorders>
              <w:top w:val="single" w:color="auto" w:sz="4" w:space="0"/>
              <w:left w:val="single" w:color="auto" w:sz="4" w:space="0"/>
              <w:bottom w:val="single" w:color="auto" w:sz="4" w:space="0"/>
              <w:right w:val="single" w:color="auto" w:sz="4" w:space="0"/>
            </w:tcBorders>
          </w:tcPr>
          <w:p w14:paraId="3107B94A">
            <w:pPr>
              <w:tabs>
                <w:tab w:val="left" w:pos="720"/>
              </w:tabs>
              <w:spacing w:line="360" w:lineRule="auto"/>
              <w:ind w:right="18"/>
              <w:rPr>
                <w:rFonts w:ascii="宋体" w:hAnsi="宋体" w:cs="宋体"/>
                <w:bCs/>
                <w:color w:val="auto"/>
                <w:sz w:val="24"/>
                <w:szCs w:val="24"/>
                <w:highlight w:val="none"/>
              </w:rPr>
            </w:pPr>
          </w:p>
        </w:tc>
        <w:tc>
          <w:tcPr>
            <w:tcW w:w="738" w:type="dxa"/>
            <w:tcBorders>
              <w:top w:val="single" w:color="auto" w:sz="4" w:space="0"/>
              <w:left w:val="single" w:color="auto" w:sz="4" w:space="0"/>
              <w:bottom w:val="single" w:color="auto" w:sz="4" w:space="0"/>
              <w:right w:val="single" w:color="auto" w:sz="4" w:space="0"/>
            </w:tcBorders>
            <w:vAlign w:val="center"/>
          </w:tcPr>
          <w:p w14:paraId="5F0A7FAD">
            <w:pPr>
              <w:tabs>
                <w:tab w:val="left" w:pos="720"/>
              </w:tabs>
              <w:spacing w:line="360" w:lineRule="auto"/>
              <w:ind w:right="18"/>
              <w:jc w:val="center"/>
              <w:rPr>
                <w:rFonts w:ascii="宋体" w:hAnsi="宋体" w:cs="宋体"/>
                <w:bCs/>
                <w:color w:val="auto"/>
                <w:sz w:val="24"/>
                <w:szCs w:val="24"/>
                <w:highlight w:val="none"/>
              </w:rPr>
            </w:pPr>
          </w:p>
        </w:tc>
        <w:tc>
          <w:tcPr>
            <w:tcW w:w="2962" w:type="dxa"/>
            <w:tcBorders>
              <w:top w:val="single" w:color="auto" w:sz="4" w:space="0"/>
              <w:left w:val="single" w:color="auto" w:sz="4" w:space="0"/>
              <w:bottom w:val="single" w:color="auto" w:sz="4" w:space="0"/>
              <w:right w:val="single" w:color="auto" w:sz="4" w:space="0"/>
            </w:tcBorders>
            <w:vAlign w:val="center"/>
          </w:tcPr>
          <w:p w14:paraId="2A905913">
            <w:pPr>
              <w:tabs>
                <w:tab w:val="left" w:pos="720"/>
              </w:tabs>
              <w:spacing w:line="360" w:lineRule="auto"/>
              <w:ind w:right="18"/>
              <w:jc w:val="center"/>
              <w:rPr>
                <w:rFonts w:ascii="宋体" w:hAnsi="宋体" w:cs="宋体"/>
                <w:bCs/>
                <w:color w:val="auto"/>
                <w:sz w:val="24"/>
                <w:szCs w:val="24"/>
                <w:highlight w:val="none"/>
              </w:rPr>
            </w:pPr>
          </w:p>
        </w:tc>
        <w:tc>
          <w:tcPr>
            <w:tcW w:w="588" w:type="dxa"/>
            <w:tcBorders>
              <w:top w:val="single" w:color="auto" w:sz="4" w:space="0"/>
              <w:left w:val="single" w:color="auto" w:sz="4" w:space="0"/>
              <w:bottom w:val="single" w:color="auto" w:sz="4" w:space="0"/>
              <w:right w:val="single" w:color="auto" w:sz="4" w:space="0"/>
            </w:tcBorders>
            <w:vAlign w:val="center"/>
          </w:tcPr>
          <w:p w14:paraId="262935F1">
            <w:pPr>
              <w:tabs>
                <w:tab w:val="left" w:pos="720"/>
              </w:tabs>
              <w:spacing w:line="360" w:lineRule="auto"/>
              <w:ind w:right="18"/>
              <w:jc w:val="center"/>
              <w:rPr>
                <w:rFonts w:ascii="宋体" w:hAnsi="宋体" w:cs="宋体"/>
                <w:bCs/>
                <w:color w:val="auto"/>
                <w:sz w:val="24"/>
                <w:szCs w:val="24"/>
                <w:highlight w:val="none"/>
              </w:rPr>
            </w:pPr>
          </w:p>
        </w:tc>
      </w:tr>
    </w:tbl>
    <w:p w14:paraId="1006930E">
      <w:pPr>
        <w:widowControl/>
        <w:spacing w:line="360" w:lineRule="auto"/>
        <w:rPr>
          <w:rFonts w:ascii="宋体" w:hAnsi="宋体" w:cs="宋体"/>
          <w:color w:val="auto"/>
          <w:sz w:val="24"/>
          <w:szCs w:val="24"/>
          <w:highlight w:val="none"/>
        </w:rPr>
      </w:pPr>
    </w:p>
    <w:p w14:paraId="29681F2D">
      <w:pPr>
        <w:spacing w:line="360" w:lineRule="auto"/>
        <w:ind w:firstLine="2240" w:firstLineChars="700"/>
        <w:rPr>
          <w:rFonts w:ascii="宋体" w:hAnsi="宋体" w:cs="宋体"/>
          <w:color w:val="auto"/>
          <w:kern w:val="0"/>
          <w:sz w:val="32"/>
          <w:szCs w:val="32"/>
          <w:highlight w:val="none"/>
        </w:rPr>
      </w:pPr>
    </w:p>
    <w:p w14:paraId="3E3FA622">
      <w:pPr>
        <w:spacing w:line="360" w:lineRule="auto"/>
        <w:ind w:firstLine="2240" w:firstLineChars="700"/>
        <w:rPr>
          <w:rFonts w:ascii="宋体" w:hAnsi="宋体" w:cs="宋体"/>
          <w:color w:val="auto"/>
          <w:kern w:val="0"/>
          <w:sz w:val="32"/>
          <w:szCs w:val="32"/>
          <w:highlight w:val="none"/>
        </w:rPr>
      </w:pPr>
    </w:p>
    <w:p w14:paraId="35E86BE4">
      <w:pPr>
        <w:spacing w:line="360" w:lineRule="auto"/>
        <w:ind w:firstLine="2240" w:firstLineChars="700"/>
        <w:rPr>
          <w:rFonts w:ascii="宋体" w:hAnsi="宋体" w:cs="宋体"/>
          <w:color w:val="auto"/>
          <w:kern w:val="0"/>
          <w:sz w:val="32"/>
          <w:szCs w:val="32"/>
          <w:highlight w:val="none"/>
        </w:rPr>
      </w:pPr>
    </w:p>
    <w:p w14:paraId="6B74A3FB">
      <w:pPr>
        <w:spacing w:line="360" w:lineRule="auto"/>
        <w:ind w:firstLine="2240" w:firstLineChars="700"/>
        <w:rPr>
          <w:rFonts w:ascii="宋体" w:hAnsi="宋体" w:cs="宋体"/>
          <w:color w:val="auto"/>
          <w:kern w:val="0"/>
          <w:sz w:val="32"/>
          <w:szCs w:val="32"/>
          <w:highlight w:val="none"/>
        </w:rPr>
      </w:pPr>
    </w:p>
    <w:p w14:paraId="31D81A58">
      <w:pPr>
        <w:spacing w:line="360" w:lineRule="auto"/>
        <w:ind w:firstLine="2240" w:firstLineChars="700"/>
        <w:rPr>
          <w:rFonts w:ascii="宋体" w:hAnsi="宋体" w:cs="宋体"/>
          <w:color w:val="auto"/>
          <w:kern w:val="0"/>
          <w:sz w:val="32"/>
          <w:szCs w:val="32"/>
          <w:highlight w:val="none"/>
        </w:rPr>
      </w:pPr>
    </w:p>
    <w:p w14:paraId="231B563E">
      <w:pPr>
        <w:spacing w:line="360" w:lineRule="auto"/>
        <w:ind w:firstLine="2240" w:firstLineChars="700"/>
        <w:rPr>
          <w:rFonts w:ascii="宋体" w:hAnsi="宋体" w:cs="宋体"/>
          <w:color w:val="auto"/>
          <w:kern w:val="0"/>
          <w:sz w:val="32"/>
          <w:szCs w:val="32"/>
          <w:highlight w:val="none"/>
        </w:rPr>
      </w:pPr>
    </w:p>
    <w:p w14:paraId="5D0F987E">
      <w:pPr>
        <w:spacing w:line="360" w:lineRule="auto"/>
        <w:ind w:firstLine="2240" w:firstLineChars="700"/>
        <w:rPr>
          <w:rFonts w:ascii="宋体" w:hAnsi="宋体" w:cs="宋体"/>
          <w:color w:val="auto"/>
          <w:kern w:val="0"/>
          <w:sz w:val="32"/>
          <w:szCs w:val="32"/>
          <w:highlight w:val="none"/>
        </w:rPr>
      </w:pPr>
    </w:p>
    <w:p w14:paraId="7C9F38F5">
      <w:pPr>
        <w:spacing w:line="360" w:lineRule="auto"/>
        <w:ind w:firstLine="2240" w:firstLineChars="700"/>
        <w:rPr>
          <w:rFonts w:ascii="宋体" w:hAnsi="宋体" w:cs="宋体"/>
          <w:color w:val="auto"/>
          <w:kern w:val="0"/>
          <w:sz w:val="32"/>
          <w:szCs w:val="32"/>
          <w:highlight w:val="none"/>
        </w:rPr>
      </w:pPr>
    </w:p>
    <w:p w14:paraId="769454B1">
      <w:pPr>
        <w:spacing w:line="360" w:lineRule="auto"/>
        <w:ind w:firstLine="2240" w:firstLineChars="700"/>
        <w:rPr>
          <w:rFonts w:ascii="宋体" w:hAnsi="宋体" w:cs="宋体"/>
          <w:color w:val="auto"/>
          <w:kern w:val="0"/>
          <w:sz w:val="32"/>
          <w:szCs w:val="32"/>
          <w:highlight w:val="none"/>
        </w:rPr>
      </w:pPr>
    </w:p>
    <w:p w14:paraId="4FF6E7E9">
      <w:pPr>
        <w:spacing w:line="360" w:lineRule="auto"/>
        <w:ind w:firstLine="2240" w:firstLineChars="700"/>
        <w:rPr>
          <w:rFonts w:ascii="宋体" w:hAnsi="宋体" w:cs="宋体"/>
          <w:color w:val="auto"/>
          <w:kern w:val="0"/>
          <w:sz w:val="32"/>
          <w:szCs w:val="32"/>
          <w:highlight w:val="none"/>
        </w:rPr>
      </w:pPr>
    </w:p>
    <w:p w14:paraId="6E02BF1A">
      <w:pPr>
        <w:spacing w:line="360" w:lineRule="auto"/>
        <w:ind w:firstLine="2240" w:firstLineChars="700"/>
        <w:rPr>
          <w:rFonts w:ascii="宋体" w:hAnsi="宋体" w:cs="宋体"/>
          <w:color w:val="auto"/>
          <w:kern w:val="0"/>
          <w:sz w:val="32"/>
          <w:szCs w:val="32"/>
          <w:highlight w:val="none"/>
        </w:rPr>
      </w:pPr>
    </w:p>
    <w:p w14:paraId="5A9C6C91">
      <w:pPr>
        <w:spacing w:line="360" w:lineRule="auto"/>
        <w:ind w:firstLine="2240" w:firstLineChars="700"/>
        <w:rPr>
          <w:rFonts w:ascii="宋体" w:hAnsi="宋体" w:cs="宋体"/>
          <w:color w:val="auto"/>
          <w:kern w:val="0"/>
          <w:sz w:val="32"/>
          <w:szCs w:val="32"/>
          <w:highlight w:val="none"/>
        </w:rPr>
      </w:pPr>
    </w:p>
    <w:p w14:paraId="6D9DEFB5">
      <w:pPr>
        <w:spacing w:line="360" w:lineRule="auto"/>
        <w:ind w:firstLine="2240" w:firstLineChars="700"/>
        <w:rPr>
          <w:rFonts w:ascii="宋体" w:hAnsi="宋体" w:cs="宋体"/>
          <w:color w:val="auto"/>
          <w:kern w:val="0"/>
          <w:sz w:val="32"/>
          <w:szCs w:val="32"/>
          <w:highlight w:val="none"/>
        </w:rPr>
      </w:pPr>
    </w:p>
    <w:p w14:paraId="422EF096">
      <w:pPr>
        <w:spacing w:line="360" w:lineRule="auto"/>
        <w:ind w:firstLine="2240" w:firstLineChars="700"/>
        <w:rPr>
          <w:rFonts w:ascii="宋体" w:hAnsi="宋体" w:cs="宋体"/>
          <w:color w:val="auto"/>
          <w:kern w:val="0"/>
          <w:sz w:val="32"/>
          <w:szCs w:val="32"/>
          <w:highlight w:val="none"/>
        </w:rPr>
      </w:pPr>
    </w:p>
    <w:p w14:paraId="09F8384F">
      <w:pPr>
        <w:spacing w:line="360" w:lineRule="auto"/>
        <w:rPr>
          <w:rFonts w:ascii="宋体" w:hAnsi="宋体" w:cs="宋体"/>
          <w:color w:val="auto"/>
          <w:kern w:val="0"/>
          <w:sz w:val="32"/>
          <w:szCs w:val="32"/>
          <w:highlight w:val="none"/>
        </w:rPr>
      </w:pPr>
    </w:p>
    <w:p w14:paraId="1E4C91F8">
      <w:pPr>
        <w:pStyle w:val="48"/>
        <w:spacing w:line="360" w:lineRule="auto"/>
        <w:jc w:val="center"/>
        <w:rPr>
          <w:rFonts w:hint="default" w:ascii="宋体" w:hAnsi="宋体" w:cs="宋体"/>
          <w:color w:val="auto"/>
          <w:sz w:val="24"/>
          <w:szCs w:val="24"/>
          <w:highlight w:val="none"/>
        </w:rPr>
      </w:pPr>
      <w:bookmarkStart w:id="202" w:name="_Toc24787"/>
      <w:bookmarkStart w:id="203" w:name="_Toc14354"/>
      <w:bookmarkStart w:id="204" w:name="_Toc6055"/>
      <w:bookmarkStart w:id="205" w:name="_Toc26414"/>
      <w:bookmarkStart w:id="206" w:name="_Toc24620"/>
      <w:bookmarkStart w:id="207" w:name="_Toc7400"/>
      <w:bookmarkStart w:id="208" w:name="_Toc29180"/>
      <w:bookmarkStart w:id="209" w:name="_Toc984"/>
      <w:bookmarkStart w:id="210" w:name="_Toc30612"/>
      <w:r>
        <w:rPr>
          <w:rFonts w:ascii="宋体" w:hAnsi="宋体" w:cs="宋体"/>
          <w:b/>
          <w:color w:val="auto"/>
          <w:sz w:val="24"/>
          <w:szCs w:val="24"/>
          <w:highlight w:val="none"/>
        </w:rPr>
        <w:t>招标文件规定的价格扣除证明材料（若有）</w:t>
      </w:r>
      <w:bookmarkEnd w:id="202"/>
      <w:bookmarkEnd w:id="203"/>
      <w:bookmarkEnd w:id="204"/>
      <w:bookmarkEnd w:id="205"/>
      <w:bookmarkEnd w:id="206"/>
      <w:bookmarkEnd w:id="207"/>
      <w:bookmarkEnd w:id="208"/>
      <w:bookmarkEnd w:id="209"/>
      <w:bookmarkEnd w:id="210"/>
    </w:p>
    <w:p w14:paraId="200B4478">
      <w:pPr>
        <w:pStyle w:val="48"/>
        <w:spacing w:line="360" w:lineRule="auto"/>
        <w:jc w:val="center"/>
        <w:rPr>
          <w:rFonts w:hint="default" w:ascii="宋体" w:hAnsi="宋体" w:cs="宋体"/>
          <w:color w:val="auto"/>
          <w:sz w:val="24"/>
          <w:szCs w:val="24"/>
          <w:highlight w:val="none"/>
        </w:rPr>
      </w:pPr>
      <w:r>
        <w:rPr>
          <w:rFonts w:ascii="宋体" w:hAnsi="宋体" w:cs="宋体"/>
          <w:b/>
          <w:color w:val="auto"/>
          <w:sz w:val="24"/>
          <w:szCs w:val="24"/>
          <w:highlight w:val="none"/>
        </w:rPr>
        <w:t>1小型、微型企业产品等价格扣除证明材料（若有）</w:t>
      </w:r>
    </w:p>
    <w:p w14:paraId="5F66224D">
      <w:pPr>
        <w:pStyle w:val="48"/>
        <w:spacing w:line="360" w:lineRule="auto"/>
        <w:jc w:val="center"/>
        <w:rPr>
          <w:rFonts w:hint="default" w:ascii="宋体" w:hAnsi="宋体" w:cs="宋体"/>
          <w:color w:val="auto"/>
          <w:sz w:val="24"/>
          <w:szCs w:val="24"/>
          <w:highlight w:val="none"/>
        </w:rPr>
      </w:pPr>
      <w:r>
        <w:rPr>
          <w:rFonts w:ascii="宋体" w:hAnsi="宋体" w:cs="宋体"/>
          <w:b/>
          <w:color w:val="auto"/>
          <w:sz w:val="24"/>
          <w:szCs w:val="24"/>
          <w:highlight w:val="none"/>
        </w:rPr>
        <w:t>1-①中小企业声明函（价格扣除适用，若有）</w:t>
      </w:r>
    </w:p>
    <w:p w14:paraId="191F586A">
      <w:pPr>
        <w:pStyle w:val="48"/>
        <w:spacing w:line="360" w:lineRule="auto"/>
        <w:rPr>
          <w:rFonts w:hint="default" w:ascii="宋体" w:hAnsi="宋体" w:cs="宋体"/>
          <w:color w:val="auto"/>
          <w:sz w:val="24"/>
          <w:szCs w:val="24"/>
          <w:highlight w:val="none"/>
        </w:rPr>
      </w:pPr>
      <w:r>
        <w:rPr>
          <w:rFonts w:ascii="宋体" w:hAnsi="宋体" w:cs="宋体"/>
          <w:color w:val="auto"/>
          <w:sz w:val="24"/>
          <w:szCs w:val="24"/>
          <w:highlight w:val="none"/>
        </w:rPr>
        <w:t xml:space="preserve"> </w:t>
      </w:r>
    </w:p>
    <w:p w14:paraId="46EDF856">
      <w:pPr>
        <w:pStyle w:val="48"/>
        <w:spacing w:line="360" w:lineRule="auto"/>
        <w:jc w:val="center"/>
        <w:rPr>
          <w:rFonts w:hint="default" w:ascii="宋体" w:hAnsi="宋体" w:cs="宋体"/>
          <w:color w:val="auto"/>
          <w:sz w:val="24"/>
          <w:szCs w:val="24"/>
          <w:highlight w:val="none"/>
        </w:rPr>
      </w:pPr>
      <w:r>
        <w:rPr>
          <w:rFonts w:ascii="宋体" w:hAnsi="宋体" w:cs="宋体"/>
          <w:b/>
          <w:color w:val="auto"/>
          <w:sz w:val="24"/>
          <w:szCs w:val="24"/>
          <w:highlight w:val="none"/>
        </w:rPr>
        <w:t>中小企业声明函（工程、服务）</w:t>
      </w:r>
    </w:p>
    <w:p w14:paraId="1892D795">
      <w:pPr>
        <w:pStyle w:val="48"/>
        <w:spacing w:line="360" w:lineRule="auto"/>
        <w:ind w:firstLine="480"/>
        <w:rPr>
          <w:rFonts w:hint="default" w:ascii="宋体" w:hAnsi="宋体" w:cs="宋体"/>
          <w:color w:val="auto"/>
          <w:sz w:val="24"/>
          <w:szCs w:val="24"/>
          <w:highlight w:val="none"/>
        </w:rPr>
      </w:pPr>
      <w:r>
        <w:rPr>
          <w:rFonts w:ascii="宋体" w:hAnsi="宋体" w:cs="宋体"/>
          <w:color w:val="auto"/>
          <w:sz w:val="24"/>
          <w:szCs w:val="24"/>
          <w:highlight w:val="none"/>
        </w:rPr>
        <w:t>本公司（联合体）郑重声明，根据《政府采购促进中小企业发展管理办法》（财库﹝2020﹞46 号）的规定，本公司（联合体）参加</w:t>
      </w:r>
      <w:r>
        <w:rPr>
          <w:rFonts w:ascii="宋体" w:hAnsi="宋体" w:cs="宋体"/>
          <w:color w:val="auto"/>
          <w:sz w:val="24"/>
          <w:szCs w:val="24"/>
          <w:highlight w:val="none"/>
          <w:u w:val="single"/>
        </w:rPr>
        <w:t>（单位名称）</w:t>
      </w:r>
      <w:r>
        <w:rPr>
          <w:rFonts w:ascii="宋体" w:hAnsi="宋体" w:cs="宋体"/>
          <w:color w:val="auto"/>
          <w:sz w:val="24"/>
          <w:szCs w:val="24"/>
          <w:highlight w:val="none"/>
        </w:rPr>
        <w:t>的</w:t>
      </w:r>
      <w:r>
        <w:rPr>
          <w:rFonts w:ascii="宋体" w:hAnsi="宋体" w:cs="宋体"/>
          <w:color w:val="auto"/>
          <w:sz w:val="24"/>
          <w:szCs w:val="24"/>
          <w:highlight w:val="none"/>
          <w:u w:val="single"/>
        </w:rPr>
        <w:t>（项目名称）</w:t>
      </w:r>
      <w:r>
        <w:rPr>
          <w:rFonts w:ascii="宋体" w:hAnsi="宋体" w:cs="宋体"/>
          <w:color w:val="auto"/>
          <w:sz w:val="24"/>
          <w:szCs w:val="24"/>
          <w:highlight w:val="none"/>
        </w:rPr>
        <w:t>采购活动，工程的施工单位全部为符合政策要求的中小企业（或者：服务全部由符合政策要求的中小企业承接）。相关企业（含联合体中的中小企业、签订分包意向协议的中小企业）的具体情况如下：</w:t>
      </w:r>
    </w:p>
    <w:p w14:paraId="7F4F5C30">
      <w:pPr>
        <w:pStyle w:val="48"/>
        <w:spacing w:line="360" w:lineRule="auto"/>
        <w:ind w:firstLine="480"/>
        <w:rPr>
          <w:rFonts w:hint="default" w:ascii="宋体" w:hAnsi="宋体" w:cs="宋体"/>
          <w:color w:val="auto"/>
          <w:sz w:val="24"/>
          <w:szCs w:val="24"/>
          <w:highlight w:val="none"/>
        </w:rPr>
      </w:pPr>
      <w:r>
        <w:rPr>
          <w:rFonts w:ascii="宋体" w:hAnsi="宋体" w:cs="宋体"/>
          <w:color w:val="auto"/>
          <w:sz w:val="24"/>
          <w:szCs w:val="24"/>
          <w:highlight w:val="none"/>
        </w:rPr>
        <w:t>1.</w:t>
      </w:r>
      <w:r>
        <w:rPr>
          <w:rFonts w:ascii="宋体" w:hAnsi="宋体" w:cs="宋体"/>
          <w:color w:val="auto"/>
          <w:sz w:val="24"/>
          <w:szCs w:val="24"/>
          <w:highlight w:val="none"/>
          <w:u w:val="single"/>
        </w:rPr>
        <w:t>（标的名称）</w:t>
      </w:r>
      <w:r>
        <w:rPr>
          <w:rFonts w:ascii="宋体" w:hAnsi="宋体" w:cs="宋体"/>
          <w:color w:val="auto"/>
          <w:sz w:val="24"/>
          <w:szCs w:val="24"/>
          <w:highlight w:val="none"/>
        </w:rPr>
        <w:t>，属于</w:t>
      </w:r>
      <w:r>
        <w:rPr>
          <w:rFonts w:ascii="宋体" w:hAnsi="宋体" w:cs="宋体"/>
          <w:color w:val="auto"/>
          <w:sz w:val="24"/>
          <w:szCs w:val="24"/>
          <w:highlight w:val="none"/>
          <w:u w:val="single"/>
        </w:rPr>
        <w:t>（招标文件中明确的所属行业）</w:t>
      </w:r>
      <w:r>
        <w:rPr>
          <w:rFonts w:ascii="宋体" w:hAnsi="宋体" w:cs="宋体"/>
          <w:color w:val="auto"/>
          <w:sz w:val="24"/>
          <w:szCs w:val="24"/>
          <w:highlight w:val="none"/>
        </w:rPr>
        <w:t>；承建（承接）企业为</w:t>
      </w:r>
      <w:r>
        <w:rPr>
          <w:rFonts w:ascii="宋体" w:hAnsi="宋体" w:cs="宋体"/>
          <w:color w:val="auto"/>
          <w:sz w:val="24"/>
          <w:szCs w:val="24"/>
          <w:highlight w:val="none"/>
          <w:u w:val="single"/>
        </w:rPr>
        <w:t>（企业名称）</w:t>
      </w:r>
      <w:r>
        <w:rPr>
          <w:rFonts w:ascii="宋体" w:hAnsi="宋体" w:cs="宋体"/>
          <w:color w:val="auto"/>
          <w:sz w:val="24"/>
          <w:szCs w:val="24"/>
          <w:highlight w:val="none"/>
        </w:rPr>
        <w:t>，从业人员</w:t>
      </w:r>
      <w:r>
        <w:rPr>
          <w:rFonts w:ascii="宋体" w:hAnsi="宋体" w:cs="宋体"/>
          <w:color w:val="auto"/>
          <w:sz w:val="24"/>
          <w:szCs w:val="24"/>
          <w:highlight w:val="none"/>
          <w:u w:val="single"/>
        </w:rPr>
        <w:t>　　　　　</w:t>
      </w:r>
      <w:r>
        <w:rPr>
          <w:rFonts w:ascii="宋体" w:hAnsi="宋体" w:cs="宋体"/>
          <w:color w:val="auto"/>
          <w:sz w:val="24"/>
          <w:szCs w:val="24"/>
          <w:highlight w:val="none"/>
        </w:rPr>
        <w:t>人，营业收入为</w:t>
      </w:r>
      <w:r>
        <w:rPr>
          <w:rFonts w:ascii="宋体" w:hAnsi="宋体" w:cs="宋体"/>
          <w:color w:val="auto"/>
          <w:sz w:val="24"/>
          <w:szCs w:val="24"/>
          <w:highlight w:val="none"/>
          <w:u w:val="single"/>
        </w:rPr>
        <w:t>　　　　　</w:t>
      </w:r>
      <w:r>
        <w:rPr>
          <w:rFonts w:ascii="宋体" w:hAnsi="宋体" w:cs="宋体"/>
          <w:color w:val="auto"/>
          <w:sz w:val="24"/>
          <w:szCs w:val="24"/>
          <w:highlight w:val="none"/>
        </w:rPr>
        <w:t>万元，资产总额为</w:t>
      </w:r>
      <w:r>
        <w:rPr>
          <w:rFonts w:ascii="宋体" w:hAnsi="宋体" w:cs="宋体"/>
          <w:color w:val="auto"/>
          <w:sz w:val="24"/>
          <w:szCs w:val="24"/>
          <w:highlight w:val="none"/>
          <w:u w:val="single"/>
        </w:rPr>
        <w:t>　　　　　</w:t>
      </w:r>
      <w:r>
        <w:rPr>
          <w:rFonts w:ascii="宋体" w:hAnsi="宋体" w:cs="宋体"/>
          <w:color w:val="auto"/>
          <w:sz w:val="24"/>
          <w:szCs w:val="24"/>
          <w:highlight w:val="none"/>
        </w:rPr>
        <w:t>万元</w:t>
      </w:r>
      <w:r>
        <w:rPr>
          <w:rFonts w:ascii="宋体" w:hAnsi="宋体" w:cs="宋体"/>
          <w:color w:val="auto"/>
          <w:sz w:val="24"/>
          <w:szCs w:val="24"/>
          <w:highlight w:val="none"/>
          <w:vertAlign w:val="superscript"/>
        </w:rPr>
        <w:t>1</w:t>
      </w:r>
      <w:r>
        <w:rPr>
          <w:rFonts w:ascii="宋体" w:hAnsi="宋体" w:cs="宋体"/>
          <w:color w:val="auto"/>
          <w:sz w:val="24"/>
          <w:szCs w:val="24"/>
          <w:highlight w:val="none"/>
        </w:rPr>
        <w:t>，属于</w:t>
      </w:r>
      <w:r>
        <w:rPr>
          <w:rFonts w:ascii="宋体" w:hAnsi="宋体" w:cs="宋体"/>
          <w:color w:val="auto"/>
          <w:sz w:val="24"/>
          <w:szCs w:val="24"/>
          <w:highlight w:val="none"/>
          <w:u w:val="single"/>
        </w:rPr>
        <w:t>（中型企业、小型企业、微型企业）</w:t>
      </w:r>
      <w:r>
        <w:rPr>
          <w:rFonts w:ascii="宋体" w:hAnsi="宋体" w:cs="宋体"/>
          <w:color w:val="auto"/>
          <w:sz w:val="24"/>
          <w:szCs w:val="24"/>
          <w:highlight w:val="none"/>
        </w:rPr>
        <w:t>；</w:t>
      </w:r>
    </w:p>
    <w:p w14:paraId="323D8C33">
      <w:pPr>
        <w:pStyle w:val="48"/>
        <w:spacing w:line="360" w:lineRule="auto"/>
        <w:ind w:firstLine="480"/>
        <w:rPr>
          <w:rFonts w:hint="default" w:ascii="宋体" w:hAnsi="宋体" w:cs="宋体"/>
          <w:color w:val="auto"/>
          <w:sz w:val="24"/>
          <w:szCs w:val="24"/>
          <w:highlight w:val="none"/>
        </w:rPr>
      </w:pPr>
      <w:r>
        <w:rPr>
          <w:rFonts w:ascii="宋体" w:hAnsi="宋体" w:cs="宋体"/>
          <w:color w:val="auto"/>
          <w:sz w:val="24"/>
          <w:szCs w:val="24"/>
          <w:highlight w:val="none"/>
        </w:rPr>
        <w:t>2.</w:t>
      </w:r>
      <w:r>
        <w:rPr>
          <w:rFonts w:ascii="宋体" w:hAnsi="宋体" w:cs="宋体"/>
          <w:color w:val="auto"/>
          <w:sz w:val="24"/>
          <w:szCs w:val="24"/>
          <w:highlight w:val="none"/>
          <w:u w:val="single"/>
        </w:rPr>
        <w:t>（标的名称）</w:t>
      </w:r>
      <w:r>
        <w:rPr>
          <w:rFonts w:ascii="宋体" w:hAnsi="宋体" w:cs="宋体"/>
          <w:color w:val="auto"/>
          <w:sz w:val="24"/>
          <w:szCs w:val="24"/>
          <w:highlight w:val="none"/>
        </w:rPr>
        <w:t>，属于</w:t>
      </w:r>
      <w:r>
        <w:rPr>
          <w:rFonts w:ascii="宋体" w:hAnsi="宋体" w:cs="宋体"/>
          <w:color w:val="auto"/>
          <w:sz w:val="24"/>
          <w:szCs w:val="24"/>
          <w:highlight w:val="none"/>
          <w:u w:val="single"/>
        </w:rPr>
        <w:t>（招标文件中明确的所属行业）</w:t>
      </w:r>
      <w:r>
        <w:rPr>
          <w:rFonts w:ascii="宋体" w:hAnsi="宋体" w:cs="宋体"/>
          <w:color w:val="auto"/>
          <w:sz w:val="24"/>
          <w:szCs w:val="24"/>
          <w:highlight w:val="none"/>
        </w:rPr>
        <w:t>；承建（承接）企业为</w:t>
      </w:r>
      <w:r>
        <w:rPr>
          <w:rFonts w:ascii="宋体" w:hAnsi="宋体" w:cs="宋体"/>
          <w:color w:val="auto"/>
          <w:sz w:val="24"/>
          <w:szCs w:val="24"/>
          <w:highlight w:val="none"/>
          <w:u w:val="single"/>
        </w:rPr>
        <w:t>（企业名称）</w:t>
      </w:r>
      <w:r>
        <w:rPr>
          <w:rFonts w:ascii="宋体" w:hAnsi="宋体" w:cs="宋体"/>
          <w:color w:val="auto"/>
          <w:sz w:val="24"/>
          <w:szCs w:val="24"/>
          <w:highlight w:val="none"/>
        </w:rPr>
        <w:t>，从业人员</w:t>
      </w:r>
      <w:r>
        <w:rPr>
          <w:rFonts w:ascii="宋体" w:hAnsi="宋体" w:cs="宋体"/>
          <w:color w:val="auto"/>
          <w:sz w:val="24"/>
          <w:szCs w:val="24"/>
          <w:highlight w:val="none"/>
          <w:u w:val="single"/>
        </w:rPr>
        <w:t>　　　　　</w:t>
      </w:r>
      <w:r>
        <w:rPr>
          <w:rFonts w:ascii="宋体" w:hAnsi="宋体" w:cs="宋体"/>
          <w:color w:val="auto"/>
          <w:sz w:val="24"/>
          <w:szCs w:val="24"/>
          <w:highlight w:val="none"/>
        </w:rPr>
        <w:t>人，营业收入为</w:t>
      </w:r>
      <w:r>
        <w:rPr>
          <w:rFonts w:ascii="宋体" w:hAnsi="宋体" w:cs="宋体"/>
          <w:color w:val="auto"/>
          <w:sz w:val="24"/>
          <w:szCs w:val="24"/>
          <w:highlight w:val="none"/>
          <w:u w:val="single"/>
        </w:rPr>
        <w:t>　　　　　</w:t>
      </w:r>
      <w:r>
        <w:rPr>
          <w:rFonts w:ascii="宋体" w:hAnsi="宋体" w:cs="宋体"/>
          <w:color w:val="auto"/>
          <w:sz w:val="24"/>
          <w:szCs w:val="24"/>
          <w:highlight w:val="none"/>
        </w:rPr>
        <w:t>万元，资产总额为</w:t>
      </w:r>
      <w:r>
        <w:rPr>
          <w:rFonts w:ascii="宋体" w:hAnsi="宋体" w:cs="宋体"/>
          <w:color w:val="auto"/>
          <w:sz w:val="24"/>
          <w:szCs w:val="24"/>
          <w:highlight w:val="none"/>
          <w:u w:val="single"/>
        </w:rPr>
        <w:t>　　　　　</w:t>
      </w:r>
      <w:r>
        <w:rPr>
          <w:rFonts w:ascii="宋体" w:hAnsi="宋体" w:cs="宋体"/>
          <w:color w:val="auto"/>
          <w:sz w:val="24"/>
          <w:szCs w:val="24"/>
          <w:highlight w:val="none"/>
        </w:rPr>
        <w:t>万元，属于</w:t>
      </w:r>
      <w:r>
        <w:rPr>
          <w:rFonts w:ascii="宋体" w:hAnsi="宋体" w:cs="宋体"/>
          <w:color w:val="auto"/>
          <w:sz w:val="24"/>
          <w:szCs w:val="24"/>
          <w:highlight w:val="none"/>
          <w:u w:val="single"/>
        </w:rPr>
        <w:t>（中型企业、小型企业、微型企业）</w:t>
      </w:r>
      <w:r>
        <w:rPr>
          <w:rFonts w:ascii="宋体" w:hAnsi="宋体" w:cs="宋体"/>
          <w:color w:val="auto"/>
          <w:sz w:val="24"/>
          <w:szCs w:val="24"/>
          <w:highlight w:val="none"/>
        </w:rPr>
        <w:t>；</w:t>
      </w:r>
    </w:p>
    <w:p w14:paraId="0EE912A9">
      <w:pPr>
        <w:pStyle w:val="48"/>
        <w:spacing w:line="360" w:lineRule="auto"/>
        <w:ind w:firstLine="480"/>
        <w:rPr>
          <w:rFonts w:hint="default" w:ascii="宋体" w:hAnsi="宋体" w:cs="宋体"/>
          <w:color w:val="auto"/>
          <w:sz w:val="24"/>
          <w:szCs w:val="24"/>
          <w:highlight w:val="none"/>
        </w:rPr>
      </w:pPr>
      <w:r>
        <w:rPr>
          <w:rFonts w:ascii="宋体" w:hAnsi="宋体" w:cs="宋体"/>
          <w:color w:val="auto"/>
          <w:sz w:val="24"/>
          <w:szCs w:val="24"/>
          <w:highlight w:val="none"/>
        </w:rPr>
        <w:t>……</w:t>
      </w:r>
    </w:p>
    <w:p w14:paraId="02B6318F">
      <w:pPr>
        <w:pStyle w:val="48"/>
        <w:spacing w:line="360" w:lineRule="auto"/>
        <w:ind w:firstLine="480"/>
        <w:rPr>
          <w:rFonts w:hint="default" w:ascii="宋体" w:hAnsi="宋体" w:cs="宋体"/>
          <w:color w:val="auto"/>
          <w:sz w:val="24"/>
          <w:szCs w:val="24"/>
          <w:highlight w:val="none"/>
        </w:rPr>
      </w:pPr>
      <w:r>
        <w:rPr>
          <w:rFonts w:ascii="宋体" w:hAnsi="宋体" w:cs="宋体"/>
          <w:color w:val="auto"/>
          <w:sz w:val="24"/>
          <w:szCs w:val="24"/>
          <w:highlight w:val="none"/>
        </w:rPr>
        <w:t>以上企业，不属于大企业的分支机构，不存在控股股东为大企业的情形，也不存在与大企业的负责人为同一人的情形。</w:t>
      </w:r>
    </w:p>
    <w:p w14:paraId="28F8F368">
      <w:pPr>
        <w:pStyle w:val="48"/>
        <w:spacing w:line="360" w:lineRule="auto"/>
        <w:ind w:firstLine="480"/>
        <w:rPr>
          <w:rFonts w:hint="default" w:ascii="宋体" w:hAnsi="宋体" w:cs="宋体"/>
          <w:color w:val="auto"/>
          <w:sz w:val="24"/>
          <w:szCs w:val="24"/>
          <w:highlight w:val="none"/>
        </w:rPr>
      </w:pPr>
      <w:r>
        <w:rPr>
          <w:rFonts w:ascii="宋体" w:hAnsi="宋体" w:cs="宋体"/>
          <w:color w:val="auto"/>
          <w:sz w:val="24"/>
          <w:szCs w:val="24"/>
          <w:highlight w:val="none"/>
        </w:rPr>
        <w:t>本企业对上述声明内容的真实性负责。如有虚假，将依法承担相应责任。</w:t>
      </w:r>
    </w:p>
    <w:p w14:paraId="1DF4C2EF">
      <w:pPr>
        <w:pStyle w:val="48"/>
        <w:spacing w:line="360" w:lineRule="auto"/>
        <w:ind w:firstLine="480"/>
        <w:jc w:val="right"/>
        <w:rPr>
          <w:rFonts w:hint="default" w:ascii="宋体" w:hAnsi="宋体" w:cs="宋体"/>
          <w:color w:val="auto"/>
          <w:sz w:val="24"/>
          <w:szCs w:val="24"/>
          <w:highlight w:val="none"/>
        </w:rPr>
      </w:pPr>
      <w:r>
        <w:rPr>
          <w:rFonts w:ascii="宋体" w:hAnsi="宋体" w:cs="宋体"/>
          <w:color w:val="auto"/>
          <w:sz w:val="24"/>
          <w:szCs w:val="24"/>
          <w:highlight w:val="none"/>
        </w:rPr>
        <w:t>投标人：</w:t>
      </w:r>
      <w:r>
        <w:rPr>
          <w:rFonts w:ascii="宋体" w:hAnsi="宋体" w:cs="宋体"/>
          <w:color w:val="auto"/>
          <w:sz w:val="24"/>
          <w:szCs w:val="24"/>
          <w:highlight w:val="none"/>
          <w:u w:val="single"/>
        </w:rPr>
        <w:t>（全称并加盖单位公章）</w:t>
      </w:r>
    </w:p>
    <w:p w14:paraId="3CF68DAB">
      <w:pPr>
        <w:pStyle w:val="48"/>
        <w:spacing w:line="360" w:lineRule="auto"/>
        <w:ind w:firstLine="480"/>
        <w:jc w:val="right"/>
        <w:rPr>
          <w:rFonts w:hint="default" w:ascii="宋体" w:hAnsi="宋体" w:cs="宋体"/>
          <w:color w:val="auto"/>
          <w:sz w:val="24"/>
          <w:szCs w:val="24"/>
          <w:highlight w:val="none"/>
        </w:rPr>
      </w:pPr>
      <w:r>
        <w:rPr>
          <w:rFonts w:ascii="宋体" w:hAnsi="宋体" w:cs="宋体"/>
          <w:color w:val="auto"/>
          <w:sz w:val="24"/>
          <w:szCs w:val="24"/>
          <w:highlight w:val="none"/>
        </w:rPr>
        <w:t>日期：</w:t>
      </w:r>
      <w:r>
        <w:rPr>
          <w:rFonts w:ascii="宋体" w:hAnsi="宋体" w:cs="宋体"/>
          <w:color w:val="auto"/>
          <w:sz w:val="24"/>
          <w:szCs w:val="24"/>
          <w:highlight w:val="none"/>
          <w:u w:val="single"/>
        </w:rPr>
        <w:t>　　年　　月　　日</w:t>
      </w:r>
    </w:p>
    <w:p w14:paraId="72C61A7A">
      <w:pPr>
        <w:pStyle w:val="48"/>
        <w:spacing w:line="360" w:lineRule="auto"/>
        <w:ind w:firstLine="480"/>
        <w:rPr>
          <w:rFonts w:hint="default" w:ascii="宋体" w:hAnsi="宋体" w:cs="宋体"/>
          <w:color w:val="auto"/>
          <w:sz w:val="24"/>
          <w:szCs w:val="24"/>
          <w:highlight w:val="none"/>
        </w:rPr>
      </w:pPr>
      <w:r>
        <w:rPr>
          <w:rFonts w:ascii="宋体" w:hAnsi="宋体" w:cs="宋体"/>
          <w:color w:val="auto"/>
          <w:sz w:val="24"/>
          <w:szCs w:val="24"/>
          <w:highlight w:val="none"/>
        </w:rPr>
        <w:t>※注意：</w:t>
      </w:r>
    </w:p>
    <w:p w14:paraId="05A9FFCB">
      <w:pPr>
        <w:pStyle w:val="48"/>
        <w:spacing w:line="360" w:lineRule="auto"/>
        <w:ind w:firstLine="480"/>
        <w:rPr>
          <w:rFonts w:hint="default" w:ascii="宋体" w:hAnsi="宋体" w:cs="宋体"/>
          <w:color w:val="auto"/>
          <w:sz w:val="24"/>
          <w:szCs w:val="24"/>
          <w:highlight w:val="none"/>
        </w:rPr>
      </w:pPr>
      <w:r>
        <w:rPr>
          <w:rFonts w:ascii="宋体" w:hAnsi="宋体" w:cs="宋体"/>
          <w:color w:val="auto"/>
          <w:sz w:val="24"/>
          <w:szCs w:val="24"/>
          <w:highlight w:val="none"/>
        </w:rPr>
        <w:t>1、从业人员、营业收入、资产总额填报上一年度数据，无上一年度数据的新成立企业可不填报。</w:t>
      </w:r>
    </w:p>
    <w:p w14:paraId="6C1C2427">
      <w:pPr>
        <w:pStyle w:val="48"/>
        <w:spacing w:line="360" w:lineRule="auto"/>
        <w:ind w:firstLine="480"/>
        <w:rPr>
          <w:rFonts w:hint="default" w:ascii="宋体" w:hAnsi="宋体" w:cs="宋体"/>
          <w:color w:val="auto"/>
          <w:sz w:val="24"/>
          <w:szCs w:val="24"/>
          <w:highlight w:val="none"/>
        </w:rPr>
      </w:pPr>
      <w:r>
        <w:rPr>
          <w:rFonts w:ascii="宋体" w:hAnsi="宋体" w:cs="宋体"/>
          <w:color w:val="auto"/>
          <w:sz w:val="24"/>
          <w:szCs w:val="24"/>
          <w:highlight w:val="none"/>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2E9E3A08">
      <w:pPr>
        <w:pStyle w:val="48"/>
        <w:spacing w:line="360" w:lineRule="auto"/>
        <w:ind w:firstLine="480"/>
        <w:rPr>
          <w:rFonts w:hint="default" w:ascii="宋体" w:hAnsi="宋体" w:cs="宋体"/>
          <w:color w:val="auto"/>
          <w:sz w:val="24"/>
          <w:szCs w:val="24"/>
          <w:highlight w:val="none"/>
        </w:rPr>
      </w:pPr>
      <w:r>
        <w:rPr>
          <w:rFonts w:ascii="宋体" w:hAnsi="宋体" w:cs="宋体"/>
          <w:color w:val="auto"/>
          <w:sz w:val="24"/>
          <w:szCs w:val="24"/>
          <w:highlight w:val="none"/>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1C8F0907">
      <w:pPr>
        <w:pStyle w:val="48"/>
        <w:spacing w:line="360" w:lineRule="auto"/>
        <w:rPr>
          <w:rFonts w:hint="default" w:ascii="宋体" w:hAnsi="宋体" w:cs="宋体"/>
          <w:color w:val="auto"/>
          <w:sz w:val="24"/>
          <w:szCs w:val="24"/>
          <w:highlight w:val="none"/>
        </w:rPr>
      </w:pPr>
      <w:r>
        <w:rPr>
          <w:rFonts w:ascii="宋体" w:hAnsi="宋体" w:cs="宋体"/>
          <w:color w:val="auto"/>
          <w:sz w:val="24"/>
          <w:szCs w:val="24"/>
          <w:highlight w:val="none"/>
        </w:rPr>
        <w:t xml:space="preserve"> </w:t>
      </w:r>
      <w:r>
        <w:rPr>
          <w:rFonts w:ascii="宋体" w:hAnsi="宋体" w:cs="宋体"/>
          <w:color w:val="auto"/>
          <w:sz w:val="24"/>
          <w:szCs w:val="24"/>
          <w:highlight w:val="none"/>
        </w:rPr>
        <w:br w:type="textWrapping"/>
      </w:r>
      <w:r>
        <w:rPr>
          <w:rFonts w:ascii="宋体" w:hAnsi="宋体" w:cs="宋体"/>
          <w:color w:val="auto"/>
          <w:sz w:val="24"/>
          <w:szCs w:val="24"/>
          <w:highlight w:val="none"/>
        </w:rPr>
        <w:br w:type="page"/>
      </w:r>
    </w:p>
    <w:p w14:paraId="4BEBF2DB">
      <w:pPr>
        <w:pStyle w:val="48"/>
        <w:spacing w:line="360" w:lineRule="auto"/>
        <w:jc w:val="center"/>
        <w:rPr>
          <w:rFonts w:hint="default" w:ascii="宋体" w:hAnsi="宋体" w:cs="宋体"/>
          <w:color w:val="auto"/>
          <w:sz w:val="24"/>
          <w:szCs w:val="24"/>
          <w:highlight w:val="none"/>
        </w:rPr>
      </w:pPr>
      <w:r>
        <w:rPr>
          <w:rFonts w:ascii="宋体" w:hAnsi="宋体" w:cs="宋体"/>
          <w:b/>
          <w:color w:val="auto"/>
          <w:sz w:val="24"/>
          <w:szCs w:val="24"/>
          <w:highlight w:val="none"/>
        </w:rPr>
        <w:t>2-①小型、微型企业等证明材料（价格扣除适用，若有）</w:t>
      </w:r>
    </w:p>
    <w:p w14:paraId="75425212">
      <w:pPr>
        <w:pStyle w:val="48"/>
        <w:spacing w:line="360" w:lineRule="auto"/>
        <w:ind w:firstLine="480"/>
        <w:jc w:val="center"/>
        <w:rPr>
          <w:rFonts w:hint="default" w:ascii="宋体" w:hAnsi="宋体" w:cs="宋体"/>
          <w:color w:val="auto"/>
          <w:sz w:val="24"/>
          <w:szCs w:val="24"/>
          <w:highlight w:val="none"/>
        </w:rPr>
      </w:pPr>
      <w:r>
        <w:rPr>
          <w:rFonts w:ascii="宋体" w:hAnsi="宋体" w:cs="宋体"/>
          <w:color w:val="auto"/>
          <w:sz w:val="24"/>
          <w:szCs w:val="24"/>
          <w:highlight w:val="none"/>
        </w:rPr>
        <w:t>编制说明</w:t>
      </w:r>
    </w:p>
    <w:p w14:paraId="0D23FB32">
      <w:pPr>
        <w:pStyle w:val="48"/>
        <w:spacing w:line="360" w:lineRule="auto"/>
        <w:ind w:firstLine="480"/>
        <w:rPr>
          <w:rFonts w:hint="default" w:ascii="宋体" w:hAnsi="宋体" w:cs="宋体"/>
          <w:color w:val="auto"/>
          <w:sz w:val="24"/>
          <w:szCs w:val="24"/>
          <w:highlight w:val="none"/>
        </w:rPr>
      </w:pPr>
      <w:r>
        <w:rPr>
          <w:rFonts w:ascii="宋体" w:hAnsi="宋体" w:cs="宋体"/>
          <w:color w:val="auto"/>
          <w:sz w:val="24"/>
          <w:szCs w:val="24"/>
          <w:highlight w:val="none"/>
        </w:rPr>
        <w:t>1、投标人应按照招标文件要求提供相应证明材料，证明材料应与《中小企业声明函》的内容相一致，否则视为《中小企业声明函》内容不真实。</w:t>
      </w:r>
    </w:p>
    <w:p w14:paraId="71606596">
      <w:pPr>
        <w:pStyle w:val="48"/>
        <w:spacing w:line="360" w:lineRule="auto"/>
        <w:ind w:firstLine="480"/>
        <w:rPr>
          <w:rFonts w:hint="default" w:ascii="宋体" w:hAnsi="宋体" w:cs="宋体"/>
          <w:color w:val="auto"/>
          <w:sz w:val="24"/>
          <w:szCs w:val="24"/>
          <w:highlight w:val="none"/>
        </w:rPr>
      </w:pPr>
      <w:r>
        <w:rPr>
          <w:rFonts w:ascii="宋体" w:hAnsi="宋体" w:cs="宋体"/>
          <w:color w:val="auto"/>
          <w:sz w:val="24"/>
          <w:szCs w:val="24"/>
          <w:highlight w:val="none"/>
        </w:rPr>
        <w:t>2、投标人为监狱企业的，根据其提供的由省级以上监狱管理局、戒毒管理局（含新疆生产建设兵团）出具的属于监狱企业的证明文件进行认定，监狱企业视同小型、微型企业。</w:t>
      </w:r>
    </w:p>
    <w:p w14:paraId="1CA00FAD">
      <w:pPr>
        <w:pStyle w:val="48"/>
        <w:spacing w:line="360" w:lineRule="auto"/>
        <w:ind w:firstLine="480"/>
        <w:rPr>
          <w:rFonts w:hint="default" w:ascii="宋体" w:hAnsi="宋体" w:cs="宋体"/>
          <w:color w:val="auto"/>
          <w:sz w:val="24"/>
          <w:szCs w:val="24"/>
          <w:highlight w:val="none"/>
        </w:rPr>
      </w:pPr>
      <w:r>
        <w:rPr>
          <w:rFonts w:ascii="宋体" w:hAnsi="宋体" w:cs="宋体"/>
          <w:color w:val="auto"/>
          <w:sz w:val="24"/>
          <w:szCs w:val="24"/>
          <w:highlight w:val="none"/>
        </w:rPr>
        <w:t>3、投标人为残疾人福利性单位的，根据其提供的《残疾人福利性单位声明函》（格式附后）进行认定，残疾人福利性单位视同小型、微型企业。残疾人福利性单位属于小型、微型企业的，不重复享受政策。</w:t>
      </w:r>
    </w:p>
    <w:p w14:paraId="29E86DFA">
      <w:pPr>
        <w:pStyle w:val="48"/>
        <w:spacing w:line="360" w:lineRule="auto"/>
        <w:ind w:firstLine="480"/>
        <w:rPr>
          <w:rFonts w:hint="default" w:ascii="宋体" w:hAnsi="宋体" w:cs="宋体"/>
          <w:color w:val="auto"/>
          <w:sz w:val="24"/>
          <w:szCs w:val="24"/>
          <w:highlight w:val="none"/>
        </w:rPr>
      </w:pPr>
      <w:r>
        <w:rPr>
          <w:rFonts w:ascii="宋体" w:hAnsi="宋体" w:cs="宋体"/>
          <w:color w:val="auto"/>
          <w:sz w:val="24"/>
          <w:szCs w:val="24"/>
          <w:highlight w:val="none"/>
        </w:rPr>
        <w:t>附：</w:t>
      </w:r>
    </w:p>
    <w:p w14:paraId="64D6E76D">
      <w:pPr>
        <w:pStyle w:val="48"/>
        <w:spacing w:line="360" w:lineRule="auto"/>
        <w:jc w:val="center"/>
        <w:rPr>
          <w:rFonts w:hint="default" w:ascii="宋体" w:hAnsi="宋体" w:cs="宋体"/>
          <w:color w:val="auto"/>
          <w:sz w:val="24"/>
          <w:szCs w:val="24"/>
          <w:highlight w:val="none"/>
        </w:rPr>
      </w:pPr>
      <w:r>
        <w:rPr>
          <w:rFonts w:ascii="宋体" w:hAnsi="宋体" w:cs="宋体"/>
          <w:b/>
          <w:color w:val="auto"/>
          <w:sz w:val="24"/>
          <w:szCs w:val="24"/>
          <w:highlight w:val="none"/>
        </w:rPr>
        <w:t>残疾人福利性单位声明函（价格扣除适用，若有）</w:t>
      </w:r>
    </w:p>
    <w:p w14:paraId="4C8E4296">
      <w:pPr>
        <w:pStyle w:val="48"/>
        <w:spacing w:line="360" w:lineRule="auto"/>
        <w:ind w:firstLine="480"/>
        <w:rPr>
          <w:rFonts w:hint="default" w:ascii="宋体" w:hAnsi="宋体" w:cs="宋体"/>
          <w:color w:val="auto"/>
          <w:sz w:val="24"/>
          <w:szCs w:val="24"/>
          <w:highlight w:val="none"/>
        </w:rPr>
      </w:pPr>
      <w:r>
        <w:rPr>
          <w:rFonts w:ascii="宋体" w:hAnsi="宋体" w:cs="宋体"/>
          <w:color w:val="auto"/>
          <w:sz w:val="24"/>
          <w:szCs w:val="24"/>
          <w:highlight w:val="none"/>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14:paraId="0925233C">
      <w:pPr>
        <w:pStyle w:val="48"/>
        <w:spacing w:line="360" w:lineRule="auto"/>
        <w:ind w:firstLine="480"/>
        <w:rPr>
          <w:rFonts w:hint="default" w:ascii="宋体" w:hAnsi="宋体" w:cs="宋体"/>
          <w:color w:val="auto"/>
          <w:sz w:val="24"/>
          <w:szCs w:val="24"/>
          <w:highlight w:val="none"/>
        </w:rPr>
      </w:pPr>
      <w:r>
        <w:rPr>
          <w:rFonts w:ascii="宋体" w:hAnsi="宋体" w:cs="宋体"/>
          <w:color w:val="auto"/>
          <w:sz w:val="24"/>
          <w:szCs w:val="24"/>
          <w:highlight w:val="none"/>
        </w:rP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14:paraId="3687B694">
      <w:pPr>
        <w:pStyle w:val="48"/>
        <w:spacing w:line="360" w:lineRule="auto"/>
        <w:ind w:firstLine="480"/>
        <w:rPr>
          <w:rFonts w:hint="default" w:ascii="宋体" w:hAnsi="宋体" w:cs="宋体"/>
          <w:color w:val="auto"/>
          <w:sz w:val="24"/>
          <w:szCs w:val="24"/>
          <w:highlight w:val="none"/>
        </w:rPr>
      </w:pPr>
      <w:r>
        <w:rPr>
          <w:rFonts w:ascii="宋体" w:hAnsi="宋体" w:cs="宋体"/>
          <w:color w:val="auto"/>
          <w:sz w:val="24"/>
          <w:szCs w:val="24"/>
          <w:highlight w:val="none"/>
        </w:rPr>
        <w:t>（ ）由本投标人承建的（填写“所投采购包、品目号”）工程</w:t>
      </w:r>
    </w:p>
    <w:p w14:paraId="4D244AF9">
      <w:pPr>
        <w:pStyle w:val="48"/>
        <w:spacing w:line="360" w:lineRule="auto"/>
        <w:ind w:firstLine="480"/>
        <w:rPr>
          <w:rFonts w:hint="default" w:ascii="宋体" w:hAnsi="宋体" w:cs="宋体"/>
          <w:color w:val="auto"/>
          <w:sz w:val="24"/>
          <w:szCs w:val="24"/>
          <w:highlight w:val="none"/>
        </w:rPr>
      </w:pPr>
      <w:r>
        <w:rPr>
          <w:rFonts w:ascii="宋体" w:hAnsi="宋体" w:cs="宋体"/>
          <w:color w:val="auto"/>
          <w:sz w:val="24"/>
          <w:szCs w:val="24"/>
          <w:highlight w:val="none"/>
        </w:rPr>
        <w:t>（ ）由本投标人承接的（填写“所投采购包、品目号”）服务；</w:t>
      </w:r>
    </w:p>
    <w:p w14:paraId="60999484">
      <w:pPr>
        <w:pStyle w:val="48"/>
        <w:spacing w:line="360" w:lineRule="auto"/>
        <w:ind w:firstLine="480"/>
        <w:rPr>
          <w:rFonts w:hint="default" w:ascii="宋体" w:hAnsi="宋体" w:cs="宋体"/>
          <w:color w:val="auto"/>
          <w:sz w:val="24"/>
          <w:szCs w:val="24"/>
          <w:highlight w:val="none"/>
        </w:rPr>
      </w:pPr>
      <w:r>
        <w:rPr>
          <w:rFonts w:ascii="宋体" w:hAnsi="宋体" w:cs="宋体"/>
          <w:color w:val="auto"/>
          <w:sz w:val="24"/>
          <w:szCs w:val="24"/>
          <w:highlight w:val="none"/>
        </w:rPr>
        <w:t>本投标人对上述声明的真实性负责。如有虚假，将依法承担相应责任。</w:t>
      </w:r>
    </w:p>
    <w:p w14:paraId="7C16F287">
      <w:pPr>
        <w:pStyle w:val="48"/>
        <w:spacing w:line="360" w:lineRule="auto"/>
        <w:ind w:firstLine="480"/>
        <w:rPr>
          <w:rFonts w:hint="default" w:ascii="宋体" w:hAnsi="宋体" w:cs="宋体"/>
          <w:color w:val="auto"/>
          <w:sz w:val="24"/>
          <w:szCs w:val="24"/>
          <w:highlight w:val="none"/>
        </w:rPr>
      </w:pPr>
      <w:r>
        <w:rPr>
          <w:rFonts w:ascii="宋体" w:hAnsi="宋体" w:cs="宋体"/>
          <w:color w:val="auto"/>
          <w:sz w:val="24"/>
          <w:szCs w:val="24"/>
          <w:highlight w:val="none"/>
        </w:rPr>
        <w:t>备注：</w:t>
      </w:r>
    </w:p>
    <w:p w14:paraId="3AB145AA">
      <w:pPr>
        <w:pStyle w:val="48"/>
        <w:spacing w:line="360" w:lineRule="auto"/>
        <w:ind w:firstLine="480"/>
        <w:rPr>
          <w:rFonts w:hint="default" w:ascii="宋体" w:hAnsi="宋体" w:cs="宋体"/>
          <w:color w:val="auto"/>
          <w:sz w:val="24"/>
          <w:szCs w:val="24"/>
          <w:highlight w:val="none"/>
        </w:rPr>
      </w:pPr>
      <w:r>
        <w:rPr>
          <w:rFonts w:ascii="宋体" w:hAnsi="宋体" w:cs="宋体"/>
          <w:color w:val="auto"/>
          <w:sz w:val="24"/>
          <w:szCs w:val="24"/>
          <w:highlight w:val="none"/>
        </w:rPr>
        <w:t>1、请投标人按照实际情况编制填写本声明函，并在相应的（）中打“√”。</w:t>
      </w:r>
    </w:p>
    <w:p w14:paraId="1466B169">
      <w:pPr>
        <w:pStyle w:val="48"/>
        <w:spacing w:line="360" w:lineRule="auto"/>
        <w:ind w:firstLine="480"/>
        <w:rPr>
          <w:rFonts w:hint="default" w:ascii="宋体" w:hAnsi="宋体" w:cs="宋体"/>
          <w:color w:val="auto"/>
          <w:sz w:val="24"/>
          <w:szCs w:val="24"/>
          <w:highlight w:val="none"/>
        </w:rPr>
      </w:pPr>
      <w:r>
        <w:rPr>
          <w:rFonts w:ascii="宋体" w:hAnsi="宋体" w:cs="宋体"/>
          <w:color w:val="auto"/>
          <w:sz w:val="24"/>
          <w:szCs w:val="24"/>
          <w:highlight w:val="none"/>
        </w:rPr>
        <w:t>2、若《残疾人福利性单位声明函》内容不真实，视为提供虚假材料。</w:t>
      </w:r>
    </w:p>
    <w:p w14:paraId="07A7CA94">
      <w:pPr>
        <w:pStyle w:val="48"/>
        <w:spacing w:line="360" w:lineRule="auto"/>
        <w:ind w:firstLine="480"/>
        <w:jc w:val="right"/>
        <w:rPr>
          <w:rFonts w:hint="default" w:ascii="宋体" w:hAnsi="宋体" w:cs="宋体"/>
          <w:color w:val="auto"/>
          <w:sz w:val="24"/>
          <w:szCs w:val="24"/>
          <w:highlight w:val="none"/>
        </w:rPr>
      </w:pPr>
      <w:r>
        <w:rPr>
          <w:rFonts w:ascii="宋体" w:hAnsi="宋体" w:cs="宋体"/>
          <w:color w:val="auto"/>
          <w:sz w:val="24"/>
          <w:szCs w:val="24"/>
          <w:highlight w:val="none"/>
        </w:rPr>
        <w:t>投标人：</w:t>
      </w:r>
      <w:r>
        <w:rPr>
          <w:rFonts w:ascii="宋体" w:hAnsi="宋体" w:cs="宋体"/>
          <w:color w:val="auto"/>
          <w:sz w:val="24"/>
          <w:szCs w:val="24"/>
          <w:highlight w:val="none"/>
          <w:u w:val="single"/>
        </w:rPr>
        <w:t>（全称并加盖单位公章）</w:t>
      </w:r>
    </w:p>
    <w:p w14:paraId="43E245B5">
      <w:pPr>
        <w:pStyle w:val="48"/>
        <w:spacing w:line="360" w:lineRule="auto"/>
        <w:ind w:firstLine="480"/>
        <w:jc w:val="right"/>
        <w:rPr>
          <w:rFonts w:hint="default" w:ascii="宋体" w:hAnsi="宋体" w:cs="宋体"/>
          <w:color w:val="auto"/>
          <w:sz w:val="24"/>
          <w:szCs w:val="24"/>
          <w:highlight w:val="none"/>
        </w:rPr>
      </w:pPr>
      <w:r>
        <w:rPr>
          <w:rFonts w:ascii="宋体" w:hAnsi="宋体" w:cs="宋体"/>
          <w:color w:val="auto"/>
          <w:sz w:val="24"/>
          <w:szCs w:val="24"/>
          <w:highlight w:val="none"/>
        </w:rPr>
        <w:t>日期：</w:t>
      </w:r>
      <w:r>
        <w:rPr>
          <w:rFonts w:ascii="宋体" w:hAnsi="宋体" w:cs="宋体"/>
          <w:color w:val="auto"/>
          <w:sz w:val="24"/>
          <w:szCs w:val="24"/>
          <w:highlight w:val="none"/>
          <w:u w:val="single"/>
        </w:rPr>
        <w:t>　　年　　月　　日</w:t>
      </w:r>
    </w:p>
    <w:p w14:paraId="623C5D47">
      <w:pPr>
        <w:pStyle w:val="48"/>
        <w:spacing w:line="360" w:lineRule="auto"/>
        <w:rPr>
          <w:rFonts w:hint="default" w:ascii="宋体" w:hAnsi="宋体" w:cs="宋体"/>
          <w:color w:val="auto"/>
          <w:sz w:val="24"/>
          <w:szCs w:val="24"/>
          <w:highlight w:val="none"/>
        </w:rPr>
      </w:pPr>
      <w:r>
        <w:rPr>
          <w:rFonts w:ascii="宋体" w:hAnsi="宋体" w:cs="宋体"/>
          <w:color w:val="auto"/>
          <w:sz w:val="24"/>
          <w:szCs w:val="24"/>
          <w:highlight w:val="none"/>
        </w:rPr>
        <w:t xml:space="preserve"> </w:t>
      </w:r>
      <w:r>
        <w:rPr>
          <w:rFonts w:ascii="宋体" w:hAnsi="宋体" w:cs="宋体"/>
          <w:color w:val="auto"/>
          <w:sz w:val="24"/>
          <w:szCs w:val="24"/>
          <w:highlight w:val="none"/>
        </w:rPr>
        <w:br w:type="textWrapping"/>
      </w:r>
      <w:r>
        <w:rPr>
          <w:rFonts w:ascii="宋体" w:hAnsi="宋体" w:cs="宋体"/>
          <w:color w:val="auto"/>
          <w:sz w:val="24"/>
          <w:szCs w:val="24"/>
          <w:highlight w:val="none"/>
        </w:rPr>
        <w:br w:type="page"/>
      </w:r>
    </w:p>
    <w:p w14:paraId="3E02C980">
      <w:pPr>
        <w:pStyle w:val="48"/>
        <w:spacing w:line="360" w:lineRule="auto"/>
        <w:ind w:firstLine="480"/>
        <w:rPr>
          <w:rFonts w:hint="default" w:ascii="宋体" w:hAnsi="宋体" w:cs="宋体"/>
          <w:color w:val="auto"/>
          <w:sz w:val="24"/>
          <w:szCs w:val="24"/>
          <w:highlight w:val="none"/>
        </w:rPr>
      </w:pPr>
      <w:r>
        <w:rPr>
          <w:rFonts w:ascii="宋体" w:hAnsi="宋体" w:cs="宋体"/>
          <w:color w:val="auto"/>
          <w:sz w:val="24"/>
          <w:szCs w:val="24"/>
          <w:highlight w:val="none"/>
        </w:rPr>
        <w:t>附：</w:t>
      </w:r>
    </w:p>
    <w:p w14:paraId="5E47B5A6">
      <w:pPr>
        <w:pStyle w:val="48"/>
        <w:spacing w:line="360" w:lineRule="auto"/>
        <w:jc w:val="center"/>
        <w:rPr>
          <w:rFonts w:hint="default" w:ascii="宋体" w:hAnsi="宋体" w:cs="宋体"/>
          <w:color w:val="auto"/>
          <w:sz w:val="24"/>
          <w:szCs w:val="24"/>
          <w:highlight w:val="none"/>
        </w:rPr>
      </w:pPr>
      <w:r>
        <w:rPr>
          <w:rFonts w:ascii="宋体" w:hAnsi="宋体" w:cs="宋体"/>
          <w:b/>
          <w:color w:val="auto"/>
          <w:sz w:val="24"/>
          <w:szCs w:val="24"/>
          <w:highlight w:val="none"/>
        </w:rPr>
        <w:t>监狱企业证明材料</w:t>
      </w:r>
    </w:p>
    <w:p w14:paraId="2C144C9E">
      <w:pPr>
        <w:pStyle w:val="48"/>
        <w:spacing w:line="360" w:lineRule="auto"/>
        <w:ind w:firstLine="480"/>
        <w:rPr>
          <w:rFonts w:hint="default" w:ascii="宋体" w:hAnsi="宋体" w:cs="宋体"/>
          <w:color w:val="auto"/>
          <w:sz w:val="24"/>
          <w:szCs w:val="24"/>
          <w:highlight w:val="none"/>
        </w:rPr>
      </w:pPr>
      <w:r>
        <w:rPr>
          <w:rFonts w:ascii="宋体" w:hAnsi="宋体" w:cs="宋体"/>
          <w:color w:val="auto"/>
          <w:sz w:val="24"/>
          <w:szCs w:val="24"/>
          <w:highlight w:val="none"/>
        </w:rPr>
        <w:t>投标人为监狱企业，提供本单位制造的货物（承接的服务），并在投标文件中提供省级以上监狱管理局、戒毒管理局（含新疆生产建设兵团）出具的属于监狱企业的证明文件。</w:t>
      </w:r>
    </w:p>
    <w:p w14:paraId="49349C87">
      <w:pPr>
        <w:pStyle w:val="48"/>
        <w:spacing w:line="360" w:lineRule="auto"/>
        <w:rPr>
          <w:rFonts w:hint="default" w:ascii="宋体" w:hAnsi="宋体" w:cs="宋体"/>
          <w:color w:val="auto"/>
          <w:sz w:val="24"/>
          <w:szCs w:val="24"/>
          <w:highlight w:val="none"/>
        </w:rPr>
      </w:pPr>
      <w:r>
        <w:rPr>
          <w:rFonts w:ascii="宋体" w:hAnsi="宋体" w:cs="宋体"/>
          <w:color w:val="auto"/>
          <w:sz w:val="24"/>
          <w:szCs w:val="24"/>
          <w:highlight w:val="none"/>
        </w:rPr>
        <w:t xml:space="preserve"> </w:t>
      </w:r>
      <w:r>
        <w:rPr>
          <w:rFonts w:ascii="宋体" w:hAnsi="宋体" w:cs="宋体"/>
          <w:color w:val="auto"/>
          <w:sz w:val="24"/>
          <w:szCs w:val="24"/>
          <w:highlight w:val="none"/>
        </w:rPr>
        <w:br w:type="textWrapping"/>
      </w:r>
      <w:r>
        <w:rPr>
          <w:rFonts w:ascii="宋体" w:hAnsi="宋体" w:cs="宋体"/>
          <w:color w:val="auto"/>
          <w:sz w:val="24"/>
          <w:szCs w:val="24"/>
          <w:highlight w:val="none"/>
        </w:rPr>
        <w:br w:type="page"/>
      </w:r>
    </w:p>
    <w:p w14:paraId="6B12AFD1">
      <w:pPr>
        <w:pStyle w:val="48"/>
        <w:spacing w:line="360" w:lineRule="auto"/>
        <w:jc w:val="center"/>
        <w:rPr>
          <w:rFonts w:hint="default" w:ascii="宋体" w:hAnsi="宋体" w:cs="宋体"/>
          <w:color w:val="auto"/>
          <w:sz w:val="24"/>
          <w:szCs w:val="24"/>
          <w:highlight w:val="none"/>
        </w:rPr>
      </w:pPr>
      <w:r>
        <w:rPr>
          <w:rFonts w:ascii="宋体" w:hAnsi="宋体" w:cs="宋体"/>
          <w:b/>
          <w:color w:val="auto"/>
          <w:sz w:val="24"/>
          <w:szCs w:val="24"/>
          <w:highlight w:val="none"/>
        </w:rPr>
        <w:t>3招标文件规定的其他价格扣除证明材料（若有）</w:t>
      </w:r>
    </w:p>
    <w:p w14:paraId="7246D60D">
      <w:pPr>
        <w:pStyle w:val="48"/>
        <w:spacing w:line="360" w:lineRule="auto"/>
        <w:ind w:firstLine="480"/>
        <w:jc w:val="center"/>
        <w:rPr>
          <w:rFonts w:hint="default" w:ascii="宋体" w:hAnsi="宋体" w:cs="宋体"/>
          <w:color w:val="auto"/>
          <w:sz w:val="24"/>
          <w:szCs w:val="24"/>
          <w:highlight w:val="none"/>
        </w:rPr>
      </w:pPr>
      <w:r>
        <w:rPr>
          <w:rFonts w:ascii="宋体" w:hAnsi="宋体" w:cs="宋体"/>
          <w:color w:val="auto"/>
          <w:sz w:val="24"/>
          <w:szCs w:val="24"/>
          <w:highlight w:val="none"/>
        </w:rPr>
        <w:t>编制说明</w:t>
      </w:r>
    </w:p>
    <w:p w14:paraId="438C4DEA">
      <w:pPr>
        <w:pStyle w:val="48"/>
        <w:spacing w:line="360" w:lineRule="auto"/>
        <w:ind w:firstLine="480"/>
        <w:rPr>
          <w:rFonts w:hint="default" w:ascii="宋体" w:hAnsi="宋体" w:cs="宋体"/>
          <w:color w:val="auto"/>
          <w:sz w:val="24"/>
          <w:szCs w:val="24"/>
          <w:highlight w:val="none"/>
        </w:rPr>
      </w:pPr>
      <w:r>
        <w:rPr>
          <w:rFonts w:ascii="宋体" w:hAnsi="宋体" w:cs="宋体"/>
          <w:color w:val="auto"/>
          <w:sz w:val="24"/>
          <w:szCs w:val="24"/>
          <w:highlight w:val="none"/>
        </w:rPr>
        <w:t>若投标人可享受招标文件规定的除“节能（非强制类）、环境标志产品价格扣除”及“小型、微型企业产品等价格扣除”外的其他价格扣除优惠，则投标人应按照招标文件要求提供相应证明材料。</w:t>
      </w:r>
    </w:p>
    <w:p w14:paraId="77369BA4">
      <w:pPr>
        <w:spacing w:line="360" w:lineRule="auto"/>
        <w:rPr>
          <w:rFonts w:ascii="宋体" w:hAnsi="宋体" w:cs="宋体"/>
          <w:color w:val="auto"/>
          <w:sz w:val="24"/>
          <w:szCs w:val="24"/>
          <w:highlight w:val="none"/>
        </w:rPr>
      </w:pPr>
    </w:p>
    <w:p w14:paraId="47438D4F">
      <w:pPr>
        <w:spacing w:line="360" w:lineRule="auto"/>
        <w:ind w:firstLine="480" w:firstLineChars="200"/>
        <w:rPr>
          <w:rFonts w:ascii="宋体" w:hAnsi="宋体" w:cs="宋体"/>
          <w:color w:val="auto"/>
          <w:kern w:val="0"/>
          <w:sz w:val="24"/>
          <w:szCs w:val="24"/>
          <w:highlight w:val="none"/>
        </w:rPr>
      </w:pPr>
    </w:p>
    <w:p w14:paraId="60475E24">
      <w:pPr>
        <w:pStyle w:val="20"/>
        <w:ind w:firstLine="480"/>
        <w:rPr>
          <w:rFonts w:ascii="宋体" w:hAnsi="宋体" w:cs="宋体"/>
          <w:color w:val="auto"/>
          <w:kern w:val="0"/>
          <w:sz w:val="24"/>
          <w:szCs w:val="24"/>
          <w:highlight w:val="none"/>
        </w:rPr>
      </w:pPr>
    </w:p>
    <w:p w14:paraId="00610FA3">
      <w:pPr>
        <w:rPr>
          <w:rFonts w:ascii="宋体" w:hAnsi="宋体" w:cs="宋体"/>
          <w:color w:val="auto"/>
          <w:kern w:val="0"/>
          <w:sz w:val="24"/>
          <w:szCs w:val="24"/>
          <w:highlight w:val="none"/>
        </w:rPr>
      </w:pPr>
    </w:p>
    <w:p w14:paraId="5F1DFFE5">
      <w:pPr>
        <w:pStyle w:val="20"/>
        <w:ind w:firstLine="480"/>
        <w:rPr>
          <w:rFonts w:ascii="宋体" w:hAnsi="宋体" w:cs="宋体"/>
          <w:color w:val="auto"/>
          <w:kern w:val="0"/>
          <w:sz w:val="24"/>
          <w:szCs w:val="24"/>
          <w:highlight w:val="none"/>
        </w:rPr>
      </w:pPr>
    </w:p>
    <w:p w14:paraId="08F2E693">
      <w:pPr>
        <w:rPr>
          <w:rFonts w:ascii="宋体" w:hAnsi="宋体" w:cs="宋体"/>
          <w:color w:val="auto"/>
          <w:kern w:val="0"/>
          <w:sz w:val="24"/>
          <w:szCs w:val="24"/>
          <w:highlight w:val="none"/>
        </w:rPr>
      </w:pPr>
    </w:p>
    <w:p w14:paraId="6870CA5C">
      <w:pPr>
        <w:pStyle w:val="20"/>
        <w:ind w:firstLine="480"/>
        <w:rPr>
          <w:rFonts w:ascii="宋体" w:hAnsi="宋体" w:cs="宋体"/>
          <w:color w:val="auto"/>
          <w:kern w:val="0"/>
          <w:sz w:val="24"/>
          <w:szCs w:val="24"/>
          <w:highlight w:val="none"/>
        </w:rPr>
      </w:pPr>
    </w:p>
    <w:p w14:paraId="4343E95F">
      <w:pPr>
        <w:rPr>
          <w:rFonts w:ascii="宋体" w:hAnsi="宋体" w:cs="宋体"/>
          <w:color w:val="auto"/>
          <w:kern w:val="0"/>
          <w:sz w:val="24"/>
          <w:szCs w:val="24"/>
          <w:highlight w:val="none"/>
        </w:rPr>
      </w:pPr>
    </w:p>
    <w:p w14:paraId="5FA8FFCD">
      <w:pPr>
        <w:pStyle w:val="20"/>
        <w:ind w:firstLine="480"/>
        <w:rPr>
          <w:rFonts w:ascii="宋体" w:hAnsi="宋体" w:cs="宋体"/>
          <w:color w:val="auto"/>
          <w:kern w:val="0"/>
          <w:sz w:val="24"/>
          <w:szCs w:val="24"/>
          <w:highlight w:val="none"/>
        </w:rPr>
      </w:pPr>
    </w:p>
    <w:p w14:paraId="54FFD5E6">
      <w:pPr>
        <w:rPr>
          <w:rFonts w:ascii="宋体" w:hAnsi="宋体" w:cs="宋体"/>
          <w:color w:val="auto"/>
          <w:kern w:val="0"/>
          <w:sz w:val="24"/>
          <w:szCs w:val="24"/>
          <w:highlight w:val="none"/>
        </w:rPr>
      </w:pPr>
    </w:p>
    <w:p w14:paraId="797D7C57">
      <w:pPr>
        <w:pStyle w:val="20"/>
        <w:ind w:firstLine="480"/>
        <w:rPr>
          <w:rFonts w:ascii="宋体" w:hAnsi="宋体" w:cs="宋体"/>
          <w:color w:val="auto"/>
          <w:kern w:val="0"/>
          <w:sz w:val="24"/>
          <w:szCs w:val="24"/>
          <w:highlight w:val="none"/>
        </w:rPr>
      </w:pPr>
    </w:p>
    <w:p w14:paraId="2CCE15E8">
      <w:pPr>
        <w:rPr>
          <w:rFonts w:ascii="宋体" w:hAnsi="宋体" w:cs="宋体"/>
          <w:color w:val="auto"/>
          <w:kern w:val="0"/>
          <w:sz w:val="24"/>
          <w:szCs w:val="24"/>
          <w:highlight w:val="none"/>
        </w:rPr>
      </w:pPr>
    </w:p>
    <w:p w14:paraId="71B6E597">
      <w:pPr>
        <w:pStyle w:val="20"/>
        <w:ind w:firstLine="480"/>
        <w:rPr>
          <w:rFonts w:ascii="宋体" w:hAnsi="宋体" w:cs="宋体"/>
          <w:color w:val="auto"/>
          <w:kern w:val="0"/>
          <w:sz w:val="24"/>
          <w:szCs w:val="24"/>
          <w:highlight w:val="none"/>
        </w:rPr>
      </w:pPr>
    </w:p>
    <w:p w14:paraId="1CE484BB">
      <w:pPr>
        <w:rPr>
          <w:rFonts w:ascii="宋体" w:hAnsi="宋体" w:cs="宋体"/>
          <w:color w:val="auto"/>
          <w:kern w:val="0"/>
          <w:sz w:val="24"/>
          <w:szCs w:val="24"/>
          <w:highlight w:val="none"/>
        </w:rPr>
      </w:pPr>
    </w:p>
    <w:p w14:paraId="3A37AE17">
      <w:pPr>
        <w:pStyle w:val="20"/>
        <w:ind w:firstLine="480"/>
        <w:rPr>
          <w:rFonts w:ascii="宋体" w:hAnsi="宋体" w:cs="宋体"/>
          <w:color w:val="auto"/>
          <w:kern w:val="0"/>
          <w:sz w:val="24"/>
          <w:szCs w:val="24"/>
          <w:highlight w:val="none"/>
        </w:rPr>
      </w:pPr>
    </w:p>
    <w:p w14:paraId="15BFCFB7">
      <w:pPr>
        <w:rPr>
          <w:rFonts w:ascii="宋体" w:hAnsi="宋体" w:cs="宋体"/>
          <w:color w:val="auto"/>
          <w:kern w:val="0"/>
          <w:sz w:val="24"/>
          <w:szCs w:val="24"/>
          <w:highlight w:val="none"/>
        </w:rPr>
      </w:pPr>
    </w:p>
    <w:p w14:paraId="1E14F8B3">
      <w:pPr>
        <w:pStyle w:val="20"/>
        <w:ind w:firstLine="480"/>
        <w:rPr>
          <w:rFonts w:ascii="宋体" w:hAnsi="宋体" w:cs="宋体"/>
          <w:color w:val="auto"/>
          <w:kern w:val="0"/>
          <w:sz w:val="24"/>
          <w:szCs w:val="24"/>
          <w:highlight w:val="none"/>
        </w:rPr>
      </w:pPr>
    </w:p>
    <w:p w14:paraId="3D02C294">
      <w:pPr>
        <w:rPr>
          <w:rFonts w:ascii="宋体" w:hAnsi="宋体" w:cs="宋体"/>
          <w:color w:val="auto"/>
          <w:kern w:val="0"/>
          <w:sz w:val="24"/>
          <w:szCs w:val="24"/>
          <w:highlight w:val="none"/>
        </w:rPr>
      </w:pPr>
    </w:p>
    <w:p w14:paraId="45A4D8F5">
      <w:pPr>
        <w:pStyle w:val="20"/>
        <w:ind w:firstLine="480"/>
        <w:rPr>
          <w:rFonts w:ascii="宋体" w:hAnsi="宋体" w:cs="宋体"/>
          <w:color w:val="auto"/>
          <w:kern w:val="0"/>
          <w:sz w:val="24"/>
          <w:szCs w:val="24"/>
          <w:highlight w:val="none"/>
        </w:rPr>
      </w:pPr>
    </w:p>
    <w:p w14:paraId="321F7121">
      <w:pPr>
        <w:rPr>
          <w:rFonts w:ascii="宋体" w:hAnsi="宋体" w:cs="宋体"/>
          <w:color w:val="auto"/>
          <w:kern w:val="0"/>
          <w:sz w:val="24"/>
          <w:szCs w:val="24"/>
          <w:highlight w:val="none"/>
        </w:rPr>
      </w:pPr>
    </w:p>
    <w:p w14:paraId="171EA755">
      <w:pPr>
        <w:pStyle w:val="20"/>
        <w:ind w:firstLine="480"/>
        <w:rPr>
          <w:rFonts w:ascii="宋体" w:hAnsi="宋体" w:cs="宋体"/>
          <w:color w:val="auto"/>
          <w:kern w:val="0"/>
          <w:sz w:val="24"/>
          <w:szCs w:val="24"/>
          <w:highlight w:val="none"/>
        </w:rPr>
      </w:pPr>
    </w:p>
    <w:p w14:paraId="3E89A1EB">
      <w:pPr>
        <w:rPr>
          <w:rFonts w:ascii="宋体" w:hAnsi="宋体" w:cs="宋体"/>
          <w:color w:val="auto"/>
          <w:kern w:val="0"/>
          <w:sz w:val="24"/>
          <w:szCs w:val="24"/>
          <w:highlight w:val="none"/>
        </w:rPr>
      </w:pPr>
    </w:p>
    <w:p w14:paraId="7091C92D">
      <w:pPr>
        <w:pStyle w:val="20"/>
        <w:ind w:firstLine="480"/>
        <w:rPr>
          <w:rFonts w:ascii="宋体" w:hAnsi="宋体" w:cs="宋体"/>
          <w:color w:val="auto"/>
          <w:kern w:val="0"/>
          <w:sz w:val="24"/>
          <w:szCs w:val="24"/>
          <w:highlight w:val="none"/>
        </w:rPr>
      </w:pPr>
    </w:p>
    <w:p w14:paraId="376655F7">
      <w:pPr>
        <w:rPr>
          <w:rFonts w:ascii="宋体" w:hAnsi="宋体" w:cs="宋体"/>
          <w:color w:val="auto"/>
          <w:kern w:val="0"/>
          <w:sz w:val="24"/>
          <w:szCs w:val="24"/>
          <w:highlight w:val="none"/>
        </w:rPr>
      </w:pPr>
    </w:p>
    <w:p w14:paraId="2B88751B">
      <w:pPr>
        <w:pStyle w:val="20"/>
        <w:ind w:firstLine="480"/>
        <w:rPr>
          <w:rFonts w:ascii="宋体" w:hAnsi="宋体" w:cs="宋体"/>
          <w:color w:val="auto"/>
          <w:kern w:val="0"/>
          <w:sz w:val="24"/>
          <w:szCs w:val="24"/>
          <w:highlight w:val="none"/>
        </w:rPr>
      </w:pPr>
    </w:p>
    <w:p w14:paraId="25F89CCD">
      <w:pPr>
        <w:rPr>
          <w:rFonts w:ascii="宋体" w:hAnsi="宋体" w:cs="宋体"/>
          <w:color w:val="auto"/>
          <w:kern w:val="0"/>
          <w:sz w:val="24"/>
          <w:szCs w:val="24"/>
          <w:highlight w:val="none"/>
        </w:rPr>
      </w:pPr>
    </w:p>
    <w:p w14:paraId="45954171">
      <w:pPr>
        <w:pStyle w:val="20"/>
        <w:ind w:firstLine="480"/>
        <w:rPr>
          <w:rFonts w:ascii="宋体" w:hAnsi="宋体" w:cs="宋体"/>
          <w:color w:val="auto"/>
          <w:kern w:val="0"/>
          <w:sz w:val="24"/>
          <w:szCs w:val="24"/>
          <w:highlight w:val="none"/>
        </w:rPr>
      </w:pPr>
    </w:p>
    <w:p w14:paraId="777E8F34">
      <w:pPr>
        <w:rPr>
          <w:color w:val="auto"/>
          <w:highlight w:val="none"/>
        </w:rPr>
      </w:pPr>
    </w:p>
    <w:p w14:paraId="157D3293">
      <w:pPr>
        <w:spacing w:line="360" w:lineRule="auto"/>
        <w:ind w:firstLine="480" w:firstLineChars="200"/>
        <w:rPr>
          <w:rFonts w:ascii="宋体" w:hAnsi="宋体" w:cs="宋体"/>
          <w:color w:val="auto"/>
          <w:kern w:val="0"/>
          <w:sz w:val="24"/>
          <w:szCs w:val="24"/>
          <w:highlight w:val="none"/>
        </w:rPr>
      </w:pPr>
    </w:p>
    <w:p w14:paraId="5BB82A67">
      <w:pPr>
        <w:spacing w:line="360" w:lineRule="auto"/>
        <w:ind w:firstLine="480" w:firstLineChars="200"/>
        <w:rPr>
          <w:rFonts w:ascii="宋体" w:hAnsi="宋体" w:cs="宋体"/>
          <w:color w:val="auto"/>
          <w:kern w:val="0"/>
          <w:sz w:val="24"/>
          <w:szCs w:val="24"/>
          <w:highlight w:val="none"/>
        </w:rPr>
      </w:pPr>
    </w:p>
    <w:p w14:paraId="2BD4B2D2">
      <w:pPr>
        <w:spacing w:line="360" w:lineRule="auto"/>
        <w:ind w:firstLine="480" w:firstLineChars="200"/>
        <w:rPr>
          <w:rFonts w:ascii="宋体" w:hAnsi="宋体" w:cs="宋体"/>
          <w:color w:val="auto"/>
          <w:kern w:val="0"/>
          <w:sz w:val="24"/>
          <w:szCs w:val="24"/>
          <w:highlight w:val="none"/>
        </w:rPr>
      </w:pPr>
    </w:p>
    <w:p w14:paraId="78C442E1">
      <w:pPr>
        <w:spacing w:line="360" w:lineRule="auto"/>
        <w:ind w:firstLine="480" w:firstLineChars="200"/>
        <w:rPr>
          <w:rFonts w:ascii="宋体" w:hAnsi="宋体" w:cs="宋体"/>
          <w:color w:val="auto"/>
          <w:kern w:val="0"/>
          <w:sz w:val="24"/>
          <w:szCs w:val="24"/>
          <w:highlight w:val="none"/>
        </w:rPr>
      </w:pPr>
    </w:p>
    <w:p w14:paraId="79572677">
      <w:pPr>
        <w:spacing w:line="360" w:lineRule="auto"/>
        <w:ind w:firstLine="480" w:firstLineChars="200"/>
        <w:rPr>
          <w:rFonts w:ascii="宋体" w:hAnsi="宋体" w:cs="宋体"/>
          <w:color w:val="auto"/>
          <w:kern w:val="0"/>
          <w:sz w:val="24"/>
          <w:szCs w:val="24"/>
          <w:highlight w:val="none"/>
        </w:rPr>
      </w:pPr>
    </w:p>
    <w:p w14:paraId="31E84FA8">
      <w:pPr>
        <w:spacing w:line="560" w:lineRule="exact"/>
        <w:ind w:firstLine="1405" w:firstLineChars="500"/>
        <w:jc w:val="center"/>
        <w:rPr>
          <w:b/>
          <w:bCs/>
          <w:color w:val="auto"/>
          <w:sz w:val="28"/>
          <w:szCs w:val="32"/>
          <w:highlight w:val="none"/>
        </w:rPr>
      </w:pPr>
      <w:bookmarkStart w:id="211" w:name="_Toc7947"/>
      <w:bookmarkStart w:id="212" w:name="_Toc21783"/>
      <w:bookmarkStart w:id="213" w:name="_Toc5361"/>
      <w:bookmarkStart w:id="214" w:name="_Toc19199"/>
      <w:bookmarkStart w:id="215" w:name="_Toc16214"/>
      <w:bookmarkStart w:id="216" w:name="_Toc32229"/>
      <w:bookmarkStart w:id="217" w:name="_Toc21690"/>
      <w:bookmarkStart w:id="218" w:name="_Toc19027"/>
      <w:bookmarkStart w:id="219" w:name="_Toc9068"/>
      <w:r>
        <w:rPr>
          <w:rFonts w:hint="eastAsia"/>
          <w:b/>
          <w:bCs/>
          <w:color w:val="auto"/>
          <w:sz w:val="28"/>
          <w:szCs w:val="32"/>
          <w:highlight w:val="none"/>
        </w:rPr>
        <w:t>附件：福建省政府采购供应商资格承诺函</w:t>
      </w:r>
      <w:bookmarkEnd w:id="211"/>
      <w:bookmarkEnd w:id="212"/>
      <w:bookmarkEnd w:id="213"/>
      <w:bookmarkEnd w:id="214"/>
      <w:bookmarkEnd w:id="215"/>
      <w:bookmarkEnd w:id="216"/>
      <w:bookmarkEnd w:id="217"/>
      <w:bookmarkEnd w:id="218"/>
      <w:bookmarkEnd w:id="219"/>
    </w:p>
    <w:p w14:paraId="6C2C1DBA">
      <w:pPr>
        <w:spacing w:line="560" w:lineRule="exact"/>
        <w:rPr>
          <w:rFonts w:ascii="仿宋" w:hAnsi="仿宋" w:eastAsia="仿宋" w:cs="仿宋"/>
          <w:color w:val="auto"/>
          <w:sz w:val="32"/>
          <w:szCs w:val="32"/>
          <w:highlight w:val="none"/>
        </w:rPr>
      </w:pPr>
    </w:p>
    <w:p w14:paraId="3994CF73">
      <w:pPr>
        <w:spacing w:line="560" w:lineRule="exact"/>
        <w:rPr>
          <w:rFonts w:ascii="宋体" w:hAnsi="宋体" w:cs="宋体"/>
          <w:color w:val="auto"/>
          <w:sz w:val="24"/>
          <w:szCs w:val="24"/>
          <w:highlight w:val="none"/>
        </w:rPr>
      </w:pPr>
      <w:r>
        <w:rPr>
          <w:rFonts w:hint="eastAsia" w:ascii="宋体" w:hAnsi="宋体" w:cs="宋体"/>
          <w:color w:val="auto"/>
          <w:sz w:val="24"/>
          <w:szCs w:val="24"/>
          <w:highlight w:val="none"/>
        </w:rPr>
        <w:t>致（采购人或政府采购代理机构）:</w:t>
      </w:r>
    </w:p>
    <w:p w14:paraId="44A9A047">
      <w:pPr>
        <w:spacing w:line="560" w:lineRule="exact"/>
        <w:rPr>
          <w:rFonts w:ascii="宋体" w:hAnsi="宋体" w:cs="宋体"/>
          <w:color w:val="auto"/>
          <w:sz w:val="24"/>
          <w:szCs w:val="24"/>
          <w:highlight w:val="none"/>
        </w:rPr>
      </w:pPr>
      <w:r>
        <w:rPr>
          <w:rFonts w:hint="eastAsia" w:ascii="宋体" w:hAnsi="宋体" w:cs="宋体"/>
          <w:color w:val="auto"/>
          <w:sz w:val="24"/>
          <w:szCs w:val="24"/>
          <w:highlight w:val="none"/>
        </w:rPr>
        <w:t>单位名称（自然人姓名）:</w:t>
      </w:r>
    </w:p>
    <w:p w14:paraId="09521AC0">
      <w:pPr>
        <w:spacing w:line="560" w:lineRule="exact"/>
        <w:rPr>
          <w:rFonts w:ascii="宋体" w:hAnsi="宋体" w:cs="宋体"/>
          <w:color w:val="auto"/>
          <w:sz w:val="24"/>
          <w:szCs w:val="24"/>
          <w:highlight w:val="none"/>
        </w:rPr>
      </w:pPr>
      <w:r>
        <w:rPr>
          <w:rFonts w:hint="eastAsia" w:ascii="宋体" w:hAnsi="宋体" w:cs="宋体"/>
          <w:color w:val="auto"/>
          <w:sz w:val="24"/>
          <w:szCs w:val="24"/>
          <w:highlight w:val="none"/>
        </w:rPr>
        <w:t>统一社会信用代码（身份证号码）:</w:t>
      </w:r>
    </w:p>
    <w:p w14:paraId="4B14DA87">
      <w:pPr>
        <w:spacing w:line="560" w:lineRule="exact"/>
        <w:rPr>
          <w:rFonts w:ascii="宋体" w:hAnsi="宋体" w:cs="宋体"/>
          <w:color w:val="auto"/>
          <w:sz w:val="24"/>
          <w:szCs w:val="24"/>
          <w:highlight w:val="none"/>
        </w:rPr>
      </w:pPr>
      <w:r>
        <w:rPr>
          <w:rFonts w:hint="eastAsia" w:ascii="宋体" w:hAnsi="宋体" w:cs="宋体"/>
          <w:color w:val="auto"/>
          <w:sz w:val="24"/>
          <w:szCs w:val="24"/>
          <w:highlight w:val="none"/>
        </w:rPr>
        <w:t>法定代表人（负责人）:</w:t>
      </w:r>
    </w:p>
    <w:p w14:paraId="44D173F2">
      <w:pPr>
        <w:spacing w:line="560" w:lineRule="exact"/>
        <w:rPr>
          <w:rFonts w:ascii="宋体" w:hAnsi="宋体" w:cs="宋体"/>
          <w:color w:val="auto"/>
          <w:sz w:val="24"/>
          <w:szCs w:val="24"/>
          <w:highlight w:val="none"/>
        </w:rPr>
      </w:pPr>
      <w:r>
        <w:rPr>
          <w:rFonts w:hint="eastAsia" w:ascii="宋体" w:hAnsi="宋体" w:cs="宋体"/>
          <w:color w:val="auto"/>
          <w:sz w:val="24"/>
          <w:szCs w:val="24"/>
          <w:highlight w:val="none"/>
        </w:rPr>
        <w:t>联系地址和电话：</w:t>
      </w:r>
    </w:p>
    <w:p w14:paraId="7D2800DC">
      <w:pPr>
        <w:spacing w:line="560" w:lineRule="exact"/>
        <w:rPr>
          <w:rFonts w:ascii="宋体" w:hAnsi="宋体" w:cs="宋体"/>
          <w:color w:val="auto"/>
          <w:sz w:val="24"/>
          <w:szCs w:val="24"/>
          <w:highlight w:val="none"/>
        </w:rPr>
      </w:pPr>
    </w:p>
    <w:p w14:paraId="6329C4F9">
      <w:pPr>
        <w:spacing w:line="56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我单位（本人）自愿参加本次政府采购活动，严格遵守《中华人民共和国政府采购法》及相关法律法规，坚守公开、公平公正和诚实信用等原则，依法诚信经营，并郑重承诺：</w:t>
      </w:r>
    </w:p>
    <w:p w14:paraId="7A3BEB33">
      <w:pPr>
        <w:spacing w:line="56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一、我单位（本人）具备招标文件要求以及《中华人民共和国政府采购法》第二十二条规定的条件：</w:t>
      </w:r>
    </w:p>
    <w:p w14:paraId="70B37C2D">
      <w:pPr>
        <w:spacing w:line="56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1.具有独立承担民事责任的能力；</w:t>
      </w:r>
    </w:p>
    <w:p w14:paraId="603C259F">
      <w:pPr>
        <w:spacing w:line="56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2.具有良好的商业信誉和健全的财务会计制度；</w:t>
      </w:r>
    </w:p>
    <w:p w14:paraId="5DB190BF">
      <w:pPr>
        <w:spacing w:line="56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3.具有履行合同所必需的设备和专业技术能力；</w:t>
      </w:r>
    </w:p>
    <w:p w14:paraId="082EC08A">
      <w:pPr>
        <w:spacing w:line="56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4.有依法缴纳税收和社会保障资金的良好记录；</w:t>
      </w:r>
    </w:p>
    <w:p w14:paraId="1B09EED2">
      <w:pPr>
        <w:spacing w:line="56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5.参加政府采购活动前三年内，在经营活动中没有重大违法记录；</w:t>
      </w:r>
    </w:p>
    <w:p w14:paraId="2F9F0AEB">
      <w:pPr>
        <w:spacing w:line="56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6.法律、行政法规规定的其他条件。</w:t>
      </w:r>
    </w:p>
    <w:p w14:paraId="16F149DB">
      <w:pPr>
        <w:spacing w:line="56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14:paraId="681CF0BC">
      <w:pPr>
        <w:spacing w:line="56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我单位（本人）对本承诺函及所承诺事项的真实性、合法性及有效性负责，并已知晓如所作信用承诺不实，可能涉嫌《中华人民共和国政府采购法》第七十七条第一款第（一）项规定的“提供虚假材料谋取中标成交”违法情形。经调查属实的，愿意接受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3190EEF9">
      <w:pPr>
        <w:spacing w:line="560" w:lineRule="exact"/>
        <w:ind w:firstLine="2640" w:firstLineChars="1100"/>
        <w:rPr>
          <w:rFonts w:ascii="宋体" w:hAnsi="宋体" w:cs="宋体"/>
          <w:color w:val="auto"/>
          <w:sz w:val="24"/>
          <w:szCs w:val="24"/>
          <w:highlight w:val="none"/>
        </w:rPr>
      </w:pPr>
      <w:r>
        <w:rPr>
          <w:rFonts w:hint="eastAsia" w:ascii="宋体" w:hAnsi="宋体" w:cs="宋体"/>
          <w:color w:val="auto"/>
          <w:sz w:val="24"/>
          <w:szCs w:val="24"/>
          <w:highlight w:val="none"/>
        </w:rPr>
        <w:t>投标人名称（单位公章）:</w:t>
      </w:r>
    </w:p>
    <w:p w14:paraId="28A983BF">
      <w:pPr>
        <w:spacing w:line="560" w:lineRule="exact"/>
        <w:ind w:firstLine="2640" w:firstLineChars="1100"/>
        <w:rPr>
          <w:rFonts w:ascii="宋体" w:hAnsi="宋体" w:cs="宋体"/>
          <w:color w:val="auto"/>
          <w:sz w:val="24"/>
          <w:szCs w:val="24"/>
          <w:highlight w:val="none"/>
        </w:rPr>
      </w:pPr>
      <w:r>
        <w:rPr>
          <w:rFonts w:hint="eastAsia" w:ascii="宋体" w:hAnsi="宋体" w:cs="宋体"/>
          <w:color w:val="auto"/>
          <w:sz w:val="24"/>
          <w:szCs w:val="24"/>
          <w:highlight w:val="none"/>
        </w:rPr>
        <w:t xml:space="preserve"> 年   月   日</w:t>
      </w:r>
    </w:p>
    <w:p w14:paraId="3CE7D510">
      <w:pPr>
        <w:spacing w:line="560" w:lineRule="exact"/>
        <w:rPr>
          <w:rFonts w:ascii="仿宋" w:hAnsi="仿宋" w:eastAsia="仿宋" w:cs="仿宋"/>
          <w:color w:val="auto"/>
          <w:sz w:val="32"/>
          <w:szCs w:val="32"/>
          <w:highlight w:val="none"/>
        </w:rPr>
      </w:pPr>
    </w:p>
    <w:p w14:paraId="5DB3D04D">
      <w:pPr>
        <w:spacing w:line="560" w:lineRule="exact"/>
        <w:rPr>
          <w:rFonts w:ascii="仿宋" w:hAnsi="仿宋" w:eastAsia="仿宋" w:cs="仿宋"/>
          <w:color w:val="auto"/>
          <w:sz w:val="32"/>
          <w:szCs w:val="32"/>
          <w:highlight w:val="none"/>
        </w:rPr>
      </w:pPr>
    </w:p>
    <w:p w14:paraId="629CE524">
      <w:pPr>
        <w:spacing w:line="56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注：</w:t>
      </w:r>
    </w:p>
    <w:p w14:paraId="5ADBCDF6">
      <w:pPr>
        <w:spacing w:line="56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1.我单位（本人）专指参加政府采购活动的供应商（含自然人）；</w:t>
      </w:r>
    </w:p>
    <w:p w14:paraId="6FD5EAEA">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2.资格承诺的投标人应在投标（响应）文件中按此模板提供承诺函，否则，视为未按照招标文件规定提交投标人的资格及资信文件，按资格审查不通过处理。</w:t>
      </w:r>
    </w:p>
    <w:p w14:paraId="7095CB14">
      <w:pPr>
        <w:spacing w:line="360" w:lineRule="auto"/>
        <w:rPr>
          <w:rFonts w:ascii="宋体" w:hAnsi="宋体" w:cs="宋体"/>
          <w:color w:val="auto"/>
          <w:sz w:val="24"/>
          <w:szCs w:val="24"/>
          <w:highlight w:val="none"/>
        </w:rPr>
      </w:pPr>
    </w:p>
    <w:bookmarkEnd w:id="220"/>
    <w:sectPr>
      <w:footerReference r:id="rId1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幼圆">
    <w:altName w:val="宋体"/>
    <w:panose1 w:val="02010509060101010101"/>
    <w:charset w:val="86"/>
    <w:family w:val="modern"/>
    <w:pitch w:val="default"/>
    <w:sig w:usb0="00000000" w:usb1="00000000" w:usb2="00000000" w:usb3="00000000" w:csb0="00040000" w:csb1="00000000"/>
  </w:font>
  <w:font w:name="新宋体">
    <w:panose1 w:val="02010609030101010101"/>
    <w:charset w:val="86"/>
    <w:family w:val="modern"/>
    <w:pitch w:val="default"/>
    <w:sig w:usb0="00000283" w:usb1="288F0000" w:usb2="00000006" w:usb3="00000000" w:csb0="00040001" w:csb1="00000000"/>
  </w:font>
  <w:font w:name="Segoe UI Symbol">
    <w:panose1 w:val="020B0502040204020203"/>
    <w:charset w:val="00"/>
    <w:family w:val="swiss"/>
    <w:pitch w:val="default"/>
    <w:sig w:usb0="800001E3" w:usb1="1200FFEF" w:usb2="00040000" w:usb3="04000000" w:csb0="00000001" w:csb1="4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AAFB0F">
    <w:pPr>
      <w:pStyle w:val="13"/>
      <w:rPr>
        <w:rFonts w:ascii="宋体" w:hAnsi="宋体"/>
        <w:sz w:val="21"/>
        <w:szCs w:val="21"/>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06D850">
                          <w:pPr>
                            <w:pStyle w:val="13"/>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114</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7F06D850">
                    <w:pPr>
                      <w:pStyle w:val="13"/>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114</w:t>
                    </w:r>
                    <w:r>
                      <w:fldChar w:fldCharType="end"/>
                    </w:r>
                    <w:r>
                      <w:t xml:space="preserve"> 页</w:t>
                    </w:r>
                  </w:p>
                </w:txbxContent>
              </v:textbox>
            </v:shape>
          </w:pict>
        </mc:Fallback>
      </mc:AlternateContent>
    </w:r>
    <w:r>
      <w:rPr>
        <w:rFonts w:hint="eastAsia"/>
      </w:rPr>
      <w:t xml:space="preserve">                                          </w:t>
    </w:r>
    <w:r>
      <w:rPr>
        <w:rFonts w:hint="eastAsia" w:ascii="宋体" w:hAnsi="宋体"/>
        <w:sz w:val="21"/>
        <w:szCs w:val="21"/>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616638">
    <w:pPr>
      <w:pStyle w:val="13"/>
      <w:jc w:val="center"/>
    </w:pPr>
    <w:r>
      <w:rPr>
        <w:rFonts w:hint="eastAsia"/>
      </w:rPr>
      <w:t>3-1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1486C0">
    <w:pPr>
      <w:pStyle w:val="13"/>
      <w:rPr>
        <w:rFonts w:ascii="宋体" w:hAnsi="宋体"/>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D80BBB">
                          <w:pPr>
                            <w:pStyle w:val="13"/>
                          </w:pPr>
                          <w:r>
                            <w:t xml:space="preserve">第 </w:t>
                          </w:r>
                          <w:r>
                            <w:fldChar w:fldCharType="begin"/>
                          </w:r>
                          <w:r>
                            <w:instrText xml:space="preserve"> PAGE  \* MERGEFORMAT </w:instrText>
                          </w:r>
                          <w:r>
                            <w:fldChar w:fldCharType="separate"/>
                          </w:r>
                          <w:r>
                            <w:t>6</w:t>
                          </w:r>
                          <w:r>
                            <w:fldChar w:fldCharType="end"/>
                          </w:r>
                          <w:r>
                            <w:t xml:space="preserve"> 页 共 </w:t>
                          </w:r>
                          <w:r>
                            <w:fldChar w:fldCharType="begin"/>
                          </w:r>
                          <w:r>
                            <w:instrText xml:space="preserve"> NUMPAGES  \* MERGEFORMAT </w:instrText>
                          </w:r>
                          <w:r>
                            <w:fldChar w:fldCharType="separate"/>
                          </w:r>
                          <w:r>
                            <w:t>114</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71D80BBB">
                    <w:pPr>
                      <w:pStyle w:val="13"/>
                    </w:pPr>
                    <w:r>
                      <w:t xml:space="preserve">第 </w:t>
                    </w:r>
                    <w:r>
                      <w:fldChar w:fldCharType="begin"/>
                    </w:r>
                    <w:r>
                      <w:instrText xml:space="preserve"> PAGE  \* MERGEFORMAT </w:instrText>
                    </w:r>
                    <w:r>
                      <w:fldChar w:fldCharType="separate"/>
                    </w:r>
                    <w:r>
                      <w:t>6</w:t>
                    </w:r>
                    <w:r>
                      <w:fldChar w:fldCharType="end"/>
                    </w:r>
                    <w:r>
                      <w:t xml:space="preserve"> 页 共 </w:t>
                    </w:r>
                    <w:r>
                      <w:fldChar w:fldCharType="begin"/>
                    </w:r>
                    <w:r>
                      <w:instrText xml:space="preserve"> NUMPAGES  \* MERGEFORMAT </w:instrText>
                    </w:r>
                    <w:r>
                      <w:fldChar w:fldCharType="separate"/>
                    </w:r>
                    <w:r>
                      <w:t>114</w:t>
                    </w:r>
                    <w:r>
                      <w:fldChar w:fldCharType="end"/>
                    </w:r>
                    <w:r>
                      <w:t xml:space="preserve"> 页</w:t>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E49403">
                          <w:pPr>
                            <w:pStyle w:val="13"/>
                          </w:pPr>
                        </w:p>
                        <w:p w14:paraId="680D3AC0"/>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29E49403">
                    <w:pPr>
                      <w:pStyle w:val="13"/>
                    </w:pPr>
                  </w:p>
                  <w:p w14:paraId="680D3AC0"/>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1A2519">
    <w:pPr>
      <w:pStyle w:val="13"/>
      <w:tabs>
        <w:tab w:val="right" w:pos="8460"/>
        <w:tab w:val="clear" w:pos="8306"/>
      </w:tabs>
      <w:ind w:right="-89" w:firstLine="420"/>
      <w:rPr>
        <w:rFonts w:ascii="宋体" w:hAnsi="宋体"/>
      </w:rP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2F47A6">
                          <w:pPr>
                            <w:pStyle w:val="13"/>
                          </w:pPr>
                          <w:r>
                            <w:t xml:space="preserve">第 </w:t>
                          </w:r>
                          <w:r>
                            <w:fldChar w:fldCharType="begin"/>
                          </w:r>
                          <w:r>
                            <w:instrText xml:space="preserve"> PAGE  \* MERGEFORMAT </w:instrText>
                          </w:r>
                          <w:r>
                            <w:fldChar w:fldCharType="separate"/>
                          </w:r>
                          <w:r>
                            <w:t>30</w:t>
                          </w:r>
                          <w:r>
                            <w:fldChar w:fldCharType="end"/>
                          </w:r>
                          <w:r>
                            <w:t xml:space="preserve"> 页 共 </w:t>
                          </w:r>
                          <w:r>
                            <w:fldChar w:fldCharType="begin"/>
                          </w:r>
                          <w:r>
                            <w:instrText xml:space="preserve"> NUMPAGES  \* MERGEFORMAT </w:instrText>
                          </w:r>
                          <w:r>
                            <w:fldChar w:fldCharType="separate"/>
                          </w:r>
                          <w:r>
                            <w:t>114</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632F47A6">
                    <w:pPr>
                      <w:pStyle w:val="13"/>
                    </w:pPr>
                    <w:r>
                      <w:t xml:space="preserve">第 </w:t>
                    </w:r>
                    <w:r>
                      <w:fldChar w:fldCharType="begin"/>
                    </w:r>
                    <w:r>
                      <w:instrText xml:space="preserve"> PAGE  \* MERGEFORMAT </w:instrText>
                    </w:r>
                    <w:r>
                      <w:fldChar w:fldCharType="separate"/>
                    </w:r>
                    <w:r>
                      <w:t>30</w:t>
                    </w:r>
                    <w:r>
                      <w:fldChar w:fldCharType="end"/>
                    </w:r>
                    <w:r>
                      <w:t xml:space="preserve"> 页 共 </w:t>
                    </w:r>
                    <w:r>
                      <w:fldChar w:fldCharType="begin"/>
                    </w:r>
                    <w:r>
                      <w:instrText xml:space="preserve"> NUMPAGES  \* MERGEFORMAT </w:instrText>
                    </w:r>
                    <w:r>
                      <w:fldChar w:fldCharType="separate"/>
                    </w:r>
                    <w:r>
                      <w:t>114</w:t>
                    </w:r>
                    <w:r>
                      <w:fldChar w:fldCharType="end"/>
                    </w:r>
                    <w:r>
                      <w:t xml:space="preserve"> 页</w:t>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63CE4E">
                          <w:pPr>
                            <w:pStyle w:val="13"/>
                            <w:tabs>
                              <w:tab w:val="right" w:pos="8460"/>
                              <w:tab w:val="clear" w:pos="8306"/>
                            </w:tabs>
                            <w:ind w:right="-89" w:firstLine="420"/>
                          </w:pPr>
                        </w:p>
                        <w:p w14:paraId="60706582"/>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1863CE4E">
                    <w:pPr>
                      <w:pStyle w:val="13"/>
                      <w:tabs>
                        <w:tab w:val="right" w:pos="8460"/>
                        <w:tab w:val="clear" w:pos="8306"/>
                      </w:tabs>
                      <w:ind w:right="-89" w:firstLine="420"/>
                    </w:pPr>
                  </w:p>
                  <w:p w14:paraId="60706582"/>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F5BA50">
    <w:pPr>
      <w:pStyle w:val="13"/>
      <w:tabs>
        <w:tab w:val="right" w:pos="8460"/>
        <w:tab w:val="clear" w:pos="8306"/>
      </w:tabs>
      <w:ind w:right="-89" w:firstLine="420"/>
      <w:rPr>
        <w:rFonts w:ascii="宋体" w:hAnsi="宋体"/>
      </w:rP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0839FC">
                          <w:pPr>
                            <w:pStyle w:val="13"/>
                          </w:pPr>
                          <w:r>
                            <w:t xml:space="preserve">第 </w:t>
                          </w:r>
                          <w:r>
                            <w:fldChar w:fldCharType="begin"/>
                          </w:r>
                          <w:r>
                            <w:instrText xml:space="preserve"> PAGE  \* MERGEFORMAT </w:instrText>
                          </w:r>
                          <w:r>
                            <w:fldChar w:fldCharType="separate"/>
                          </w:r>
                          <w:r>
                            <w:t>45</w:t>
                          </w:r>
                          <w:r>
                            <w:fldChar w:fldCharType="end"/>
                          </w:r>
                          <w:r>
                            <w:t xml:space="preserve"> 页 共 </w:t>
                          </w:r>
                          <w:r>
                            <w:fldChar w:fldCharType="begin"/>
                          </w:r>
                          <w:r>
                            <w:instrText xml:space="preserve"> NUMPAGES  \* MERGEFORMAT </w:instrText>
                          </w:r>
                          <w:r>
                            <w:fldChar w:fldCharType="separate"/>
                          </w:r>
                          <w:r>
                            <w:t>114</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o+UsAgAAV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r+j5SwCAABVBAAADgAAAAAAAAABACAAAAAfAQAAZHJzL2Uyb0RvYy54bWxQSwUGAAAAAAYA&#10;BgBZAQAAvQUAAAAA&#10;">
              <v:fill on="f" focussize="0,0"/>
              <v:stroke on="f" weight="0.5pt"/>
              <v:imagedata o:title=""/>
              <o:lock v:ext="edit" aspectratio="f"/>
              <v:textbox inset="0mm,0mm,0mm,0mm" style="mso-fit-shape-to-text:t;">
                <w:txbxContent>
                  <w:p w14:paraId="2C0839FC">
                    <w:pPr>
                      <w:pStyle w:val="13"/>
                    </w:pPr>
                    <w:r>
                      <w:t xml:space="preserve">第 </w:t>
                    </w:r>
                    <w:r>
                      <w:fldChar w:fldCharType="begin"/>
                    </w:r>
                    <w:r>
                      <w:instrText xml:space="preserve"> PAGE  \* MERGEFORMAT </w:instrText>
                    </w:r>
                    <w:r>
                      <w:fldChar w:fldCharType="separate"/>
                    </w:r>
                    <w:r>
                      <w:t>45</w:t>
                    </w:r>
                    <w:r>
                      <w:fldChar w:fldCharType="end"/>
                    </w:r>
                    <w:r>
                      <w:t xml:space="preserve"> 页 共 </w:t>
                    </w:r>
                    <w:r>
                      <w:fldChar w:fldCharType="begin"/>
                    </w:r>
                    <w:r>
                      <w:instrText xml:space="preserve"> NUMPAGES  \* MERGEFORMAT </w:instrText>
                    </w:r>
                    <w:r>
                      <w:fldChar w:fldCharType="separate"/>
                    </w:r>
                    <w:r>
                      <w:t>114</w:t>
                    </w:r>
                    <w:r>
                      <w:fldChar w:fldCharType="end"/>
                    </w:r>
                    <w:r>
                      <w:t xml:space="preserve"> 页</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0BA2C6">
    <w:pPr>
      <w:pStyle w:val="13"/>
      <w:tabs>
        <w:tab w:val="right" w:pos="8460"/>
        <w:tab w:val="clear" w:pos="8306"/>
      </w:tabs>
      <w:ind w:right="-89" w:firstLine="420"/>
      <w:jc w:val="center"/>
      <w:rPr>
        <w:rFonts w:ascii="宋体" w:hAnsi="宋体"/>
      </w:rPr>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8A640B">
                          <w:pPr>
                            <w:pStyle w:val="13"/>
                          </w:pPr>
                          <w:r>
                            <w:t xml:space="preserve">第 </w:t>
                          </w:r>
                          <w:r>
                            <w:fldChar w:fldCharType="begin"/>
                          </w:r>
                          <w:r>
                            <w:instrText xml:space="preserve"> PAGE  \* MERGEFORMAT </w:instrText>
                          </w:r>
                          <w:r>
                            <w:fldChar w:fldCharType="separate"/>
                          </w:r>
                          <w:r>
                            <w:t>87</w:t>
                          </w:r>
                          <w:r>
                            <w:fldChar w:fldCharType="end"/>
                          </w:r>
                          <w:r>
                            <w:t xml:space="preserve"> 页 共 </w:t>
                          </w:r>
                          <w:r>
                            <w:fldChar w:fldCharType="begin"/>
                          </w:r>
                          <w:r>
                            <w:instrText xml:space="preserve"> NUMPAGES  \* MERGEFORMAT </w:instrText>
                          </w:r>
                          <w:r>
                            <w:fldChar w:fldCharType="separate"/>
                          </w:r>
                          <w:r>
                            <w:t>87</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14:paraId="4E8A640B">
                    <w:pPr>
                      <w:pStyle w:val="13"/>
                    </w:pPr>
                    <w:r>
                      <w:t xml:space="preserve">第 </w:t>
                    </w:r>
                    <w:r>
                      <w:fldChar w:fldCharType="begin"/>
                    </w:r>
                    <w:r>
                      <w:instrText xml:space="preserve"> PAGE  \* MERGEFORMAT </w:instrText>
                    </w:r>
                    <w:r>
                      <w:fldChar w:fldCharType="separate"/>
                    </w:r>
                    <w:r>
                      <w:t>87</w:t>
                    </w:r>
                    <w:r>
                      <w:fldChar w:fldCharType="end"/>
                    </w:r>
                    <w:r>
                      <w:t xml:space="preserve"> 页 共 </w:t>
                    </w:r>
                    <w:r>
                      <w:fldChar w:fldCharType="begin"/>
                    </w:r>
                    <w:r>
                      <w:instrText xml:space="preserve"> NUMPAGES  \* MERGEFORMAT </w:instrText>
                    </w:r>
                    <w:r>
                      <w:fldChar w:fldCharType="separate"/>
                    </w:r>
                    <w:r>
                      <w:t>87</w:t>
                    </w:r>
                    <w:r>
                      <w:fldChar w:fldCharType="end"/>
                    </w:r>
                    <w:r>
                      <w:t xml:space="preserve"> 页</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CB0648">
    <w:pPr>
      <w:pStyle w:val="13"/>
      <w:tabs>
        <w:tab w:val="right" w:pos="8460"/>
        <w:tab w:val="clear" w:pos="8306"/>
      </w:tabs>
      <w:ind w:right="-89" w:firstLine="420"/>
      <w:rPr>
        <w:rFonts w:ascii="宋体" w:hAnsi="宋体"/>
      </w:rP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5D93C3">
                          <w:pPr>
                            <w:pStyle w:val="13"/>
                          </w:pPr>
                          <w:r>
                            <w:t xml:space="preserve">第 </w:t>
                          </w:r>
                          <w:r>
                            <w:fldChar w:fldCharType="begin"/>
                          </w:r>
                          <w:r>
                            <w:instrText xml:space="preserve"> PAGE  \* MERGEFORMAT </w:instrText>
                          </w:r>
                          <w:r>
                            <w:fldChar w:fldCharType="separate"/>
                          </w:r>
                          <w:r>
                            <w:t>104</w:t>
                          </w:r>
                          <w:r>
                            <w:fldChar w:fldCharType="end"/>
                          </w:r>
                          <w:r>
                            <w:t xml:space="preserve"> 页 共 </w:t>
                          </w:r>
                          <w:r>
                            <w:fldChar w:fldCharType="begin"/>
                          </w:r>
                          <w:r>
                            <w:instrText xml:space="preserve"> NUMPAGES  \* MERGEFORMAT </w:instrText>
                          </w:r>
                          <w:r>
                            <w:fldChar w:fldCharType="separate"/>
                          </w:r>
                          <w:r>
                            <w:t>104</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14:paraId="1A5D93C3">
                    <w:pPr>
                      <w:pStyle w:val="13"/>
                    </w:pPr>
                    <w:r>
                      <w:t xml:space="preserve">第 </w:t>
                    </w:r>
                    <w:r>
                      <w:fldChar w:fldCharType="begin"/>
                    </w:r>
                    <w:r>
                      <w:instrText xml:space="preserve"> PAGE  \* MERGEFORMAT </w:instrText>
                    </w:r>
                    <w:r>
                      <w:fldChar w:fldCharType="separate"/>
                    </w:r>
                    <w:r>
                      <w:t>104</w:t>
                    </w:r>
                    <w:r>
                      <w:fldChar w:fldCharType="end"/>
                    </w:r>
                    <w:r>
                      <w:t xml:space="preserve"> 页 共 </w:t>
                    </w:r>
                    <w:r>
                      <w:fldChar w:fldCharType="begin"/>
                    </w:r>
                    <w:r>
                      <w:instrText xml:space="preserve"> NUMPAGES  \* MERGEFORMAT </w:instrText>
                    </w:r>
                    <w:r>
                      <w:fldChar w:fldCharType="separate"/>
                    </w:r>
                    <w:r>
                      <w:t>104</w:t>
                    </w:r>
                    <w:r>
                      <w:fldChar w:fldCharType="end"/>
                    </w:r>
                    <w:r>
                      <w:t xml:space="preserve"> 页</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FCC7D8">
    <w:pPr>
      <w:pStyle w:val="13"/>
      <w:tabs>
        <w:tab w:val="right" w:pos="8460"/>
        <w:tab w:val="clear" w:pos="8306"/>
      </w:tabs>
      <w:ind w:right="-89" w:firstLine="420"/>
      <w:rPr>
        <w:rFonts w:ascii="宋体" w:hAnsi="宋体"/>
      </w:rPr>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106912">
                          <w:pPr>
                            <w:pStyle w:val="13"/>
                          </w:pPr>
                          <w:r>
                            <w:t xml:space="preserve">第 </w:t>
                          </w:r>
                          <w:r>
                            <w:fldChar w:fldCharType="begin"/>
                          </w:r>
                          <w:r>
                            <w:instrText xml:space="preserve"> PAGE  \* MERGEFORMAT </w:instrText>
                          </w:r>
                          <w:r>
                            <w:fldChar w:fldCharType="separate"/>
                          </w:r>
                          <w:r>
                            <w:t>114</w:t>
                          </w:r>
                          <w:r>
                            <w:fldChar w:fldCharType="end"/>
                          </w:r>
                          <w:r>
                            <w:t xml:space="preserve"> 页 共 </w:t>
                          </w:r>
                          <w:r>
                            <w:fldChar w:fldCharType="begin"/>
                          </w:r>
                          <w:r>
                            <w:instrText xml:space="preserve"> NUMPAGES  \* MERGEFORMAT </w:instrText>
                          </w:r>
                          <w:r>
                            <w:fldChar w:fldCharType="separate"/>
                          </w:r>
                          <w:r>
                            <w:t>114</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pGcYw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RnGMKwIAAFcEAAAOAAAAAAAAAAEAIAAAAB8BAABkcnMvZTJvRG9jLnhtbFBLBQYAAAAABgAG&#10;AFkBAAC8BQAAAAA=&#10;">
              <v:fill on="f" focussize="0,0"/>
              <v:stroke on="f" weight="0.5pt"/>
              <v:imagedata o:title=""/>
              <o:lock v:ext="edit" aspectratio="f"/>
              <v:textbox inset="0mm,0mm,0mm,0mm" style="mso-fit-shape-to-text:t;">
                <w:txbxContent>
                  <w:p w14:paraId="36106912">
                    <w:pPr>
                      <w:pStyle w:val="13"/>
                    </w:pPr>
                    <w:r>
                      <w:t xml:space="preserve">第 </w:t>
                    </w:r>
                    <w:r>
                      <w:fldChar w:fldCharType="begin"/>
                    </w:r>
                    <w:r>
                      <w:instrText xml:space="preserve"> PAGE  \* MERGEFORMAT </w:instrText>
                    </w:r>
                    <w:r>
                      <w:fldChar w:fldCharType="separate"/>
                    </w:r>
                    <w:r>
                      <w:t>114</w:t>
                    </w:r>
                    <w:r>
                      <w:fldChar w:fldCharType="end"/>
                    </w:r>
                    <w:r>
                      <w:t xml:space="preserve"> 页 共 </w:t>
                    </w:r>
                    <w:r>
                      <w:fldChar w:fldCharType="begin"/>
                    </w:r>
                    <w:r>
                      <w:instrText xml:space="preserve"> NUMPAGES  \* MERGEFORMAT </w:instrText>
                    </w:r>
                    <w:r>
                      <w:fldChar w:fldCharType="separate"/>
                    </w:r>
                    <w:r>
                      <w:t>114</w:t>
                    </w:r>
                    <w:r>
                      <w:fldChar w:fldCharType="end"/>
                    </w:r>
                    <w:r>
                      <w:t xml:space="preserve"> 页</w:t>
                    </w: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AC00B8">
                          <w:pPr>
                            <w:pStyle w:val="13"/>
                            <w:tabs>
                              <w:tab w:val="right" w:pos="8460"/>
                              <w:tab w:val="clear" w:pos="8306"/>
                            </w:tabs>
                            <w:ind w:right="-89" w:firstLine="420"/>
                          </w:pPr>
                        </w:p>
                        <w:p w14:paraId="24657B4C"/>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31AC00B8">
                    <w:pPr>
                      <w:pStyle w:val="13"/>
                      <w:tabs>
                        <w:tab w:val="right" w:pos="8460"/>
                        <w:tab w:val="clear" w:pos="8306"/>
                      </w:tabs>
                      <w:ind w:right="-89" w:firstLine="420"/>
                    </w:pPr>
                  </w:p>
                  <w:p w14:paraId="24657B4C"/>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A38842">
    <w:pPr>
      <w:pStyle w:val="1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84C2E0">
    <w:pPr>
      <w:pStyle w:val="14"/>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B924D6">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755DE4"/>
    <w:multiLevelType w:val="singleLevel"/>
    <w:tmpl w:val="A2755DE4"/>
    <w:lvl w:ilvl="0" w:tentative="0">
      <w:start w:val="8"/>
      <w:numFmt w:val="decimal"/>
      <w:suff w:val="space"/>
      <w:lvlText w:val="%1."/>
      <w:lvlJc w:val="left"/>
    </w:lvl>
  </w:abstractNum>
  <w:abstractNum w:abstractNumId="1">
    <w:nsid w:val="0C7D3F4E"/>
    <w:multiLevelType w:val="multilevel"/>
    <w:tmpl w:val="0C7D3F4E"/>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25C22B40"/>
    <w:multiLevelType w:val="multilevel"/>
    <w:tmpl w:val="25C22B40"/>
    <w:lvl w:ilvl="0" w:tentative="0">
      <w:start w:val="1"/>
      <w:numFmt w:val="japaneseCounting"/>
      <w:lvlText w:val="%1、"/>
      <w:lvlJc w:val="left"/>
      <w:pPr>
        <w:tabs>
          <w:tab w:val="left" w:pos="480"/>
        </w:tabs>
        <w:ind w:left="480" w:hanging="48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YwM2ZiOWQ3ZmM5OTkzNDNmMzMwMzMxYWJkN2U1ZDkifQ=="/>
  </w:docVars>
  <w:rsids>
    <w:rsidRoot w:val="00826F6A"/>
    <w:rsid w:val="0000763D"/>
    <w:rsid w:val="000303E7"/>
    <w:rsid w:val="00030994"/>
    <w:rsid w:val="0003423D"/>
    <w:rsid w:val="000368BF"/>
    <w:rsid w:val="0004020A"/>
    <w:rsid w:val="0006215C"/>
    <w:rsid w:val="000732C5"/>
    <w:rsid w:val="00076F43"/>
    <w:rsid w:val="00093FB5"/>
    <w:rsid w:val="000971CF"/>
    <w:rsid w:val="000A142F"/>
    <w:rsid w:val="000C6E0C"/>
    <w:rsid w:val="000D10A5"/>
    <w:rsid w:val="000D3DD5"/>
    <w:rsid w:val="000E35F7"/>
    <w:rsid w:val="000F5947"/>
    <w:rsid w:val="001023CD"/>
    <w:rsid w:val="0010649F"/>
    <w:rsid w:val="00107D2E"/>
    <w:rsid w:val="001133E9"/>
    <w:rsid w:val="00127096"/>
    <w:rsid w:val="00180359"/>
    <w:rsid w:val="00190732"/>
    <w:rsid w:val="001A1C93"/>
    <w:rsid w:val="001B3193"/>
    <w:rsid w:val="001C5537"/>
    <w:rsid w:val="001D64B6"/>
    <w:rsid w:val="001E2E13"/>
    <w:rsid w:val="001E4519"/>
    <w:rsid w:val="001E7B5A"/>
    <w:rsid w:val="001F17B3"/>
    <w:rsid w:val="001F20E6"/>
    <w:rsid w:val="001F3294"/>
    <w:rsid w:val="00203852"/>
    <w:rsid w:val="002119A4"/>
    <w:rsid w:val="00217737"/>
    <w:rsid w:val="00232532"/>
    <w:rsid w:val="00243998"/>
    <w:rsid w:val="00253179"/>
    <w:rsid w:val="00256E7E"/>
    <w:rsid w:val="002601F2"/>
    <w:rsid w:val="002907E8"/>
    <w:rsid w:val="00293316"/>
    <w:rsid w:val="002A022E"/>
    <w:rsid w:val="002A4CB3"/>
    <w:rsid w:val="002A6A1D"/>
    <w:rsid w:val="002B3DE6"/>
    <w:rsid w:val="002C540F"/>
    <w:rsid w:val="002E15EC"/>
    <w:rsid w:val="002F23EA"/>
    <w:rsid w:val="002F2695"/>
    <w:rsid w:val="003243BD"/>
    <w:rsid w:val="0032711D"/>
    <w:rsid w:val="00330CEB"/>
    <w:rsid w:val="00336DE3"/>
    <w:rsid w:val="00350D15"/>
    <w:rsid w:val="00395616"/>
    <w:rsid w:val="003C1D35"/>
    <w:rsid w:val="003C629E"/>
    <w:rsid w:val="003C73AA"/>
    <w:rsid w:val="003D03FA"/>
    <w:rsid w:val="003D1A46"/>
    <w:rsid w:val="003E1F27"/>
    <w:rsid w:val="003E5DAD"/>
    <w:rsid w:val="003F1900"/>
    <w:rsid w:val="00411025"/>
    <w:rsid w:val="00435F2D"/>
    <w:rsid w:val="00451ADF"/>
    <w:rsid w:val="00480B8C"/>
    <w:rsid w:val="004813F9"/>
    <w:rsid w:val="00495F11"/>
    <w:rsid w:val="004A26E5"/>
    <w:rsid w:val="004B334F"/>
    <w:rsid w:val="004B4025"/>
    <w:rsid w:val="004C456F"/>
    <w:rsid w:val="004C7ADC"/>
    <w:rsid w:val="004D263D"/>
    <w:rsid w:val="004E2C29"/>
    <w:rsid w:val="00512E7A"/>
    <w:rsid w:val="00522DD8"/>
    <w:rsid w:val="00543E58"/>
    <w:rsid w:val="00572D9C"/>
    <w:rsid w:val="00580C4E"/>
    <w:rsid w:val="00590201"/>
    <w:rsid w:val="005A7272"/>
    <w:rsid w:val="005F5E74"/>
    <w:rsid w:val="006175EC"/>
    <w:rsid w:val="006333DA"/>
    <w:rsid w:val="00651935"/>
    <w:rsid w:val="006616EA"/>
    <w:rsid w:val="00676FCA"/>
    <w:rsid w:val="006819BC"/>
    <w:rsid w:val="006975F4"/>
    <w:rsid w:val="006B0797"/>
    <w:rsid w:val="006E11B4"/>
    <w:rsid w:val="007068F1"/>
    <w:rsid w:val="007200A5"/>
    <w:rsid w:val="007206C4"/>
    <w:rsid w:val="00722957"/>
    <w:rsid w:val="0074258A"/>
    <w:rsid w:val="00747980"/>
    <w:rsid w:val="00770DD1"/>
    <w:rsid w:val="00771713"/>
    <w:rsid w:val="00774D35"/>
    <w:rsid w:val="0077752A"/>
    <w:rsid w:val="00797ED3"/>
    <w:rsid w:val="007A6B2B"/>
    <w:rsid w:val="007B0E13"/>
    <w:rsid w:val="007B1BE3"/>
    <w:rsid w:val="007C1F16"/>
    <w:rsid w:val="007C6568"/>
    <w:rsid w:val="007D350F"/>
    <w:rsid w:val="007E5D94"/>
    <w:rsid w:val="007E5F12"/>
    <w:rsid w:val="007F64F1"/>
    <w:rsid w:val="007F6AD6"/>
    <w:rsid w:val="0082306F"/>
    <w:rsid w:val="00825E95"/>
    <w:rsid w:val="00826F6A"/>
    <w:rsid w:val="0085235B"/>
    <w:rsid w:val="00874F39"/>
    <w:rsid w:val="008850F5"/>
    <w:rsid w:val="008A5508"/>
    <w:rsid w:val="008B6210"/>
    <w:rsid w:val="008C3834"/>
    <w:rsid w:val="008C7A28"/>
    <w:rsid w:val="008E36AA"/>
    <w:rsid w:val="008F6E12"/>
    <w:rsid w:val="00904ABB"/>
    <w:rsid w:val="009273A5"/>
    <w:rsid w:val="009571A8"/>
    <w:rsid w:val="00965B65"/>
    <w:rsid w:val="00991887"/>
    <w:rsid w:val="00997AA5"/>
    <w:rsid w:val="009A536D"/>
    <w:rsid w:val="009B5F84"/>
    <w:rsid w:val="009E2E37"/>
    <w:rsid w:val="009E38FB"/>
    <w:rsid w:val="00A00100"/>
    <w:rsid w:val="00A11D47"/>
    <w:rsid w:val="00A20992"/>
    <w:rsid w:val="00A23508"/>
    <w:rsid w:val="00A24E67"/>
    <w:rsid w:val="00A25A7C"/>
    <w:rsid w:val="00A26E0E"/>
    <w:rsid w:val="00A3079F"/>
    <w:rsid w:val="00A43E9B"/>
    <w:rsid w:val="00A4666A"/>
    <w:rsid w:val="00A46EF5"/>
    <w:rsid w:val="00A504BB"/>
    <w:rsid w:val="00A5516F"/>
    <w:rsid w:val="00A569FC"/>
    <w:rsid w:val="00A62565"/>
    <w:rsid w:val="00A6554D"/>
    <w:rsid w:val="00A732D3"/>
    <w:rsid w:val="00A774EB"/>
    <w:rsid w:val="00A81BA7"/>
    <w:rsid w:val="00A838F7"/>
    <w:rsid w:val="00AB449C"/>
    <w:rsid w:val="00AB5097"/>
    <w:rsid w:val="00AB5A0E"/>
    <w:rsid w:val="00AD1791"/>
    <w:rsid w:val="00AD32AF"/>
    <w:rsid w:val="00AE3D28"/>
    <w:rsid w:val="00AF348C"/>
    <w:rsid w:val="00B25FF0"/>
    <w:rsid w:val="00B277B8"/>
    <w:rsid w:val="00B35523"/>
    <w:rsid w:val="00B644AC"/>
    <w:rsid w:val="00B65A20"/>
    <w:rsid w:val="00B8196C"/>
    <w:rsid w:val="00B867E1"/>
    <w:rsid w:val="00B87A2E"/>
    <w:rsid w:val="00B9489F"/>
    <w:rsid w:val="00BA0646"/>
    <w:rsid w:val="00BA20E7"/>
    <w:rsid w:val="00BB0022"/>
    <w:rsid w:val="00BC4F82"/>
    <w:rsid w:val="00BD0311"/>
    <w:rsid w:val="00BE38E5"/>
    <w:rsid w:val="00BF1DC6"/>
    <w:rsid w:val="00BF394F"/>
    <w:rsid w:val="00BF431E"/>
    <w:rsid w:val="00C52B5B"/>
    <w:rsid w:val="00C54628"/>
    <w:rsid w:val="00C60353"/>
    <w:rsid w:val="00C778BA"/>
    <w:rsid w:val="00C82823"/>
    <w:rsid w:val="00C82D76"/>
    <w:rsid w:val="00C91D90"/>
    <w:rsid w:val="00CA4F79"/>
    <w:rsid w:val="00CB724C"/>
    <w:rsid w:val="00CC58AD"/>
    <w:rsid w:val="00CD6750"/>
    <w:rsid w:val="00CE61EE"/>
    <w:rsid w:val="00D050E1"/>
    <w:rsid w:val="00D14B11"/>
    <w:rsid w:val="00D31DEA"/>
    <w:rsid w:val="00D31E90"/>
    <w:rsid w:val="00D42529"/>
    <w:rsid w:val="00D4331E"/>
    <w:rsid w:val="00D43701"/>
    <w:rsid w:val="00D4560F"/>
    <w:rsid w:val="00D57022"/>
    <w:rsid w:val="00D631A0"/>
    <w:rsid w:val="00D768ED"/>
    <w:rsid w:val="00D814DD"/>
    <w:rsid w:val="00D87BB7"/>
    <w:rsid w:val="00D90C1F"/>
    <w:rsid w:val="00D94B49"/>
    <w:rsid w:val="00DA2FA7"/>
    <w:rsid w:val="00DB3C87"/>
    <w:rsid w:val="00DC2203"/>
    <w:rsid w:val="00DD4AD1"/>
    <w:rsid w:val="00DE54F3"/>
    <w:rsid w:val="00E00BE6"/>
    <w:rsid w:val="00E17D36"/>
    <w:rsid w:val="00E23A8B"/>
    <w:rsid w:val="00E23C47"/>
    <w:rsid w:val="00E23CB8"/>
    <w:rsid w:val="00E4442C"/>
    <w:rsid w:val="00E466D0"/>
    <w:rsid w:val="00E46946"/>
    <w:rsid w:val="00E56D42"/>
    <w:rsid w:val="00E7401C"/>
    <w:rsid w:val="00E80B7C"/>
    <w:rsid w:val="00E9294C"/>
    <w:rsid w:val="00EA1A54"/>
    <w:rsid w:val="00EA3B0F"/>
    <w:rsid w:val="00ED0F4F"/>
    <w:rsid w:val="00ED38F5"/>
    <w:rsid w:val="00EE25A8"/>
    <w:rsid w:val="00F0251E"/>
    <w:rsid w:val="00F11077"/>
    <w:rsid w:val="00F27BF7"/>
    <w:rsid w:val="00F35172"/>
    <w:rsid w:val="00F35205"/>
    <w:rsid w:val="00F4346C"/>
    <w:rsid w:val="00F705F5"/>
    <w:rsid w:val="00F7074B"/>
    <w:rsid w:val="00F77DED"/>
    <w:rsid w:val="00F812C2"/>
    <w:rsid w:val="00FA342C"/>
    <w:rsid w:val="00FC0838"/>
    <w:rsid w:val="00FE141E"/>
    <w:rsid w:val="00FE1A5A"/>
    <w:rsid w:val="00FE3F5F"/>
    <w:rsid w:val="00FF23C9"/>
    <w:rsid w:val="00FF57CB"/>
    <w:rsid w:val="010F32B3"/>
    <w:rsid w:val="01372F6B"/>
    <w:rsid w:val="018D683C"/>
    <w:rsid w:val="02323469"/>
    <w:rsid w:val="038631D7"/>
    <w:rsid w:val="062B1963"/>
    <w:rsid w:val="06F2475A"/>
    <w:rsid w:val="06FE510A"/>
    <w:rsid w:val="07CD3520"/>
    <w:rsid w:val="07F5016F"/>
    <w:rsid w:val="087A735F"/>
    <w:rsid w:val="09451756"/>
    <w:rsid w:val="09BC3060"/>
    <w:rsid w:val="09FE5DD3"/>
    <w:rsid w:val="0A0B66F4"/>
    <w:rsid w:val="0A2E2B73"/>
    <w:rsid w:val="0C332BBF"/>
    <w:rsid w:val="0C61547A"/>
    <w:rsid w:val="0CB4643F"/>
    <w:rsid w:val="0E495AAC"/>
    <w:rsid w:val="0EFA3676"/>
    <w:rsid w:val="115754C3"/>
    <w:rsid w:val="11A1473D"/>
    <w:rsid w:val="11B26EFD"/>
    <w:rsid w:val="123C3BCD"/>
    <w:rsid w:val="123F3855"/>
    <w:rsid w:val="125208D6"/>
    <w:rsid w:val="12EB1F4D"/>
    <w:rsid w:val="14B34588"/>
    <w:rsid w:val="152F704F"/>
    <w:rsid w:val="15EC4E58"/>
    <w:rsid w:val="16BA0495"/>
    <w:rsid w:val="16FC5DD5"/>
    <w:rsid w:val="173A2288"/>
    <w:rsid w:val="17DA046B"/>
    <w:rsid w:val="184719C8"/>
    <w:rsid w:val="192C091C"/>
    <w:rsid w:val="194756B4"/>
    <w:rsid w:val="199B5A6B"/>
    <w:rsid w:val="1A7A7601"/>
    <w:rsid w:val="1A945F07"/>
    <w:rsid w:val="1BC91607"/>
    <w:rsid w:val="1C08232E"/>
    <w:rsid w:val="1C0F133D"/>
    <w:rsid w:val="1D6631A7"/>
    <w:rsid w:val="1DE657E0"/>
    <w:rsid w:val="1FA741F2"/>
    <w:rsid w:val="20352875"/>
    <w:rsid w:val="219A24E2"/>
    <w:rsid w:val="22B52201"/>
    <w:rsid w:val="236E65F4"/>
    <w:rsid w:val="245E34B2"/>
    <w:rsid w:val="24821614"/>
    <w:rsid w:val="24DD3BE7"/>
    <w:rsid w:val="24E3171F"/>
    <w:rsid w:val="250C0B1D"/>
    <w:rsid w:val="27231852"/>
    <w:rsid w:val="27AE3D34"/>
    <w:rsid w:val="28852F82"/>
    <w:rsid w:val="28FD346A"/>
    <w:rsid w:val="29662F39"/>
    <w:rsid w:val="29B665A4"/>
    <w:rsid w:val="29BE0485"/>
    <w:rsid w:val="2AA472C9"/>
    <w:rsid w:val="2AD25A69"/>
    <w:rsid w:val="2B6E75DA"/>
    <w:rsid w:val="2D847C20"/>
    <w:rsid w:val="2D9E6CB8"/>
    <w:rsid w:val="2DF05FAC"/>
    <w:rsid w:val="2EEB8DCB"/>
    <w:rsid w:val="2F61264C"/>
    <w:rsid w:val="2F677B6D"/>
    <w:rsid w:val="301430C7"/>
    <w:rsid w:val="31540708"/>
    <w:rsid w:val="327A6893"/>
    <w:rsid w:val="32D87018"/>
    <w:rsid w:val="336027BE"/>
    <w:rsid w:val="34FA6149"/>
    <w:rsid w:val="356F54B7"/>
    <w:rsid w:val="35EE1F50"/>
    <w:rsid w:val="36353B07"/>
    <w:rsid w:val="36763E56"/>
    <w:rsid w:val="3780003B"/>
    <w:rsid w:val="37E85B6A"/>
    <w:rsid w:val="3C6E4035"/>
    <w:rsid w:val="3C8142F8"/>
    <w:rsid w:val="3EFA1AB3"/>
    <w:rsid w:val="3EFB3011"/>
    <w:rsid w:val="41670749"/>
    <w:rsid w:val="417C2E5D"/>
    <w:rsid w:val="422C4104"/>
    <w:rsid w:val="42E50462"/>
    <w:rsid w:val="43364F5F"/>
    <w:rsid w:val="437443AC"/>
    <w:rsid w:val="44704C8B"/>
    <w:rsid w:val="448C580E"/>
    <w:rsid w:val="44C838D9"/>
    <w:rsid w:val="44EB17AA"/>
    <w:rsid w:val="45B47DEE"/>
    <w:rsid w:val="463762C9"/>
    <w:rsid w:val="46861692"/>
    <w:rsid w:val="484F66E4"/>
    <w:rsid w:val="489E6E0A"/>
    <w:rsid w:val="48B15D77"/>
    <w:rsid w:val="48BF61CB"/>
    <w:rsid w:val="48F533EC"/>
    <w:rsid w:val="48F92C4F"/>
    <w:rsid w:val="49D071C0"/>
    <w:rsid w:val="4DD07A02"/>
    <w:rsid w:val="4DD466A0"/>
    <w:rsid w:val="4E4C77C2"/>
    <w:rsid w:val="4F6934F6"/>
    <w:rsid w:val="4FF073E4"/>
    <w:rsid w:val="501E3A9D"/>
    <w:rsid w:val="51826589"/>
    <w:rsid w:val="52750474"/>
    <w:rsid w:val="536E2D8E"/>
    <w:rsid w:val="54306C0B"/>
    <w:rsid w:val="553B5E36"/>
    <w:rsid w:val="553E5FCB"/>
    <w:rsid w:val="55AA02EF"/>
    <w:rsid w:val="56C35466"/>
    <w:rsid w:val="56E2216E"/>
    <w:rsid w:val="56EE0C86"/>
    <w:rsid w:val="57836E6C"/>
    <w:rsid w:val="57C7F62E"/>
    <w:rsid w:val="5845005C"/>
    <w:rsid w:val="58545915"/>
    <w:rsid w:val="586F6A51"/>
    <w:rsid w:val="592F7555"/>
    <w:rsid w:val="59B30532"/>
    <w:rsid w:val="5A516DBA"/>
    <w:rsid w:val="5B1C088F"/>
    <w:rsid w:val="5BB05C2F"/>
    <w:rsid w:val="5BDF445A"/>
    <w:rsid w:val="5F0D7D2F"/>
    <w:rsid w:val="607C1C08"/>
    <w:rsid w:val="60E71D38"/>
    <w:rsid w:val="612B3202"/>
    <w:rsid w:val="618F61BA"/>
    <w:rsid w:val="619C2378"/>
    <w:rsid w:val="61DC6C34"/>
    <w:rsid w:val="6266644F"/>
    <w:rsid w:val="63F26D1C"/>
    <w:rsid w:val="64980B67"/>
    <w:rsid w:val="64A272D3"/>
    <w:rsid w:val="64FF3841"/>
    <w:rsid w:val="659D58DC"/>
    <w:rsid w:val="660F0FD2"/>
    <w:rsid w:val="66555272"/>
    <w:rsid w:val="67B908AE"/>
    <w:rsid w:val="67CD5013"/>
    <w:rsid w:val="69390486"/>
    <w:rsid w:val="6A806E45"/>
    <w:rsid w:val="6AF91D01"/>
    <w:rsid w:val="6BDC1E3B"/>
    <w:rsid w:val="6C242F9B"/>
    <w:rsid w:val="6DAD3F77"/>
    <w:rsid w:val="6DC16CE5"/>
    <w:rsid w:val="6E3466A6"/>
    <w:rsid w:val="720B7A3A"/>
    <w:rsid w:val="730503BA"/>
    <w:rsid w:val="733150FF"/>
    <w:rsid w:val="740956EB"/>
    <w:rsid w:val="74295617"/>
    <w:rsid w:val="74B62583"/>
    <w:rsid w:val="773D6C94"/>
    <w:rsid w:val="79464EAC"/>
    <w:rsid w:val="797D6CA4"/>
    <w:rsid w:val="79873F24"/>
    <w:rsid w:val="79B45270"/>
    <w:rsid w:val="7A0254F9"/>
    <w:rsid w:val="7AFA7CA5"/>
    <w:rsid w:val="7C490933"/>
    <w:rsid w:val="7DF6BCEE"/>
    <w:rsid w:val="7DFAE101"/>
    <w:rsid w:val="7E2949A3"/>
    <w:rsid w:val="7F915AA8"/>
    <w:rsid w:val="9FF2E358"/>
    <w:rsid w:val="DFF7B8AA"/>
    <w:rsid w:val="EFAFBBCA"/>
    <w:rsid w:val="F9FDA67F"/>
    <w:rsid w:val="FAB79CDC"/>
    <w:rsid w:val="FEE6798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spacing w:before="340" w:after="330" w:line="576" w:lineRule="auto"/>
      <w:jc w:val="center"/>
      <w:outlineLvl w:val="0"/>
    </w:pPr>
    <w:rPr>
      <w:b/>
      <w:kern w:val="44"/>
      <w:sz w:val="36"/>
      <w:szCs w:val="20"/>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0"/>
      <w:szCs w:val="32"/>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4">
    <w:name w:val="Normal Indent"/>
    <w:basedOn w:val="1"/>
    <w:link w:val="28"/>
    <w:qFormat/>
    <w:uiPriority w:val="0"/>
    <w:pPr>
      <w:ind w:firstLine="420"/>
    </w:pPr>
    <w:rPr>
      <w:rFonts w:ascii="Times New Roman" w:hAnsi="Times New Roman"/>
      <w:szCs w:val="20"/>
    </w:rPr>
  </w:style>
  <w:style w:type="paragraph" w:styleId="5">
    <w:name w:val="annotation text"/>
    <w:basedOn w:val="1"/>
    <w:semiHidden/>
    <w:unhideWhenUsed/>
    <w:qFormat/>
    <w:uiPriority w:val="99"/>
    <w:pPr>
      <w:jc w:val="left"/>
    </w:pPr>
  </w:style>
  <w:style w:type="paragraph" w:styleId="6">
    <w:name w:val="Body Text"/>
    <w:basedOn w:val="1"/>
    <w:next w:val="1"/>
    <w:link w:val="29"/>
    <w:qFormat/>
    <w:uiPriority w:val="0"/>
    <w:pPr>
      <w:jc w:val="center"/>
    </w:pPr>
    <w:rPr>
      <w:rFonts w:ascii="幼圆" w:hAnsi="新宋体" w:eastAsia="幼圆"/>
      <w:b/>
      <w:bCs/>
      <w:sz w:val="84"/>
      <w:szCs w:val="20"/>
      <w14:shadow w14:blurRad="50800" w14:dist="38100" w14:dir="2700000" w14:sx="100000" w14:sy="100000" w14:kx="0" w14:ky="0" w14:algn="tl">
        <w14:srgbClr w14:val="000000">
          <w14:alpha w14:val="60000"/>
        </w14:srgbClr>
      </w14:shadow>
    </w:rPr>
  </w:style>
  <w:style w:type="paragraph" w:styleId="7">
    <w:name w:val="Body Text Indent"/>
    <w:basedOn w:val="1"/>
    <w:next w:val="1"/>
    <w:qFormat/>
    <w:uiPriority w:val="0"/>
    <w:pPr>
      <w:ind w:left="420" w:leftChars="200"/>
    </w:pPr>
  </w:style>
  <w:style w:type="paragraph" w:styleId="8">
    <w:name w:val="toc 3"/>
    <w:basedOn w:val="1"/>
    <w:next w:val="1"/>
    <w:semiHidden/>
    <w:unhideWhenUsed/>
    <w:qFormat/>
    <w:uiPriority w:val="39"/>
    <w:pPr>
      <w:ind w:left="840" w:leftChars="400"/>
    </w:pPr>
  </w:style>
  <w:style w:type="paragraph" w:styleId="9">
    <w:name w:val="Plain Text"/>
    <w:basedOn w:val="1"/>
    <w:link w:val="30"/>
    <w:qFormat/>
    <w:uiPriority w:val="0"/>
    <w:rPr>
      <w:rFonts w:ascii="宋体" w:hAnsi="Courier New"/>
      <w:szCs w:val="20"/>
    </w:rPr>
  </w:style>
  <w:style w:type="paragraph" w:styleId="10">
    <w:name w:val="Date"/>
    <w:basedOn w:val="1"/>
    <w:next w:val="1"/>
    <w:link w:val="49"/>
    <w:semiHidden/>
    <w:unhideWhenUsed/>
    <w:qFormat/>
    <w:uiPriority w:val="99"/>
    <w:pPr>
      <w:ind w:left="100" w:leftChars="2500"/>
    </w:pPr>
  </w:style>
  <w:style w:type="paragraph" w:styleId="11">
    <w:name w:val="Body Text Indent 2"/>
    <w:basedOn w:val="1"/>
    <w:link w:val="31"/>
    <w:qFormat/>
    <w:uiPriority w:val="0"/>
    <w:pPr>
      <w:spacing w:after="120" w:line="480" w:lineRule="auto"/>
      <w:ind w:left="420"/>
    </w:pPr>
    <w:rPr>
      <w:rFonts w:ascii="Times New Roman" w:hAnsi="Times New Roman"/>
      <w:szCs w:val="20"/>
    </w:rPr>
  </w:style>
  <w:style w:type="paragraph" w:styleId="12">
    <w:name w:val="Balloon Text"/>
    <w:basedOn w:val="1"/>
    <w:link w:val="32"/>
    <w:unhideWhenUsed/>
    <w:qFormat/>
    <w:uiPriority w:val="99"/>
    <w:rPr>
      <w:rFonts w:ascii="Times New Roman" w:hAnsi="Times New Roman"/>
      <w:sz w:val="18"/>
      <w:szCs w:val="18"/>
    </w:rPr>
  </w:style>
  <w:style w:type="paragraph" w:styleId="13">
    <w:name w:val="footer"/>
    <w:basedOn w:val="1"/>
    <w:link w:val="33"/>
    <w:unhideWhenUsed/>
    <w:qFormat/>
    <w:uiPriority w:val="0"/>
    <w:pPr>
      <w:tabs>
        <w:tab w:val="center" w:pos="4153"/>
        <w:tab w:val="right" w:pos="8306"/>
      </w:tabs>
      <w:snapToGrid w:val="0"/>
      <w:jc w:val="left"/>
    </w:pPr>
    <w:rPr>
      <w:sz w:val="18"/>
      <w:szCs w:val="18"/>
    </w:rPr>
  </w:style>
  <w:style w:type="paragraph" w:styleId="14">
    <w:name w:val="header"/>
    <w:basedOn w:val="1"/>
    <w:link w:val="34"/>
    <w:unhideWhenUsed/>
    <w:qFormat/>
    <w:uiPriority w:val="0"/>
    <w:pPr>
      <w:pBdr>
        <w:bottom w:val="single" w:color="auto" w:sz="6" w:space="1"/>
      </w:pBdr>
      <w:tabs>
        <w:tab w:val="center" w:pos="4153"/>
        <w:tab w:val="right" w:pos="8306"/>
      </w:tabs>
      <w:snapToGrid w:val="0"/>
      <w:jc w:val="center"/>
    </w:pPr>
    <w:rPr>
      <w:sz w:val="18"/>
      <w:szCs w:val="18"/>
    </w:rPr>
  </w:style>
  <w:style w:type="paragraph" w:styleId="15">
    <w:name w:val="toc 1"/>
    <w:basedOn w:val="1"/>
    <w:next w:val="1"/>
    <w:unhideWhenUsed/>
    <w:qFormat/>
    <w:uiPriority w:val="39"/>
  </w:style>
  <w:style w:type="paragraph" w:styleId="16">
    <w:name w:val="toc 2"/>
    <w:basedOn w:val="1"/>
    <w:next w:val="1"/>
    <w:semiHidden/>
    <w:unhideWhenUsed/>
    <w:qFormat/>
    <w:uiPriority w:val="39"/>
    <w:pPr>
      <w:ind w:left="420" w:leftChars="200"/>
    </w:pPr>
  </w:style>
  <w:style w:type="paragraph" w:styleId="17">
    <w:name w:val="HTML Preformatted"/>
    <w:basedOn w:val="1"/>
    <w:link w:val="35"/>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18">
    <w:name w:val="Normal (Web)"/>
    <w:basedOn w:val="1"/>
    <w:unhideWhenUsed/>
    <w:qFormat/>
    <w:uiPriority w:val="99"/>
    <w:pPr>
      <w:widowControl/>
      <w:spacing w:before="100" w:beforeAutospacing="1" w:after="100" w:afterAutospacing="1"/>
      <w:jc w:val="left"/>
    </w:pPr>
    <w:rPr>
      <w:rFonts w:ascii="宋体" w:hAnsi="宋体" w:cs="宋体"/>
      <w:color w:val="000000"/>
      <w:kern w:val="0"/>
      <w:sz w:val="24"/>
      <w:szCs w:val="24"/>
    </w:rPr>
  </w:style>
  <w:style w:type="paragraph" w:styleId="19">
    <w:name w:val="Body Text First Indent"/>
    <w:basedOn w:val="6"/>
    <w:qFormat/>
    <w:uiPriority w:val="0"/>
    <w:pPr>
      <w:spacing w:after="120"/>
      <w:ind w:firstLine="420" w:firstLineChars="100"/>
      <w:jc w:val="both"/>
    </w:pPr>
    <w:rPr>
      <w:rFonts w:ascii="Times New Roman" w:hAnsi="Times New Roman" w:eastAsia="宋体"/>
      <w:b w:val="0"/>
      <w:bCs w:val="0"/>
      <w:sz w:val="21"/>
      <w:szCs w:val="24"/>
    </w:rPr>
  </w:style>
  <w:style w:type="paragraph" w:styleId="20">
    <w:name w:val="Body Text First Indent 2"/>
    <w:basedOn w:val="7"/>
    <w:next w:val="1"/>
    <w:qFormat/>
    <w:uiPriority w:val="0"/>
    <w:pPr>
      <w:ind w:firstLine="420" w:firstLineChars="200"/>
    </w:pPr>
  </w:style>
  <w:style w:type="table" w:styleId="22">
    <w:name w:val="Table Grid"/>
    <w:basedOn w:val="2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qFormat/>
    <w:uiPriority w:val="22"/>
    <w:rPr>
      <w:b/>
      <w:bCs/>
    </w:rPr>
  </w:style>
  <w:style w:type="character" w:styleId="25">
    <w:name w:val="page number"/>
    <w:basedOn w:val="23"/>
    <w:qFormat/>
    <w:uiPriority w:val="0"/>
  </w:style>
  <w:style w:type="character" w:styleId="26">
    <w:name w:val="Emphasis"/>
    <w:basedOn w:val="23"/>
    <w:qFormat/>
    <w:uiPriority w:val="20"/>
    <w:rPr>
      <w:i/>
      <w:iCs/>
    </w:rPr>
  </w:style>
  <w:style w:type="character" w:styleId="27">
    <w:name w:val="Hyperlink"/>
    <w:basedOn w:val="23"/>
    <w:unhideWhenUsed/>
    <w:qFormat/>
    <w:uiPriority w:val="0"/>
    <w:rPr>
      <w:color w:val="0000FF"/>
      <w:u w:val="single"/>
    </w:rPr>
  </w:style>
  <w:style w:type="character" w:customStyle="1" w:styleId="28">
    <w:name w:val="正文缩进 字符"/>
    <w:basedOn w:val="23"/>
    <w:link w:val="4"/>
    <w:qFormat/>
    <w:locked/>
    <w:uiPriority w:val="0"/>
    <w:rPr>
      <w:rFonts w:ascii="Times New Roman" w:hAnsi="Times New Roman"/>
      <w:kern w:val="2"/>
      <w:sz w:val="21"/>
    </w:rPr>
  </w:style>
  <w:style w:type="character" w:customStyle="1" w:styleId="29">
    <w:name w:val="正文文本 字符"/>
    <w:basedOn w:val="23"/>
    <w:link w:val="6"/>
    <w:qFormat/>
    <w:uiPriority w:val="0"/>
    <w:rPr>
      <w:rFonts w:ascii="幼圆" w:hAnsi="新宋体" w:eastAsia="幼圆"/>
      <w:b/>
      <w:bCs/>
      <w:kern w:val="2"/>
      <w:sz w:val="84"/>
      <w14:shadow w14:blurRad="50800" w14:dist="38100" w14:dir="2700000" w14:sx="100000" w14:sy="100000" w14:kx="0" w14:ky="0" w14:algn="tl">
        <w14:srgbClr w14:val="000000">
          <w14:alpha w14:val="60000"/>
        </w14:srgbClr>
      </w14:shadow>
    </w:rPr>
  </w:style>
  <w:style w:type="character" w:customStyle="1" w:styleId="30">
    <w:name w:val="纯文本 字符"/>
    <w:basedOn w:val="23"/>
    <w:link w:val="9"/>
    <w:qFormat/>
    <w:uiPriority w:val="0"/>
    <w:rPr>
      <w:rFonts w:ascii="宋体" w:hAnsi="Courier New"/>
      <w:kern w:val="2"/>
      <w:sz w:val="21"/>
    </w:rPr>
  </w:style>
  <w:style w:type="character" w:customStyle="1" w:styleId="31">
    <w:name w:val="正文文本缩进 2 字符"/>
    <w:basedOn w:val="23"/>
    <w:link w:val="11"/>
    <w:qFormat/>
    <w:uiPriority w:val="0"/>
    <w:rPr>
      <w:rFonts w:ascii="Times New Roman" w:hAnsi="Times New Roman"/>
      <w:kern w:val="2"/>
      <w:sz w:val="21"/>
    </w:rPr>
  </w:style>
  <w:style w:type="character" w:customStyle="1" w:styleId="32">
    <w:name w:val="批注框文本 字符"/>
    <w:basedOn w:val="23"/>
    <w:link w:val="12"/>
    <w:semiHidden/>
    <w:qFormat/>
    <w:uiPriority w:val="99"/>
    <w:rPr>
      <w:rFonts w:ascii="Times New Roman" w:hAnsi="Times New Roman"/>
      <w:kern w:val="2"/>
      <w:sz w:val="18"/>
      <w:szCs w:val="18"/>
    </w:rPr>
  </w:style>
  <w:style w:type="character" w:customStyle="1" w:styleId="33">
    <w:name w:val="页脚 字符"/>
    <w:basedOn w:val="23"/>
    <w:link w:val="13"/>
    <w:qFormat/>
    <w:uiPriority w:val="0"/>
    <w:rPr>
      <w:sz w:val="18"/>
      <w:szCs w:val="18"/>
    </w:rPr>
  </w:style>
  <w:style w:type="character" w:customStyle="1" w:styleId="34">
    <w:name w:val="页眉 字符"/>
    <w:basedOn w:val="23"/>
    <w:link w:val="14"/>
    <w:qFormat/>
    <w:uiPriority w:val="0"/>
    <w:rPr>
      <w:sz w:val="18"/>
      <w:szCs w:val="18"/>
    </w:rPr>
  </w:style>
  <w:style w:type="character" w:customStyle="1" w:styleId="35">
    <w:name w:val="HTML 预设格式 字符"/>
    <w:basedOn w:val="23"/>
    <w:link w:val="17"/>
    <w:semiHidden/>
    <w:qFormat/>
    <w:uiPriority w:val="99"/>
    <w:rPr>
      <w:rFonts w:ascii="宋体" w:hAnsi="宋体" w:cs="宋体"/>
      <w:sz w:val="24"/>
      <w:szCs w:val="24"/>
    </w:rPr>
  </w:style>
  <w:style w:type="character" w:customStyle="1" w:styleId="36">
    <w:name w:val="sp_dash"/>
    <w:basedOn w:val="23"/>
    <w:qFormat/>
    <w:uiPriority w:val="0"/>
  </w:style>
  <w:style w:type="character" w:customStyle="1" w:styleId="37">
    <w:name w:val="纯文本 Char"/>
    <w:basedOn w:val="23"/>
    <w:qFormat/>
    <w:uiPriority w:val="0"/>
    <w:rPr>
      <w:rFonts w:ascii="宋体" w:hAnsi="Courier New" w:cs="Courier New"/>
      <w:kern w:val="2"/>
      <w:sz w:val="21"/>
      <w:szCs w:val="21"/>
    </w:rPr>
  </w:style>
  <w:style w:type="character" w:customStyle="1" w:styleId="38">
    <w:name w:val="apple-converted-space"/>
    <w:basedOn w:val="23"/>
    <w:qFormat/>
    <w:uiPriority w:val="0"/>
  </w:style>
  <w:style w:type="character" w:customStyle="1" w:styleId="39">
    <w:name w:val="prc_air"/>
    <w:basedOn w:val="23"/>
    <w:qFormat/>
    <w:uiPriority w:val="0"/>
  </w:style>
  <w:style w:type="paragraph" w:customStyle="1" w:styleId="40">
    <w:name w:val="p_rtax"/>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41">
    <w:name w:val="p_ct"/>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42">
    <w:name w:val="p_date"/>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43">
    <w:name w:val="p_time"/>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44">
    <w:name w:val="p_airport"/>
    <w:basedOn w:val="1"/>
    <w:qFormat/>
    <w:uiPriority w:val="0"/>
    <w:pPr>
      <w:widowControl/>
      <w:spacing w:before="100" w:beforeAutospacing="1" w:after="100" w:afterAutospacing="1"/>
      <w:jc w:val="left"/>
    </w:pPr>
    <w:rPr>
      <w:rFonts w:ascii="宋体" w:hAnsi="宋体" w:cs="宋体"/>
      <w:kern w:val="0"/>
      <w:sz w:val="24"/>
      <w:szCs w:val="24"/>
    </w:rPr>
  </w:style>
  <w:style w:type="paragraph" w:styleId="45">
    <w:name w:val="List Paragraph"/>
    <w:basedOn w:val="1"/>
    <w:qFormat/>
    <w:uiPriority w:val="34"/>
    <w:pPr>
      <w:widowControl/>
      <w:spacing w:before="100" w:beforeAutospacing="1" w:after="100" w:afterAutospacing="1"/>
      <w:jc w:val="left"/>
    </w:pPr>
    <w:rPr>
      <w:rFonts w:ascii="宋体" w:hAnsi="宋体" w:cs="宋体"/>
      <w:color w:val="000000"/>
      <w:kern w:val="0"/>
      <w:sz w:val="24"/>
      <w:szCs w:val="24"/>
    </w:rPr>
  </w:style>
  <w:style w:type="paragraph" w:customStyle="1" w:styleId="46">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customStyle="1" w:styleId="47">
    <w:name w:val="样式3"/>
    <w:basedOn w:val="9"/>
    <w:qFormat/>
    <w:uiPriority w:val="0"/>
    <w:pPr>
      <w:spacing w:line="0" w:lineRule="atLeast"/>
      <w:outlineLvl w:val="0"/>
    </w:pPr>
    <w:rPr>
      <w:sz w:val="28"/>
    </w:rPr>
  </w:style>
  <w:style w:type="paragraph" w:customStyle="1" w:styleId="48">
    <w:name w:val="null3"/>
    <w:qFormat/>
    <w:uiPriority w:val="0"/>
    <w:rPr>
      <w:rFonts w:hint="eastAsia" w:ascii="Calibri" w:hAnsi="Calibri" w:eastAsia="宋体" w:cs="Times New Roman"/>
      <w:lang w:val="en-US" w:eastAsia="zh-CN" w:bidi="ar-SA"/>
    </w:rPr>
  </w:style>
  <w:style w:type="character" w:customStyle="1" w:styleId="49">
    <w:name w:val="日期 字符"/>
    <w:basedOn w:val="23"/>
    <w:link w:val="10"/>
    <w:semiHidden/>
    <w:qFormat/>
    <w:uiPriority w:val="99"/>
    <w:rPr>
      <w:rFonts w:ascii="Calibri" w:hAnsi="Calibri"/>
      <w:kern w:val="2"/>
      <w:sz w:val="21"/>
      <w:szCs w:val="22"/>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xmlns="http://schemas.wps.cn/vas-ai-hub/contract-review">
    <reviewItem xmlns="http://schemas.wps.cn/vas-ai-hub/contract-review">
      <errorID xmlns="http://schemas.wps.cn/vas-ai-hub/contract-review">499897c4-dcb9-4188-8657-4a6354181b08</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2334B55D</paraID>
      <start xmlns="http://schemas.wps.cn/vas-ai-hub/contract-review">15</start>
      <end xmlns="http://schemas.wps.cn/vas-ai-hub/contract-review">17</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4187fbb6-8660-4535-ba0c-dc48ed6d0e5c</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2334B55D</paraID>
      <start xmlns="http://schemas.wps.cn/vas-ai-hub/contract-review">23</start>
      <end xmlns="http://schemas.wps.cn/vas-ai-hub/contract-review">25</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26d20ee8-03e5-4531-a4cb-740568418b12</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当前序号格式不规范，建议修改为规范格式[1.]。</explain>
      <paraID xmlns="http://schemas.wps.cn/vas-ai-hub/contract-review">514120E6</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e0dd5992-13e7-4e56-b2d9-3d72f5d85d92</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405C38B7</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d9696c33-5efa-4baa-b266-227abb1ced67</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7F96C0FD</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a617fac4-e916-40ef-afee-d8b9c0749519</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23560958</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88149511-2aec-461f-9454-e27f3ab63f01</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3209A3F1</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7f9e6044-76f3-4264-ad74-ef4594bdf7fc</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3209A3F1</paraID>
      <start xmlns="http://schemas.wps.cn/vas-ai-hub/contract-review">32</start>
      <end xmlns="http://schemas.wps.cn/vas-ai-hub/contract-review">34</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1a02028d-8c6a-435c-94ec-cbf74732142f</errorID>
      <errorWord xmlns="http://schemas.wps.cn/vas-ai-hub/contract-review">6、</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6.</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6313476</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7fc220ed-118b-47ca-bd2f-27e21c6fa99e</errorID>
      <errorWord xmlns="http://schemas.wps.cn/vas-ai-hub/contract-review">7、</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7.</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37E55695</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6222f6ba-2599-45cb-97b2-3ba43ab1e797</errorID>
      <errorWord xmlns="http://schemas.wps.cn/vas-ai-hub/contract-review">8、</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8.</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39D6C9C9</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70ec20e0-5d4e-461d-b2fe-f86e8e6aacdf</errorID>
      <errorWord xmlns="http://schemas.wps.cn/vas-ai-hub/contract-review">9、</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9.</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3035D1BA</paraID>
      <start xmlns="http://schemas.wps.cn/vas-ai-hub/contract-review">3</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6686a7d5-8a21-49ca-b01f-4feb47829d51</errorID>
      <errorWord xmlns="http://schemas.wps.cn/vas-ai-hub/contract-review">10、</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10.</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44580E37</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6bde17a3-c9d3-41bd-9172-c090798e797c</errorID>
      <errorWord xmlns="http://schemas.wps.cn/vas-ai-hub/contract-review">11、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54D55A96</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08eeb9d3-50e1-407d-ae45-bdb8da13cc7d</errorID>
      <errorWord xmlns="http://schemas.wps.cn/vas-ai-hub/contract-review">12、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3EDE0C27</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2a9659ff-2758-46c5-b4ec-29df37246f6e</errorID>
      <errorWord xmlns="http://schemas.wps.cn/vas-ai-hub/contract-review">接收</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接受</item>
      </candidateList>
      <explain xmlns="http://schemas.wps.cn/vas-ai-hub/contract-review">存在发音相同字词的误用。</explain>
      <paraID xmlns="http://schemas.wps.cn/vas-ai-hub/contract-review">638F239F</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693bc4bc-5ef4-49f7-b72e-8e4c7e98b137</errorID>
      <errorWord xmlns="http://schemas.wps.cn/vas-ai-hub/contract-review">13、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6AE72772</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9d8cd988-e794-433c-a02d-63e4207456c1</errorID>
      <errorWord xmlns="http://schemas.wps.cn/vas-ai-hub/contract-review">14、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3D1962E3</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be277b18-9ca7-4e75-9a82-e7c33253089d</errorID>
      <errorWord xmlns="http://schemas.wps.cn/vas-ai-hub/contract-review">第3条</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第三条</item>
      </candidateList>
      <explain xmlns="http://schemas.wps.cn/vas-ai-hub/contract-review"/>
      <paraID xmlns="http://schemas.wps.cn/vas-ai-hub/contract-review">5960ED10</paraID>
      <start xmlns="http://schemas.wps.cn/vas-ai-hub/contract-review">12</start>
      <end xmlns="http://schemas.wps.cn/vas-ai-hub/contract-review">15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a4a69a06-8f8a-4383-b08b-3cb906e8aa53</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730E4AE9</paraID>
      <start xmlns="http://schemas.wps.cn/vas-ai-hub/contract-review">12</start>
      <end xmlns="http://schemas.wps.cn/vas-ai-hub/contract-review">14</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5297cdaa-de7d-474d-a038-f583de7cf4f8</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730E4AE9</paraID>
      <start xmlns="http://schemas.wps.cn/vas-ai-hub/contract-review">26</start>
      <end xmlns="http://schemas.wps.cn/vas-ai-hub/contract-review">28</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91ca84e2-4910-4ee5-9ef2-aef80be9bb1b</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50E8C91F</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2abe08b5-b903-4d0f-b8d0-587da7bd7306</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864E062</paraID>
      <start xmlns="http://schemas.wps.cn/vas-ai-hub/contract-review">4</start>
      <end xmlns="http://schemas.wps.cn/vas-ai-hub/contract-review">6</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7e415b46-374a-4869-9dcf-e62af10f299f</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864E062</paraID>
      <start xmlns="http://schemas.wps.cn/vas-ai-hub/contract-review">8</start>
      <end xmlns="http://schemas.wps.cn/vas-ai-hub/contract-review">10</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4e77fdf2-58f1-4060-adf4-b2ba71c9b458</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explain xmlns="http://schemas.wps.cn/vas-ai-hub/contract-review">此处标点可能未正确匹配，请检查句子中是否存在标点冗余、缺失或使用错误的情况。</explain>
      <paraID xmlns="http://schemas.wps.cn/vas-ai-hub/contract-review">23BB92FE</paraID>
      <start xmlns="http://schemas.wps.cn/vas-ai-hub/contract-review">0</start>
      <end xmlns="http://schemas.wps.cn/vas-ai-hub/contract-review">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f247f4a1-9ead-4b98-ae59-944d938a4081</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explain xmlns="http://schemas.wps.cn/vas-ai-hub/contract-review">此处标点可能未正确匹配，请检查句子中是否存在标点冗余、缺失或使用错误的情况。</explain>
      <paraID xmlns="http://schemas.wps.cn/vas-ai-hub/contract-review">23BB92FE</paraID>
      <start xmlns="http://schemas.wps.cn/vas-ai-hub/contract-review">8</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5ac29dff-5bdf-469a-920f-b73cb5c92eeb</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5FDC030F</paraID>
      <start xmlns="http://schemas.wps.cn/vas-ai-hub/contract-review">22</start>
      <end xmlns="http://schemas.wps.cn/vas-ai-hub/contract-review">24</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164e4e0e-1aef-4702-b584-b2567ac23efe</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347368A1</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9f513cbc-7711-4705-8136-a1903c8495df</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55590F0C</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71dfbd66-3658-4db5-aa53-c315c49f2ebd</errorID>
      <errorWord xmlns="http://schemas.wps.cn/vas-ai-hub/contract-review">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组在</item>
      </candidateList>
      <explain xmlns="http://schemas.wps.cn/vas-ai-hub/contract-review"/>
      <paraID xmlns="http://schemas.wps.cn/vas-ai-hub/contract-review">46B28AB0</paraID>
      <start xmlns="http://schemas.wps.cn/vas-ai-hub/contract-review">31</start>
      <end xmlns="http://schemas.wps.cn/vas-ai-hub/contract-review">32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4a8f2193-0f47-426e-a684-5dcaa1f9d0c4</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46B28AB0</paraID>
      <start xmlns="http://schemas.wps.cn/vas-ai-hub/contract-review">100</start>
      <end xmlns="http://schemas.wps.cn/vas-ai-hub/contract-review">102</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bee5997a-a1d9-4764-a97b-7e63f4a9253b</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46B28AB0</paraID>
      <start xmlns="http://schemas.wps.cn/vas-ai-hub/contract-review">106</start>
      <end xmlns="http://schemas.wps.cn/vas-ai-hub/contract-review">108</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c708faa0-7495-4dc5-888a-3403b1c1e9c4</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46B28AB0</paraID>
      <start xmlns="http://schemas.wps.cn/vas-ai-hub/contract-review">225</start>
      <end xmlns="http://schemas.wps.cn/vas-ai-hub/contract-review">227</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426349f4-501c-481e-8449-a060232b7dec</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46B28AB0</paraID>
      <start xmlns="http://schemas.wps.cn/vas-ai-hub/contract-review">233</start>
      <end xmlns="http://schemas.wps.cn/vas-ai-hub/contract-review">235</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5673be43-fee3-4b96-a800-f416e6367376</errorID>
      <errorWord xmlns="http://schemas.wps.cn/vas-ai-hub/contract-review">法律、法规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法律法规</item>
      </candidateList>
      <explain xmlns="http://schemas.wps.cn/vas-ai-hub/contract-review"/>
      <paraID xmlns="http://schemas.wps.cn/vas-ai-hub/contract-review"> 2C1C181</paraID>
      <start xmlns="http://schemas.wps.cn/vas-ai-hub/contract-review">17</start>
      <end xmlns="http://schemas.wps.cn/vas-ai-hub/contract-review">22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7bac0c97-8e0d-4807-91b6-77d94091b771</errorID>
      <errorWord xmlns="http://schemas.wps.cn/vas-ai-hub/contract-review">法律、法规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法律法规</item>
      </candidateList>
      <explain xmlns="http://schemas.wps.cn/vas-ai-hub/contract-review"/>
      <paraID xmlns="http://schemas.wps.cn/vas-ai-hub/contract-review"> 2C1C181</paraID>
      <start xmlns="http://schemas.wps.cn/vas-ai-hub/contract-review">45</start>
      <end xmlns="http://schemas.wps.cn/vas-ai-hub/contract-review">50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cebc4ea6-3246-47ce-a1ac-f68cbb05d7be</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6FD1A980</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f345e941-7950-4fc1-a0a5-fcb2295721c9</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5883BFD5</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82662735-f492-4bc7-91c7-3dbe10a9f39c</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73779608</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637c87f5-a49c-44fa-8c8f-6f3345ddb47b</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6ED57</paraID>
      <start xmlns="http://schemas.wps.cn/vas-ai-hub/contract-review">61</start>
      <end xmlns="http://schemas.wps.cn/vas-ai-hub/contract-review">63</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451dc676-b02b-40bc-9844-35215bcbc484</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6ED57</paraID>
      <start xmlns="http://schemas.wps.cn/vas-ai-hub/contract-review">64</start>
      <end xmlns="http://schemas.wps.cn/vas-ai-hub/contract-review">66</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63c45118-2fb3-4309-a5b4-5e06af40d93b</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6ED57</paraID>
      <start xmlns="http://schemas.wps.cn/vas-ai-hub/contract-review">93</start>
      <end xmlns="http://schemas.wps.cn/vas-ai-hub/contract-review">95</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0d381008-6936-42d4-842f-fee2386ed892</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6ED57</paraID>
      <start xmlns="http://schemas.wps.cn/vas-ai-hub/contract-review">96</start>
      <end xmlns="http://schemas.wps.cn/vas-ai-hub/contract-review">98</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1342a593-6119-4cb5-9490-f7a7168a7462</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6ED57</paraID>
      <start xmlns="http://schemas.wps.cn/vas-ai-hub/contract-review">116</start>
      <end xmlns="http://schemas.wps.cn/vas-ai-hub/contract-review">118</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d5c93913-a107-4f6a-b53e-97a483e208ee</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6ED57</paraID>
      <start xmlns="http://schemas.wps.cn/vas-ai-hub/contract-review">119</start>
      <end xmlns="http://schemas.wps.cn/vas-ai-hub/contract-review">121</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ec898c9b-68b3-4d0c-8a98-39e8e2c79060</errorID>
      <errorWord xmlns="http://schemas.wps.cn/vas-ai-hub/contract-review">法律、法规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法律法规</item>
      </candidateList>
      <explain xmlns="http://schemas.wps.cn/vas-ai-hub/contract-review"/>
      <paraID xmlns="http://schemas.wps.cn/vas-ai-hub/contract-review">16E25655</paraID>
      <start xmlns="http://schemas.wps.cn/vas-ai-hub/contract-review">6</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c4361f87-a0b4-44ce-a9a6-18141f661be7</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4C6E13AA</paraID>
      <start xmlns="http://schemas.wps.cn/vas-ai-hub/contract-review">40</start>
      <end xmlns="http://schemas.wps.cn/vas-ai-hub/contract-review">42</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eb93757a-165e-4ed4-8d28-b60ba54ff237</errorID>
      <errorWord xmlns="http://schemas.wps.cn/vas-ai-hub/contract-review">了其它</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了其他</item>
      </candidateList>
      <explain xmlns="http://schemas.wps.cn/vas-ai-hub/contract-review">词汇[了其它]为不规范表述或旧称，其规范书面表述为[了其他]。</explain>
      <paraID xmlns="http://schemas.wps.cn/vas-ai-hub/contract-review">1319B6A9</paraID>
      <start xmlns="http://schemas.wps.cn/vas-ai-hub/contract-review">180</start>
      <end xmlns="http://schemas.wps.cn/vas-ai-hub/contract-review">183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7a5e88b5-73a5-492e-a7a8-fd8f108156b7</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4AF0260A</paraID>
      <start xmlns="http://schemas.wps.cn/vas-ai-hub/contract-review">1</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cf0f4841-c217-463d-ae24-85f3ac32cca9</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5F924AF</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814873c0-2b21-4059-b58d-87dde0ebed9f</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609A7FD8</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37ec9007-22b6-42c8-859d-1f93e19baaf9</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652CAC12</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436f6c5e-2447-4879-911b-00888a55df57</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5A988E76</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e0eae85b-448d-4ded-a825-5770dab62f6a</errorID>
      <errorWord xmlns="http://schemas.wps.cn/vas-ai-hub/contract-review">(6)</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（6）</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65C03275</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13a7974c-8d1c-4fa3-b13c-6424b2bc0d62</errorID>
      <errorWord xmlns="http://schemas.wps.cn/vas-ai-hub/contract-review">(7)</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（7）</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384AA925</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ab5d7e2b-7323-4cb8-a3fe-56d48bb7f780</errorID>
      <errorWord xmlns="http://schemas.wps.cn/vas-ai-hub/contract-review">其它</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item>
      </candidateList>
      <explain xmlns="http://schemas.wps.cn/vas-ai-hub/contract-review">词汇[其它]为不规范表述或旧称，其规范书面表述为[其他]。</explain>
      <paraID xmlns="http://schemas.wps.cn/vas-ai-hub/contract-review">384AA925</paraID>
      <start xmlns="http://schemas.wps.cn/vas-ai-hub/contract-review">14</start>
      <end xmlns="http://schemas.wps.cn/vas-ai-hub/contract-review">16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642bd2a6-91a1-493a-9fbf-4f841ba351be</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5AFDA4C</paraID>
      <start xmlns="http://schemas.wps.cn/vas-ai-hub/contract-review">27</start>
      <end xmlns="http://schemas.wps.cn/vas-ai-hub/contract-review">29</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66a425ad-5326-41f3-baa1-9726ca484947</errorID>
      <errorWord xmlns="http://schemas.wps.cn/vas-ai-hub/contract-review">[2011]300号</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〔2011〕300号</item>
      </candidateList>
      <explain xmlns="http://schemas.wps.cn/vas-ai-hub/contract-review">发文字号格式错误。</explain>
      <paraID xmlns="http://schemas.wps.cn/vas-ai-hub/contract-review">7AEB6448</paraID>
      <start xmlns="http://schemas.wps.cn/vas-ai-hub/contract-review">26</start>
      <end xmlns="http://schemas.wps.cn/vas-ai-hub/contract-review">46</end>
      <status xmlns="http://schemas.wps.cn/vas-ai-hub/contract-review">modified</status>
      <modifiedWord xmlns="http://schemas.wps.cn/vas-ai-hub/contract-review">〔2011〕300号</modifiedWord>
      <trackRevisions xmlns="http://schemas.wps.cn/vas-ai-hub/contract-review">true</trackRevisions>
    </reviewItem>
    <reviewItem xmlns="http://schemas.wps.cn/vas-ai-hub/contract-review">
      <errorID xmlns="http://schemas.wps.cn/vas-ai-hub/contract-review">6ab9f1b7-2121-489b-ab33-a099fe3eeed8</errorID>
      <errorWord xmlns="http://schemas.wps.cn/vas-ai-hub/contract-review">[2011]300号</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〔2011〕300号</item>
      </candidateList>
      <explain xmlns="http://schemas.wps.cn/vas-ai-hub/contract-review">发文字号格式错误。</explain>
      <paraID xmlns="http://schemas.wps.cn/vas-ai-hub/contract-review">31CF0CF8</paraID>
      <start xmlns="http://schemas.wps.cn/vas-ai-hub/contract-review">34</start>
      <end xmlns="http://schemas.wps.cn/vas-ai-hub/contract-review">54</end>
      <status xmlns="http://schemas.wps.cn/vas-ai-hub/contract-review">modified</status>
      <modifiedWord xmlns="http://schemas.wps.cn/vas-ai-hub/contract-review">〔2011〕300号</modifiedWord>
      <trackRevisions xmlns="http://schemas.wps.cn/vas-ai-hub/contract-review">true</trackRevisions>
    </reviewItem>
    <reviewItem xmlns="http://schemas.wps.cn/vas-ai-hub/contract-review">
      <errorID xmlns="http://schemas.wps.cn/vas-ai-hub/contract-review">2d4a1b6a-03f9-4761-bce4-492bb9871071</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，对</item>
      </candidateList>
      <explain xmlns="http://schemas.wps.cn/vas-ai-hub/contract-review"/>
      <paraID xmlns="http://schemas.wps.cn/vas-ai-hub/contract-review">666F08A6</paraID>
      <start xmlns="http://schemas.wps.cn/vas-ai-hub/contract-review">15</start>
      <end xmlns="http://schemas.wps.cn/vas-ai-hub/contract-review">16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5eddb7be-c2a1-47d6-ad18-ab9249a815b1</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1C0EDB0D</paraID>
      <start xmlns="http://schemas.wps.cn/vas-ai-hub/contract-review">47</start>
      <end xmlns="http://schemas.wps.cn/vas-ai-hub/contract-review">48</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7ce30908-c039-44b1-8886-5a0bc807ce68</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1C0EDB0D</paraID>
      <start xmlns="http://schemas.wps.cn/vas-ai-hub/contract-review">50</start>
      <end xmlns="http://schemas.wps.cn/vas-ai-hub/contract-review">51</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27822860-49f6-4411-835e-94fbb4057936</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1C0EDB0D</paraID>
      <start xmlns="http://schemas.wps.cn/vas-ai-hub/contract-review">66</start>
      <end xmlns="http://schemas.wps.cn/vas-ai-hub/contract-review">67</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e9eb6389-325c-46d7-9544-715c8deda259</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1C0EDB0D</paraID>
      <start xmlns="http://schemas.wps.cn/vas-ai-hub/contract-review">69</start>
      <end xmlns="http://schemas.wps.cn/vas-ai-hub/contract-review">70</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51537fea-a7d9-4793-9654-dbfeccc0f2b0</errorID>
      <errorWord xmlns="http://schemas.wps.cn/vas-ai-hub/contract-review">〔2020〕 123号</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〔2020〕123号</item>
      </candidateList>
      <explain xmlns="http://schemas.wps.cn/vas-ai-hub/contract-review">发文字号格式错误。</explain>
      <paraID xmlns="http://schemas.wps.cn/vas-ai-hub/contract-review">1C0EDB0D</paraID>
      <start xmlns="http://schemas.wps.cn/vas-ai-hub/contract-review">79</start>
      <end xmlns="http://schemas.wps.cn/vas-ai-hub/contract-review">89</end>
      <status xmlns="http://schemas.wps.cn/vas-ai-hub/contract-review">modified</status>
      <modifiedWord xmlns="http://schemas.wps.cn/vas-ai-hub/contract-review">〔2020〕123号</modifiedWord>
      <trackRevisions xmlns="http://schemas.wps.cn/vas-ai-hub/contract-review">true</trackRevisions>
    </reviewItem>
    <reviewItem xmlns="http://schemas.wps.cn/vas-ai-hub/contract-review">
      <errorID xmlns="http://schemas.wps.cn/vas-ai-hub/contract-review">943ecf45-47ca-42ec-b2ec-bcc9216560ca</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5E12CD0C</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b4f54f01-6a85-4647-bf6a-05d35b293e45</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5E12CD0C</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7fe4cca6-8cb5-4ce7-a214-0327ed5d3b25</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B1ACC20</paraID>
      <start xmlns="http://schemas.wps.cn/vas-ai-hub/contract-review">7</start>
      <end xmlns="http://schemas.wps.cn/vas-ai-hub/contract-review">9</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d79f5ca6-093b-4df2-a799-fd7b6badae02</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B1ACC20</paraID>
      <start xmlns="http://schemas.wps.cn/vas-ai-hub/contract-review">11</start>
      <end xmlns="http://schemas.wps.cn/vas-ai-hub/contract-review">13</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f8910953-a4b0-4cba-9065-b4c3f27b05b6</errorID>
      <errorWord xmlns="http://schemas.wps.cn/vas-ai-hub/contract-review">带</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戴</item>
      </candidateList>
      <explain xmlns="http://schemas.wps.cn/vas-ai-hub/contract-review">❶〈动〉把东西放在头、面、颈、胸、臂等处：～帽子｜～花｜～眼镜｜～红领巾◇披星～月｜不共～天。❷拥护尊敬：爱～｜感～。❸（Dài）〈名〉姓。</explain>
      <paraID xmlns="http://schemas.wps.cn/vas-ai-hub/contract-review"> FA18D97</paraID>
      <start xmlns="http://schemas.wps.cn/vas-ai-hub/contract-review">64</start>
      <end xmlns="http://schemas.wps.cn/vas-ai-hub/contract-review">65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42579ac0-fd13-4fdb-b5f5-2db6ed0c8292</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FA18D97</paraID>
      <start xmlns="http://schemas.wps.cn/vas-ai-hub/contract-review">101</start>
      <end xmlns="http://schemas.wps.cn/vas-ai-hub/contract-review">103</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3ae4460d-c8e0-416a-bc04-1ff20d96b88d</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1449CBB8</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047c08c7-a00a-4c06-9e3e-f0b2849320a9</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9D37F84</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a36b9299-b567-4dc0-9e35-248c73d4d0b0</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9D37F84</paraID>
      <start xmlns="http://schemas.wps.cn/vas-ai-hub/contract-review">6</start>
      <end xmlns="http://schemas.wps.cn/vas-ai-hub/contract-review">8</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94f721bb-7950-48f6-afe9-53d27c6f1b80</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9D37F84</paraID>
      <start xmlns="http://schemas.wps.cn/vas-ai-hub/contract-review">9</start>
      <end xmlns="http://schemas.wps.cn/vas-ai-hub/contract-review">11</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b7084f36-bd00-48c1-a2a0-abe4b98fa769</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9D37F84</paraID>
      <start xmlns="http://schemas.wps.cn/vas-ai-hub/contract-review">41</start>
      <end xmlns="http://schemas.wps.cn/vas-ai-hub/contract-review">43</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e3a1319e-3a11-4d21-891c-d94219c6ce27</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9D37F84</paraID>
      <start xmlns="http://schemas.wps.cn/vas-ai-hub/contract-review">79</start>
      <end xmlns="http://schemas.wps.cn/vas-ai-hub/contract-review">81</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831f4952-c76b-4c3e-bb6e-c1e03e7bb6ed</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9D37F84</paraID>
      <start xmlns="http://schemas.wps.cn/vas-ai-hub/contract-review">83</start>
      <end xmlns="http://schemas.wps.cn/vas-ai-hub/contract-review">85</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75f9436f-5106-4831-8666-8f776f3d94d2</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9D37F84</paraID>
      <start xmlns="http://schemas.wps.cn/vas-ai-hub/contract-review">91</start>
      <end xmlns="http://schemas.wps.cn/vas-ai-hub/contract-review">93</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180e9244-e204-4a3e-b37a-ffe27789d0ef</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9D37F84</paraID>
      <start xmlns="http://schemas.wps.cn/vas-ai-hub/contract-review">94</start>
      <end xmlns="http://schemas.wps.cn/vas-ai-hub/contract-review">96</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f5d1456d-385b-4dd0-bd0e-8081a636a92a</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9D37F84</paraID>
      <start xmlns="http://schemas.wps.cn/vas-ai-hub/contract-review">102</start>
      <end xmlns="http://schemas.wps.cn/vas-ai-hub/contract-review">104</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3d97a467-bfa9-4675-9f41-dc1574936224</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9D37F84</paraID>
      <start xmlns="http://schemas.wps.cn/vas-ai-hub/contract-review">106</start>
      <end xmlns="http://schemas.wps.cn/vas-ai-hub/contract-review">108</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0bd4aab8-347c-4917-8e7f-533ddf7bd4bc</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9D37F84</paraID>
      <start xmlns="http://schemas.wps.cn/vas-ai-hub/contract-review">119</start>
      <end xmlns="http://schemas.wps.cn/vas-ai-hub/contract-review">121</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3af5274a-ccf6-48e4-919f-e79baa72df8c</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64F55539</paraID>
      <start xmlns="http://schemas.wps.cn/vas-ai-hub/contract-review">28</start>
      <end xmlns="http://schemas.wps.cn/vas-ai-hub/contract-review">30</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9a9f9af7-6335-4aa6-97fc-22541cd6bf65</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606F450B</paraID>
      <start xmlns="http://schemas.wps.cn/vas-ai-hub/contract-review">1</start>
      <end xmlns="http://schemas.wps.cn/vas-ai-hub/contract-review">3</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2df7f880-772d-41bc-9a68-2013adcae2f0</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305E0EA2</paraID>
      <start xmlns="http://schemas.wps.cn/vas-ai-hub/contract-review">27</start>
      <end xmlns="http://schemas.wps.cn/vas-ai-hub/contract-review">29</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2d351c48-7738-4752-84bf-678fbfa3a310</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305E0EA2</paraID>
      <start xmlns="http://schemas.wps.cn/vas-ai-hub/contract-review">31</start>
      <end xmlns="http://schemas.wps.cn/vas-ai-hub/contract-review">33</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6a0ada0d-253a-4c5c-8a73-b028f2797c38</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，在</item>
      </candidateList>
      <explain xmlns="http://schemas.wps.cn/vas-ai-hub/contract-review"/>
      <paraID xmlns="http://schemas.wps.cn/vas-ai-hub/contract-review">69A6F1AC</paraID>
      <start xmlns="http://schemas.wps.cn/vas-ai-hub/contract-review">75</start>
      <end xmlns="http://schemas.wps.cn/vas-ai-hub/contract-review">76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9c8fa024-23e9-4436-8148-356625def311</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42120CBF</paraID>
      <start xmlns="http://schemas.wps.cn/vas-ai-hub/contract-review">7</start>
      <end xmlns="http://schemas.wps.cn/vas-ai-hub/contract-review">9</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1572a75e-6312-47aa-9514-3b8bbf62d112</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42120CBF</paraID>
      <start xmlns="http://schemas.wps.cn/vas-ai-hub/contract-review">11</start>
      <end xmlns="http://schemas.wps.cn/vas-ai-hub/contract-review">13</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296a84e9-aa4a-4e11-81c2-78487bd78794</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37AE1EA2</paraID>
      <start xmlns="http://schemas.wps.cn/vas-ai-hub/contract-review">64</start>
      <end xmlns="http://schemas.wps.cn/vas-ai-hub/contract-review">66</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ef1e12d8-f33f-42b8-b65a-c20abfcfd59a</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37AE1EA2</paraID>
      <start xmlns="http://schemas.wps.cn/vas-ai-hub/contract-review">83</start>
      <end xmlns="http://schemas.wps.cn/vas-ai-hub/contract-review">85</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106b79b7-92af-4aa7-a707-aa4b756e56d3</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C62140D</paraID>
      <start xmlns="http://schemas.wps.cn/vas-ai-hub/contract-review">53</start>
      <end xmlns="http://schemas.wps.cn/vas-ai-hub/contract-review">55</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fa670e59-7000-4111-bf3c-8f77c0cd7425</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C62140D</paraID>
      <start xmlns="http://schemas.wps.cn/vas-ai-hub/contract-review">72</start>
      <end xmlns="http://schemas.wps.cn/vas-ai-hub/contract-review">74</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327b78c0-3894-4a48-b3a7-9bbf3b908bd7</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2BE82BF9</paraID>
      <start xmlns="http://schemas.wps.cn/vas-ai-hub/contract-review">51</start>
      <end xmlns="http://schemas.wps.cn/vas-ai-hub/contract-review">53</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99f1c96d-e640-452b-b9ca-f31eb0b9071c</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2BE82BF9</paraID>
      <start xmlns="http://schemas.wps.cn/vas-ai-hub/contract-review">70</start>
      <end xmlns="http://schemas.wps.cn/vas-ai-hub/contract-review">72</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0daada91-3465-41aa-a741-bc0c04e68446</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2ACCFD9C</paraID>
      <start xmlns="http://schemas.wps.cn/vas-ai-hub/contract-review">51</start>
      <end xmlns="http://schemas.wps.cn/vas-ai-hub/contract-review">53</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cb580070-6c94-4589-8116-9e6a8406455c</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2ACCFD9C</paraID>
      <start xmlns="http://schemas.wps.cn/vas-ai-hub/contract-review">70</start>
      <end xmlns="http://schemas.wps.cn/vas-ai-hub/contract-review">72</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5db639fb-12fc-4f8f-a3cc-8a8a595fce67</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55F8BBF</paraID>
      <start xmlns="http://schemas.wps.cn/vas-ai-hub/contract-review">55</start>
      <end xmlns="http://schemas.wps.cn/vas-ai-hub/contract-review">57</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8b607c72-865d-49f6-b58f-afd45fd7fe10</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55F8BBF</paraID>
      <start xmlns="http://schemas.wps.cn/vas-ai-hub/contract-review">74</start>
      <end xmlns="http://schemas.wps.cn/vas-ai-hub/contract-review">76</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e47b3bfb-a575-4aaf-b226-1358778aa74e</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4A0F9ED1</paraID>
      <start xmlns="http://schemas.wps.cn/vas-ai-hub/contract-review">71</start>
      <end xmlns="http://schemas.wps.cn/vas-ai-hub/contract-review">73</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5f3d68b0-af70-484b-a5ce-6354662688b3</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4424B927</paraID>
      <start xmlns="http://schemas.wps.cn/vas-ai-hub/contract-review">56</start>
      <end xmlns="http://schemas.wps.cn/vas-ai-hub/contract-review">58</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ec715518-4e4b-4f1f-a9ad-e7ea3fb023f3</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4424B927</paraID>
      <start xmlns="http://schemas.wps.cn/vas-ai-hub/contract-review">75</start>
      <end xmlns="http://schemas.wps.cn/vas-ai-hub/contract-review">77</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437d51eb-5b74-451e-9aa5-15dd8164dcef</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5D1FD5EA</paraID>
      <start xmlns="http://schemas.wps.cn/vas-ai-hub/contract-review">51</start>
      <end xmlns="http://schemas.wps.cn/vas-ai-hub/contract-review">53</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4601b67b-2037-40a3-9933-15e3a1c88f52</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5D1FD5EA</paraID>
      <start xmlns="http://schemas.wps.cn/vas-ai-hub/contract-review">70</start>
      <end xmlns="http://schemas.wps.cn/vas-ai-hub/contract-review">72</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f1551d4b-867d-4443-9c8d-1e977fd732f6</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47D68C12</paraID>
      <start xmlns="http://schemas.wps.cn/vas-ai-hub/contract-review">31</start>
      <end xmlns="http://schemas.wps.cn/vas-ai-hub/contract-review">33</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de597d2e-50df-471f-b1e6-52c22a9b563b</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47D68C12</paraID>
      <start xmlns="http://schemas.wps.cn/vas-ai-hub/contract-review">38</start>
      <end xmlns="http://schemas.wps.cn/vas-ai-hub/contract-review">40</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410e76dd-f081-4580-aa87-eb7a66ba7165</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47D68C12</paraID>
      <start xmlns="http://schemas.wps.cn/vas-ai-hub/contract-review">56</start>
      <end xmlns="http://schemas.wps.cn/vas-ai-hub/contract-review">58</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9865a13a-057a-4d67-b624-f067cc3a4538</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47D68C12</paraID>
      <start xmlns="http://schemas.wps.cn/vas-ai-hub/contract-review">61</start>
      <end xmlns="http://schemas.wps.cn/vas-ai-hub/contract-review">63</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07218f6c-8fd7-4007-9b69-d78965c17a10</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7AD84B49</paraID>
      <start xmlns="http://schemas.wps.cn/vas-ai-hub/contract-review">110</start>
      <end xmlns="http://schemas.wps.cn/vas-ai-hub/contract-review">112</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4efbe71b-a95a-40ab-96ed-4eff5bf04a82</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7AD84B49</paraID>
      <start xmlns="http://schemas.wps.cn/vas-ai-hub/contract-review">118</start>
      <end xmlns="http://schemas.wps.cn/vas-ai-hub/contract-review">120</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e9ffb002-c2cc-43dd-abd8-129f600cfaab</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7AD84B49</paraID>
      <start xmlns="http://schemas.wps.cn/vas-ai-hub/contract-review">187</start>
      <end xmlns="http://schemas.wps.cn/vas-ai-hub/contract-review">189</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e35ed596-ea50-42e2-bd4c-6b69a3a76606</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7AD84B49</paraID>
      <start xmlns="http://schemas.wps.cn/vas-ai-hub/contract-review">234</start>
      <end xmlns="http://schemas.wps.cn/vas-ai-hub/contract-review">236</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870471ef-04b2-4208-9c1d-0d94e400354f</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6213CB7D</paraID>
      <start xmlns="http://schemas.wps.cn/vas-ai-hub/contract-review">55</start>
      <end xmlns="http://schemas.wps.cn/vas-ai-hub/contract-review">57</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b062feb2-8e58-47cb-9215-b0e7a679dc43</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6213CB7D</paraID>
      <start xmlns="http://schemas.wps.cn/vas-ai-hub/contract-review">61</start>
      <end xmlns="http://schemas.wps.cn/vas-ai-hub/contract-review">63</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4d24833f-d8a2-428a-9dc6-94152b12c313</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72330DAC</paraID>
      <start xmlns="http://schemas.wps.cn/vas-ai-hub/contract-review">19</start>
      <end xmlns="http://schemas.wps.cn/vas-ai-hub/contract-review">21</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02d6ef5b-7329-4759-bd9c-dd5ec28c9d52</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72330DAC</paraID>
      <start xmlns="http://schemas.wps.cn/vas-ai-hub/contract-review">30</start>
      <end xmlns="http://schemas.wps.cn/vas-ai-hub/contract-review">32</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264a90f1-ab0f-478b-ae94-af3f8c9deaf6</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212A73F7</paraID>
      <start xmlns="http://schemas.wps.cn/vas-ai-hub/contract-review">33</start>
      <end xmlns="http://schemas.wps.cn/vas-ai-hub/contract-review">35</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d4f0e76d-a3b0-403f-9bb6-4c1277dd0b4e</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212A73F7</paraID>
      <start xmlns="http://schemas.wps.cn/vas-ai-hub/contract-review">42</start>
      <end xmlns="http://schemas.wps.cn/vas-ai-hub/contract-review">44</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27fe6ce9-6f63-4deb-93d5-5a1df99cddb1</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427F153C</paraID>
      <start xmlns="http://schemas.wps.cn/vas-ai-hub/contract-review">33</start>
      <end xmlns="http://schemas.wps.cn/vas-ai-hub/contract-review">35</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000a68f6-4da1-4632-8c1f-6d0e3f66847f</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427F153C</paraID>
      <start xmlns="http://schemas.wps.cn/vas-ai-hub/contract-review">42</start>
      <end xmlns="http://schemas.wps.cn/vas-ai-hub/contract-review">44</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2a1b9474-7c05-4173-9169-86da94fa1b01</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19F5F39A</paraID>
      <start xmlns="http://schemas.wps.cn/vas-ai-hub/contract-review">7</start>
      <end xmlns="http://schemas.wps.cn/vas-ai-hub/contract-review">9</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19d9c189-7014-42a2-aa19-bf57ae9bf3a4</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19F5F39A</paraID>
      <start xmlns="http://schemas.wps.cn/vas-ai-hub/contract-review">11</start>
      <end xmlns="http://schemas.wps.cn/vas-ai-hub/contract-review">13</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9b91ee9e-8c31-43fa-af59-62094ceae8b8</errorID>
      <errorWord xmlns="http://schemas.wps.cn/vas-ai-hub/contract-review">审</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审查</item>
      </candidateList>
      <explain xmlns="http://schemas.wps.cn/vas-ai-hub/contract-review">〈动〉检查核对是否正确、妥当（多指计划、提案、著作、个人的资历等）：～提案｜～经费｜～属实。</explain>
      <paraID xmlns="http://schemas.wps.cn/vas-ai-hub/contract-review">51E509C1</paraID>
      <start xmlns="http://schemas.wps.cn/vas-ai-hub/contract-review">16</start>
      <end xmlns="http://schemas.wps.cn/vas-ai-hub/contract-review">18</end>
      <status xmlns="http://schemas.wps.cn/vas-ai-hub/contract-review">modified</status>
      <modifiedWord xmlns="http://schemas.wps.cn/vas-ai-hub/contract-review">审查</modifiedWord>
      <trackRevisions xmlns="http://schemas.wps.cn/vas-ai-hub/contract-review">true</trackRevisions>
    </reviewItem>
    <reviewItem xmlns="http://schemas.wps.cn/vas-ai-hub/contract-review">
      <errorID xmlns="http://schemas.wps.cn/vas-ai-hub/contract-review">a8af272a-c531-4a89-8064-9846cb48c65b</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67D16FFA</paraID>
      <start xmlns="http://schemas.wps.cn/vas-ai-hub/contract-review">20</start>
      <end xmlns="http://schemas.wps.cn/vas-ai-hub/contract-review">21</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6bd1693b-7618-4fcd-80ad-f3c6458fdddf</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67D16FFA</paraID>
      <start xmlns="http://schemas.wps.cn/vas-ai-hub/contract-review">23</start>
      <end xmlns="http://schemas.wps.cn/vas-ai-hub/contract-review">24</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7e3976d6-e1ca-4108-bbca-8dd619db79a8</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296C652</paraID>
      <start xmlns="http://schemas.wps.cn/vas-ai-hub/contract-review">33</start>
      <end xmlns="http://schemas.wps.cn/vas-ai-hub/contract-review">34</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3ab40ce1-32f0-4bf6-a918-68f0d3e64a4e</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296C652</paraID>
      <start xmlns="http://schemas.wps.cn/vas-ai-hub/contract-review">36</start>
      <end xmlns="http://schemas.wps.cn/vas-ai-hub/contract-review">37</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304c0b0e-3408-4915-a39c-cb76f072be66</errorID>
      <errorWord xmlns="http://schemas.wps.cn/vas-ai-hub/contract-review">[2011]300号</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〔2011〕300号</item>
      </candidateList>
      <explain xmlns="http://schemas.wps.cn/vas-ai-hub/contract-review">发文字号格式错误。</explain>
      <paraID xmlns="http://schemas.wps.cn/vas-ai-hub/contract-review">63664824</paraID>
      <start xmlns="http://schemas.wps.cn/vas-ai-hub/contract-review">15</start>
      <end xmlns="http://schemas.wps.cn/vas-ai-hub/contract-review">35</end>
      <status xmlns="http://schemas.wps.cn/vas-ai-hub/contract-review">modified</status>
      <modifiedWord xmlns="http://schemas.wps.cn/vas-ai-hub/contract-review">〔2011〕300号</modifiedWord>
      <trackRevisions xmlns="http://schemas.wps.cn/vas-ai-hub/contract-review">true</trackRevisions>
    </reviewItem>
    <reviewItem xmlns="http://schemas.wps.cn/vas-ai-hub/contract-review">
      <errorID xmlns="http://schemas.wps.cn/vas-ai-hub/contract-review">3987b943-7fcf-469e-b9ab-33a1aeeb9628</errorID>
      <errorWord xmlns="http://schemas.wps.cn/vas-ai-hub/contract-review">法律、法规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法律法规</item>
      </candidateList>
      <explain xmlns="http://schemas.wps.cn/vas-ai-hub/contract-review"/>
      <paraID xmlns="http://schemas.wps.cn/vas-ai-hub/contract-review">722AC891</paraID>
      <start xmlns="http://schemas.wps.cn/vas-ai-hub/contract-review">17</start>
      <end xmlns="http://schemas.wps.cn/vas-ai-hub/contract-review">22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02204997-7235-4f54-85cc-de96786b5118</errorID>
      <errorWord xmlns="http://schemas.wps.cn/vas-ai-hub/contract-review">法律、法规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法律法规</item>
      </candidateList>
      <explain xmlns="http://schemas.wps.cn/vas-ai-hub/contract-review"/>
      <paraID xmlns="http://schemas.wps.cn/vas-ai-hub/contract-review">722AC891</paraID>
      <start xmlns="http://schemas.wps.cn/vas-ai-hub/contract-review">45</start>
      <end xmlns="http://schemas.wps.cn/vas-ai-hub/contract-review">50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35c15793-518d-42b7-b458-36153036bf62</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65245185</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47bf171b-d7d5-4e3b-8888-264d80054db7</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3D80409F</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850c1cbd-fa05-411a-82a8-92b1e58b6f0c</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5733A1E6</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c399083f-6bc2-48d2-8fc7-a86e10b48b71</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37D931F0</paraID>
      <start xmlns="http://schemas.wps.cn/vas-ai-hub/contract-review">61</start>
      <end xmlns="http://schemas.wps.cn/vas-ai-hub/contract-review">63</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37493be9-7796-47e8-8271-a55ad65f51ef</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37D931F0</paraID>
      <start xmlns="http://schemas.wps.cn/vas-ai-hub/contract-review">64</start>
      <end xmlns="http://schemas.wps.cn/vas-ai-hub/contract-review">66</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56d8287b-4fba-4bab-b44a-9b9ff5ac76fd</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37D931F0</paraID>
      <start xmlns="http://schemas.wps.cn/vas-ai-hub/contract-review">93</start>
      <end xmlns="http://schemas.wps.cn/vas-ai-hub/contract-review">95</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55287e29-ff30-4bcf-b588-8b3c11474319</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37D931F0</paraID>
      <start xmlns="http://schemas.wps.cn/vas-ai-hub/contract-review">96</start>
      <end xmlns="http://schemas.wps.cn/vas-ai-hub/contract-review">98</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64a7bda5-b9d9-4713-bdf9-b56b37087eb8</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37D931F0</paraID>
      <start xmlns="http://schemas.wps.cn/vas-ai-hub/contract-review">116</start>
      <end xmlns="http://schemas.wps.cn/vas-ai-hub/contract-review">118</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86026402-8845-44f5-8b41-3c237955c17f</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37D931F0</paraID>
      <start xmlns="http://schemas.wps.cn/vas-ai-hub/contract-review">119</start>
      <end xmlns="http://schemas.wps.cn/vas-ai-hub/contract-review">121</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95717bec-eb8d-44f7-8cb6-e2c6fe19459e</errorID>
      <errorWord xmlns="http://schemas.wps.cn/vas-ai-hub/contract-review">法律、法规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法律法规</item>
      </candidateList>
      <explain xmlns="http://schemas.wps.cn/vas-ai-hub/contract-review"/>
      <paraID xmlns="http://schemas.wps.cn/vas-ai-hub/contract-review">69CA3C47</paraID>
      <start xmlns="http://schemas.wps.cn/vas-ai-hub/contract-review">6</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c1fe95dc-9958-45bf-a95d-07d7a9882859</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CE6ACB4</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0b084e28-8d6c-48f0-964d-e0b30c7893e7</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2127AA19</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b9181b79-1e2d-47da-9b9f-453e5fa92168</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1FA3C5DD</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707a3122-3282-40cd-af21-ca30597cdba4</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49E15CDC</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a1fcc2b7-4b3f-43ab-8783-85fe25d22092</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1C615B7D</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a6e0a058-1102-42bb-b81d-b800b8bd2727</errorID>
      <errorWord xmlns="http://schemas.wps.cn/vas-ai-hub/contract-review">(6)</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（6）</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3996AACA</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2641eddd-3042-4880-a68a-3824e72141fc</errorID>
      <errorWord xmlns="http://schemas.wps.cn/vas-ai-hub/contract-review">(7)</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（7）</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750EEBE8</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f2bf1989-2660-4f96-8c4b-1ef14f73eba3</errorID>
      <errorWord xmlns="http://schemas.wps.cn/vas-ai-hub/contract-review">(8)</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（8）</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784CB34A</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193cedbe-8113-49be-a88b-667c006277d5</errorID>
      <errorWord xmlns="http://schemas.wps.cn/vas-ai-hub/contract-review">(9)</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（9）</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5E09E8AD</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962371ea-455b-4325-8aab-d1fe60305167</errorID>
      <errorWord xmlns="http://schemas.wps.cn/vas-ai-hub/contract-review">(10)</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（10）</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47DDC24D</paraID>
      <start xmlns="http://schemas.wps.cn/vas-ai-hub/contract-review">0</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42dd0092-acee-4dcb-8cc9-1644c683ec39</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，在</item>
      </candidateList>
      <explain xmlns="http://schemas.wps.cn/vas-ai-hub/contract-review"/>
      <paraID xmlns="http://schemas.wps.cn/vas-ai-hub/contract-review">4BCF8E9D</paraID>
      <start xmlns="http://schemas.wps.cn/vas-ai-hub/contract-review">15</start>
      <end xmlns="http://schemas.wps.cn/vas-ai-hub/contract-review">16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d38f87ed-04c9-44d6-81d3-8306cea6cc7d</errorID>
      <errorWord xmlns="http://schemas.wps.cn/vas-ai-hub/contract-review">目</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目在</item>
      </candidateList>
      <explain xmlns="http://schemas.wps.cn/vas-ai-hub/contract-review"/>
      <paraID xmlns="http://schemas.wps.cn/vas-ai-hub/contract-review">16D826FE</paraID>
      <start xmlns="http://schemas.wps.cn/vas-ai-hub/contract-review">6</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7be04361-a867-4861-b024-713d35a28715</errorID>
      <errorWord xmlns="http://schemas.wps.cn/vas-ai-hub/contract-review">法律、法规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法律法规</item>
      </candidateList>
      <explain xmlns="http://schemas.wps.cn/vas-ai-hub/contract-review"/>
      <paraID xmlns="http://schemas.wps.cn/vas-ai-hub/contract-review">3112C512</paraID>
      <start xmlns="http://schemas.wps.cn/vas-ai-hub/contract-review">4</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f9ff7746-073c-4cce-bfd3-b2d063522cb3</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28863077</paraID>
      <start xmlns="http://schemas.wps.cn/vas-ai-hub/contract-review">76</start>
      <end xmlns="http://schemas.wps.cn/vas-ai-hub/contract-review">79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de7910e3-3611-447a-8647-110ba308a5cb</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，加</item>
      </candidateList>
      <explain xmlns="http://schemas.wps.cn/vas-ai-hub/contract-review"/>
      <paraID xmlns="http://schemas.wps.cn/vas-ai-hub/contract-review">706DA9FE</paraID>
      <start xmlns="http://schemas.wps.cn/vas-ai-hub/contract-review">55</start>
      <end xmlns="http://schemas.wps.cn/vas-ai-hub/contract-review">56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44f63cbb-1878-4d98-97c1-bd38832b8cdb</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3D6A5701</paraID>
      <start xmlns="http://schemas.wps.cn/vas-ai-hub/contract-review">44</start>
      <end xmlns="http://schemas.wps.cn/vas-ai-hub/contract-review">46</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2d3ad722-d0f2-4866-999b-900a601c41b7</errorID>
      <errorWord xmlns="http://schemas.wps.cn/vas-ai-hub/contract-review">间</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间之</item>
      </candidateList>
      <explain xmlns="http://schemas.wps.cn/vas-ai-hub/contract-review"/>
      <paraID xmlns="http://schemas.wps.cn/vas-ai-hub/contract-review"> AF9DE87</paraID>
      <start xmlns="http://schemas.wps.cn/vas-ai-hub/contract-review">13</start>
      <end xmlns="http://schemas.wps.cn/vas-ai-hub/contract-review">14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f63f2169-0725-4f47-b0b3-711072f20b01</errorID>
      <errorWord xmlns="http://schemas.wps.cn/vas-ai-hub/contract-review">15．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6E3A456A</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0d13d0fe-6d5d-442b-aad4-06c42583d4ed</errorID>
      <errorWord xmlns="http://schemas.wps.cn/vas-ai-hub/contract-review">作</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做</item>
      </candidateList>
      <explain xmlns="http://schemas.wps.cn/vas-ai-hub/contract-review">存在发音相同字词的误用。</explain>
      <paraID xmlns="http://schemas.wps.cn/vas-ai-hub/contract-review">352CDE69</paraID>
      <start xmlns="http://schemas.wps.cn/vas-ai-hub/contract-review">120</start>
      <end xmlns="http://schemas.wps.cn/vas-ai-hub/contract-review">121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d620f16b-bb60-46c5-93a9-b4dd023dce9e</errorID>
      <errorWord xmlns="http://schemas.wps.cn/vas-ai-hub/contract-review">16．</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16.</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2118C044</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62aee8cd-0499-424f-b201-653157271cb4</errorID>
      <errorWord xmlns="http://schemas.wps.cn/vas-ai-hub/contract-review">里</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内</item>
      </candidateList>
      <explain xmlns="http://schemas.wps.cn/vas-ai-hub/contract-review">❶〈名〉方位词。里头（跟“外”相对）：～衣｜～部｜室～｜国～｜年～。❷指妻或妻的亲属：～人｜～侄｜～弟。❸指内心或内脏：～省｜～疚｜五～俱焚。❹〈书〉指皇宫：大～。</explain>
      <paraID xmlns="http://schemas.wps.cn/vas-ai-hub/contract-review">6ED4F8DD</paraID>
      <start xmlns="http://schemas.wps.cn/vas-ai-hub/contract-review">90</start>
      <end xmlns="http://schemas.wps.cn/vas-ai-hub/contract-review">91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5aa323f2-b9dd-42c2-a3c7-99bbf35f032d</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3A787357</paraID>
      <start xmlns="http://schemas.wps.cn/vas-ai-hub/contract-review">81</start>
      <end xmlns="http://schemas.wps.cn/vas-ai-hub/contract-review">83</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4baa1111-89d1-492a-8def-3f4668216509</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3A787357</paraID>
      <start xmlns="http://schemas.wps.cn/vas-ai-hub/contract-review">137</start>
      <end xmlns="http://schemas.wps.cn/vas-ai-hub/contract-review">139</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ae1ff895-e1f2-4fb1-925b-d252a8534f4d</errorID>
      <errorWord xmlns="http://schemas.wps.cn/vas-ai-hub/contract-review">了其它</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了其他</item>
      </candidateList>
      <explain xmlns="http://schemas.wps.cn/vas-ai-hub/contract-review">词汇[了其它]为不规范表述或旧称，其规范书面表述为[了其他]。</explain>
      <paraID xmlns="http://schemas.wps.cn/vas-ai-hub/contract-review">3DEA9952</paraID>
      <start xmlns="http://schemas.wps.cn/vas-ai-hub/contract-review">180</start>
      <end xmlns="http://schemas.wps.cn/vas-ai-hub/contract-review">183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c710196e-bf79-4181-81dc-cc752b812d08</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7311B5D6</paraID>
      <start xmlns="http://schemas.wps.cn/vas-ai-hub/contract-review">1</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37ad8c99-ac92-4f36-b6ee-4e0249448174</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78C6F047</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e3eb32da-ab9d-47f7-b4c2-c050408344e2</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44BE067E</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1e28d29a-699a-435f-a2d9-e268efb63ee1</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74CB75</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7908ffdf-f64d-489d-89c5-f31844d065df</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6EF58784</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4ed1bbc4-848a-40e9-9660-b92437ff6b32</errorID>
      <errorWord xmlns="http://schemas.wps.cn/vas-ai-hub/contract-review">(6)</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（6）</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22776D</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d5f17b44-67eb-445e-b114-38ef097ad1f0</errorID>
      <errorWord xmlns="http://schemas.wps.cn/vas-ai-hub/contract-review">(7)</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（7）</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539C6CB2</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f7069187-ab3a-4bfd-a9a3-41409c0faa09</errorID>
      <errorWord xmlns="http://schemas.wps.cn/vas-ai-hub/contract-review">其它</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item>
      </candidateList>
      <explain xmlns="http://schemas.wps.cn/vas-ai-hub/contract-review">词汇[其它]为不规范表述或旧称，其规范书面表述为[其他]。</explain>
      <paraID xmlns="http://schemas.wps.cn/vas-ai-hub/contract-review">539C6CB2</paraID>
      <start xmlns="http://schemas.wps.cn/vas-ai-hub/contract-review">14</start>
      <end xmlns="http://schemas.wps.cn/vas-ai-hub/contract-review">16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dded361b-e93b-4da0-849c-5bc9d655fdb2</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5C3B100E</paraID>
      <start xmlns="http://schemas.wps.cn/vas-ai-hub/contract-review">22</start>
      <end xmlns="http://schemas.wps.cn/vas-ai-hub/contract-review">24</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53d47793-4a13-4da8-9c12-b81c1d84b0a4</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5C3B100E</paraID>
      <start xmlns="http://schemas.wps.cn/vas-ai-hub/contract-review">31</start>
      <end xmlns="http://schemas.wps.cn/vas-ai-hub/contract-review">33</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09cb7803-6f77-4a93-bc90-bef92cb21fd0</errorID>
      <errorWord xmlns="http://schemas.wps.cn/vas-ai-hub/contract-review">、或</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或</item>
      </candidateList>
      <explain xmlns="http://schemas.wps.cn/vas-ai-hub/contract-review">❶〈副〉或许；也许：慰问团已经起程，明日上午～可到达。❷〈连〉或者v▲：～多～少｜不解决桥～船的问题，过河就是一句空话｜他生怕我没听清～不注意，所以又嘱咐了一遍。❸〈书〉〈代〉指示代词。某人；有的人：～告之曰。❹〈书〉副稍微：不可～缺｜不可～忽。</explain>
      <paraID xmlns="http://schemas.wps.cn/vas-ai-hub/contract-review">61F15EDE</paraID>
      <start xmlns="http://schemas.wps.cn/vas-ai-hub/contract-review">20</start>
      <end xmlns="http://schemas.wps.cn/vas-ai-hub/contract-review">22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3743cd05-2279-46d2-8e97-bfe29cbfca19</errorID>
      <errorWord xmlns="http://schemas.wps.cn/vas-ai-hub/contract-review">、或</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或</item>
      </candidateList>
      <explain xmlns="http://schemas.wps.cn/vas-ai-hub/contract-review">❶〈副〉或许；也许：慰问团已经起程，明日上午～可到达。❷〈连〉或者v▲：～多～少｜不解决桥～船的问题，过河就是一句空话｜他生怕我没听清～不注意，所以又嘱咐了一遍。❸〈书〉〈代〉指示代词。某人；有的人：～告之曰。❹〈书〉副稍微：不可～缺｜不可～忽。</explain>
      <paraID xmlns="http://schemas.wps.cn/vas-ai-hub/contract-review">61F15EDE</paraID>
      <start xmlns="http://schemas.wps.cn/vas-ai-hub/contract-review">40</start>
      <end xmlns="http://schemas.wps.cn/vas-ai-hub/contract-review">42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8085902b-673a-4da2-a208-66dbd793baa9</errorID>
      <errorWord xmlns="http://schemas.wps.cn/vas-ai-hub/contract-review">其它部分</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其他部分</item>
      </candidateList>
      <explain xmlns="http://schemas.wps.cn/vas-ai-hub/contract-review">词汇[其它部分]为不规范表述或旧称，其规范书面表述为[其他部分]。</explain>
      <paraID xmlns="http://schemas.wps.cn/vas-ai-hub/contract-review">422DD781</paraID>
      <start xmlns="http://schemas.wps.cn/vas-ai-hub/contract-review">16</start>
      <end xmlns="http://schemas.wps.cn/vas-ai-hub/contract-review">20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58793673-31af-4df9-befb-3de470c1e56e</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5F5A396</paraID>
      <start xmlns="http://schemas.wps.cn/vas-ai-hub/contract-review">26</start>
      <end xmlns="http://schemas.wps.cn/vas-ai-hub/contract-review">28</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ade449ea-39d0-4a88-bc94-d00812bf84af</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5F5A396</paraID>
      <start xmlns="http://schemas.wps.cn/vas-ai-hub/contract-review">40</start>
      <end xmlns="http://schemas.wps.cn/vas-ai-hub/contract-review">42</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14611e47-01a2-4ae5-925c-93dc7bb83384</errorID>
      <errorWord xmlns="http://schemas.wps.cn/vas-ai-hub/contract-review">须</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需</item>
      </candidateList>
      <explain xmlns="http://schemas.wps.cn/vas-ai-hub/contract-review">存在发音相同字词的误用。</explain>
      <paraID xmlns="http://schemas.wps.cn/vas-ai-hub/contract-review">797BA6C2</paraID>
      <start xmlns="http://schemas.wps.cn/vas-ai-hub/contract-review">19</start>
      <end xmlns="http://schemas.wps.cn/vas-ai-hub/contract-review">20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7860406b-d0c2-4e05-8db6-c68c78638371</errorID>
      <errorWord xmlns="http://schemas.wps.cn/vas-ai-hub/contract-review">份量足</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分量足</item>
      </candidateList>
      <explain xmlns="http://schemas.wps.cn/vas-ai-hub/contract-review">词汇[份量足]为不规范表述或旧称，其规范书面表述为[分量足]。</explain>
      <paraID xmlns="http://schemas.wps.cn/vas-ai-hub/contract-review">2089DE40</paraID>
      <start xmlns="http://schemas.wps.cn/vas-ai-hub/contract-review">56</start>
      <end xmlns="http://schemas.wps.cn/vas-ai-hub/contract-review">59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dcf79b0b-d9a3-4f8e-9866-5e87333e7167</errorID>
      <errorWord xmlns="http://schemas.wps.cn/vas-ai-hub/contract-review">二种</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两种</item>
      </candidateList>
      <explain xmlns="http://schemas.wps.cn/vas-ai-hub/contract-review"/>
      <paraID xmlns="http://schemas.wps.cn/vas-ai-hub/contract-review">53A95A47</paraID>
      <start xmlns="http://schemas.wps.cn/vas-ai-hub/contract-review">33</start>
      <end xmlns="http://schemas.wps.cn/vas-ai-hub/contract-review">35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2e7ed1ee-7371-4640-9012-14715767594a</errorID>
      <errorWord xmlns="http://schemas.wps.cn/vas-ai-hub/contract-review">冰淇淋</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冰激凌</item>
      </candidateList>
      <explain xmlns="http://schemas.wps.cn/vas-ai-hub/contract-review">词汇[冰淇淋]为不规范表述或旧称，其规范书面表述为[冰激凌]。</explain>
      <paraID xmlns="http://schemas.wps.cn/vas-ai-hub/contract-review">78C0202A</paraID>
      <start xmlns="http://schemas.wps.cn/vas-ai-hub/contract-review">20</start>
      <end xmlns="http://schemas.wps.cn/vas-ai-hub/contract-review">23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fc547cfa-acee-4e07-8f1d-e26935ed2162</errorID>
      <errorWord xmlns="http://schemas.wps.cn/vas-ai-hub/contract-review">限</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限内</item>
      </candidateList>
      <explain xmlns="http://schemas.wps.cn/vas-ai-hub/contract-review"/>
      <paraID xmlns="http://schemas.wps.cn/vas-ai-hub/contract-review">39C65375</paraID>
      <start xmlns="http://schemas.wps.cn/vas-ai-hub/contract-review">17</start>
      <end xmlns="http://schemas.wps.cn/vas-ai-hub/contract-review">18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c17c4341-7164-4157-97a7-a5348e0b9a57</errorID>
      <errorWord xmlns="http://schemas.wps.cn/vas-ai-hub/contract-review">其它</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item>
      </candidateList>
      <explain xmlns="http://schemas.wps.cn/vas-ai-hub/contract-review">词汇[其它]为不规范表述或旧称，其规范书面表述为[其他]。</explain>
      <paraID xmlns="http://schemas.wps.cn/vas-ai-hub/contract-review">537130D4</paraID>
      <start xmlns="http://schemas.wps.cn/vas-ai-hub/contract-review">7</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083a82f6-2fc3-4caf-8e9e-672dc3503baf</errorID>
      <errorWord xmlns="http://schemas.wps.cn/vas-ai-hub/contract-review">法律、法规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法律法规</item>
      </candidateList>
      <explain xmlns="http://schemas.wps.cn/vas-ai-hub/contract-review"/>
      <paraID xmlns="http://schemas.wps.cn/vas-ai-hub/contract-review">6E0398F8</paraID>
      <start xmlns="http://schemas.wps.cn/vas-ai-hub/contract-review">39</start>
      <end xmlns="http://schemas.wps.cn/vas-ai-hub/contract-review">44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e52a5a3b-130c-4d45-b776-5ce5fbbf185a</errorID>
      <errorWord xmlns="http://schemas.wps.cn/vas-ai-hub/contract-review">详实</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翔实</item>
      </candidateList>
      <explain xmlns="http://schemas.wps.cn/vas-ai-hub/contract-review">存在发音相同字词的误用。</explain>
      <paraID xmlns="http://schemas.wps.cn/vas-ai-hub/contract-review">6F7F1ECD</paraID>
      <start xmlns="http://schemas.wps.cn/vas-ai-hub/contract-review">56</start>
      <end xmlns="http://schemas.wps.cn/vas-ai-hub/contract-review">58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5ada1550-f6d1-41c7-b82e-7efa562aa8d0</errorID>
      <errorWord xmlns="http://schemas.wps.cn/vas-ai-hub/contract-review">扣</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扣除</item>
      </candidateList>
      <explain xmlns="http://schemas.wps.cn/vas-ai-hub/contract-review"/>
      <paraID xmlns="http://schemas.wps.cn/vas-ai-hub/contract-review">6F7F1ECD</paraID>
      <start xmlns="http://schemas.wps.cn/vas-ai-hub/contract-review">137</start>
      <end xmlns="http://schemas.wps.cn/vas-ai-hub/contract-review">138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5d4706f0-60e6-4ca7-b104-355a1263de5d</errorID>
      <errorWord xmlns="http://schemas.wps.cn/vas-ai-hub/contract-review">二次</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两次</item>
      </candidateList>
      <explain xmlns="http://schemas.wps.cn/vas-ai-hub/contract-review"/>
      <paraID xmlns="http://schemas.wps.cn/vas-ai-hub/contract-review">6F7F1ECD</paraID>
      <start xmlns="http://schemas.wps.cn/vas-ai-hub/contract-review">212</start>
      <end xmlns="http://schemas.wps.cn/vas-ai-hub/contract-review">214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f1c4577e-752b-4400-b707-c03a749136c0</errorID>
      <errorWord xmlns="http://schemas.wps.cn/vas-ai-hub/contract-review">病源</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病原</item>
      </candidateList>
      <explain xmlns="http://schemas.wps.cn/vas-ai-hub/contract-review">存在发音相同字词的误用。</explain>
      <paraID xmlns="http://schemas.wps.cn/vas-ai-hub/contract-review">55182B87</paraID>
      <start xmlns="http://schemas.wps.cn/vas-ai-hub/contract-review">59</start>
      <end xmlns="http://schemas.wps.cn/vas-ai-hub/contract-review">61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85cf7b71-5bef-4d56-a4de-4b5734baac77</errorID>
      <errorWord xmlns="http://schemas.wps.cn/vas-ai-hub/contract-review">费</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费中</item>
      </candidateList>
      <explain xmlns="http://schemas.wps.cn/vas-ai-hub/contract-review"/>
      <paraID xmlns="http://schemas.wps.cn/vas-ai-hub/contract-review">33F0F8EC</paraID>
      <start xmlns="http://schemas.wps.cn/vas-ai-hub/contract-review">77</start>
      <end xmlns="http://schemas.wps.cn/vas-ai-hub/contract-review">78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3fda7579-5576-4f9a-8d50-3d4339ef40d6</errorID>
      <errorWord xmlns="http://schemas.wps.cn/vas-ai-hub/contract-review">二年</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两年</item>
      </candidateList>
      <explain xmlns="http://schemas.wps.cn/vas-ai-hub/contract-review"/>
      <paraID xmlns="http://schemas.wps.cn/vas-ai-hub/contract-review">126B9124</paraID>
      <start xmlns="http://schemas.wps.cn/vas-ai-hub/contract-review">30</start>
      <end xmlns="http://schemas.wps.cn/vas-ai-hub/contract-review">32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9c02a152-946e-4226-a7d5-9b027c818f03</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1A2C3D28</paraID>
      <start xmlns="http://schemas.wps.cn/vas-ai-hub/contract-review">39</start>
      <end xmlns="http://schemas.wps.cn/vas-ai-hub/contract-review">41</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31be3057-9f5b-4aba-a9fd-d2e3afdd81a6</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1A2C3D28</paraID>
      <start xmlns="http://schemas.wps.cn/vas-ai-hub/contract-review">45</start>
      <end xmlns="http://schemas.wps.cn/vas-ai-hub/contract-review">47</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a8dabe74-3649-48fb-b401-ff3c5ddd0a73</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1A2C3D28</paraID>
      <start xmlns="http://schemas.wps.cn/vas-ai-hub/contract-review">55</start>
      <end xmlns="http://schemas.wps.cn/vas-ai-hub/contract-review">57</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cc4a4359-ea1a-4c81-b88a-12e42ae42c4c</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1A2C3D28</paraID>
      <start xmlns="http://schemas.wps.cn/vas-ai-hub/contract-review">59</start>
      <end xmlns="http://schemas.wps.cn/vas-ai-hub/contract-review">61</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23485cd0-abcc-48f2-bc81-6043241936cc</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1A2C3D28</paraID>
      <start xmlns="http://schemas.wps.cn/vas-ai-hub/contract-review">69</start>
      <end xmlns="http://schemas.wps.cn/vas-ai-hub/contract-review">71</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a81ba9eb-a452-45ee-b6ac-42904bb8328d</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1A2C3D28</paraID>
      <start xmlns="http://schemas.wps.cn/vas-ai-hub/contract-review">81</start>
      <end xmlns="http://schemas.wps.cn/vas-ai-hub/contract-review">83</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06fccbad-970d-4689-b340-5eba05471761</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1A2C3D28</paraID>
      <start xmlns="http://schemas.wps.cn/vas-ai-hub/contract-review">87</start>
      <end xmlns="http://schemas.wps.cn/vas-ai-hub/contract-review">89</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d78e7d1d-dca2-4145-827b-cad7802e99b7</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1A2C3D28</paraID>
      <start xmlns="http://schemas.wps.cn/vas-ai-hub/contract-review">94</start>
      <end xmlns="http://schemas.wps.cn/vas-ai-hub/contract-review">96</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a9df3e48-10b1-446b-99a1-bf72bec1e4ff</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，在</item>
      </candidateList>
      <explain xmlns="http://schemas.wps.cn/vas-ai-hub/contract-review"/>
      <paraID xmlns="http://schemas.wps.cn/vas-ai-hub/contract-review">1A2C3D28</paraID>
      <start xmlns="http://schemas.wps.cn/vas-ai-hub/contract-review">105</start>
      <end xmlns="http://schemas.wps.cn/vas-ai-hub/contract-review">106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30979c87-7c5e-4dad-89ea-491b28dfc006</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27784DE9</paraID>
      <start xmlns="http://schemas.wps.cn/vas-ai-hub/contract-review">37</start>
      <end xmlns="http://schemas.wps.cn/vas-ai-hub/contract-review">39</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966ac6de-7d9a-4148-ad33-54d80e4eaf69</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7C408842</paraID>
      <start xmlns="http://schemas.wps.cn/vas-ai-hub/contract-review">30</start>
      <end xmlns="http://schemas.wps.cn/vas-ai-hub/contract-review">32</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9dae0eca-98dc-435d-a0be-0604ffc886c0</errorID>
      <errorWord xmlns="http://schemas.wps.cn/vas-ai-hub/contract-review">食具</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餐具</item>
      </candidateList>
      <explain xmlns="http://schemas.wps.cn/vas-ai-hub/contract-review">存在字形相近字词的误用。</explain>
      <paraID xmlns="http://schemas.wps.cn/vas-ai-hub/contract-review">7C408842</paraID>
      <start xmlns="http://schemas.wps.cn/vas-ai-hub/contract-review">32</start>
      <end xmlns="http://schemas.wps.cn/vas-ai-hub/contract-review">34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e81ad35a-7925-41ee-959c-071d67ac0c24</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333FDFFC</paraID>
      <start xmlns="http://schemas.wps.cn/vas-ai-hub/contract-review">52</start>
      <end xmlns="http://schemas.wps.cn/vas-ai-hub/contract-review">54</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6b808750-ef91-4471-8dfb-bd44ba186a0c</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26948272</paraID>
      <start xmlns="http://schemas.wps.cn/vas-ai-hub/contract-review">35</start>
      <end xmlns="http://schemas.wps.cn/vas-ai-hub/contract-review">37</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ef7d498c-7230-4874-b459-8d2015414adb</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3559D63D</paraID>
      <start xmlns="http://schemas.wps.cn/vas-ai-hub/contract-review">21</start>
      <end xmlns="http://schemas.wps.cn/vas-ai-hub/contract-review">23</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f061fd95-7fad-4f57-a8c2-390a57fb863a</errorID>
      <errorWord xmlns="http://schemas.wps.cn/vas-ai-hub/contract-review">食具</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餐具</item>
      </candidateList>
      <explain xmlns="http://schemas.wps.cn/vas-ai-hub/contract-review">存在字形相近字词的误用。</explain>
      <paraID xmlns="http://schemas.wps.cn/vas-ai-hub/contract-review">3559D63D</paraID>
      <start xmlns="http://schemas.wps.cn/vas-ai-hub/contract-review">23</start>
      <end xmlns="http://schemas.wps.cn/vas-ai-hub/contract-review">25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30f1d94c-f896-4794-809c-5f9893578705</errorID>
      <errorWord xmlns="http://schemas.wps.cn/vas-ai-hub/contract-review">法律、法规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法律法规</item>
      </candidateList>
      <explain xmlns="http://schemas.wps.cn/vas-ai-hub/contract-review"/>
      <paraID xmlns="http://schemas.wps.cn/vas-ai-hub/contract-review"> 2FDEA2A</paraID>
      <start xmlns="http://schemas.wps.cn/vas-ai-hub/contract-review">11</start>
      <end xmlns="http://schemas.wps.cn/vas-ai-hub/contract-review">16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d4dbc268-6ada-48ad-b298-ea95b4a6356b</errorID>
      <errorWord xmlns="http://schemas.wps.cn/vas-ai-hub/contract-review">安全全部</errorWord>
      <group xmlns="http://schemas.wps.cn/vas-ai-hub/contract-review">L1_Knowledge</group>
      <groupName xmlns="http://schemas.wps.cn/vas-ai-hub/contract-review">知识性问题</groupName>
      <ability xmlns="http://schemas.wps.cn/vas-ai-hub/contract-review">L2_Organization</ability>
      <abilityName xmlns="http://schemas.wps.cn/vas-ai-hub/contract-review">机构检查</abilityName>
      <candidateList xmlns="http://schemas.wps.cn/vas-ai-hub/contract-review">
        <item xmlns="http://schemas.wps.cn/vas-ai-hub/contract-review">安全部</item>
      </candidateList>
      <explain xmlns="http://schemas.wps.cn/vas-ai-hub/contract-review">机关单位全简称表述错误</explain>
      <paraID xmlns="http://schemas.wps.cn/vas-ai-hub/contract-review">4996AF6A</paraID>
      <start xmlns="http://schemas.wps.cn/vas-ai-hub/contract-review">20</start>
      <end xmlns="http://schemas.wps.cn/vas-ai-hub/contract-review">24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6ad10321-f1d7-415d-9d32-44e991eccce5</errorID>
      <errorWord xmlns="http://schemas.wps.cn/vas-ai-hub/contract-review">其它损失</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其他损失</item>
      </candidateList>
      <explain xmlns="http://schemas.wps.cn/vas-ai-hub/contract-review">词汇[其它损失]为不规范表述或旧称，其规范书面表述为[其他损失]。</explain>
      <paraID xmlns="http://schemas.wps.cn/vas-ai-hub/contract-review">762318FF</paraID>
      <start xmlns="http://schemas.wps.cn/vas-ai-hub/contract-review">115</start>
      <end xmlns="http://schemas.wps.cn/vas-ai-hub/contract-review">119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09bea23c-3f78-46b6-a003-02abd8a37ac5</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4DA5A101</paraID>
      <start xmlns="http://schemas.wps.cn/vas-ai-hub/contract-review">3</start>
      <end xmlns="http://schemas.wps.cn/vas-ai-hub/contract-review">5</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925e7315-88e7-4204-9a35-2b6938cc9cde</errorID>
      <errorWord xmlns="http://schemas.wps.cn/vas-ai-hub/contract-review">涉及到</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涉及</item>
      </candidateList>
      <explain xmlns="http://schemas.wps.cn/vas-ai-hub/contract-review">〈动〉牵涉到；关联到：案子～好几个人｜这个问题～面很广。</explain>
      <paraID xmlns="http://schemas.wps.cn/vas-ai-hub/contract-review">45000590</paraID>
      <start xmlns="http://schemas.wps.cn/vas-ai-hub/contract-review">90</start>
      <end xmlns="http://schemas.wps.cn/vas-ai-hub/contract-review">93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1df00c4f-7b9d-4106-8f5e-260055cd910b</errorID>
      <errorWord xmlns="http://schemas.wps.cn/vas-ai-hub/contract-review">法定规定</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法律规定</item>
      </candidateList>
      <explain xmlns="http://schemas.wps.cn/vas-ai-hub/contract-review"/>
      <paraID xmlns="http://schemas.wps.cn/vas-ai-hub/contract-review">3A5EF3A1</paraID>
      <start xmlns="http://schemas.wps.cn/vas-ai-hub/contract-review">52</start>
      <end xmlns="http://schemas.wps.cn/vas-ai-hub/contract-review">60</end>
      <status xmlns="http://schemas.wps.cn/vas-ai-hub/contract-review">modified</status>
      <modifiedWord xmlns="http://schemas.wps.cn/vas-ai-hub/contract-review">法律规定</modifiedWord>
      <trackRevisions xmlns="http://schemas.wps.cn/vas-ai-hub/contract-review">true</trackRevisions>
    </reviewItem>
    <reviewItem xmlns="http://schemas.wps.cn/vas-ai-hub/contract-review">
      <errorID xmlns="http://schemas.wps.cn/vas-ai-hub/contract-review">1521ed9e-d3c3-4a59-8e4d-fcdf3214610a</errorID>
      <errorWord xmlns="http://schemas.wps.cn/vas-ai-hub/contract-review">其它</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item>
      </candidateList>
      <explain xmlns="http://schemas.wps.cn/vas-ai-hub/contract-review">词汇[其它]为不规范表述或旧称，其规范书面表述为[其他]。</explain>
      <paraID xmlns="http://schemas.wps.cn/vas-ai-hub/contract-review">3FC5D069</paraID>
      <start xmlns="http://schemas.wps.cn/vas-ai-hub/contract-review">3</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eeed1972-8e16-4aa4-a1b4-ef01787d2991</errorID>
      <errorWord xmlns="http://schemas.wps.cn/vas-ai-hub/contract-review">做</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作</item>
      </candidateList>
      <explain xmlns="http://schemas.wps.cn/vas-ai-hub/contract-review">❶起：振～｜日出而～｜一鼓～气｜枪声大～。❷〈动〉从事某种活动：～孽｜～报告｜自～自受。❸〈动〉写作：著～｜～曲｜～书（写信）。❹作品：佳～｜杰～｜成功之～。❺装：～态｜装模～样。❻〈动〉当成；作为：～保｜～废｜认贼～父。❼发作：～呕｜～怪。</explain>
      <paraID xmlns="http://schemas.wps.cn/vas-ai-hub/contract-review">2AE7CE45</paraID>
      <start xmlns="http://schemas.wps.cn/vas-ai-hub/contract-review">26</start>
      <end xmlns="http://schemas.wps.cn/vas-ai-hub/contract-review">27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a0d43eb1-bf96-4078-9029-6c2fb37bf807</errorID>
      <errorWord xmlns="http://schemas.wps.cn/vas-ai-hub/contract-review">追究其的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追究其</item>
      </candidateList>
      <explain xmlns="http://schemas.wps.cn/vas-ai-hub/contract-review"/>
      <paraID xmlns="http://schemas.wps.cn/vas-ai-hub/contract-review">2AE7CE45</paraID>
      <start xmlns="http://schemas.wps.cn/vas-ai-hub/contract-review">61</start>
      <end xmlns="http://schemas.wps.cn/vas-ai-hub/contract-review">65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76705169-8fda-42f9-a031-06e6d6dbca7f</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
      <paraID xmlns="http://schemas.wps.cn/vas-ai-hub/contract-review">366DCB40</paraID>
      <start xmlns="http://schemas.wps.cn/vas-ai-hub/contract-review">1</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b0792382-8a6d-434f-8131-6e5adbb6a079</errorID>
      <errorWord xmlns="http://schemas.wps.cn/vas-ai-hub/contract-review">法定规定</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法律规定</item>
      </candidateList>
      <explain xmlns="http://schemas.wps.cn/vas-ai-hub/contract-review"/>
      <paraID xmlns="http://schemas.wps.cn/vas-ai-hub/contract-review">455E40D4</paraID>
      <start xmlns="http://schemas.wps.cn/vas-ai-hub/contract-review">48</start>
      <end xmlns="http://schemas.wps.cn/vas-ai-hub/contract-review">56</end>
      <status xmlns="http://schemas.wps.cn/vas-ai-hub/contract-review">modified</status>
      <modifiedWord xmlns="http://schemas.wps.cn/vas-ai-hub/contract-review">法律规定</modifiedWord>
      <trackRevisions xmlns="http://schemas.wps.cn/vas-ai-hub/contract-review">true</trackRevisions>
    </reviewItem>
    <reviewItem xmlns="http://schemas.wps.cn/vas-ai-hub/contract-review">
      <errorID xmlns="http://schemas.wps.cn/vas-ai-hub/contract-review">e09f9cb9-4c2d-4693-b528-711943b7b94a</errorID>
      <errorWord xmlns="http://schemas.wps.cn/vas-ai-hub/contract-review">万</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万元</item>
      </candidateList>
      <explain xmlns="http://schemas.wps.cn/vas-ai-hub/contract-review"/>
      <paraID xmlns="http://schemas.wps.cn/vas-ai-hub/contract-review">59B57ED9</paraID>
      <start xmlns="http://schemas.wps.cn/vas-ai-hub/contract-review">11</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125222cf-53b8-47b5-b8fa-54447c264771</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2076E58A</paraID>
      <start xmlns="http://schemas.wps.cn/vas-ai-hub/contract-review">17</start>
      <end xmlns="http://schemas.wps.cn/vas-ai-hub/contract-review">19</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d015923e-d628-4734-9db1-8f5d378c33dd</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2076E58A</paraID>
      <start xmlns="http://schemas.wps.cn/vas-ai-hub/contract-review">28</start>
      <end xmlns="http://schemas.wps.cn/vas-ai-hub/contract-review">30</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5c6b3678-eb3d-45db-b91c-66b5c4ee7cbd</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
      <paraID xmlns="http://schemas.wps.cn/vas-ai-hub/contract-review">7F992C6E</paraID>
      <start xmlns="http://schemas.wps.cn/vas-ai-hub/contract-review">1</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e6b666a3-c275-4001-b54e-eee23faf8d5c</errorID>
      <errorWord xmlns="http://schemas.wps.cn/vas-ai-hub/contract-review">涉及到</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涉及</item>
      </candidateList>
      <explain xmlns="http://schemas.wps.cn/vas-ai-hub/contract-review">〈动〉牵涉到；关联到：案子～好几个人｜这个问题～面很广。</explain>
      <paraID xmlns="http://schemas.wps.cn/vas-ai-hub/contract-review">65B7AD29</paraID>
      <start xmlns="http://schemas.wps.cn/vas-ai-hub/contract-review">78</start>
      <end xmlns="http://schemas.wps.cn/vas-ai-hub/contract-review">81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73767017-db1b-4695-a710-f452b1c25148</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6E1F483C</paraID>
      <start xmlns="http://schemas.wps.cn/vas-ai-hub/contract-review">34</start>
      <end xmlns="http://schemas.wps.cn/vas-ai-hub/contract-review">36</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26b4ba4b-5289-4837-be0f-5c7313f37551</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6E1F483C</paraID>
      <start xmlns="http://schemas.wps.cn/vas-ai-hub/contract-review">41</start>
      <end xmlns="http://schemas.wps.cn/vas-ai-hub/contract-review">43</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85785bc8-0909-40cb-b5e7-bee8c53c3461</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7AD19E4D</paraID>
      <start xmlns="http://schemas.wps.cn/vas-ai-hub/contract-review">35</start>
      <end xmlns="http://schemas.wps.cn/vas-ai-hub/contract-review">37</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3eea8eca-63ae-4793-924f-11ed1686c7f7</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7AD19E4D</paraID>
      <start xmlns="http://schemas.wps.cn/vas-ai-hub/contract-review">42</start>
      <end xmlns="http://schemas.wps.cn/vas-ai-hub/contract-review">44</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45338076-82b1-44cc-a81b-ae1499a38060</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2A085757</paraID>
      <start xmlns="http://schemas.wps.cn/vas-ai-hub/contract-review">2</start>
      <end xmlns="http://schemas.wps.cn/vas-ai-hub/contract-review">4</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ed778856-62f2-48e1-9321-e6d3da26a654</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69252AC7</paraID>
      <start xmlns="http://schemas.wps.cn/vas-ai-hub/contract-review">2</start>
      <end xmlns="http://schemas.wps.cn/vas-ai-hub/contract-review">4</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5e809216-ddf3-42b9-a9bb-ac4e617deda4</errorID>
      <errorWord xmlns="http://schemas.wps.cn/vas-ai-hub/contract-review">法律、法规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法律法规</item>
      </candidateList>
      <explain xmlns="http://schemas.wps.cn/vas-ai-hub/contract-review"/>
      <paraID xmlns="http://schemas.wps.cn/vas-ai-hub/contract-review">230A68AC</paraID>
      <start xmlns="http://schemas.wps.cn/vas-ai-hub/contract-review">4</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b68a6f9c-9d2b-4f48-8b68-d5e001b06bdf</errorID>
      <errorWord xmlns="http://schemas.wps.cn/vas-ai-hub/contract-review">外包服务服务</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外包服务</item>
      </candidateList>
      <explain xmlns="http://schemas.wps.cn/vas-ai-hub/contract-review"/>
      <paraID xmlns="http://schemas.wps.cn/vas-ai-hub/contract-review">49E7B3CA</paraID>
      <start xmlns="http://schemas.wps.cn/vas-ai-hub/contract-review">8</start>
      <end xmlns="http://schemas.wps.cn/vas-ai-hub/contract-review">14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0da2690d-de30-4934-ac78-79737e7c5cd5</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15130A64</paraID>
      <start xmlns="http://schemas.wps.cn/vas-ai-hub/contract-review">25</start>
      <end xmlns="http://schemas.wps.cn/vas-ai-hub/contract-review">27</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4280f8ec-362b-4bad-997a-afa764fe9354</errorID>
      <errorWord xmlns="http://schemas.wps.cn/vas-ai-hub/contract-review">其它</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item>
      </candidateList>
      <explain xmlns="http://schemas.wps.cn/vas-ai-hub/contract-review">词汇[其它]为不规范表述或旧称，其规范书面表述为[其他]。</explain>
      <paraID xmlns="http://schemas.wps.cn/vas-ai-hub/contract-review">6B11B446</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603bcdd5-2f2d-4b9f-8b3b-5497dacfe55a</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2550E2C0</paraID>
      <start xmlns="http://schemas.wps.cn/vas-ai-hub/contract-review">23</start>
      <end xmlns="http://schemas.wps.cn/vas-ai-hub/contract-review">25</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6006e9c0-c777-4972-bd26-7f8435c84092</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70834D25</paraID>
      <start xmlns="http://schemas.wps.cn/vas-ai-hub/contract-review">18</start>
      <end xmlns="http://schemas.wps.cn/vas-ai-hub/contract-review">20</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0210d047-f005-47a1-b74d-822171482994</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70834D25</paraID>
      <start xmlns="http://schemas.wps.cn/vas-ai-hub/contract-review">32</start>
      <end xmlns="http://schemas.wps.cn/vas-ai-hub/contract-review">34</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e3fb8c02-a5fd-4d5b-8c5e-032f8308c1aa</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70834D25</paraID>
      <start xmlns="http://schemas.wps.cn/vas-ai-hub/contract-review">51</start>
      <end xmlns="http://schemas.wps.cn/vas-ai-hub/contract-review">53</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bb156872-ddce-4479-9ec7-cf2f4a3edb60</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70834D25</paraID>
      <start xmlns="http://schemas.wps.cn/vas-ai-hub/contract-review">58</start>
      <end xmlns="http://schemas.wps.cn/vas-ai-hub/contract-review">60</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f902e7ee-3126-4756-a4db-998a29f12fd0</errorID>
      <errorWord xmlns="http://schemas.wps.cn/vas-ai-hub/contract-review">份量足</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分量足</item>
      </candidateList>
      <explain xmlns="http://schemas.wps.cn/vas-ai-hub/contract-review">词汇[份量足]为不规范表述或旧称，其规范书面表述为[分量足]。</explain>
      <paraID xmlns="http://schemas.wps.cn/vas-ai-hub/contract-review">2B0A965E</paraID>
      <start xmlns="http://schemas.wps.cn/vas-ai-hub/contract-review">31</start>
      <end xmlns="http://schemas.wps.cn/vas-ai-hub/contract-review">34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88e3cf0d-e261-4c0d-8294-23ba7671f229</errorID>
      <errorWord xmlns="http://schemas.wps.cn/vas-ai-hub/contract-review">二</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二种</item>
      </candidateList>
      <explain xmlns="http://schemas.wps.cn/vas-ai-hub/contract-review"/>
      <paraID xmlns="http://schemas.wps.cn/vas-ai-hub/contract-review">2B0A965E</paraID>
      <start xmlns="http://schemas.wps.cn/vas-ai-hub/contract-review">70</start>
      <end xmlns="http://schemas.wps.cn/vas-ai-hub/contract-review">71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08398587-9665-4f13-81d5-bdb1a4443aa3</errorID>
      <errorWord xmlns="http://schemas.wps.cn/vas-ai-hub/contract-review">二种</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两种</item>
      </candidateList>
      <explain xmlns="http://schemas.wps.cn/vas-ai-hub/contract-review"/>
      <paraID xmlns="http://schemas.wps.cn/vas-ai-hub/contract-review">2B0A965E</paraID>
      <start xmlns="http://schemas.wps.cn/vas-ai-hub/contract-review">91</start>
      <end xmlns="http://schemas.wps.cn/vas-ai-hub/contract-review">93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ebc3ac88-83a5-4773-9dc7-7ef790ad9e24</errorID>
      <errorWord xmlns="http://schemas.wps.cn/vas-ai-hub/contract-review">点糕</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糕点</item>
      </candidateList>
      <explain xmlns="http://schemas.wps.cn/vas-ai-hub/contract-review"/>
      <paraID xmlns="http://schemas.wps.cn/vas-ai-hub/contract-review">2B0A965E</paraID>
      <start xmlns="http://schemas.wps.cn/vas-ai-hub/contract-review">111</start>
      <end xmlns="http://schemas.wps.cn/vas-ai-hub/contract-review">115</end>
      <status xmlns="http://schemas.wps.cn/vas-ai-hub/contract-review">modified</status>
      <modifiedWord xmlns="http://schemas.wps.cn/vas-ai-hub/contract-review">糕点</modifiedWord>
      <trackRevisions xmlns="http://schemas.wps.cn/vas-ai-hub/contract-review">true</trackRevisions>
    </reviewItem>
    <reviewItem xmlns="http://schemas.wps.cn/vas-ai-hub/contract-review">
      <errorID xmlns="http://schemas.wps.cn/vas-ai-hub/contract-review">853e7230-a5ae-4b80-bf5a-8c2b45ded064</errorID>
      <errorWord xmlns="http://schemas.wps.cn/vas-ai-hub/contract-review">二种</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两种</item>
      </candidateList>
      <explain xmlns="http://schemas.wps.cn/vas-ai-hub/contract-review"/>
      <paraID xmlns="http://schemas.wps.cn/vas-ai-hub/contract-review">2B0A965E</paraID>
      <start xmlns="http://schemas.wps.cn/vas-ai-hub/contract-review">148</start>
      <end xmlns="http://schemas.wps.cn/vas-ai-hub/contract-review">150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3552b26d-439e-4919-8f67-1c8eb8eecdca</errorID>
      <errorWord xmlns="http://schemas.wps.cn/vas-ai-hub/contract-review">二种</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两种</item>
      </candidateList>
      <explain xmlns="http://schemas.wps.cn/vas-ai-hub/contract-review"/>
      <paraID xmlns="http://schemas.wps.cn/vas-ai-hub/contract-review">2B0A965E</paraID>
      <start xmlns="http://schemas.wps.cn/vas-ai-hub/contract-review">162</start>
      <end xmlns="http://schemas.wps.cn/vas-ai-hub/contract-review">164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4e88b65c-4dc2-4404-a4fc-4faa2679b0e7</errorID>
      <errorWord xmlns="http://schemas.wps.cn/vas-ai-hub/contract-review">二种</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两种</item>
      </candidateList>
      <explain xmlns="http://schemas.wps.cn/vas-ai-hub/contract-review"/>
      <paraID xmlns="http://schemas.wps.cn/vas-ai-hub/contract-review">2B0A965E</paraID>
      <start xmlns="http://schemas.wps.cn/vas-ai-hub/contract-review">226</start>
      <end xmlns="http://schemas.wps.cn/vas-ai-hub/contract-review">228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c2be0a01-53dc-4f48-a437-023b09542885</errorID>
      <errorWord xmlns="http://schemas.wps.cn/vas-ai-hub/contract-review">限</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限内</item>
      </candidateList>
      <explain xmlns="http://schemas.wps.cn/vas-ai-hub/contract-review"/>
      <paraID xmlns="http://schemas.wps.cn/vas-ai-hub/contract-review">35B02E1C</paraID>
      <start xmlns="http://schemas.wps.cn/vas-ai-hub/contract-review">17</start>
      <end xmlns="http://schemas.wps.cn/vas-ai-hub/contract-review">18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6273a1ee-445f-448e-b8c3-504c32ec554f</errorID>
      <errorWord xmlns="http://schemas.wps.cn/vas-ai-hub/contract-review">病源</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病原</item>
      </candidateList>
      <explain xmlns="http://schemas.wps.cn/vas-ai-hub/contract-review">存在发音相同字词的误用。</explain>
      <paraID xmlns="http://schemas.wps.cn/vas-ai-hub/contract-review">115E8B68</paraID>
      <start xmlns="http://schemas.wps.cn/vas-ai-hub/contract-review">52</start>
      <end xmlns="http://schemas.wps.cn/vas-ai-hub/contract-review">54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7ae3d084-8b28-4eab-a7c5-e718ea0983cb</errorID>
      <errorWord xmlns="http://schemas.wps.cn/vas-ai-hub/contract-review">老料</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肥料</item>
      </candidateList>
      <explain xmlns="http://schemas.wps.cn/vas-ai-hub/contract-review"/>
      <paraID xmlns="http://schemas.wps.cn/vas-ai-hub/contract-review">7B5B765B</paraID>
      <start xmlns="http://schemas.wps.cn/vas-ai-hub/contract-review">14</start>
      <end xmlns="http://schemas.wps.cn/vas-ai-hub/contract-review">16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59ce6344-c233-4a59-a320-219900003f44</errorID>
      <errorWord xmlns="http://schemas.wps.cn/vas-ai-hub/contract-review">必需</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必须</item>
      </candidateList>
      <explain xmlns="http://schemas.wps.cn/vas-ai-hub/contract-review">〈副〉❶表示事理上和情理上必要；一定要：学习～刻苦钻研。❷加强命令语气：明天你～来。‖注意“必须”的否定是“无须”、“不须”或“不必”。</explain>
      <paraID xmlns="http://schemas.wps.cn/vas-ai-hub/contract-review">6F1A1EE2</paraID>
      <start xmlns="http://schemas.wps.cn/vas-ai-hub/contract-review">29</start>
      <end xmlns="http://schemas.wps.cn/vas-ai-hub/contract-review">33</end>
      <status xmlns="http://schemas.wps.cn/vas-ai-hub/contract-review">modified</status>
      <modifiedWord xmlns="http://schemas.wps.cn/vas-ai-hub/contract-review">必须</modifiedWord>
      <trackRevisions xmlns="http://schemas.wps.cn/vas-ai-hub/contract-review">true</trackRevisions>
    </reviewItem>
    <reviewItem xmlns="http://schemas.wps.cn/vas-ai-hub/contract-review">
      <errorID xmlns="http://schemas.wps.cn/vas-ai-hub/contract-review">2deef57b-3129-40dc-8e3f-1a4082050f80</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2003B4C6</paraID>
      <start xmlns="http://schemas.wps.cn/vas-ai-hub/contract-review">125</start>
      <end xmlns="http://schemas.wps.cn/vas-ai-hub/contract-review">127</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f62ef021-d11c-46de-80b4-76d68a0c4690</errorID>
      <errorWord xmlns="http://schemas.wps.cn/vas-ai-hub/contract-review">予</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予以</item>
      </candidateList>
      <explain xmlns="http://schemas.wps.cn/vas-ai-hub/contract-review">〈动〉给以：～支持｜～警告｜～表扬｜～批评。</explain>
      <paraID xmlns="http://schemas.wps.cn/vas-ai-hub/contract-review">322D9D69</paraID>
      <start xmlns="http://schemas.wps.cn/vas-ai-hub/contract-review">62</start>
      <end xmlns="http://schemas.wps.cn/vas-ai-hub/contract-review">63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f9cf268c-366c-4213-8001-bc3834c5e92a</errorID>
      <errorWord xmlns="http://schemas.wps.cn/vas-ai-hub/contract-review">作</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做</item>
      </candidateList>
      <explain xmlns="http://schemas.wps.cn/vas-ai-hub/contract-review">存在发音相同字词的误用。</explain>
      <paraID xmlns="http://schemas.wps.cn/vas-ai-hub/contract-review">322D9D69</paraID>
      <start xmlns="http://schemas.wps.cn/vas-ai-hub/contract-review">71</start>
      <end xmlns="http://schemas.wps.cn/vas-ai-hub/contract-review">72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32da6b06-9d7d-4c1a-adc3-d4a9b1a12384</errorID>
      <errorWord xmlns="http://schemas.wps.cn/vas-ai-hub/contract-review">法律、法规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法律法规</item>
      </candidateList>
      <explain xmlns="http://schemas.wps.cn/vas-ai-hub/contract-review"/>
      <paraID xmlns="http://schemas.wps.cn/vas-ai-hub/contract-review">7B7AF192</paraID>
      <start xmlns="http://schemas.wps.cn/vas-ai-hub/contract-review">16</start>
      <end xmlns="http://schemas.wps.cn/vas-ai-hub/contract-review">21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a0a40a87-043f-4d70-94b5-a5702ad4fbec</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，对</item>
      </candidateList>
      <explain xmlns="http://schemas.wps.cn/vas-ai-hub/contract-review"/>
      <paraID xmlns="http://schemas.wps.cn/vas-ai-hub/contract-review">5F6CEE13</paraID>
      <start xmlns="http://schemas.wps.cn/vas-ai-hub/contract-review">17</start>
      <end xmlns="http://schemas.wps.cn/vas-ai-hub/contract-review">18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b35e276e-07e3-4417-9eb8-3f866ee1fcad</errorID>
      <errorWord xmlns="http://schemas.wps.cn/vas-ai-hub/contract-review">费</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费中</item>
      </candidateList>
      <explain xmlns="http://schemas.wps.cn/vas-ai-hub/contract-review"/>
      <paraID xmlns="http://schemas.wps.cn/vas-ai-hub/contract-review">5F6CEE13</paraID>
      <start xmlns="http://schemas.wps.cn/vas-ai-hub/contract-review">94</start>
      <end xmlns="http://schemas.wps.cn/vas-ai-hub/contract-review">95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82d0c37a-06b3-44ca-b506-200f5462ee14</errorID>
      <errorWord xmlns="http://schemas.wps.cn/vas-ai-hub/contract-review">制定计划</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制订计划</item>
      </candidateList>
      <explain xmlns="http://schemas.wps.cn/vas-ai-hub/contract-review"/>
      <paraID xmlns="http://schemas.wps.cn/vas-ai-hub/contract-review">61B8381E</paraID>
      <start xmlns="http://schemas.wps.cn/vas-ai-hub/contract-review">8</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1251d91a-b302-4860-81c8-9ecc4c65fc6c</errorID>
      <errorWord xmlns="http://schemas.wps.cn/vas-ai-hub/contract-review">季</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季度</item>
      </candidateList>
      <explain xmlns="http://schemas.wps.cn/vas-ai-hub/contract-review"/>
      <paraID xmlns="http://schemas.wps.cn/vas-ai-hub/contract-review">52DCE46C</paraID>
      <start xmlns="http://schemas.wps.cn/vas-ai-hub/contract-review">20</start>
      <end xmlns="http://schemas.wps.cn/vas-ai-hub/contract-review">21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0782925d-d520-4656-b8d6-390b3ba5c4ab</errorID>
      <errorWord xmlns="http://schemas.wps.cn/vas-ai-hub/contract-review">管理水平对</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管理水平</item>
      </candidateList>
      <explain xmlns="http://schemas.wps.cn/vas-ai-hub/contract-review"/>
      <paraID xmlns="http://schemas.wps.cn/vas-ai-hub/contract-review">52DCE46C</paraID>
      <start xmlns="http://schemas.wps.cn/vas-ai-hub/contract-review">46</start>
      <end xmlns="http://schemas.wps.cn/vas-ai-hub/contract-review">51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ca13abf5-e4b2-4fef-88c3-500ca0baa531</errorID>
      <errorWord xmlns="http://schemas.wps.cn/vas-ai-hub/contract-review">费</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费中</item>
      </candidateList>
      <explain xmlns="http://schemas.wps.cn/vas-ai-hub/contract-review"/>
      <paraID xmlns="http://schemas.wps.cn/vas-ai-hub/contract-review">59F0A496</paraID>
      <start xmlns="http://schemas.wps.cn/vas-ai-hub/contract-review">71</start>
      <end xmlns="http://schemas.wps.cn/vas-ai-hub/contract-review">72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0a7a637e-d24b-416a-8e5f-73286124f12f</errorID>
      <errorWord xmlns="http://schemas.wps.cn/vas-ai-hub/contract-review">14．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E9380D6</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2b17caee-b454-4b78-8b81-79682ff58465</errorID>
      <errorWord xmlns="http://schemas.wps.cn/vas-ai-hub/contract-review">法律、法规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法律法规</item>
      </candidateList>
      <explain xmlns="http://schemas.wps.cn/vas-ai-hub/contract-review"/>
      <paraID xmlns="http://schemas.wps.cn/vas-ai-hub/contract-review"> 7A2B0F6</paraID>
      <start xmlns="http://schemas.wps.cn/vas-ai-hub/contract-review">6</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54dcc4a5-17d7-4691-8684-f652ffbb900a</errorID>
      <errorWord xmlns="http://schemas.wps.cn/vas-ai-hub/contract-review">提高</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增强</item>
      </candidateList>
      <explain xmlns="http://schemas.wps.cn/vas-ai-hub/contract-review">“提高～意识”搭配不当，建议修改为“增强～意识”。</explain>
      <paraID xmlns="http://schemas.wps.cn/vas-ai-hub/contract-review">3B772FD7</paraID>
      <start xmlns="http://schemas.wps.cn/vas-ai-hub/contract-review">5</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9a42c8c6-c1e6-4a37-b789-fcf278f2c085</errorID>
      <errorWord xmlns="http://schemas.wps.cn/vas-ai-hub/contract-review">和和</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和</item>
      </candidateList>
      <explain xmlns="http://schemas.wps.cn/vas-ai-hub/contract-review">〈量〉用于洗东西换水的次数或一剂药煎的次数：衣裳已经洗了三～｜二～药。</explain>
      <paraID xmlns="http://schemas.wps.cn/vas-ai-hub/contract-review">4B9289E3</paraID>
      <start xmlns="http://schemas.wps.cn/vas-ai-hub/contract-review">54</start>
      <end xmlns="http://schemas.wps.cn/vas-ai-hub/contract-review">56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dc50463d-f207-4411-b180-6bc9c6a1e74f</errorID>
      <errorWord xmlns="http://schemas.wps.cn/vas-ai-hub/contract-review">日</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日起</item>
      </candidateList>
      <explain xmlns="http://schemas.wps.cn/vas-ai-hub/contract-review"/>
      <paraID xmlns="http://schemas.wps.cn/vas-ai-hub/contract-review">2FBCCE3C</paraID>
      <start xmlns="http://schemas.wps.cn/vas-ai-hub/contract-review">97</start>
      <end xmlns="http://schemas.wps.cn/vas-ai-hub/contract-review">98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9f9c0b77-7c68-44c2-8297-b789a4b93b32</errorID>
      <errorWord xmlns="http://schemas.wps.cn/vas-ai-hub/contract-review">法律、法规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法律法规</item>
      </candidateList>
      <explain xmlns="http://schemas.wps.cn/vas-ai-hub/contract-review"/>
      <paraID xmlns="http://schemas.wps.cn/vas-ai-hub/contract-review"> 494CA9F</paraID>
      <start xmlns="http://schemas.wps.cn/vas-ai-hub/contract-review">114</start>
      <end xmlns="http://schemas.wps.cn/vas-ai-hub/contract-review">119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bb0d8904-900a-4c2b-9033-0568c092b18c</errorID>
      <errorWord xmlns="http://schemas.wps.cn/vas-ai-hub/contract-review">肆份</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四份</item>
      </candidateList>
      <explain xmlns="http://schemas.wps.cn/vas-ai-hub/contract-review">存在发音相同字词的误用。</explain>
      <paraID xmlns="http://schemas.wps.cn/vas-ai-hub/contract-review">64EA81F4</paraID>
      <start xmlns="http://schemas.wps.cn/vas-ai-hub/contract-review">12</start>
      <end xmlns="http://schemas.wps.cn/vas-ai-hub/contract-review">14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f08473f4-1c62-4421-b185-48b6a52e3dfe</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376735D9</paraID>
      <start xmlns="http://schemas.wps.cn/vas-ai-hub/contract-review">27</start>
      <end xmlns="http://schemas.wps.cn/vas-ai-hub/contract-review">29</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42718adc-2e7d-4376-9a33-b0098b46c8df</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34665E9D</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daee5d46-1ade-4c6f-b86c-591620fe9847</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66B55AD2</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a35245f4-f5d6-47d2-b78a-96bb7055a01c</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3D5FF108</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16eb28af-75f9-402b-9165-3f50a9b9e968</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6B56071B</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96b453fc-12b9-42f0-9e83-480f5f6d783c</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1634D620</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410c3c89-424b-4438-a8dc-cde584d21030</errorID>
      <errorWord xmlns="http://schemas.wps.cn/vas-ai-hub/contract-review">(6)</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（6）</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5E130DF2</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453d7d0e-d58d-4542-8957-c8fba9c0ff97</errorID>
      <errorWord xmlns="http://schemas.wps.cn/vas-ai-hub/contract-review">(7)</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（7）</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6DCFAD16</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9bec2f28-6965-40e3-a3d2-49f0e1664fe8</errorID>
      <errorWord xmlns="http://schemas.wps.cn/vas-ai-hub/contract-review">(8)</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（8）</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5CDA1143</paraID>
      <start xmlns="http://schemas.wps.cn/vas-ai-hub/contract-review">4</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b8aa57c7-6af2-45a0-8d0c-26323a7d1a75</errorID>
      <errorWord xmlns="http://schemas.wps.cn/vas-ai-hub/contract-review">(9)</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（9）</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3F2AE0F7</paraID>
      <start xmlns="http://schemas.wps.cn/vas-ai-hub/contract-review">4</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1a2374f1-7a37-4386-9576-276b8d4eb4fd</errorID>
      <errorWord xmlns="http://schemas.wps.cn/vas-ai-hub/contract-review">本</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本次</item>
      </candidateList>
      <explain xmlns="http://schemas.wps.cn/vas-ai-hub/contract-review"/>
      <paraID xmlns="http://schemas.wps.cn/vas-ai-hub/contract-review"> BA55375</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51bf6d30-ce67-4ab6-ab93-26e88c472570</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73225ADA</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78c2efc0-3756-4491-873e-722044f68a6d</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237A5A59</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565fb15f-d45c-4b07-b5ff-4b217265e1d2</errorID>
      <errorWord xmlns="http://schemas.wps.cn/vas-ai-hub/contract-review">包</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包括</item>
      </candidateList>
      <explain xmlns="http://schemas.wps.cn/vas-ai-hub/contract-review"/>
      <paraID xmlns="http://schemas.wps.cn/vas-ai-hub/contract-review">320645A1</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5df621c1-3b70-473f-a747-455bfc5f82e2</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explain xmlns="http://schemas.wps.cn/vas-ai-hub/contract-review"/>
      <paraID xmlns="http://schemas.wps.cn/vas-ai-hub/contract-review">7EE7EA33</paraID>
      <start xmlns="http://schemas.wps.cn/vas-ai-hub/contract-review">9</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3b5cc7c5-2dcb-47d7-811e-cda625a8c6f9</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7E2C6A5F</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f8d5facd-8d46-48f0-8ae5-dcb3ef4f449d</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6A17BE3B</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7685ce57-8ece-44b5-8ab9-7d453cb5461f</errorID>
      <errorWord xmlns="http://schemas.wps.cn/vas-ai-hub/contract-review">Ａ．</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A。</item>
      </candidateList>
      <explain xmlns="http://schemas.wps.cn/vas-ai-hub/contract-review">文本全半角错误。</explain>
      <paraID xmlns="http://schemas.wps.cn/vas-ai-hub/contract-review">453CAC27</paraID>
      <start xmlns="http://schemas.wps.cn/vas-ai-hub/contract-review">8</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256fa135-26a6-401a-9fd9-7ef6553f63af</errorID>
      <errorWord xmlns="http://schemas.wps.cn/vas-ai-hub/contract-review">Ｂ．</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B。</item>
      </candidateList>
      <explain xmlns="http://schemas.wps.cn/vas-ai-hub/contract-review">文本全半角错误。</explain>
      <paraID xmlns="http://schemas.wps.cn/vas-ai-hub/contract-review">22E4F24C</paraID>
      <start xmlns="http://schemas.wps.cn/vas-ai-hub/contract-review">8</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98db5d10-97b9-4fe8-aa75-fb192710568e</errorID>
      <errorWord xmlns="http://schemas.wps.cn/vas-ai-hub/contract-review">Ｃ．</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C。</item>
      </candidateList>
      <explain xmlns="http://schemas.wps.cn/vas-ai-hub/contract-review">文本全半角错误。</explain>
      <paraID xmlns="http://schemas.wps.cn/vas-ai-hub/contract-review">5C9D6D7A</paraID>
      <start xmlns="http://schemas.wps.cn/vas-ai-hub/contract-review">8</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93fcd04d-f171-4a6b-9832-18c50b5f547a</errorID>
      <errorWord xmlns="http://schemas.wps.cn/vas-ai-hub/contract-review">Ｄ．</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D。</item>
      </candidateList>
      <explain xmlns="http://schemas.wps.cn/vas-ai-hub/contract-review">文本全半角错误。</explain>
      <paraID xmlns="http://schemas.wps.cn/vas-ai-hub/contract-review">1A16F05A</paraID>
      <start xmlns="http://schemas.wps.cn/vas-ai-hub/contract-review">8</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9690dc24-db44-470a-862b-6456d122d241</errorID>
      <errorWord xmlns="http://schemas.wps.cn/vas-ai-hub/contract-review">Ｅ．</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E。</item>
      </candidateList>
      <explain xmlns="http://schemas.wps.cn/vas-ai-hub/contract-review">文本全半角错误。</explain>
      <paraID xmlns="http://schemas.wps.cn/vas-ai-hub/contract-review">31FCAFF1</paraID>
      <start xmlns="http://schemas.wps.cn/vas-ai-hub/contract-review">4</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59af0377-0220-44d3-9ec7-2be207e43c14</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25AFD7C7</paraID>
      <start xmlns="http://schemas.wps.cn/vas-ai-hub/contract-review">10</start>
      <end xmlns="http://schemas.wps.cn/vas-ai-hub/contract-review">12</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43537f14-0976-4e05-b9f6-430b7978ffff</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25AFD7C7</paraID>
      <start xmlns="http://schemas.wps.cn/vas-ai-hub/contract-review">18</start>
      <end xmlns="http://schemas.wps.cn/vas-ai-hub/contract-review">20</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8a555719-e951-48ba-98b3-b0ab0f03017b</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4AC94607</paraID>
      <start xmlns="http://schemas.wps.cn/vas-ai-hub/contract-review">10</start>
      <end xmlns="http://schemas.wps.cn/vas-ai-hub/contract-review">12</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e82f7808-7c9c-4287-95ce-d968952644a4</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4AC94607</paraID>
      <start xmlns="http://schemas.wps.cn/vas-ai-hub/contract-review">18</start>
      <end xmlns="http://schemas.wps.cn/vas-ai-hub/contract-review">20</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3b04f9eb-6450-436c-bffe-e315de7c6d24</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150AAE0A</paraID>
      <start xmlns="http://schemas.wps.cn/vas-ai-hub/contract-review">10</start>
      <end xmlns="http://schemas.wps.cn/vas-ai-hub/contract-review">12</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70f7ae68-c532-4861-acb2-cf60b9724c25</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150AAE0A</paraID>
      <start xmlns="http://schemas.wps.cn/vas-ai-hub/contract-review">18</start>
      <end xmlns="http://schemas.wps.cn/vas-ai-hub/contract-review">20</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5408a20c-f14e-4abd-9589-47aecb1b4742</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7D119FBD</paraID>
      <start xmlns="http://schemas.wps.cn/vas-ai-hub/contract-review">10</start>
      <end xmlns="http://schemas.wps.cn/vas-ai-hub/contract-review">12</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b432f807-cdf4-4883-aafa-43b99e081248</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7D119FBD</paraID>
      <start xmlns="http://schemas.wps.cn/vas-ai-hub/contract-review">18</start>
      <end xmlns="http://schemas.wps.cn/vas-ai-hub/contract-review">20</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35f80547-1b10-4ed0-bec0-f02dae0d72e2</errorID>
      <errorWord xmlns="http://schemas.wps.cn/vas-ai-hub/contract-review">Ｆ．</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F。</item>
      </candidateList>
      <explain xmlns="http://schemas.wps.cn/vas-ai-hub/contract-review">文本全半角错误。</explain>
      <paraID xmlns="http://schemas.wps.cn/vas-ai-hub/contract-review">7FD7CD07</paraID>
      <start xmlns="http://schemas.wps.cn/vas-ai-hub/contract-review">4</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84971dca-7c3e-4837-9d72-02df3719f2ea</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1D826728</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b8aa3dbd-1bc9-417d-99dd-9a356b8729e8</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22027F89</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6a52485f-128e-4cc0-ab94-290a3ac63a3d</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4818A3B9</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52443397-cb7f-49aa-8bfe-0483e4e7f6ad</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5A579290</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3045d71d-0f25-4768-916d-85dfe5a8ccbe</errorID>
      <errorWord xmlns="http://schemas.wps.cn/vas-ai-hub/contract-review">程</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程中</item>
      </candidateList>
      <explain xmlns="http://schemas.wps.cn/vas-ai-hub/contract-review"/>
      <paraID xmlns="http://schemas.wps.cn/vas-ai-hub/contract-review">795406CE</paraID>
      <start xmlns="http://schemas.wps.cn/vas-ai-hub/contract-review">83</start>
      <end xmlns="http://schemas.wps.cn/vas-ai-hub/contract-review">84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0be5a6db-c03e-4eea-a96f-2b1856b0f44e</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55D3E064</paraID>
      <start xmlns="http://schemas.wps.cn/vas-ai-hub/contract-review">23</start>
      <end xmlns="http://schemas.wps.cn/vas-ai-hub/contract-review">25</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bbe47271-2b51-49c0-b832-7d40ce743bcd</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explain xmlns="http://schemas.wps.cn/vas-ai-hub/contract-review"/>
      <paraID xmlns="http://schemas.wps.cn/vas-ai-hub/contract-review">7A4EB89A</paraID>
      <start xmlns="http://schemas.wps.cn/vas-ai-hub/contract-review">20</start>
      <end xmlns="http://schemas.wps.cn/vas-ai-hub/contract-review">21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c7a3f60c-d32c-4ae3-b339-10daf535cf39</errorID>
      <errorWord xmlns="http://schemas.wps.cn/vas-ai-hub/contract-review">转帐方式</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转账方式</item>
      </candidateList>
      <explain xmlns="http://schemas.wps.cn/vas-ai-hub/contract-review">词汇[转帐方式]为不规范表述或旧称，其规范书面表述为[转账方式]。</explain>
      <paraID xmlns="http://schemas.wps.cn/vas-ai-hub/contract-review">7F0511D7</paraID>
      <start xmlns="http://schemas.wps.cn/vas-ai-hub/contract-review">82</start>
      <end xmlns="http://schemas.wps.cn/vas-ai-hub/contract-review">90</end>
      <status xmlns="http://schemas.wps.cn/vas-ai-hub/contract-review">modified</status>
      <modifiedWord xmlns="http://schemas.wps.cn/vas-ai-hub/contract-review">转账方式</modifiedWord>
      <trackRevisions xmlns="http://schemas.wps.cn/vas-ai-hub/contract-review">true</trackRevisions>
    </reviewItem>
    <reviewItem xmlns="http://schemas.wps.cn/vas-ai-hub/contract-review">
      <errorID xmlns="http://schemas.wps.cn/vas-ai-hub/contract-review">32e2be0c-6be4-48a6-84dc-f8d60fcf9c43</errorID>
      <errorWord xmlns="http://schemas.wps.cn/vas-ai-hub/contract-review">法律、法规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法律法规</item>
      </candidateList>
      <explain xmlns="http://schemas.wps.cn/vas-ai-hub/contract-review"/>
      <paraID xmlns="http://schemas.wps.cn/vas-ai-hub/contract-review">60475775</paraID>
      <start xmlns="http://schemas.wps.cn/vas-ai-hub/contract-review">8</start>
      <end xmlns="http://schemas.wps.cn/vas-ai-hub/contract-review">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e0ab76fc-78e2-4cd8-a59a-b9f15f2a8b51</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60475775</paraID>
      <start xmlns="http://schemas.wps.cn/vas-ai-hub/contract-review">28</start>
      <end xmlns="http://schemas.wps.cn/vas-ai-hub/contract-review">31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a6fbb80d-4f22-482f-91a6-f696d500115f</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60475775</paraID>
      <start xmlns="http://schemas.wps.cn/vas-ai-hub/contract-review">45</start>
      <end xmlns="http://schemas.wps.cn/vas-ai-hub/contract-review">48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e2e14fa8-ae29-46b4-b651-7bdbb69476ce</errorID>
      <errorWord xmlns="http://schemas.wps.cn/vas-ai-hub/contract-review">其它</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item>
      </candidateList>
      <explain xmlns="http://schemas.wps.cn/vas-ai-hub/contract-review">词汇[其它]为不规范表述或旧称，其规范书面表述为[其他]。</explain>
      <paraID xmlns="http://schemas.wps.cn/vas-ai-hub/contract-review">38E11CBC</paraID>
      <start xmlns="http://schemas.wps.cn/vas-ai-hub/contract-review">82</start>
      <end xmlns="http://schemas.wps.cn/vas-ai-hub/contract-review">84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ab006436-e30a-4a74-a327-dd7ed41b6643</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，不</item>
      </candidateList>
      <explain xmlns="http://schemas.wps.cn/vas-ai-hub/contract-review"/>
      <paraID xmlns="http://schemas.wps.cn/vas-ai-hub/contract-review">20B88F39</paraID>
      <start xmlns="http://schemas.wps.cn/vas-ai-hub/contract-review">30</start>
      <end xmlns="http://schemas.wps.cn/vas-ai-hub/contract-review">31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6d556c14-4e8f-493f-beb1-a4b86339b1d0</errorID>
      <errorWord xmlns="http://schemas.wps.cn/vas-ai-hub/contract-review">政纪处分</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政务处分</item>
      </candidateList>
      <explain xmlns="http://schemas.wps.cn/vas-ai-hub/contract-review"/>
      <paraID xmlns="http://schemas.wps.cn/vas-ai-hub/contract-review">4B507DAC</paraID>
      <start xmlns="http://schemas.wps.cn/vas-ai-hub/contract-review">70</start>
      <end xmlns="http://schemas.wps.cn/vas-ai-hub/contract-review">74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dbba8f88-5bc2-4954-a167-7e085f3d18ef</errorID>
      <errorWord xmlns="http://schemas.wps.cn/vas-ai-hub/contract-review">(一)</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（一）</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56290B88</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b976fcb7-caa1-4fec-b371-a18b960c1716</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56290B88</paraID>
      <start xmlns="http://schemas.wps.cn/vas-ai-hub/contract-review">28</start>
      <end xmlns="http://schemas.wps.cn/vas-ai-hub/contract-review">30</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ec408e94-0965-43f5-9c6c-8d1cbf803d16</errorID>
      <errorWord xmlns="http://schemas.wps.cn/vas-ai-hub/contract-review">(二)</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（二）</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16299A90</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b2685318-c528-4b1e-95f7-77794dd6ba1c</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16299A90</paraID>
      <start xmlns="http://schemas.wps.cn/vas-ai-hub/contract-review">13</start>
      <end xmlns="http://schemas.wps.cn/vas-ai-hub/contract-review">15</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6e28293e-3f1a-492a-9f46-f3d8bf4a9d3d</errorID>
      <errorWord xmlns="http://schemas.wps.cn/vas-ai-hub/contract-review">(三)</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（三）</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20804C5F</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e1b1a63d-4ac4-478a-8571-c1f83eca5509</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20804C5F</paraID>
      <start xmlns="http://schemas.wps.cn/vas-ai-hub/contract-review">24</start>
      <end xmlns="http://schemas.wps.cn/vas-ai-hub/contract-review">26</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c7163cfc-ebde-43a7-bd71-d7ee284351bd</errorID>
      <errorWord xmlns="http://schemas.wps.cn/vas-ai-hub/contract-review">(四)</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（四）</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726ED0C8</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26ce270c-82f9-49b4-930c-5fa8c49f58bd</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726ED0C8</paraID>
      <start xmlns="http://schemas.wps.cn/vas-ai-hub/contract-review">7</start>
      <end xmlns="http://schemas.wps.cn/vas-ai-hub/contract-review">9</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8981d3e3-9ed2-41c1-aaa1-948424dc1deb</errorID>
      <errorWord xmlns="http://schemas.wps.cn/vas-ai-hub/contract-review">(五)</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（五）</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73088B4</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fdee8f9f-8cbc-4822-a328-149f0cb553e3</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73088B4</paraID>
      <start xmlns="http://schemas.wps.cn/vas-ai-hub/contract-review">10</start>
      <end xmlns="http://schemas.wps.cn/vas-ai-hub/contract-review">12</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92b22889-6772-4e77-816a-825000c1112c</errorID>
      <errorWord xmlns="http://schemas.wps.cn/vas-ai-hub/contract-review">(六)</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（六）</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5932A6B0</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46cf6dd2-c34e-4ba8-9c23-5eaa47c933a7</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1E11D14B</paraID>
      <start xmlns="http://schemas.wps.cn/vas-ai-hub/contract-review">16</start>
      <end xmlns="http://schemas.wps.cn/vas-ai-hub/contract-review">18</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ca8a9e34-4f4a-4be0-a941-7b958e25d578</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7FF18CD3</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03d06271-cc87-4a45-aeea-19155e4800fd</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688AC8F0</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af62ca47-44b8-4c89-af52-175d64557b3a</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1BC1C304</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0c6ebcba-0872-4f94-9c70-8455c6220335</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59A887DC</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c7076c5a-5bc3-49f1-aee9-b456b1e06232</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BE446F1</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05f0d8db-72e9-43ed-ac8b-b0c89017c795</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51B40D83</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842e86e6-8bb4-43b8-b1a9-8dffc0e13f69</errorID>
      <errorWord xmlns="http://schemas.wps.cn/vas-ai-hub/contract-review">[2017]141号</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〔2017〕141号</item>
      </candidateList>
      <explain xmlns="http://schemas.wps.cn/vas-ai-hub/contract-review">发文字号格式错误。</explain>
      <paraID xmlns="http://schemas.wps.cn/vas-ai-hub/contract-review">63257BB8</paraID>
      <start xmlns="http://schemas.wps.cn/vas-ai-hub/contract-review">50</start>
      <end xmlns="http://schemas.wps.cn/vas-ai-hub/contract-review">70</end>
      <status xmlns="http://schemas.wps.cn/vas-ai-hub/contract-review">modified</status>
      <modifiedWord xmlns="http://schemas.wps.cn/vas-ai-hub/contract-review">〔2017〕141号</modifiedWord>
      <trackRevisions xmlns="http://schemas.wps.cn/vas-ai-hub/contract-review">true</trackRevisions>
    </reviewItem>
    <reviewItem xmlns="http://schemas.wps.cn/vas-ai-hub/contract-review">
      <errorID xmlns="http://schemas.wps.cn/vas-ai-hub/contract-review">a50d30bb-9628-4c82-9cfc-bf206aed40cd</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（一</item>
      </candidateList>
      <explain xmlns="http://schemas.wps.cn/vas-ai-hub/contract-review"/>
      <paraID xmlns="http://schemas.wps.cn/vas-ai-hub/contract-review">7FB0E371</paraID>
      <start xmlns="http://schemas.wps.cn/vas-ai-hub/contract-review">0</start>
      <end xmlns="http://schemas.wps.cn/vas-ai-hub/contract-review">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dfd12204-504d-4e7e-9ca4-22f8f647a4cf</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（一</item>
      </candidateList>
      <explain xmlns="http://schemas.wps.cn/vas-ai-hub/contract-review"/>
      <paraID xmlns="http://schemas.wps.cn/vas-ai-hub/contract-review">2163F604</paraID>
      <start xmlns="http://schemas.wps.cn/vas-ai-hub/contract-review">0</start>
      <end xmlns="http://schemas.wps.cn/vas-ai-hub/contract-review">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a98edc56-5fb9-4f2b-b0ef-fd7a1cfe991d</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1ABCAD15</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0945476e-c68e-455e-8790-9b1de23741e9</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5A4E50CB</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1c042067-5a43-4db0-a053-7e5bac4a1a9a</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2C4B8860</paraID>
      <start xmlns="http://schemas.wps.cn/vas-ai-hub/contract-review">1</start>
      <end xmlns="http://schemas.wps.cn/vas-ai-hub/contract-review">3</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5a7f303f-d08d-481e-883d-f34aec337056</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2C4B8860</paraID>
      <start xmlns="http://schemas.wps.cn/vas-ai-hub/contract-review">15</start>
      <end xmlns="http://schemas.wps.cn/vas-ai-hub/contract-review">17</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4a1faa4f-a26a-4b87-8ba8-415e70786f93</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2C1293C2</paraID>
      <start xmlns="http://schemas.wps.cn/vas-ai-hub/contract-review">4</start>
      <end xmlns="http://schemas.wps.cn/vas-ai-hub/contract-review">6</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6a3d0a23-f912-4005-a734-9aec78cafd65</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2C1293C2</paraID>
      <start xmlns="http://schemas.wps.cn/vas-ai-hub/contract-review">11</start>
      <end xmlns="http://schemas.wps.cn/vas-ai-hub/contract-review">13</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6d6be571-375e-4ca8-b077-0af49ef06efb</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5259E1E9</paraID>
      <start xmlns="http://schemas.wps.cn/vas-ai-hub/contract-review">8</start>
      <end xmlns="http://schemas.wps.cn/vas-ai-hub/contract-review">10</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b95b4916-4c04-4c3e-872f-2ce277cbd54a</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5259E1E9</paraID>
      <start xmlns="http://schemas.wps.cn/vas-ai-hub/contract-review">15</start>
      <end xmlns="http://schemas.wps.cn/vas-ai-hub/contract-review">17</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9d67718a-9db6-4ad5-8367-db658b9ab0c1</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706CEE9F</paraID>
      <start xmlns="http://schemas.wps.cn/vas-ai-hub/contract-review">5</start>
      <end xmlns="http://schemas.wps.cn/vas-ai-hub/contract-review">7</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d6319571-c7b0-4b68-abac-acb6fdcdcd74</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706CEE9F</paraID>
      <start xmlns="http://schemas.wps.cn/vas-ai-hub/contract-review">10</start>
      <end xmlns="http://schemas.wps.cn/vas-ai-hub/contract-review">12</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7134af68-8a0e-4af8-ad68-66b1672f5d6b</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D1D251D</paraID>
      <start xmlns="http://schemas.wps.cn/vas-ai-hub/contract-review">7</start>
      <end xmlns="http://schemas.wps.cn/vas-ai-hub/contract-review">9</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c49382e8-1f6b-4613-8a4d-344e227efadf</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6BD6EB85</paraID>
      <start xmlns="http://schemas.wps.cn/vas-ai-hub/contract-review">3</start>
      <end xmlns="http://schemas.wps.cn/vas-ai-hub/contract-review">5</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f74fd07d-06f1-41fd-9383-5865ee1c3df8</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6BD6EB85</paraID>
      <start xmlns="http://schemas.wps.cn/vas-ai-hub/contract-review">7</start>
      <end xmlns="http://schemas.wps.cn/vas-ai-hub/contract-review">9</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2777ebf8-c476-4798-8ebe-d00d350f0c30</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6BD6EB85</paraID>
      <start xmlns="http://schemas.wps.cn/vas-ai-hub/contract-review">78</start>
      <end xmlns="http://schemas.wps.cn/vas-ai-hub/contract-review">80</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9d0258a1-cfc4-4749-b724-666d39a1c3b8</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2944AF66</paraID>
      <start xmlns="http://schemas.wps.cn/vas-ai-hub/contract-review">5</start>
      <end xmlns="http://schemas.wps.cn/vas-ai-hub/contract-review">7</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a2bd1b74-1cd9-4e2b-b74e-8bc8e4e1661b</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2944AF66</paraID>
      <start xmlns="http://schemas.wps.cn/vas-ai-hub/contract-review">9</start>
      <end xmlns="http://schemas.wps.cn/vas-ai-hub/contract-review">11</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9fa9ffb8-e9fe-4fca-9e14-e91e8166163a</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2944AF66</paraID>
      <start xmlns="http://schemas.wps.cn/vas-ai-hub/contract-review">45</start>
      <end xmlns="http://schemas.wps.cn/vas-ai-hub/contract-review">47</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a6e19d78-c7d5-4820-a888-2c4a8877e108</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25D17F70</paraID>
      <start xmlns="http://schemas.wps.cn/vas-ai-hub/contract-review">15</start>
      <end xmlns="http://schemas.wps.cn/vas-ai-hub/contract-review">17</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053992d6-e9e7-4143-b7cf-e8c35b6b15c7</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2DBA6F30</paraID>
      <start xmlns="http://schemas.wps.cn/vas-ai-hub/contract-review">21</start>
      <end xmlns="http://schemas.wps.cn/vas-ai-hub/contract-review">23</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dc15d224-e6f4-4b2e-bc5d-ef702947c392</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5EEBE32A</paraID>
      <start xmlns="http://schemas.wps.cn/vas-ai-hub/contract-review">21</start>
      <end xmlns="http://schemas.wps.cn/vas-ai-hub/contract-review">23</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a59463d9-300d-4a05-8391-4a992a8dfb89</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20A1C4FD</paraID>
      <start xmlns="http://schemas.wps.cn/vas-ai-hub/contract-review">21</start>
      <end xmlns="http://schemas.wps.cn/vas-ai-hub/contract-review">23</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c01d7064-df92-40cc-a254-b505b66806a0</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56E593DF</paraID>
      <start xmlns="http://schemas.wps.cn/vas-ai-hub/contract-review">3</start>
      <end xmlns="http://schemas.wps.cn/vas-ai-hub/contract-review">5</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817db00b-21bb-484d-b4bf-8a89adf0b3ce</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56E593DF</paraID>
      <start xmlns="http://schemas.wps.cn/vas-ai-hub/contract-review">7</start>
      <end xmlns="http://schemas.wps.cn/vas-ai-hub/contract-review">9</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97fb6a41-26c1-4f7d-9293-6ee714791424</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56E593DF</paraID>
      <start xmlns="http://schemas.wps.cn/vas-ai-hub/contract-review">76</start>
      <end xmlns="http://schemas.wps.cn/vas-ai-hub/contract-review">78</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ffc60e33-9133-48b5-a91b-822418c2bf66</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56E593DF</paraID>
      <start xmlns="http://schemas.wps.cn/vas-ai-hub/contract-review">79</start>
      <end xmlns="http://schemas.wps.cn/vas-ai-hub/contract-review">81</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206d94b4-6711-43c6-bfee-0983c2925a4a</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56E593DF</paraID>
      <start xmlns="http://schemas.wps.cn/vas-ai-hub/contract-review">142</start>
      <end xmlns="http://schemas.wps.cn/vas-ai-hub/contract-review">144</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73616962-7254-45ef-9839-20753dd28691</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4D9DD99</paraID>
      <start xmlns="http://schemas.wps.cn/vas-ai-hub/contract-review">5</start>
      <end xmlns="http://schemas.wps.cn/vas-ai-hub/contract-review">7</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72dfe19a-8420-4812-aa21-aed28e43cdf0</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4D9DD99</paraID>
      <start xmlns="http://schemas.wps.cn/vas-ai-hub/contract-review">11</start>
      <end xmlns="http://schemas.wps.cn/vas-ai-hub/contract-review">13</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26a3e6f3-3e93-4c5d-9e3d-2e30e8933f94</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79AD1453</paraID>
      <start xmlns="http://schemas.wps.cn/vas-ai-hub/contract-review">1</start>
      <end xmlns="http://schemas.wps.cn/vas-ai-hub/contract-review">3</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9b001fa9-e026-4eb0-997b-28bb77cd5340</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793D87CF</paraID>
      <start xmlns="http://schemas.wps.cn/vas-ai-hub/contract-review">5</start>
      <end xmlns="http://schemas.wps.cn/vas-ai-hub/contract-review">7</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1f7db777-ccfa-4d09-a14b-0c2bd4a7d7e2</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793D87CF</paraID>
      <start xmlns="http://schemas.wps.cn/vas-ai-hub/contract-review">9</start>
      <end xmlns="http://schemas.wps.cn/vas-ai-hub/contract-review">11</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f6b114c4-655e-49e2-a718-98a5e4eeac66</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793D87CF</paraID>
      <start xmlns="http://schemas.wps.cn/vas-ai-hub/contract-review">25</start>
      <end xmlns="http://schemas.wps.cn/vas-ai-hub/contract-review">27</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0179266d-0382-4b54-a893-b03085eb83d9</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793D87CF</paraID>
      <start xmlns="http://schemas.wps.cn/vas-ai-hub/contract-review">31</start>
      <end xmlns="http://schemas.wps.cn/vas-ai-hub/contract-review">33</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f6d0598a-0359-4a97-a6ee-a1d84c147e29</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4991A2D1</paraID>
      <start xmlns="http://schemas.wps.cn/vas-ai-hub/contract-review">14</start>
      <end xmlns="http://schemas.wps.cn/vas-ai-hub/contract-review">16</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b92dfd53-cdc5-4ef1-9ef2-35f5b2cf204c</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4991A2D1</paraID>
      <start xmlns="http://schemas.wps.cn/vas-ai-hub/contract-review">18</start>
      <end xmlns="http://schemas.wps.cn/vas-ai-hub/contract-review">20</end>
      <status xmlns="http://schemas.wps.cn/vas-ai-hub/contract-review">modified</status>
      <modifiedWord xmlns="http://schemas.wps.cn/vas-ai-hub/contract-review">）</modifiedWord>
      <trackRevisions xmlns="http://schemas.wps.cn/vas-ai-hub/contract-review">true</trackRevisions>
    </reviewItem>
  </reviewItems>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7DF4FCF-862F-4EDB-A6E6-FC571CCD888B}">
  <ds:schemaRefs/>
</ds:datastoreItem>
</file>

<file path=docProps/app.xml><?xml version="1.0" encoding="utf-8"?>
<Properties xmlns="http://schemas.openxmlformats.org/officeDocument/2006/extended-properties" xmlns:vt="http://schemas.openxmlformats.org/officeDocument/2006/docPropsVTypes">
  <Template>Normal.dotm</Template>
  <Pages>112</Pages>
  <Words>7593</Words>
  <Characters>8313</Characters>
  <Lines>462</Lines>
  <Paragraphs>130</Paragraphs>
  <TotalTime>5</TotalTime>
  <ScaleCrop>false</ScaleCrop>
  <LinksUpToDate>false</LinksUpToDate>
  <CharactersWithSpaces>8437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2015-01-03T04:40:00Z</dcterms:created>
  <dc:creator>黄超群</dc:creator>
  <cp:lastModifiedBy>WPS_1528123779</cp:lastModifiedBy>
  <cp:lastPrinted>2026-06-02T09:26:00Z</cp:lastPrinted>
  <dcterms:modified xsi:type="dcterms:W3CDTF">2026-06-03T01:08:31Z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08FCA54D0D1EE33134451D6A2C119E49</vt:lpwstr>
  </property>
  <property fmtid="{D5CDD505-2E9C-101B-9397-08002B2CF9AE}" pid="4" name="KSOTemplateDocerSaveRecord">
    <vt:lpwstr>eyJoZGlkIjoiODQ0NWY5YjE3NGYzMmZkYTI2NTFkNWYyOGEwODRiNzgiLCJ1c2VySWQiOiIzNzYwNDg2NTAifQ==</vt:lpwstr>
  </property>
</Properties>
</file>